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900"/>
        <w:jc w:val="center"/>
      </w:pPr>
      <w:r>
        <w:rPr>
          <w:b/>
          <w:bCs/>
          <w:color w:val="1F4E79"/>
          <w:sz w:val="48"/>
          <w:szCs w:val="48"/>
        </w:rPr>
        <w:t xml:space="preserve">OFFERTE</w:t>
      </w:r>
    </w:p>
    <w:p>
      <w:pPr>
        <w:spacing w:after="500"/>
        <w:jc w:val="center"/>
      </w:pPr>
      <w:r>
        <w:rPr>
          <w:color w:val="595959"/>
          <w:sz w:val="26"/>
          <w:szCs w:val="26"/>
        </w:rPr>
        <w:t xml:space="preserve">BreachOut — Virtualisatie &amp; Cybersecurity EscapeRoom</w:t>
      </w:r>
    </w:p>
    <w:p>
      <w:pPr>
        <w:jc w:val="center"/>
      </w:pPr>
      <w:r>
        <w:rPr>
          <w:b/>
          <w:bCs/>
          <w:sz w:val="24"/>
          <w:szCs w:val="24"/>
        </w:rPr>
        <w:t xml:space="preserve">Opgesteld voor: IronHold Labs</w:t>
      </w:r>
    </w:p>
    <w:p>
      <w:pPr>
        <w:spacing w:after="400"/>
        <w:jc w:val="center"/>
      </w:pPr>
      <w:r>
        <w:rPr>
          <w:sz w:val="22"/>
          <w:szCs w:val="22"/>
        </w:rPr>
        <w:t xml:space="preserve">Door: Anti-Cyberleak IT</w:t>
      </w:r>
    </w:p>
    <w:p>
      <w:pPr>
        <w:jc w:val="center"/>
      </w:pPr>
      <w:r>
        <w:rPr>
          <w:sz w:val="20"/>
          <w:szCs w:val="20"/>
        </w:rPr>
        <w:t xml:space="preserve">Offertenummer: AC-2026-001</w:t>
      </w:r>
    </w:p>
    <w:p>
      <w:pPr>
        <w:jc w:val="center"/>
      </w:pPr>
      <w:r>
        <w:rPr>
          <w:sz w:val="20"/>
          <w:szCs w:val="20"/>
        </w:rPr>
        <w:t xml:space="preserve">Datum: 29-10-2026 · Geldig t/m: 28-11-2026</w:t>
      </w:r>
    </w:p>
    <w:p>
      <w:pPr>
        <w:jc w:val="center"/>
      </w:pPr>
      <w:r>
        <w:rPr>
          <w:i/>
          <w:iCs/>
          <w:color w:val="595959"/>
          <w:sz w:val="18"/>
          <w:szCs w:val="18"/>
        </w:rPr>
        <w:t xml:space="preserve">Alle bedragen in EUR, exclusief btw (tenzij anders vermeld)</w:t>
      </w:r>
    </w:p>
    <w:p>
      <w:r>
        <w:br w:type="page"/>
      </w:r>
    </w:p>
    <w:p>
      <w:pPr>
        <w:pStyle w:val="Heading1"/>
        <w:spacing w:after="120" w:before="240"/>
      </w:pPr>
      <w:r>
        <w:t xml:space="preserve">1. Inleiding</w:t>
      </w:r>
    </w:p>
    <w:p>
      <w:pPr>
        <w:spacing w:after="120"/>
      </w:pPr>
      <w:r>
        <w:rPr>
          <w:b w:val="false"/>
          <w:bCs w:val="false"/>
          <w:sz w:val="20"/>
          <w:szCs w:val="20"/>
        </w:rPr>
        <w:t xml:space="preserve">Deze offerte beschrijft de levering, licenties en implementatie van de complete IT-infrastructuur voor het BreachOut-platform van IronHold Labs: een hoogbeschikbaar, redundant en schaalbaar 3-node Proxmox VE-cluster met gedeelde Ceph-opslag, een FortiGate-firewallomgeving met VLAN-segmentatie, monitoring, back-up en geautomatiseerde uitrol van security-challenges.</w:t>
      </w:r>
    </w:p>
    <w:p>
      <w:pPr>
        <w:spacing w:after="120"/>
      </w:pPr>
      <w:r>
        <w:rPr>
          <w:b w:val="false"/>
          <w:bCs w:val="false"/>
          <w:sz w:val="20"/>
          <w:szCs w:val="20"/>
        </w:rPr>
        <w:t xml:space="preserve">De opzet is bewust redundant (dubbele internetlijnen, FortiGate in HA, dubbele core- en Ceph-switches) en schaalbaar (extra nodes of challenge-VLAN's eenvoudig bij te plaatsen), conform de eisen uit het Functioneel en Technisch Ontwerp. De bijbehorende netwerktekening maakt onderdeel uit van deze offerte.</w:t>
      </w:r>
    </w:p>
    <w:p>
      <w:pPr>
        <w:pStyle w:val="Heading1"/>
        <w:spacing w:after="120" w:before="240"/>
      </w:pPr>
      <w:r>
        <w:t xml:space="preserve">2. Hardware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900"/>
        <w:gridCol w:w="1500"/>
        <w:gridCol w:w="1560"/>
      </w:tblGrid>
      <w:tr>
        <w:trPr>
          <w:tblHeader/>
        </w:trPr>
        <w:tc>
          <w:tcPr>
            <w:tcW w:type="dxa" w:w="54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Omschrijving</w:t>
            </w:r>
          </w:p>
        </w:tc>
        <w:tc>
          <w:tcPr>
            <w:tcW w:type="dxa" w:w="9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Aantal</w:t>
            </w:r>
          </w:p>
        </w:tc>
        <w:tc>
          <w:tcPr>
            <w:tcW w:type="dxa" w:w="15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Stukprijs</w:t>
            </w:r>
          </w:p>
        </w:tc>
        <w:tc>
          <w:tcPr>
            <w:tcW w:type="dxa" w:w="156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Totaal</w:t>
            </w:r>
          </w:p>
        </w:tc>
      </w:tr>
      <w:tr>
        <w:tc>
          <w:tcPr>
            <w:tcW w:type="dxa" w:w="54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Dell PowerEdge R760 — Proxmox VE-node (Xeon Gold, 256 GB RAM, 2× 480 GB SSD boot, 4× 3,84 TB NVMe voor Ceph, dual 25 GbE + dual 10 GbE, redundante voeding, iDRAC Enterprise)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€ 12.000,00</w:t>
            </w:r>
          </w:p>
        </w:tc>
        <w:tc>
          <w:tcPr>
            <w:tcW w:type="dxa" w:w="15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€ 36.000,00</w:t>
            </w:r>
          </w:p>
        </w:tc>
      </w:tr>
      <w:tr>
        <w:tc>
          <w:tcPr>
            <w:tcW w:type="dxa" w:w="5400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Dell PowerEdge R550 — Proxmox Backup Server (Xeon Silver, 64 GB RAM, 2× SSD boot, 8× 8 TB enterprise-HDD, dual 10 GbE)</w:t>
            </w:r>
          </w:p>
        </w:tc>
        <w:tc>
          <w:tcPr>
            <w:tcW w:type="dxa" w:w="900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€ 6.500,00</w:t>
            </w:r>
          </w:p>
        </w:tc>
        <w:tc>
          <w:tcPr>
            <w:tcW w:type="dxa" w:w="1560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€ 6.500,00</w:t>
            </w:r>
          </w:p>
        </w:tc>
      </w:tr>
      <w:tr>
        <w:tc>
          <w:tcPr>
            <w:tcW w:type="dxa" w:w="54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FortiGate 100F — firewall/router (HA-paar)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€ 3.200,00</w:t>
            </w:r>
          </w:p>
        </w:tc>
        <w:tc>
          <w:tcPr>
            <w:tcW w:type="dxa" w:w="15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€ 6.400,00</w:t>
            </w:r>
          </w:p>
        </w:tc>
      </w:tr>
      <w:tr>
        <w:tc>
          <w:tcPr>
            <w:tcW w:type="dxa" w:w="5400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FortiSwitch 1048E — core-switch (10/25 GbE, redundant)</w:t>
            </w:r>
          </w:p>
        </w:tc>
        <w:tc>
          <w:tcPr>
            <w:tcW w:type="dxa" w:w="900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€ 8.500,00</w:t>
            </w:r>
          </w:p>
        </w:tc>
        <w:tc>
          <w:tcPr>
            <w:tcW w:type="dxa" w:w="1560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€ 17.000,00</w:t>
            </w:r>
          </w:p>
        </w:tc>
      </w:tr>
      <w:tr>
        <w:tc>
          <w:tcPr>
            <w:tcW w:type="dxa" w:w="54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FortiSwitch 1024E — Ceph storage-backbone (25 GbE, redundant)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€ 6.000,00</w:t>
            </w:r>
          </w:p>
        </w:tc>
        <w:tc>
          <w:tcPr>
            <w:tcW w:type="dxa" w:w="15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€ 12.000,00</w:t>
            </w:r>
          </w:p>
        </w:tc>
      </w:tr>
      <w:tr>
        <w:tc>
          <w:tcPr>
            <w:tcW w:type="dxa" w:w="5400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FortiSwitch 148F-FPOE — access-switch (48× 1 GbE PoE+, 4× 10 G uplink)</w:t>
            </w:r>
          </w:p>
        </w:tc>
        <w:tc>
          <w:tcPr>
            <w:tcW w:type="dxa" w:w="900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€ 2.600,00</w:t>
            </w:r>
          </w:p>
        </w:tc>
        <w:tc>
          <w:tcPr>
            <w:tcW w:type="dxa" w:w="1560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€ 5.200,00</w:t>
            </w:r>
          </w:p>
        </w:tc>
      </w:tr>
      <w:tr>
        <w:tc>
          <w:tcPr>
            <w:tcW w:type="dxa" w:w="54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FortiAP 431F — access point (Wi-Fi 6, tri-radio)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€ 650,00</w:t>
            </w:r>
          </w:p>
        </w:tc>
        <w:tc>
          <w:tcPr>
            <w:tcW w:type="dxa" w:w="15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€ 2.600,00</w:t>
            </w:r>
          </w:p>
        </w:tc>
      </w:tr>
      <w:tr>
        <w:tc>
          <w:tcPr>
            <w:tcW w:type="dxa" w:w="5400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Transceivers &amp; kabels — SFP28/SFP+ modules, DAC- en fiberkabels</w:t>
            </w:r>
          </w:p>
        </w:tc>
        <w:tc>
          <w:tcPr>
            <w:tcW w:type="dxa" w:w="900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€ 4.500,00</w:t>
            </w:r>
          </w:p>
        </w:tc>
        <w:tc>
          <w:tcPr>
            <w:tcW w:type="dxa" w:w="1560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€ 4.500,00</w:t>
            </w:r>
          </w:p>
        </w:tc>
      </w:tr>
      <w:tr>
        <w:tc>
          <w:tcPr>
            <w:tcW w:type="dxa" w:w="54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CAT6A-bekabeling &amp; patching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€ 1.500,00</w:t>
            </w:r>
          </w:p>
        </w:tc>
        <w:tc>
          <w:tcPr>
            <w:tcW w:type="dxa" w:w="15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€ 1.500,00</w:t>
            </w:r>
          </w:p>
        </w:tc>
      </w:tr>
      <w:tr>
        <w:tc>
          <w:tcPr>
            <w:tcW w:type="dxa" w:w="5400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42U serverrack incl. 2× managed PDU</w:t>
            </w:r>
          </w:p>
        </w:tc>
        <w:tc>
          <w:tcPr>
            <w:tcW w:type="dxa" w:w="900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€ 1.800,00</w:t>
            </w:r>
          </w:p>
        </w:tc>
        <w:tc>
          <w:tcPr>
            <w:tcW w:type="dxa" w:w="1560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€ 1.800,00</w:t>
            </w:r>
          </w:p>
        </w:tc>
      </w:tr>
      <w:tr>
        <w:tc>
          <w:tcPr>
            <w:tcW w:type="dxa" w:w="54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APC Smart-UPS 3000VA (redundante voeding)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€ 1.800,00</w:t>
            </w:r>
          </w:p>
        </w:tc>
        <w:tc>
          <w:tcPr>
            <w:tcW w:type="dxa" w:w="15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€ 3.600,00</w:t>
            </w:r>
          </w:p>
        </w:tc>
      </w:tr>
      <w:tr>
        <w:tc>
          <w:tcPr>
            <w:tcW w:type="dxa" w:w="5400"/>
            <w:shd w:fill="E8F0FE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Subtotaal</w:t>
            </w:r>
          </w:p>
        </w:tc>
        <w:tc>
          <w:tcPr>
            <w:tcW w:type="dxa" w:w="900"/>
            <w:shd w:fill="E8F0FE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E8F0FE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shd w:fill="E8F0FE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€ 97.100,00</w:t>
            </w:r>
          </w:p>
        </w:tc>
      </w:tr>
    </w:tbl>
    <w:p>
      <w:pPr>
        <w:spacing w:after="160"/>
      </w:pPr>
      <w:r>
        <w:rPr>
          <w:b w:val="false"/>
          <w:bCs w:val="false"/>
          <w:sz w:val="20"/>
          <w:szCs w:val="20"/>
        </w:rPr>
        <w:t xml:space="preserve"/>
      </w:r>
    </w:p>
    <w:p>
      <w:pPr>
        <w:pStyle w:val="Heading1"/>
        <w:spacing w:after="120" w:before="240"/>
      </w:pPr>
      <w:r>
        <w:t xml:space="preserve">3. Software &amp; licenties</w:t>
      </w:r>
    </w:p>
    <w:p>
      <w:pPr>
        <w:spacing w:after="120"/>
      </w:pPr>
      <w:r>
        <w:rPr>
          <w:b w:val="false"/>
          <w:bCs w:val="false"/>
          <w:sz w:val="18"/>
          <w:szCs w:val="18"/>
        </w:rPr>
        <w:t xml:space="preserve">Onderstaande licenties zijn jaarlijks terugkerend (opgenomen bedrag = jaar 1).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900"/>
        <w:gridCol w:w="1500"/>
        <w:gridCol w:w="1560"/>
      </w:tblGrid>
      <w:tr>
        <w:trPr>
          <w:tblHeader/>
        </w:trPr>
        <w:tc>
          <w:tcPr>
            <w:tcW w:type="dxa" w:w="54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Omschrijving</w:t>
            </w:r>
          </w:p>
        </w:tc>
        <w:tc>
          <w:tcPr>
            <w:tcW w:type="dxa" w:w="9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Aantal</w:t>
            </w:r>
          </w:p>
        </w:tc>
        <w:tc>
          <w:tcPr>
            <w:tcW w:type="dxa" w:w="15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Stukprijs</w:t>
            </w:r>
          </w:p>
        </w:tc>
        <w:tc>
          <w:tcPr>
            <w:tcW w:type="dxa" w:w="156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Totaal</w:t>
            </w:r>
          </w:p>
        </w:tc>
      </w:tr>
      <w:tr>
        <w:tc>
          <w:tcPr>
            <w:tcW w:type="dxa" w:w="54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Proxmox VE Standard — subscription (per socket, per jaar)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€ 550,00</w:t>
            </w:r>
          </w:p>
        </w:tc>
        <w:tc>
          <w:tcPr>
            <w:tcW w:type="dxa" w:w="15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€ 1.650,00</w:t>
            </w:r>
          </w:p>
        </w:tc>
      </w:tr>
      <w:tr>
        <w:tc>
          <w:tcPr>
            <w:tcW w:type="dxa" w:w="5400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Proxmox Backup Server Standard — subscription (per server, per jaar)</w:t>
            </w:r>
          </w:p>
        </w:tc>
        <w:tc>
          <w:tcPr>
            <w:tcW w:type="dxa" w:w="900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€ 2.240,00</w:t>
            </w:r>
          </w:p>
        </w:tc>
        <w:tc>
          <w:tcPr>
            <w:tcW w:type="dxa" w:w="1560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€ 2.240,00</w:t>
            </w:r>
          </w:p>
        </w:tc>
      </w:tr>
      <w:tr>
        <w:tc>
          <w:tcPr>
            <w:tcW w:type="dxa" w:w="54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FortiGate FortiCare + UTP-bundel (UTM, per jaar)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€ 2.500,00</w:t>
            </w:r>
          </w:p>
        </w:tc>
        <w:tc>
          <w:tcPr>
            <w:tcW w:type="dxa" w:w="15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€ 5.000,00</w:t>
            </w:r>
          </w:p>
        </w:tc>
      </w:tr>
      <w:tr>
        <w:tc>
          <w:tcPr>
            <w:tcW w:type="dxa" w:w="5400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FortiAP/FortiSwitch FortiCare (beheer &amp; support, per jaar)</w:t>
            </w:r>
          </w:p>
        </w:tc>
        <w:tc>
          <w:tcPr>
            <w:tcW w:type="dxa" w:w="900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€ 900,00</w:t>
            </w:r>
          </w:p>
        </w:tc>
        <w:tc>
          <w:tcPr>
            <w:tcW w:type="dxa" w:w="1560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€ 900,00</w:t>
            </w:r>
          </w:p>
        </w:tc>
      </w:tr>
      <w:tr>
        <w:tc>
          <w:tcPr>
            <w:tcW w:type="dxa" w:w="5400"/>
            <w:shd w:fill="E8F0FE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Subtotaal</w:t>
            </w:r>
          </w:p>
        </w:tc>
        <w:tc>
          <w:tcPr>
            <w:tcW w:type="dxa" w:w="900"/>
            <w:shd w:fill="E8F0FE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E8F0FE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shd w:fill="E8F0FE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€ 9.790,00</w:t>
            </w:r>
          </w:p>
        </w:tc>
      </w:tr>
    </w:tbl>
    <w:p>
      <w:pPr>
        <w:spacing w:after="160"/>
      </w:pPr>
      <w:r>
        <w:rPr>
          <w:b w:val="false"/>
          <w:bCs w:val="false"/>
          <w:sz w:val="20"/>
          <w:szCs w:val="20"/>
        </w:rPr>
        <w:t xml:space="preserve"/>
      </w:r>
    </w:p>
    <w:p>
      <w:pPr>
        <w:pStyle w:val="Heading1"/>
        <w:spacing w:after="120" w:before="240"/>
      </w:pPr>
      <w:r>
        <w:t xml:space="preserve">4. Diensten &amp; implementatie</w:t>
      </w:r>
    </w:p>
    <w:p>
      <w:pPr>
        <w:spacing w:after="120"/>
      </w:pPr>
      <w:r>
        <w:rPr>
          <w:sz w:val="18"/>
          <w:szCs w:val="18"/>
        </w:rPr>
        <w:t xml:space="preserve">Uurtarief: </w:t>
      </w:r>
      <w:r>
        <w:rPr>
          <w:b/>
          <w:bCs/>
          <w:sz w:val="18"/>
          <w:szCs w:val="18"/>
        </w:rPr>
        <w:t xml:space="preserve">€ 95,00 per uur.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900"/>
        <w:gridCol w:w="1500"/>
        <w:gridCol w:w="1560"/>
      </w:tblGrid>
      <w:tr>
        <w:trPr>
          <w:tblHeader/>
        </w:trPr>
        <w:tc>
          <w:tcPr>
            <w:tcW w:type="dxa" w:w="54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Dienst / werkzaamheid</w:t>
            </w:r>
          </w:p>
        </w:tc>
        <w:tc>
          <w:tcPr>
            <w:tcW w:type="dxa" w:w="9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Uren</w:t>
            </w:r>
          </w:p>
        </w:tc>
        <w:tc>
          <w:tcPr>
            <w:tcW w:type="dxa" w:w="15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Tarief</w:t>
            </w:r>
          </w:p>
        </w:tc>
        <w:tc>
          <w:tcPr>
            <w:tcW w:type="dxa" w:w="156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Totaal</w:t>
            </w:r>
          </w:p>
        </w:tc>
      </w:tr>
      <w:tr>
        <w:tc>
          <w:tcPr>
            <w:tcW w:type="dxa" w:w="54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Ontwerp &amp; engineering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1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€ 95,00</w:t>
            </w:r>
          </w:p>
        </w:tc>
        <w:tc>
          <w:tcPr>
            <w:tcW w:type="dxa" w:w="15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€ 2.280,00</w:t>
            </w:r>
          </w:p>
        </w:tc>
      </w:tr>
      <w:tr>
        <w:tc>
          <w:tcPr>
            <w:tcW w:type="dxa" w:w="5400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Rack, bekabeling &amp; hardware-installatie</w:t>
            </w:r>
          </w:p>
        </w:tc>
        <w:tc>
          <w:tcPr>
            <w:tcW w:type="dxa" w:w="900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500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€ 95,00</w:t>
            </w:r>
          </w:p>
        </w:tc>
        <w:tc>
          <w:tcPr>
            <w:tcW w:type="dxa" w:w="1560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€ 1.900,00</w:t>
            </w:r>
          </w:p>
        </w:tc>
      </w:tr>
      <w:tr>
        <w:tc>
          <w:tcPr>
            <w:tcW w:type="dxa" w:w="54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FortiGate HA, VLAN's, policies &amp; VPN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1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€ 95,00</w:t>
            </w:r>
          </w:p>
        </w:tc>
        <w:tc>
          <w:tcPr>
            <w:tcW w:type="dxa" w:w="15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€ 2.280,00</w:t>
            </w:r>
          </w:p>
        </w:tc>
      </w:tr>
      <w:tr>
        <w:tc>
          <w:tcPr>
            <w:tcW w:type="dxa" w:w="5400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Switch-configuratie (core/access/Ceph, FortiLink)</w:t>
            </w:r>
          </w:p>
        </w:tc>
        <w:tc>
          <w:tcPr>
            <w:tcW w:type="dxa" w:w="900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1500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€ 95,00</w:t>
            </w:r>
          </w:p>
        </w:tc>
        <w:tc>
          <w:tcPr>
            <w:tcW w:type="dxa" w:w="1560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€ 1.520,00</w:t>
            </w:r>
          </w:p>
        </w:tc>
      </w:tr>
      <w:tr>
        <w:tc>
          <w:tcPr>
            <w:tcW w:type="dxa" w:w="54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Proxmox-cluster + Ceph + High Availability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1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€ 95,00</w:t>
            </w:r>
          </w:p>
        </w:tc>
        <w:tc>
          <w:tcPr>
            <w:tcW w:type="dxa" w:w="15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€ 2.280,00</w:t>
            </w:r>
          </w:p>
        </w:tc>
      </w:tr>
      <w:tr>
        <w:tc>
          <w:tcPr>
            <w:tcW w:type="dxa" w:w="5400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Proxmox Backup Server + back-up/restore inrichten</w:t>
            </w:r>
          </w:p>
        </w:tc>
        <w:tc>
          <w:tcPr>
            <w:tcW w:type="dxa" w:w="900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500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€ 95,00</w:t>
            </w:r>
          </w:p>
        </w:tc>
        <w:tc>
          <w:tcPr>
            <w:tcW w:type="dxa" w:w="1560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€ 950,00</w:t>
            </w:r>
          </w:p>
        </w:tc>
      </w:tr>
      <w:tr>
        <w:tc>
          <w:tcPr>
            <w:tcW w:type="dxa" w:w="54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Ansible-automatisering + challenge-templates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1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€ 95,00</w:t>
            </w:r>
          </w:p>
        </w:tc>
        <w:tc>
          <w:tcPr>
            <w:tcW w:type="dxa" w:w="15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€ 3.040,00</w:t>
            </w:r>
          </w:p>
        </w:tc>
      </w:tr>
      <w:tr>
        <w:tc>
          <w:tcPr>
            <w:tcW w:type="dxa" w:w="5400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BreachOut-platform uitrol &amp; integratie</w:t>
            </w:r>
          </w:p>
        </w:tc>
        <w:tc>
          <w:tcPr>
            <w:tcW w:type="dxa" w:w="900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500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€ 95,00</w:t>
            </w:r>
          </w:p>
        </w:tc>
        <w:tc>
          <w:tcPr>
            <w:tcW w:type="dxa" w:w="1560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€ 1.900,00</w:t>
            </w:r>
          </w:p>
        </w:tc>
      </w:tr>
      <w:tr>
        <w:tc>
          <w:tcPr>
            <w:tcW w:type="dxa" w:w="54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Testen (failover, acceptatie) + documentatie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€ 95,00</w:t>
            </w:r>
          </w:p>
        </w:tc>
        <w:tc>
          <w:tcPr>
            <w:tcW w:type="dxa" w:w="15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€ 1.900,00</w:t>
            </w:r>
          </w:p>
        </w:tc>
      </w:tr>
      <w:tr>
        <w:tc>
          <w:tcPr>
            <w:tcW w:type="dxa" w:w="5400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Oplevering, overdracht &amp; training</w:t>
            </w:r>
          </w:p>
        </w:tc>
        <w:tc>
          <w:tcPr>
            <w:tcW w:type="dxa" w:w="900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500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€ 95,00</w:t>
            </w:r>
          </w:p>
        </w:tc>
        <w:tc>
          <w:tcPr>
            <w:tcW w:type="dxa" w:w="1560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€ 760,00</w:t>
            </w:r>
          </w:p>
        </w:tc>
      </w:tr>
      <w:tr>
        <w:tc>
          <w:tcPr>
            <w:tcW w:type="dxa" w:w="5400"/>
            <w:shd w:fill="E8F0FE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Subtotaal diensten</w:t>
            </w:r>
          </w:p>
        </w:tc>
        <w:tc>
          <w:tcPr>
            <w:tcW w:type="dxa" w:w="900"/>
            <w:shd w:fill="E8F0FE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198</w:t>
            </w:r>
          </w:p>
        </w:tc>
        <w:tc>
          <w:tcPr>
            <w:tcW w:type="dxa" w:w="1500"/>
            <w:shd w:fill="E8F0FE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shd w:fill="E8F0FE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€ 18.810,00</w:t>
            </w:r>
          </w:p>
        </w:tc>
      </w:tr>
    </w:tbl>
    <w:p>
      <w:pPr>
        <w:spacing w:after="160"/>
      </w:pPr>
      <w:r>
        <w:rPr>
          <w:b w:val="false"/>
          <w:bCs w:val="false"/>
          <w:sz w:val="20"/>
          <w:szCs w:val="20"/>
        </w:rPr>
        <w:t xml:space="preserve"/>
      </w:r>
    </w:p>
    <w:p>
      <w:pPr>
        <w:pStyle w:val="Heading1"/>
        <w:spacing w:after="120" w:before="240"/>
      </w:pPr>
      <w:r>
        <w:t xml:space="preserve">5. Kostenoverzicht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Hardware</w:t>
            </w:r>
          </w:p>
        </w:tc>
        <w:tc>
          <w:tcPr>
            <w:tcW w:type="dxa" w:w="33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€ 97.100,00</w:t>
            </w:r>
          </w:p>
        </w:tc>
      </w:tr>
      <w:tr>
        <w:tc>
          <w:tcPr>
            <w:tcW w:type="dxa" w:w="6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Software &amp; licenties (jaar 1)</w:t>
            </w:r>
          </w:p>
        </w:tc>
        <w:tc>
          <w:tcPr>
            <w:tcW w:type="dxa" w:w="33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€ 9.790,00</w:t>
            </w:r>
          </w:p>
        </w:tc>
      </w:tr>
      <w:tr>
        <w:tc>
          <w:tcPr>
            <w:tcW w:type="dxa" w:w="6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Diensten / implementatie</w:t>
            </w:r>
          </w:p>
        </w:tc>
        <w:tc>
          <w:tcPr>
            <w:tcW w:type="dxa" w:w="33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€ 18.810,00</w:t>
            </w:r>
          </w:p>
        </w:tc>
      </w:tr>
      <w:tr>
        <w:tc>
          <w:tcPr>
            <w:tcW w:type="dxa" w:w="6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Projectmanagement &amp; onvoorzien (5%)</w:t>
            </w:r>
          </w:p>
        </w:tc>
        <w:tc>
          <w:tcPr>
            <w:tcW w:type="dxa" w:w="33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€ 6.285,00</w:t>
            </w:r>
          </w:p>
        </w:tc>
      </w:tr>
      <w:tr>
        <w:tc>
          <w:tcPr>
            <w:tcW w:type="dxa" w:w="6000"/>
            <w:shd w:fill="E8F0FE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Subtotaal excl. btw</w:t>
            </w:r>
          </w:p>
        </w:tc>
        <w:tc>
          <w:tcPr>
            <w:tcW w:type="dxa" w:w="3360"/>
            <w:shd w:fill="E8F0FE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€ 131.985,00</w:t>
            </w:r>
          </w:p>
        </w:tc>
      </w:tr>
      <w:tr>
        <w:tc>
          <w:tcPr>
            <w:tcW w:type="dxa" w:w="6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Btw 21%</w:t>
            </w:r>
          </w:p>
        </w:tc>
        <w:tc>
          <w:tcPr>
            <w:tcW w:type="dxa" w:w="33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€ 27.716,85</w:t>
            </w:r>
          </w:p>
        </w:tc>
      </w:tr>
      <w:tr>
        <w:tc>
          <w:tcPr>
            <w:tcW w:type="dxa" w:w="6000"/>
            <w:shd w:fill="D9E2F3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Totaal incl. btw</w:t>
            </w:r>
          </w:p>
        </w:tc>
        <w:tc>
          <w:tcPr>
            <w:tcW w:type="dxa" w:w="3360"/>
            <w:shd w:fill="D9E2F3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€ 159.701,85</w:t>
            </w:r>
          </w:p>
        </w:tc>
      </w:tr>
    </w:tbl>
    <w:p>
      <w:pPr>
        <w:pStyle w:val="Heading1"/>
        <w:spacing w:after="120" w:before="240"/>
      </w:pPr>
      <w:r>
        <w:t xml:space="preserve">6. Aannames &amp; voorwaarden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• De genoemde bedragen zijn indicatieve richtprijzen op basis van actuele marktprijzen (okt. 2026) en kunnen afwijken van de uiteindelijke leveranciersprijs.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• Alle prijzen zijn in EUR en exclusief btw, tenzij anders vermeld. Btw-tarief: 21%.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• Software- en support-licenties zijn jaarlijks terugkerende kosten; jaar 1 is in deze offerte opgenomen.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• Exclusief: internetabonnement/ISP-kosten, elektriciteit en koeling, en de hostinglocatie (uplink en offsite back-up via de school).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• Levertijd hardware en planning in overleg; implementatie binnen de projectperiode van 8-10 weken.</w:t>
      </w:r>
    </w:p>
    <w:p>
      <w:pPr>
        <w:spacing w:after="120"/>
      </w:pPr>
      <w:r>
        <w:rPr>
          <w:b w:val="false"/>
          <w:bCs w:val="false"/>
          <w:sz w:val="20"/>
          <w:szCs w:val="20"/>
        </w:rPr>
        <w:t xml:space="preserve">• Deze offerte is geldig gedurende 30 dagen na dagtekening.</w:t>
      </w:r>
    </w:p>
    <w:p>
      <w:pPr>
        <w:spacing w:after="120"/>
      </w:pPr>
      <w:r>
        <w:rPr>
          <w:i/>
          <w:iCs/>
          <w:color w:val="595959"/>
          <w:sz w:val="16"/>
          <w:szCs w:val="16"/>
        </w:rPr>
        <w:t xml:space="preserve">Bron Proxmox-prijzen: </w:t>
      </w:r>
      <w:r>
        <w:rPr>
          <w:i/>
          <w:iCs/>
          <w:color w:val="595959"/>
          <w:sz w:val="16"/>
          <w:szCs w:val="16"/>
        </w:rPr>
        <w:t xml:space="preserve">proxmox.com (Proxmox VE Standard € 550/socket/jaar; Proxmox Backup Server Standard € 2.240/server/jaar).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b/>
      <w:bCs/>
      <w:color w:val="1F4E79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2026-10-29T14:11:17.481Z</dcterms:created>
  <dcterms:modified xsi:type="dcterms:W3CDTF">2026-10-29T14:11:17.484Z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