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Ondřej Balvín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realizace strojů a zařízení řízených pomocí mikrokontroléru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Automatizovaná vrata na pozemek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Bc. Jakub Baránek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mechanické konstrukce automatizovaných vrat na pozemek. Tato část zahrnuje návrh a konstrukci samotných vrat, jejich upevnění a pohybového mechanismu pro otevírání a zavírání. Dále se soustředí na integraci senzorického systému, který detekuje překážky a určuje, zda mohou být vrata bezpečně uzavřena, a určení časového úseku pro zavírání.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elektronické části automatizovaných vrat na pozemek, včetně návrhu a výroby plošného spoje (DPS), který bude sdružovat všechny potřebné elektronické komponenty. Tato část zahrnuje integraci dálkového ovládání, pro ovládání vrat, a zapojení senzorů, které detekují překážky. Dále bude součástí návrh a implementace signalizačního světla, které upozorňuje na otevírání a zavírání vrat.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řídícího programu pro automatizovaná vrata na pozemek, včetně vývoje aplikace, která umožní uživateli vzdálenou správu vrat (ovládání a upozornění na nestandardní situace či poruchy). Program bude zajišťovat ovládání vrat prostřednictvím dálkového ovladače a aplikace, zpracovávat údaje ze senzorů, řídit signalizační světlo pro upozornění na zavírání a otevírání vrat, a také spravovat chybové stavy. Platforma bude uživatelsky přívětivá a umožní snadné ovládání.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