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Jakub Kohout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 a realizace tekutinového mechanismu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Automat pro tři druhy šťáv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Roman Knop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>Návrh a realizace konstrukce pro míchač vody a dávkování tří druhů šťáv vhodným materiálem s ohledem na bezpečné krytí elektronického zapojení a dávkováním do sklenice o objemu 0,3l, 0,4l a 0,5l. Místo plnění bude ošetřeno sběrem odkapávající vody či přetečení sklenice.</w:t>
      </w:r>
    </w:p>
    <w:p w14:paraId="5F7AECA2" w14:textId="77777777" w:rsidR="001F21EE" w:rsidRPr="00617116" w:rsidRDefault="001F21EE" w:rsidP="00617116">
      <w:pPr>
        <w:pStyle w:val="Seznampokynu"/>
      </w:pPr>
      <w:r>
        <w:t>Návrh a realizace elektronického zapojení míchače vody se třemi druhy šťáv, detekcí přítomnosti sklenice, sledováním stavu plnosti nádob pomocí senzoru, ovládacím rozhraním a informačním panelem. Ovládacím panelem bude možné zařízení vypnout/zapnout, zvolit druh šťávy, druh sklenice, nastavit poměr šťávy/vody, vše s potvrzením volby (start) a možností míchání zastavit (stop) START/STOP. Jednotlivé volby budou zobrazovány na displeji. Napájení bude provedeno síťovým adaptérem přes DC konektor.</w:t>
      </w:r>
    </w:p>
    <w:p w14:paraId="09D4E65C" w14:textId="77777777" w:rsidR="001F21EE" w:rsidRPr="00617116" w:rsidRDefault="001F21EE" w:rsidP="00617116">
      <w:pPr>
        <w:pStyle w:val="Seznampokynu"/>
      </w:pPr>
      <w:r>
        <w:t>Návrh a realizace řídícího programu míchače vody a tří druhů šťáv s ovládáním pomocí tlačítek a se zobrazováním aktuálních hodnot plnosti 1l nádob šťáv a 5l nádoby vody s realizace programu upozornění, kdy je nádoba na minimální hodnotě hladiny. Program bude ošetřovat chybové stavy.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