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Jakub Mrákota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CNC Frézka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Jan Machyl,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CNC frézku na desky z měkkých materiálů (dřevo, plast). Ložná plocha frézky nebude přesahovat rozměry 400x400 mm. Frézování bude plošné v osách XY. Vřeteno bude posuvně umístěno na příčníku, který bude unášen v ose X. Funkčnost zařízení prokáže kruhový řez o průměru 100 mm.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řídicí jednotku, která bude komunikovat s ostatními periferiemi. Nedílnou součástí zařízení bude funkční vlastní návrh plošného spoje. Nulový bod stroje bude vyřešen programem. Zařízení bude obsahovat stop tlačítko.</w:t>
      </w:r>
    </w:p>
    <w:p w14:paraId="09D4E65C" w14:textId="77777777" w:rsidR="001F21EE" w:rsidRPr="00617116" w:rsidRDefault="001F21EE" w:rsidP="00617116">
      <w:pPr>
        <w:pStyle w:val="Seznampokynu"/>
      </w:pPr>
      <w:r>
        <w:t>Součástí zařízení bude funkční program, který umožní komunikaci mezi řídicí jednotkou a ostatními periferiemi. Frézka bude řízena pomocí G-kodů. Kód bude generován pomocí softwaru třetí strany.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