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Tomáš Rydval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Automatizované terárium s vodním dnem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Bc. Jakub Baránek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mechanické konstrukce automatizovaného terária, včetně návrhu a výroby vodního dna s možností cirkulace a čištění vody. Tato část zahrnuje vytvoření systému pro cirkulaci vody, který zabraňuje jejímu stojatému stavu a zajišťuje správnou kvalitu vody. Mechanická konstrukce bude zahrnovat také instalaci větracího systému pro zajištění přístupu vzduchu a udržení přirozeného biorytmu uvnitř terária. Dále bude navrhnout a vyrobit prostor pro automatický dávkovač jídla a systém osvětlení simulující denní a noční cykly.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elektronické části automatizovaného terária, včetně návrhu a výroby plošného spoje (DPS) pro integraci senzorů a řízení automatizace. Elektronická část bude zahrnovat teplotní a vlhkostní senzory pro monitorování podmínek uvnitř terária, senzory kvality vody pro detekci nevyhovujících hodnot a zobrazování dat na LCD displeji. Součástí bude také osvětlení simulujícího denní a noční cykly spolu s pohonem pro dávkování jídla.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řídícího programu pro automatizované terárium, který bude využívat Arduino jako hlavní řídící jednotku. Program bude monitorovat a regulovat teplotu, vlhkost a kvalitu vody. Implementace zahrnuje algoritmy pro upozornění uživatele na potřebu výměny vody, automatické dávkování jídla v pravidelných intervalech a simulaci denních a nočních cyklů osvětlení. Program bude také zahrnovat řízení systému cirkulace a čištění vody a možnost větrání pro udržení přirozeného biorytmu. Data ze senzorů budou zobrazována na LCD displeji pro snadné sledování aktuálních podmínek.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