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Simmons, M. (2020).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How to Create a Project Proposal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ProjectManager.com. Available at: https://www.projectmanager.com/blog/how-to-create-a-project-proposal.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Gurnov, A. (2024).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What is Agile Methodology in Project Management?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[online] Wrike. Available at: https://www.wrike.com/project-management-guide/faq/what-is-agile-methodology-in-project-management/.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McKinsey (2023).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What is agile? | McKinsey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www.mckinsey.com. Available at: https://www.mckinsey.com/featured-insights/mckinsey-explainers/what-is-agile.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Vasiliauskas, V. (2022).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Agile Team Roles and Responsibilities: A Brief Guide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Teamhood. Available at: https://teamhood.com/agile-resources/agile-team-roles/.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Laoyan, S. (2025).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What is agile methodology? (A beginner’s guide)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Asana. Available at: https://asana.com/resources/agile-methodology.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Stein, J. (2025).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Using the Stages of Team Development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Massachusetts Institute of Technology. Available at: https://hr.mit.edu/learning-topics/teams/articles/stages-development.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 (Stein,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Moultrie, J. (2016).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Belbin’s Team Roles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[online] University of Cambridge. Available at: https://www.ifm.eng.cam.ac.uk/research/dmg/tools-and-techniques/belbins-team-roles/.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  <w:r w:rsidDel="00000000" w:rsidR="00000000" w:rsidRPr="00000000">
        <w:rPr>
          <w:rFonts w:ascii="Roboto" w:cs="Roboto" w:eastAsia="Roboto" w:hAnsi="Roboto"/>
          <w:color w:val="2c3e50"/>
          <w:sz w:val="23"/>
          <w:szCs w:val="23"/>
          <w:highlight w:val="white"/>
          <w:rtl w:val="0"/>
        </w:rPr>
        <w:t xml:space="preserve">(Moultrie,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