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Arial" w:hAnsi="Arial"/>
          <w:b/>
          <w:color w:val="0D9488"/>
          <w:sz w:val="22"/>
        </w:rPr>
        <w:t>ADVANCED NATURAL LANGUAGE PROCESSING &amp; CLINICAL INFORMATICS</w:t>
      </w:r>
    </w:p>
    <w:p>
      <w:pPr>
        <w:spacing w:before="0" w:after="120"/>
      </w:pPr>
      <w:r>
        <w:rPr>
          <w:rFonts w:ascii="Arial" w:hAnsi="Arial"/>
          <w:b/>
          <w:color w:val="1B365D"/>
          <w:sz w:val="48"/>
        </w:rPr>
        <w:t>PULSE: Patient Update &amp; Log Structuring Engine</w:t>
      </w:r>
    </w:p>
    <w:p>
      <w:pPr>
        <w:spacing w:before="0" w:after="320"/>
      </w:pPr>
      <w:r>
        <w:rPr>
          <w:rFonts w:ascii="Calibri" w:hAnsi="Calibri"/>
          <w:i/>
          <w:color w:val="475569"/>
          <w:sz w:val="28"/>
        </w:rPr>
        <w:t>NLP-Based Clinical Handover Information Extraction, Temporal Event Binding, and Multi-Category Structuring System</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3168"/>
            <w:shd w:fill="1B365D"/>
            <w:tcMar>
              <w:top w:w="140" w:type="dxa"/>
              <w:bottom w:w="140" w:type="dxa"/>
              <w:left w:w="120" w:type="dxa"/>
              <w:right w:w="120" w:type="dxa"/>
            </w:tcMar>
          </w:tcPr>
          <w:p>
            <w:pPr>
              <w:spacing w:before="0" w:after="0"/>
              <w:jc w:val="left"/>
            </w:pPr>
            <w:r>
              <w:rPr>
                <w:rFonts w:ascii="Arial" w:hAnsi="Arial"/>
                <w:b/>
                <w:color w:val="FFFFFF"/>
                <w:sz w:val="19"/>
              </w:rPr>
              <w:t>Project Parameter</w:t>
            </w:r>
          </w:p>
        </w:tc>
        <w:tc>
          <w:tcPr>
            <w:tcW w:type="dxa" w:w="6192"/>
            <w:shd w:fill="1B365D"/>
            <w:tcMar>
              <w:top w:w="140" w:type="dxa"/>
              <w:bottom w:w="140" w:type="dxa"/>
              <w:left w:w="120" w:type="dxa"/>
              <w:right w:w="120" w:type="dxa"/>
            </w:tcMar>
          </w:tcPr>
          <w:p>
            <w:pPr>
              <w:spacing w:before="0" w:after="0"/>
              <w:jc w:val="left"/>
            </w:pPr>
            <w:r>
              <w:rPr>
                <w:rFonts w:ascii="Arial" w:hAnsi="Arial"/>
                <w:b/>
                <w:color w:val="FFFFFF"/>
                <w:sz w:val="19"/>
              </w:rPr>
              <w:t>Specification &amp; Implementation Details</w:t>
            </w:r>
          </w:p>
        </w:tc>
      </w:tr>
      <w:tr>
        <w:tc>
          <w:tcPr>
            <w:tcW w:type="dxa" w:w="3168"/>
            <w:shd w:fill="FFFFFF"/>
            <w:tcMar>
              <w:top w:w="100" w:type="dxa"/>
              <w:bottom w:w="100" w:type="dxa"/>
              <w:left w:w="120" w:type="dxa"/>
              <w:right w:w="120" w:type="dxa"/>
            </w:tcMar>
          </w:tcPr>
          <w:p>
            <w:pPr>
              <w:spacing w:before="0" w:after="0" w:line="264" w:lineRule="auto"/>
            </w:pPr>
            <w:r>
              <w:rPr>
                <w:rFonts w:ascii="Calibri" w:hAnsi="Calibri"/>
                <w:color w:val="334155"/>
                <w:sz w:val="19"/>
              </w:rPr>
              <w:t>System Designation</w:t>
            </w:r>
          </w:p>
        </w:tc>
        <w:tc>
          <w:tcPr>
            <w:tcW w:type="dxa" w:w="6192"/>
            <w:shd w:fill="FFFFFF"/>
            <w:tcMar>
              <w:top w:w="100" w:type="dxa"/>
              <w:bottom w:w="100" w:type="dxa"/>
              <w:left w:w="120" w:type="dxa"/>
              <w:right w:w="120" w:type="dxa"/>
            </w:tcMar>
          </w:tcPr>
          <w:p>
            <w:pPr>
              <w:spacing w:before="0" w:after="0" w:line="264" w:lineRule="auto"/>
            </w:pPr>
            <w:r>
              <w:rPr>
                <w:rFonts w:ascii="Calibri" w:hAnsi="Calibri"/>
                <w:color w:val="334155"/>
                <w:sz w:val="19"/>
              </w:rPr>
              <w:t>PULSE (Patient Update &amp; Log Structuring Engine)</w:t>
            </w:r>
          </w:p>
        </w:tc>
      </w:tr>
      <w:tr>
        <w:tc>
          <w:tcPr>
            <w:tcW w:type="dxa" w:w="3168"/>
            <w:shd w:fill="F8FAFC"/>
            <w:tcMar>
              <w:top w:w="100" w:type="dxa"/>
              <w:bottom w:w="100" w:type="dxa"/>
              <w:left w:w="120" w:type="dxa"/>
              <w:right w:w="120" w:type="dxa"/>
            </w:tcMar>
          </w:tcPr>
          <w:p>
            <w:pPr>
              <w:spacing w:before="0" w:after="0" w:line="264" w:lineRule="auto"/>
            </w:pPr>
            <w:r>
              <w:rPr>
                <w:rFonts w:ascii="Calibri" w:hAnsi="Calibri"/>
                <w:color w:val="334155"/>
                <w:sz w:val="19"/>
              </w:rPr>
              <w:t>Domain &amp; Field</w:t>
            </w:r>
          </w:p>
        </w:tc>
        <w:tc>
          <w:tcPr>
            <w:tcW w:type="dxa" w:w="6192"/>
            <w:shd w:fill="F8FAFC"/>
            <w:tcMar>
              <w:top w:w="100" w:type="dxa"/>
              <w:bottom w:w="100" w:type="dxa"/>
              <w:left w:w="120" w:type="dxa"/>
              <w:right w:w="120" w:type="dxa"/>
            </w:tcMar>
          </w:tcPr>
          <w:p>
            <w:pPr>
              <w:spacing w:before="0" w:after="0" w:line="264" w:lineRule="auto"/>
            </w:pPr>
            <w:r>
              <w:rPr>
                <w:rFonts w:ascii="Calibri" w:hAnsi="Calibri"/>
                <w:color w:val="334155"/>
                <w:sz w:val="19"/>
              </w:rPr>
              <w:t>Clinical Natural Language Processing / Biomedical Informatics / Patient Safety</w:t>
            </w:r>
          </w:p>
        </w:tc>
      </w:tr>
      <w:tr>
        <w:tc>
          <w:tcPr>
            <w:tcW w:type="dxa" w:w="3168"/>
            <w:shd w:fill="FFFFFF"/>
            <w:tcMar>
              <w:top w:w="100" w:type="dxa"/>
              <w:bottom w:w="100" w:type="dxa"/>
              <w:left w:w="120" w:type="dxa"/>
              <w:right w:w="120" w:type="dxa"/>
            </w:tcMar>
          </w:tcPr>
          <w:p>
            <w:pPr>
              <w:spacing w:before="0" w:after="0" w:line="264" w:lineRule="auto"/>
            </w:pPr>
            <w:r>
              <w:rPr>
                <w:rFonts w:ascii="Calibri" w:hAnsi="Calibri"/>
                <w:color w:val="334155"/>
                <w:sz w:val="19"/>
              </w:rPr>
              <w:t>Primary Corpus</w:t>
            </w:r>
          </w:p>
        </w:tc>
        <w:tc>
          <w:tcPr>
            <w:tcW w:type="dxa" w:w="6192"/>
            <w:shd w:fill="FFFFFF"/>
            <w:tcMar>
              <w:top w:w="100" w:type="dxa"/>
              <w:bottom w:w="100" w:type="dxa"/>
              <w:left w:w="120" w:type="dxa"/>
              <w:right w:w="120" w:type="dxa"/>
            </w:tcMar>
          </w:tcPr>
          <w:p>
            <w:pPr>
              <w:spacing w:before="0" w:after="0" w:line="264" w:lineRule="auto"/>
            </w:pPr>
            <w:r>
              <w:rPr>
                <w:rFonts w:ascii="Calibri" w:hAnsi="Calibri"/>
                <w:color w:val="334155"/>
                <w:sz w:val="19"/>
              </w:rPr>
              <w:t>Synthetic Nursing Handover Training &amp; Dev Dataset (Suominen et al., NICTA / ANU)</w:t>
            </w:r>
          </w:p>
        </w:tc>
      </w:tr>
      <w:tr>
        <w:tc>
          <w:tcPr>
            <w:tcW w:type="dxa" w:w="3168"/>
            <w:shd w:fill="F8FAFC"/>
            <w:tcMar>
              <w:top w:w="100" w:type="dxa"/>
              <w:bottom w:w="100" w:type="dxa"/>
              <w:left w:w="120" w:type="dxa"/>
              <w:right w:w="120" w:type="dxa"/>
            </w:tcMar>
          </w:tcPr>
          <w:p>
            <w:pPr>
              <w:spacing w:before="0" w:after="0" w:line="264" w:lineRule="auto"/>
            </w:pPr>
            <w:r>
              <w:rPr>
                <w:rFonts w:ascii="Calibri" w:hAnsi="Calibri"/>
                <w:color w:val="334155"/>
                <w:sz w:val="19"/>
              </w:rPr>
              <w:t>Dataset Scale</w:t>
            </w:r>
          </w:p>
        </w:tc>
        <w:tc>
          <w:tcPr>
            <w:tcW w:type="dxa" w:w="6192"/>
            <w:shd w:fill="F8FAFC"/>
            <w:tcMar>
              <w:top w:w="100" w:type="dxa"/>
              <w:bottom w:w="100" w:type="dxa"/>
              <w:left w:w="120" w:type="dxa"/>
              <w:right w:w="120" w:type="dxa"/>
            </w:tcMar>
          </w:tcPr>
          <w:p>
            <w:pPr>
              <w:spacing w:before="0" w:after="0" w:line="264" w:lineRule="auto"/>
            </w:pPr>
            <w:r>
              <w:rPr>
                <w:rFonts w:ascii="Calibri" w:hAnsi="Calibri"/>
                <w:color w:val="334155"/>
                <w:sz w:val="19"/>
              </w:rPr>
              <w:t>101 Free-Text Handover Reports (7,214 Word Tokens; 1,441 Unique Vocabulary)</w:t>
            </w:r>
          </w:p>
        </w:tc>
      </w:tr>
      <w:tr>
        <w:tc>
          <w:tcPr>
            <w:tcW w:type="dxa" w:w="3168"/>
            <w:shd w:fill="FFFFFF"/>
            <w:tcMar>
              <w:top w:w="100" w:type="dxa"/>
              <w:bottom w:w="100" w:type="dxa"/>
              <w:left w:w="120" w:type="dxa"/>
              <w:right w:w="120" w:type="dxa"/>
            </w:tcMar>
          </w:tcPr>
          <w:p>
            <w:pPr>
              <w:spacing w:before="0" w:after="0" w:line="264" w:lineRule="auto"/>
            </w:pPr>
            <w:r>
              <w:rPr>
                <w:rFonts w:ascii="Calibri" w:hAnsi="Calibri"/>
                <w:color w:val="334155"/>
                <w:sz w:val="19"/>
              </w:rPr>
              <w:t>Active Model Backbone</w:t>
            </w:r>
          </w:p>
        </w:tc>
        <w:tc>
          <w:tcPr>
            <w:tcW w:type="dxa" w:w="6192"/>
            <w:shd w:fill="FFFFFF"/>
            <w:tcMar>
              <w:top w:w="100" w:type="dxa"/>
              <w:bottom w:w="100" w:type="dxa"/>
              <w:left w:w="120" w:type="dxa"/>
              <w:right w:w="120" w:type="dxa"/>
            </w:tcMar>
          </w:tcPr>
          <w:p>
            <w:pPr>
              <w:spacing w:before="0" w:after="0" w:line="264" w:lineRule="auto"/>
            </w:pPr>
            <w:r>
              <w:rPr>
                <w:rFonts w:ascii="Calibri" w:hAnsi="Calibri"/>
                <w:color w:val="334155"/>
                <w:sz w:val="19"/>
              </w:rPr>
              <w:t>Production-Grade Hybrid Rule-Lexical Clinical Information Extraction Engine</w:t>
            </w:r>
          </w:p>
        </w:tc>
      </w:tr>
      <w:tr>
        <w:tc>
          <w:tcPr>
            <w:tcW w:type="dxa" w:w="3168"/>
            <w:shd w:fill="F8FAFC"/>
            <w:tcMar>
              <w:top w:w="100" w:type="dxa"/>
              <w:bottom w:w="100" w:type="dxa"/>
              <w:left w:w="120" w:type="dxa"/>
              <w:right w:w="120" w:type="dxa"/>
            </w:tcMar>
          </w:tcPr>
          <w:p>
            <w:pPr>
              <w:spacing w:before="0" w:after="0" w:line="264" w:lineRule="auto"/>
            </w:pPr>
            <w:r>
              <w:rPr>
                <w:rFonts w:ascii="Calibri" w:hAnsi="Calibri"/>
                <w:color w:val="334155"/>
                <w:sz w:val="19"/>
              </w:rPr>
              <w:t>Candidate Deep Model</w:t>
            </w:r>
          </w:p>
        </w:tc>
        <w:tc>
          <w:tcPr>
            <w:tcW w:type="dxa" w:w="6192"/>
            <w:shd w:fill="F8FAFC"/>
            <w:tcMar>
              <w:top w:w="100" w:type="dxa"/>
              <w:bottom w:w="100" w:type="dxa"/>
              <w:left w:w="120" w:type="dxa"/>
              <w:right w:w="120" w:type="dxa"/>
            </w:tcMar>
          </w:tcPr>
          <w:p>
            <w:pPr>
              <w:spacing w:before="0" w:after="0" w:line="264" w:lineRule="auto"/>
            </w:pPr>
            <w:r>
              <w:rPr>
                <w:rFonts w:ascii="Calibri" w:hAnsi="Calibri"/>
                <w:color w:val="334155"/>
                <w:sz w:val="19"/>
              </w:rPr>
              <w:t>Bio_ClinicalBERT (Alsentzer et al., 2019) Token-Classification Sequence Head</w:t>
            </w:r>
          </w:p>
        </w:tc>
      </w:tr>
      <w:tr>
        <w:tc>
          <w:tcPr>
            <w:tcW w:type="dxa" w:w="3168"/>
            <w:shd w:fill="FFFFFF"/>
            <w:tcMar>
              <w:top w:w="100" w:type="dxa"/>
              <w:bottom w:w="100" w:type="dxa"/>
              <w:left w:w="120" w:type="dxa"/>
              <w:right w:w="120" w:type="dxa"/>
            </w:tcMar>
          </w:tcPr>
          <w:p>
            <w:pPr>
              <w:spacing w:before="0" w:after="0" w:line="264" w:lineRule="auto"/>
            </w:pPr>
            <w:r>
              <w:rPr>
                <w:rFonts w:ascii="Calibri" w:hAnsi="Calibri"/>
                <w:color w:val="334155"/>
                <w:sz w:val="19"/>
              </w:rPr>
              <w:t>Output Schemas</w:t>
            </w:r>
          </w:p>
        </w:tc>
        <w:tc>
          <w:tcPr>
            <w:tcW w:type="dxa" w:w="6192"/>
            <w:shd w:fill="FFFFFF"/>
            <w:tcMar>
              <w:top w:w="100" w:type="dxa"/>
              <w:bottom w:w="100" w:type="dxa"/>
              <w:left w:w="120" w:type="dxa"/>
              <w:right w:w="120" w:type="dxa"/>
            </w:tcMar>
          </w:tcPr>
          <w:p>
            <w:pPr>
              <w:spacing w:before="0" w:after="0" w:line="264" w:lineRule="auto"/>
            </w:pPr>
            <w:r>
              <w:rPr>
                <w:rFonts w:ascii="Calibri" w:hAnsi="Calibri"/>
                <w:color w:val="334155"/>
                <w:sz w:val="19"/>
              </w:rPr>
              <w:t>Standardized 9-Category Handover Schema, ISBAR Protocol, 4-Tier Risk Alerts</w:t>
            </w:r>
          </w:p>
        </w:tc>
      </w:tr>
      <w:tr>
        <w:tc>
          <w:tcPr>
            <w:tcW w:type="dxa" w:w="3168"/>
            <w:shd w:fill="F8FAFC"/>
            <w:tcMar>
              <w:top w:w="100" w:type="dxa"/>
              <w:bottom w:w="100" w:type="dxa"/>
              <w:left w:w="120" w:type="dxa"/>
              <w:right w:w="120" w:type="dxa"/>
            </w:tcMar>
          </w:tcPr>
          <w:p>
            <w:pPr>
              <w:spacing w:before="0" w:after="0" w:line="264" w:lineRule="auto"/>
            </w:pPr>
            <w:r>
              <w:rPr>
                <w:rFonts w:ascii="Calibri" w:hAnsi="Calibri"/>
                <w:color w:val="334155"/>
                <w:sz w:val="19"/>
              </w:rPr>
              <w:t>Full-Stack Stack</w:t>
            </w:r>
          </w:p>
        </w:tc>
        <w:tc>
          <w:tcPr>
            <w:tcW w:type="dxa" w:w="6192"/>
            <w:shd w:fill="F8FAFC"/>
            <w:tcMar>
              <w:top w:w="100" w:type="dxa"/>
              <w:bottom w:w="100" w:type="dxa"/>
              <w:left w:w="120" w:type="dxa"/>
              <w:right w:w="120" w:type="dxa"/>
            </w:tcMar>
          </w:tcPr>
          <w:p>
            <w:pPr>
              <w:spacing w:before="0" w:after="0" w:line="264" w:lineRule="auto"/>
            </w:pPr>
            <w:r>
              <w:rPr>
                <w:rFonts w:ascii="Calibri" w:hAnsi="Calibri"/>
                <w:color w:val="334155"/>
                <w:sz w:val="19"/>
              </w:rPr>
              <w:t>FastAPI (Asynchronous Python 3.13) + React 19 (Vite) + SQLite Local Cache</w:t>
            </w:r>
          </w:p>
        </w:tc>
      </w:tr>
      <w:tr>
        <w:tc>
          <w:tcPr>
            <w:tcW w:type="dxa" w:w="3168"/>
            <w:shd w:fill="FFFFFF"/>
            <w:tcMar>
              <w:top w:w="100" w:type="dxa"/>
              <w:bottom w:w="100" w:type="dxa"/>
              <w:left w:w="120" w:type="dxa"/>
              <w:right w:w="120" w:type="dxa"/>
            </w:tcMar>
          </w:tcPr>
          <w:p>
            <w:pPr>
              <w:spacing w:before="0" w:after="0" w:line="264" w:lineRule="auto"/>
            </w:pPr>
            <w:r>
              <w:rPr>
                <w:rFonts w:ascii="Calibri" w:hAnsi="Calibri"/>
                <w:color w:val="334155"/>
                <w:sz w:val="19"/>
              </w:rPr>
              <w:t>Document Purpose</w:t>
            </w:r>
          </w:p>
        </w:tc>
        <w:tc>
          <w:tcPr>
            <w:tcW w:type="dxa" w:w="6192"/>
            <w:shd w:fill="FFFFFF"/>
            <w:tcMar>
              <w:top w:w="100" w:type="dxa"/>
              <w:bottom w:w="100" w:type="dxa"/>
              <w:left w:w="120" w:type="dxa"/>
              <w:right w:w="120" w:type="dxa"/>
            </w:tcMar>
          </w:tcPr>
          <w:p>
            <w:pPr>
              <w:spacing w:before="0" w:after="0" w:line="264" w:lineRule="auto"/>
            </w:pPr>
            <w:r>
              <w:rPr>
                <w:rFonts w:ascii="Calibri" w:hAnsi="Calibri"/>
                <w:color w:val="334155"/>
                <w:sz w:val="19"/>
              </w:rPr>
              <w:t>In-Depth Academic Project Report, Architectural Specification &amp; Model Evaluation</w:t>
            </w:r>
          </w:p>
        </w:tc>
      </w:tr>
    </w:tbl>
    <w:p>
      <w:pPr>
        <w:spacing w:before="80" w:after="80"/>
      </w:pP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180" w:type="dxa"/>
              <w:right w:w="180" w:type="dxa"/>
            </w:tcMar>
            <w:tcBorders>
              <w:left w:val="single" w:sz="24" w:space="0" w:color="B91C1C"/>
              <w:top w:val="none"/>
              <w:right w:val="none"/>
              <w:bottom w:val="none"/>
            </w:tcBorders>
          </w:tcPr>
          <w:p>
            <w:pPr>
              <w:spacing w:before="40" w:after="80"/>
            </w:pPr>
            <w:r>
              <w:rPr>
                <w:rFonts w:ascii="Arial" w:hAnsi="Arial"/>
                <w:b/>
                <w:color w:val="B91C1C"/>
                <w:sz w:val="22"/>
              </w:rPr>
              <w:t>⚠️ MANDATORY CLINICAL SCOPE &amp; RESEARCH SAFETY DISCLAIMER</w:t>
              <w:br/>
            </w:r>
          </w:p>
          <w:p>
            <w:pPr>
              <w:spacing w:before="0" w:after="40" w:line="276" w:lineRule="auto"/>
            </w:pPr>
            <w:r>
              <w:rPr>
                <w:rFonts w:ascii="Arial" w:hAnsi="Arial"/>
                <w:color w:val="2D3748"/>
                <w:sz w:val="20"/>
              </w:rPr>
              <w:t>PULSE is an AI-assisted clinical information-organization prototype. It does NOT diagnose medical conditions, prescribe therapeutic regimens, or replace professional clinical judgment.</w:t>
            </w:r>
          </w:p>
          <w:p>
            <w:pPr>
              <w:spacing w:before="0" w:after="40" w:line="276" w:lineRule="auto"/>
            </w:pPr>
            <w:r>
              <w:rPr>
                <w:rFonts w:ascii="Arial" w:hAnsi="Arial"/>
                <w:color w:val="2D3748"/>
                <w:sz w:val="20"/>
              </w:rPr>
              <w:t>This software is engineered strictly for clinical information extraction, temporal anchoring, and structured handover synthesis. In production clinical environments, all outputs must undergo verification by licensed registered nurses and attending medical officers.</w:t>
            </w:r>
          </w:p>
          <w:p>
            <w:pPr>
              <w:spacing w:before="0" w:after="40" w:line="276" w:lineRule="auto"/>
            </w:pPr>
            <w:r>
              <w:rPr>
                <w:rFonts w:ascii="Arial" w:hAnsi="Arial"/>
                <w:color w:val="2D3748"/>
                <w:sz w:val="20"/>
              </w:rPr>
              <w:t>In full adherence to academic and research integrity, every extracted clinical entity, event, and temporal marker retains exact character spans and sentence citations directly linking back to source notes without unverified fabrication.</w:t>
            </w:r>
          </w:p>
        </w:tc>
      </w:tr>
    </w:tbl>
    <w:p>
      <w:pPr>
        <w:spacing w:before="80" w:after="80"/>
      </w:pPr>
    </w:p>
    <w:p>
      <w:r>
        <w:br w:type="page"/>
      </w:r>
    </w:p>
    <w:p>
      <w:pPr>
        <w:pStyle w:val="Heading1"/>
        <w:keepNext/>
        <w:spacing w:before="360" w:after="120"/>
      </w:pPr>
      <w:r>
        <w:rPr>
          <w:rFonts w:ascii="Arial" w:hAnsi="Arial"/>
          <w:b/>
          <w:color w:val="1B365D"/>
          <w:sz w:val="32"/>
        </w:rPr>
        <w:t>1. Executive Summary &amp; Abstract</w:t>
      </w:r>
    </w:p>
    <w:p>
      <w:pPr>
        <w:spacing w:before="0" w:after="100" w:line="276" w:lineRule="auto"/>
      </w:pPr>
      <w:r>
        <w:rPr>
          <w:rFonts w:ascii="Calibri" w:hAnsi="Calibri"/>
          <w:i w:val="0"/>
          <w:color w:val="374151"/>
          <w:sz w:val="22"/>
        </w:rPr>
        <w:t>Clinical nursing shift handover is one of the most critical communication junctures in hospital operations. During this periodic transition, outgoing nurses communicate acute patient trajectories, complex medication regimens, vital sign fluctuations, diagnostic procedural outcomes, and outstanding care duties to incoming nursing teams. Despite decades of digital health records expansion, nursing handovers remain predominantly communicated via free-text, fragmented shorthand notes or conversational verbal summaries. This unstructured documentation exhibits high information entropy, dense ward-specific abbreviations, missing temporal anchors, and uncoordinated task prioritization—contributing substantially to preventable medical errors, missed clinical reviews, and clinical handover communication breakdowns.</w:t>
      </w:r>
    </w:p>
    <w:p>
      <w:pPr>
        <w:spacing w:before="0" w:after="100" w:line="276" w:lineRule="auto"/>
      </w:pPr>
      <w:r>
        <w:rPr>
          <w:rFonts w:ascii="Calibri" w:hAnsi="Calibri"/>
          <w:i w:val="0"/>
          <w:color w:val="374151"/>
          <w:sz w:val="22"/>
        </w:rPr>
        <w:t>This project presents PULSE (Patient Update &amp; Log Structuring Engine), a robust, full-stack, research-oriented natural language processing system designed to ingest raw, unformatted nursing handover narratives and synthesize them into a verifiable, standardized 9-category structured clinical handover and gold-standard ISBAR (Identify, Situation, Background, Assessment, Recommendation) communication protocol. PULSE is built on a modular 8-stage NLP pipeline comprising non-destructive clinical formatting, lexical disambiguation, rule-based clinical event extraction, temporal expression binding, and automated clinical risk alerting (Fall Risk, Glycemic Alert, Cardiovascular Alert, and Neurological Alert).</w:t>
      </w:r>
    </w:p>
    <w:p>
      <w:pPr>
        <w:spacing w:before="0" w:after="100" w:line="276" w:lineRule="auto"/>
      </w:pPr>
      <w:r>
        <w:rPr>
          <w:rFonts w:ascii="Calibri" w:hAnsi="Calibri"/>
          <w:i w:val="0"/>
          <w:color w:val="374151"/>
          <w:sz w:val="22"/>
        </w:rPr>
        <w:t>Crucially, this report addresses the foundational modeling dilemma in healthcare AI: balancing extraction precision, computational efficiency, patient privacy, and absolute zero-hallucination guarantees. While modern generative Large Language Models (LLMs) demonstrate high fluency, their propensity for probabilistic hallucination, massive computational overhead, latency, and cloud privacy vulnerabilities render them dangerous for autonomous clinical handover structuring. PULSE implements a deterministic, hybrid clinical entity and event extraction engine grounded in medical gazetteers (UMLS/SNOMED CT principles), regex grammars, and sentence span tracing. This approach yields sub-15ms CPU inference, absolute factual grounding, and total local data privacy, while providing an extensible architectural interface for future fine-tuned clinical transformer models such as Bio_ClinicalBERT.</w:t>
      </w:r>
    </w:p>
    <w:p>
      <w:pPr>
        <w:pStyle w:val="Heading1"/>
        <w:keepNext/>
        <w:spacing w:before="360" w:after="120"/>
      </w:pPr>
      <w:r>
        <w:rPr>
          <w:rFonts w:ascii="Arial" w:hAnsi="Arial"/>
          <w:b/>
          <w:color w:val="1B365D"/>
          <w:sz w:val="32"/>
        </w:rPr>
        <w:t>2. Clinical Background &amp; Research Problem</w:t>
      </w:r>
    </w:p>
    <w:p>
      <w:pPr>
        <w:pStyle w:val="Heading2"/>
        <w:keepNext/>
        <w:spacing w:before="280" w:after="80"/>
      </w:pPr>
      <w:r>
        <w:rPr>
          <w:rFonts w:ascii="Arial" w:hAnsi="Arial"/>
          <w:b/>
          <w:color w:val="0D9488"/>
          <w:sz w:val="26"/>
        </w:rPr>
        <w:t>2.1 The Clinical Handover Vulnerability in Modern Hospitals</w:t>
      </w:r>
    </w:p>
    <w:p>
      <w:pPr>
        <w:spacing w:before="0" w:after="100" w:line="276" w:lineRule="auto"/>
      </w:pPr>
      <w:r>
        <w:rPr>
          <w:rFonts w:ascii="Calibri" w:hAnsi="Calibri"/>
          <w:i w:val="0"/>
          <w:color w:val="374151"/>
          <w:sz w:val="22"/>
        </w:rPr>
        <w:t>In inpatient hospital environments, patient care is continuous, requiring round-the-clock shift handovers across morning, afternoon, and night shifts. Shift handover serves as the primary mechanism for maintaining clinical situational awareness. According to research by the Joint Commission on Accreditation of Healthcare Organizations (JCAHO), communication failures are the leading root cause in over 70% of sentinel hospital events—resulting in preventable patient morbidity, delayed treatments, medication dosing errors, and extended hospital lengths of stay.</w:t>
      </w:r>
    </w:p>
    <w:p>
      <w:pPr>
        <w:spacing w:before="0" w:after="100" w:line="276" w:lineRule="auto"/>
      </w:pPr>
      <w:r>
        <w:rPr>
          <w:rFonts w:ascii="Calibri" w:hAnsi="Calibri"/>
          <w:i w:val="0"/>
          <w:color w:val="374151"/>
          <w:sz w:val="22"/>
        </w:rPr>
        <w:t>Nursing handovers are uniquely vulnerable to communication degradation because nurses frequently document under high workload stress, managing multiple deteriorating patients simultaneously. Handovers written under these conditions frequently omit context, compress syntax, and utilize rapid shorthand.</w:t>
      </w:r>
    </w:p>
    <w:p>
      <w:pPr>
        <w:pStyle w:val="Heading2"/>
        <w:keepNext/>
        <w:spacing w:before="280" w:after="80"/>
      </w:pPr>
      <w:r>
        <w:rPr>
          <w:rFonts w:ascii="Arial" w:hAnsi="Arial"/>
          <w:b/>
          <w:color w:val="0D9488"/>
          <w:sz w:val="26"/>
        </w:rPr>
        <w:t>2.2 The Unique Linguistic Challenges of Nursing Narratives</w:t>
      </w:r>
    </w:p>
    <w:p>
      <w:pPr>
        <w:pStyle w:val="ListBullet"/>
        <w:spacing w:before="20" w:after="40" w:line="276" w:lineRule="auto"/>
      </w:pPr>
      <w:r>
        <w:rPr>
          <w:rFonts w:ascii="Calibri" w:hAnsi="Calibri"/>
          <w:b/>
          <w:color w:val="1F2937"/>
          <w:sz w:val="21"/>
        </w:rPr>
        <w:t xml:space="preserve">Fragmented &amp; Telegraphic Syntax: </w:t>
      </w:r>
      <w:r>
        <w:rPr>
          <w:rFonts w:ascii="Calibri" w:hAnsi="Calibri"/>
          <w:color w:val="374151"/>
          <w:sz w:val="21"/>
        </w:rPr>
        <w:t>Clinical prose in nursing handovers does not conform to standardized grammatical English. Sentences are telegraphic, omitting subjects, auxiliary verbs, and pronouns (e.g., 'Slid out of bed at 0400, denies pain, GCS 15').</w:t>
      </w:r>
    </w:p>
    <w:p>
      <w:pPr>
        <w:pStyle w:val="ListBullet"/>
        <w:spacing w:before="20" w:after="40" w:line="276" w:lineRule="auto"/>
      </w:pPr>
      <w:r>
        <w:rPr>
          <w:rFonts w:ascii="Calibri" w:hAnsi="Calibri"/>
          <w:b/>
          <w:color w:val="1F2937"/>
          <w:sz w:val="21"/>
        </w:rPr>
        <w:t xml:space="preserve">Heavy Clinical Abbreviation Density: </w:t>
      </w:r>
      <w:r>
        <w:rPr>
          <w:rFonts w:ascii="Calibri" w:hAnsi="Calibri"/>
          <w:color w:val="374151"/>
          <w:sz w:val="21"/>
        </w:rPr>
        <w:t>Hospitals utilize hundreds of non-standard acronyms that vary across wards. For instance, 'BGL' (Blood Glucose Level), 'IDC' (Indwelling Catheter), 'NOF' (Neck of Femur), and 'PRN' (Pro Re Nata / As Needed) must be accurately resolved without confusion.</w:t>
      </w:r>
    </w:p>
    <w:p>
      <w:pPr>
        <w:pStyle w:val="ListBullet"/>
        <w:spacing w:before="20" w:after="40" w:line="276" w:lineRule="auto"/>
      </w:pPr>
      <w:r>
        <w:rPr>
          <w:rFonts w:ascii="Calibri" w:hAnsi="Calibri"/>
          <w:b/>
          <w:color w:val="1F2937"/>
          <w:sz w:val="21"/>
        </w:rPr>
        <w:t xml:space="preserve">Temporal Disconnection &amp; Out-of-Order Reporting: </w:t>
      </w:r>
      <w:r>
        <w:rPr>
          <w:rFonts w:ascii="Calibri" w:hAnsi="Calibri"/>
          <w:color w:val="374151"/>
          <w:sz w:val="21"/>
        </w:rPr>
        <w:t>Events are frequently documented out of chronological order. A report might mention an investigation rescheduled for the morning, followed by a past event from three days prior, followed by an immediate vital sign reading.</w:t>
      </w:r>
    </w:p>
    <w:p>
      <w:pPr>
        <w:pStyle w:val="ListBullet"/>
        <w:spacing w:before="20" w:after="40" w:line="276" w:lineRule="auto"/>
      </w:pPr>
      <w:r>
        <w:rPr>
          <w:rFonts w:ascii="Calibri" w:hAnsi="Calibri"/>
          <w:b/>
          <w:color w:val="1F2937"/>
          <w:sz w:val="21"/>
        </w:rPr>
        <w:t xml:space="preserve">Clinically Vital Symbolic Tokens: </w:t>
      </w:r>
      <w:r>
        <w:rPr>
          <w:rFonts w:ascii="Calibri" w:hAnsi="Calibri"/>
          <w:color w:val="374151"/>
          <w:sz w:val="21"/>
        </w:rPr>
        <w:t>Critical clinical symbols carry immense semantic weight. Symbols like '@' (e.g., 'O2 @ 2L/min'), '/' (e.g., 'BP 130/80'), and '+' (e.g., 'GCS 15+Reactive pupils') cannot be stripped without catastrophic data corruption.</w:t>
      </w:r>
    </w:p>
    <w:p>
      <w:pPr>
        <w:pStyle w:val="ListBullet"/>
        <w:spacing w:before="20" w:after="40" w:line="276" w:lineRule="auto"/>
      </w:pPr>
      <w:r>
        <w:rPr>
          <w:rFonts w:ascii="Calibri" w:hAnsi="Calibri"/>
          <w:b/>
          <w:color w:val="1F2937"/>
          <w:sz w:val="21"/>
        </w:rPr>
        <w:t xml:space="preserve">Loss of Duty Continuity: </w:t>
      </w:r>
      <w:r>
        <w:rPr>
          <w:rFonts w:ascii="Calibri" w:hAnsi="Calibri"/>
          <w:color w:val="374151"/>
          <w:sz w:val="21"/>
        </w:rPr>
        <w:t>Incoming nurses frequently miss tasks buried in dense paragraphs, such as an upcoming carotid doppler ultrasound or an unreviewed blood glucose reading.</w:t>
      </w:r>
    </w:p>
    <w:p>
      <w:pPr>
        <w:pStyle w:val="Heading2"/>
        <w:keepNext/>
        <w:spacing w:before="280" w:after="80"/>
      </w:pPr>
      <w:r>
        <w:rPr>
          <w:rFonts w:ascii="Arial" w:hAnsi="Arial"/>
          <w:b/>
          <w:color w:val="0D9488"/>
          <w:sz w:val="26"/>
        </w:rPr>
        <w:t>2.3 Research Objectives of PULSE</w:t>
      </w:r>
    </w:p>
    <w:p>
      <w:pPr>
        <w:pStyle w:val="ListBullet"/>
        <w:spacing w:before="20" w:after="40" w:line="276" w:lineRule="auto"/>
      </w:pPr>
      <w:r>
        <w:rPr>
          <w:rFonts w:ascii="Calibri" w:hAnsi="Calibri"/>
          <w:b/>
          <w:color w:val="1F2937"/>
          <w:sz w:val="21"/>
        </w:rPr>
        <w:t xml:space="preserve">1. Verbatim Raw Ingestion: </w:t>
      </w:r>
      <w:r>
        <w:rPr>
          <w:rFonts w:ascii="Calibri" w:hAnsi="Calibri"/>
          <w:color w:val="374151"/>
          <w:sz w:val="21"/>
        </w:rPr>
        <w:t>Develop an automated NLP pipeline capable of ingesting raw, unedited nursing handover notes without manual pre-cleaning.</w:t>
      </w:r>
    </w:p>
    <w:p>
      <w:pPr>
        <w:pStyle w:val="ListBullet"/>
        <w:spacing w:before="20" w:after="40" w:line="276" w:lineRule="auto"/>
      </w:pPr>
      <w:r>
        <w:rPr>
          <w:rFonts w:ascii="Calibri" w:hAnsi="Calibri"/>
          <w:b/>
          <w:color w:val="1F2937"/>
          <w:sz w:val="21"/>
        </w:rPr>
        <w:t xml:space="preserve">2. Non-Destructive Preprocessing: </w:t>
      </w:r>
      <w:r>
        <w:rPr>
          <w:rFonts w:ascii="Calibri" w:hAnsi="Calibri"/>
          <w:color w:val="374151"/>
          <w:sz w:val="21"/>
        </w:rPr>
        <w:t>Implement a specialized clinical preprocessor that cleans typography and whitespace while strictly preserving clinical symbols, dosages, and negations.</w:t>
      </w:r>
    </w:p>
    <w:p>
      <w:pPr>
        <w:pStyle w:val="ListBullet"/>
        <w:spacing w:before="20" w:after="40" w:line="276" w:lineRule="auto"/>
      </w:pPr>
      <w:r>
        <w:rPr>
          <w:rFonts w:ascii="Calibri" w:hAnsi="Calibri"/>
          <w:b/>
          <w:color w:val="1F2937"/>
          <w:sz w:val="21"/>
        </w:rPr>
        <w:t xml:space="preserve">3. Comprehensive Entity Extraction: </w:t>
      </w:r>
      <w:r>
        <w:rPr>
          <w:rFonts w:ascii="Calibri" w:hAnsi="Calibri"/>
          <w:color w:val="374151"/>
          <w:sz w:val="21"/>
        </w:rPr>
        <w:t>Extract patient demographics, active conditions, symptoms, medications with dosing/routes, investigations, vital signs, and abbreviations.</w:t>
      </w:r>
    </w:p>
    <w:p>
      <w:pPr>
        <w:pStyle w:val="ListBullet"/>
        <w:spacing w:before="20" w:after="40" w:line="276" w:lineRule="auto"/>
      </w:pPr>
      <w:r>
        <w:rPr>
          <w:rFonts w:ascii="Calibri" w:hAnsi="Calibri"/>
          <w:b/>
          <w:color w:val="1F2937"/>
          <w:sz w:val="21"/>
        </w:rPr>
        <w:t xml:space="preserve">4. Clinical Event &amp; Temporal Binding: </w:t>
      </w:r>
      <w:r>
        <w:rPr>
          <w:rFonts w:ascii="Calibri" w:hAnsi="Calibri"/>
          <w:color w:val="374151"/>
          <w:sz w:val="21"/>
        </w:rPr>
        <w:t>Identify discrete clinical actions (admissions, completed scans, delayed tests, allied health referrals) and bind them to explicit temporal anchors.</w:t>
      </w:r>
    </w:p>
    <w:p>
      <w:pPr>
        <w:pStyle w:val="ListBullet"/>
        <w:spacing w:before="20" w:after="40" w:line="276" w:lineRule="auto"/>
      </w:pPr>
      <w:r>
        <w:rPr>
          <w:rFonts w:ascii="Calibri" w:hAnsi="Calibri"/>
          <w:b/>
          <w:color w:val="1F2937"/>
          <w:sz w:val="21"/>
        </w:rPr>
        <w:t xml:space="preserve">5. Standardized Handover Generation: </w:t>
      </w:r>
      <w:r>
        <w:rPr>
          <w:rFonts w:ascii="Calibri" w:hAnsi="Calibri"/>
          <w:color w:val="374151"/>
          <w:sz w:val="21"/>
        </w:rPr>
        <w:t>Synthesize extracted information into a standardized 9-category schema, an executive shift brief, and the internationally recognized ISBAR protocol.</w:t>
      </w:r>
    </w:p>
    <w:p>
      <w:pPr>
        <w:pStyle w:val="ListBullet"/>
        <w:spacing w:before="20" w:after="40" w:line="276" w:lineRule="auto"/>
      </w:pPr>
      <w:r>
        <w:rPr>
          <w:rFonts w:ascii="Calibri" w:hAnsi="Calibri"/>
          <w:b/>
          <w:color w:val="1F2937"/>
          <w:sz w:val="21"/>
        </w:rPr>
        <w:t xml:space="preserve">6. Transparent Human-in-the-Loop Visualizer: </w:t>
      </w:r>
      <w:r>
        <w:rPr>
          <w:rFonts w:ascii="Calibri" w:hAnsi="Calibri"/>
          <w:color w:val="374151"/>
          <w:sz w:val="21"/>
        </w:rPr>
        <w:t>Provide a full-stack, responsive web application allowing clinicians and researchers to inspect extraction coordinates, audit logs, and dynamic corpus metrics.</w:t>
      </w:r>
    </w:p>
    <w:p>
      <w:pPr>
        <w:pStyle w:val="Heading1"/>
        <w:keepNext/>
        <w:spacing w:before="360" w:after="120"/>
      </w:pPr>
      <w:r>
        <w:rPr>
          <w:rFonts w:ascii="Arial" w:hAnsi="Arial"/>
          <w:b/>
          <w:color w:val="1B365D"/>
          <w:sz w:val="32"/>
        </w:rPr>
        <w:t>3. Dataset Specifications &amp; Dynamic Exploratory Data Analysis (EDA)</w:t>
      </w:r>
    </w:p>
    <w:p>
      <w:pPr>
        <w:pStyle w:val="Heading2"/>
        <w:keepNext/>
        <w:spacing w:before="280" w:after="80"/>
      </w:pPr>
      <w:r>
        <w:rPr>
          <w:rFonts w:ascii="Arial" w:hAnsi="Arial"/>
          <w:b/>
          <w:color w:val="0D9488"/>
          <w:sz w:val="26"/>
        </w:rPr>
        <w:t>3.1 Corpus Origin &amp; Provenance</w:t>
      </w:r>
    </w:p>
    <w:p>
      <w:pPr>
        <w:spacing w:before="0" w:after="100" w:line="276" w:lineRule="auto"/>
      </w:pPr>
      <w:r>
        <w:rPr>
          <w:rFonts w:ascii="Calibri" w:hAnsi="Calibri"/>
          <w:i w:val="0"/>
          <w:color w:val="374151"/>
          <w:sz w:val="22"/>
        </w:rPr>
        <w:t>The primary corpus utilized in the development and evaluation of PULSE is the Synthetic Nursing Handover Training and Development Data Set, developed by Dr. Hanna Suominen and colleagues through NICTA (National ICT Australia) and the Australian National University (ANU), in collaboration with the University of Sydney. This benchmark dataset was explicitly constructed to simulate authentic, real-world nursing shift handover communications across diverse Australian hospital wards.</w:t>
      </w:r>
    </w:p>
    <w:p>
      <w:pPr>
        <w:spacing w:before="0" w:after="100" w:line="276" w:lineRule="auto"/>
      </w:pPr>
      <w:r>
        <w:rPr>
          <w:rFonts w:ascii="Calibri" w:hAnsi="Calibri"/>
          <w:i w:val="0"/>
          <w:color w:val="374151"/>
          <w:sz w:val="22"/>
        </w:rPr>
        <w:t>The dataset is divided into two corresponding physical directories within the PULSE repository:</w:t>
      </w:r>
    </w:p>
    <w:p>
      <w:pPr>
        <w:pStyle w:val="ListBullet"/>
        <w:spacing w:before="20" w:after="40" w:line="276" w:lineRule="auto"/>
      </w:pPr>
      <w:r>
        <w:rPr>
          <w:rFonts w:ascii="Calibri" w:hAnsi="Calibri"/>
          <w:b/>
          <w:color w:val="1F2937"/>
          <w:sz w:val="21"/>
        </w:rPr>
        <w:t xml:space="preserve">data/101writtenfreetextreports/: </w:t>
      </w:r>
      <w:r>
        <w:rPr>
          <w:rFonts w:ascii="Calibri" w:hAnsi="Calibri"/>
          <w:color w:val="374151"/>
          <w:sz w:val="21"/>
        </w:rPr>
        <w:t>Contains 101 raw free-text clinical handover files (named 0.txt through 100.txt). These files represent verbatim nursing notes reflecting authentic acute and subacute inpatient handover narratives.</w:t>
      </w:r>
    </w:p>
    <w:p>
      <w:pPr>
        <w:pStyle w:val="ListBullet"/>
        <w:spacing w:before="20" w:after="40" w:line="276" w:lineRule="auto"/>
      </w:pPr>
      <w:r>
        <w:rPr>
          <w:rFonts w:ascii="Calibri" w:hAnsi="Calibri"/>
          <w:b/>
          <w:color w:val="1F2937"/>
          <w:sz w:val="21"/>
        </w:rPr>
        <w:t xml:space="preserve">data/101informationextraction/documents/: </w:t>
      </w:r>
      <w:r>
        <w:rPr>
          <w:rFonts w:ascii="Calibri" w:hAnsi="Calibri"/>
          <w:color w:val="374151"/>
          <w:sz w:val="21"/>
        </w:rPr>
        <w:t>Contains 101 reference annotation files (output0.txt through output100.txt) formatted for Conditional Random Field (CRF) token-level sequence classification. Each file contains multi-column linguistic features including POS tags, dependency parses, UMLS/SNOMED entity concept IDs, and clinical handover category tags.</w:t>
      </w:r>
    </w:p>
    <w:p>
      <w:pPr>
        <w:pStyle w:val="ListBullet"/>
        <w:spacing w:before="20" w:after="40" w:line="276" w:lineRule="auto"/>
      </w:pPr>
      <w:r>
        <w:rPr>
          <w:rFonts w:ascii="Calibri" w:hAnsi="Calibri"/>
          <w:b/>
          <w:color w:val="1F2937"/>
          <w:sz w:val="21"/>
        </w:rPr>
        <w:t xml:space="preserve">data/101informationextraction/template: </w:t>
      </w:r>
      <w:r>
        <w:rPr>
          <w:rFonts w:ascii="Calibri" w:hAnsi="Calibri"/>
          <w:color w:val="374151"/>
          <w:sz w:val="21"/>
        </w:rPr>
        <w:t>Specifies the CRF++ unigram and bigram feature extraction template utilized in sequence modeling benchmarks.</w:t>
      </w:r>
    </w:p>
    <w:p>
      <w:pPr>
        <w:pStyle w:val="Heading2"/>
        <w:keepNext/>
        <w:spacing w:before="280" w:after="80"/>
      </w:pPr>
      <w:r>
        <w:rPr>
          <w:rFonts w:ascii="Arial" w:hAnsi="Arial"/>
          <w:b/>
          <w:color w:val="0D9488"/>
          <w:sz w:val="26"/>
        </w:rPr>
        <w:t>3.2 Dynamic Corpus Exploratory Data Analysis (EDA)</w:t>
      </w:r>
    </w:p>
    <w:p>
      <w:pPr>
        <w:spacing w:before="0" w:after="100" w:line="276" w:lineRule="auto"/>
      </w:pPr>
      <w:r>
        <w:rPr>
          <w:rFonts w:ascii="Calibri" w:hAnsi="Calibri"/>
          <w:i w:val="0"/>
          <w:color w:val="374151"/>
          <w:sz w:val="22"/>
        </w:rPr>
        <w:t>Unlike systems that report hardcoded or static dataset assumptions, PULSE features an automated dataset loader (backend/dataset/loader.py) that dynamically scans the filesystem, parses every text document, and computes real-time corpus statistics upon initialization. The empirical EDA characteristics of the 101-document handover corpus are detailed below:</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120"/>
        <w:gridCol w:w="3120"/>
        <w:gridCol w:w="3120"/>
      </w:tblGrid>
      <w:tr>
        <w:tc>
          <w:tcPr>
            <w:tcW w:type="dxa" w:w="3024"/>
            <w:shd w:fill="1B365D"/>
            <w:tcMar>
              <w:top w:w="140" w:type="dxa"/>
              <w:bottom w:w="140" w:type="dxa"/>
              <w:left w:w="120" w:type="dxa"/>
              <w:right w:w="120" w:type="dxa"/>
            </w:tcMar>
          </w:tcPr>
          <w:p>
            <w:pPr>
              <w:spacing w:before="0" w:after="0"/>
              <w:jc w:val="left"/>
            </w:pPr>
            <w:r>
              <w:rPr>
                <w:rFonts w:ascii="Arial" w:hAnsi="Arial"/>
                <w:b/>
                <w:color w:val="FFFFFF"/>
                <w:sz w:val="19"/>
              </w:rPr>
              <w:t>Corpus Metric</w:t>
            </w:r>
          </w:p>
        </w:tc>
        <w:tc>
          <w:tcPr>
            <w:tcW w:type="dxa" w:w="2592"/>
            <w:shd w:fill="1B365D"/>
            <w:tcMar>
              <w:top w:w="140" w:type="dxa"/>
              <w:bottom w:w="140" w:type="dxa"/>
              <w:left w:w="120" w:type="dxa"/>
              <w:right w:w="120" w:type="dxa"/>
            </w:tcMar>
          </w:tcPr>
          <w:p>
            <w:pPr>
              <w:spacing w:before="0" w:after="0"/>
              <w:jc w:val="left"/>
            </w:pPr>
            <w:r>
              <w:rPr>
                <w:rFonts w:ascii="Arial" w:hAnsi="Arial"/>
                <w:b/>
                <w:color w:val="FFFFFF"/>
                <w:sz w:val="19"/>
              </w:rPr>
              <w:t>Computed Value</w:t>
            </w:r>
          </w:p>
        </w:tc>
        <w:tc>
          <w:tcPr>
            <w:tcW w:type="dxa" w:w="3744"/>
            <w:shd w:fill="1B365D"/>
            <w:tcMar>
              <w:top w:w="140" w:type="dxa"/>
              <w:bottom w:w="140" w:type="dxa"/>
              <w:left w:w="120" w:type="dxa"/>
              <w:right w:w="120" w:type="dxa"/>
            </w:tcMar>
          </w:tcPr>
          <w:p>
            <w:pPr>
              <w:spacing w:before="0" w:after="0"/>
              <w:jc w:val="left"/>
            </w:pPr>
            <w:r>
              <w:rPr>
                <w:rFonts w:ascii="Arial" w:hAnsi="Arial"/>
                <w:b/>
                <w:color w:val="FFFFFF"/>
                <w:sz w:val="19"/>
              </w:rPr>
              <w:t>Clinical &amp; Analytical Interpretation</w:t>
            </w:r>
          </w:p>
        </w:tc>
      </w:tr>
      <w:tr>
        <w:tc>
          <w:tcPr>
            <w:tcW w:type="dxa" w:w="3024"/>
            <w:shd w:fill="FFFFFF"/>
            <w:tcMar>
              <w:top w:w="100" w:type="dxa"/>
              <w:bottom w:w="100" w:type="dxa"/>
              <w:left w:w="120" w:type="dxa"/>
              <w:right w:w="120" w:type="dxa"/>
            </w:tcMar>
          </w:tcPr>
          <w:p>
            <w:pPr>
              <w:spacing w:before="0" w:after="0" w:line="264" w:lineRule="auto"/>
            </w:pPr>
            <w:r>
              <w:rPr>
                <w:rFonts w:ascii="Calibri" w:hAnsi="Calibri"/>
                <w:color w:val="334155"/>
                <w:sz w:val="19"/>
              </w:rPr>
              <w:t>Total Handover Documents</w:t>
            </w:r>
          </w:p>
        </w:tc>
        <w:tc>
          <w:tcPr>
            <w:tcW w:type="dxa" w:w="2592"/>
            <w:shd w:fill="FFFFFF"/>
            <w:tcMar>
              <w:top w:w="100" w:type="dxa"/>
              <w:bottom w:w="100" w:type="dxa"/>
              <w:left w:w="120" w:type="dxa"/>
              <w:right w:w="120" w:type="dxa"/>
            </w:tcMar>
          </w:tcPr>
          <w:p>
            <w:pPr>
              <w:spacing w:before="0" w:after="0" w:line="264" w:lineRule="auto"/>
            </w:pPr>
            <w:r>
              <w:rPr>
                <w:rFonts w:ascii="Calibri" w:hAnsi="Calibri"/>
                <w:color w:val="334155"/>
                <w:sz w:val="19"/>
              </w:rPr>
              <w:t>101 Reports</w:t>
            </w:r>
          </w:p>
        </w:tc>
        <w:tc>
          <w:tcPr>
            <w:tcW w:type="dxa" w:w="3744"/>
            <w:shd w:fill="FFFFFF"/>
            <w:tcMar>
              <w:top w:w="100" w:type="dxa"/>
              <w:bottom w:w="100" w:type="dxa"/>
              <w:left w:w="120" w:type="dxa"/>
              <w:right w:w="120" w:type="dxa"/>
            </w:tcMar>
          </w:tcPr>
          <w:p>
            <w:pPr>
              <w:spacing w:before="0" w:after="0" w:line="264" w:lineRule="auto"/>
            </w:pPr>
            <w:r>
              <w:rPr>
                <w:rFonts w:ascii="Calibri" w:hAnsi="Calibri"/>
                <w:color w:val="334155"/>
                <w:sz w:val="19"/>
              </w:rPr>
              <w:t>101 distinct patient shift handover episodes covering acute medical/surgical wards.</w:t>
            </w:r>
          </w:p>
        </w:tc>
      </w:tr>
      <w:tr>
        <w:tc>
          <w:tcPr>
            <w:tcW w:type="dxa" w:w="3024"/>
            <w:shd w:fill="F8FAFC"/>
            <w:tcMar>
              <w:top w:w="100" w:type="dxa"/>
              <w:bottom w:w="100" w:type="dxa"/>
              <w:left w:w="120" w:type="dxa"/>
              <w:right w:w="120" w:type="dxa"/>
            </w:tcMar>
          </w:tcPr>
          <w:p>
            <w:pPr>
              <w:spacing w:before="0" w:after="0" w:line="264" w:lineRule="auto"/>
            </w:pPr>
            <w:r>
              <w:rPr>
                <w:rFonts w:ascii="Calibri" w:hAnsi="Calibri"/>
                <w:color w:val="334155"/>
                <w:sz w:val="19"/>
              </w:rPr>
              <w:t>Total Corpus Word Tokens</w:t>
            </w:r>
          </w:p>
        </w:tc>
        <w:tc>
          <w:tcPr>
            <w:tcW w:type="dxa" w:w="2592"/>
            <w:shd w:fill="F8FAFC"/>
            <w:tcMar>
              <w:top w:w="100" w:type="dxa"/>
              <w:bottom w:w="100" w:type="dxa"/>
              <w:left w:w="120" w:type="dxa"/>
              <w:right w:w="120" w:type="dxa"/>
            </w:tcMar>
          </w:tcPr>
          <w:p>
            <w:pPr>
              <w:spacing w:before="0" w:after="0" w:line="264" w:lineRule="auto"/>
            </w:pPr>
            <w:r>
              <w:rPr>
                <w:rFonts w:ascii="Calibri" w:hAnsi="Calibri"/>
                <w:color w:val="334155"/>
                <w:sz w:val="19"/>
              </w:rPr>
              <w:t>7,214 Tokens</w:t>
            </w:r>
          </w:p>
        </w:tc>
        <w:tc>
          <w:tcPr>
            <w:tcW w:type="dxa" w:w="3744"/>
            <w:shd w:fill="F8FAFC"/>
            <w:tcMar>
              <w:top w:w="100" w:type="dxa"/>
              <w:bottom w:w="100" w:type="dxa"/>
              <w:left w:w="120" w:type="dxa"/>
              <w:right w:w="120" w:type="dxa"/>
            </w:tcMar>
          </w:tcPr>
          <w:p>
            <w:pPr>
              <w:spacing w:before="0" w:after="0" w:line="264" w:lineRule="auto"/>
            </w:pPr>
            <w:r>
              <w:rPr>
                <w:rFonts w:ascii="Calibri" w:hAnsi="Calibri"/>
                <w:color w:val="334155"/>
                <w:sz w:val="19"/>
              </w:rPr>
              <w:t>Sufficient density for clinical entity extraction, event recognition, and sequence tagging.</w:t>
            </w:r>
          </w:p>
        </w:tc>
      </w:tr>
      <w:tr>
        <w:tc>
          <w:tcPr>
            <w:tcW w:type="dxa" w:w="3024"/>
            <w:shd w:fill="FFFFFF"/>
            <w:tcMar>
              <w:top w:w="100" w:type="dxa"/>
              <w:bottom w:w="100" w:type="dxa"/>
              <w:left w:w="120" w:type="dxa"/>
              <w:right w:w="120" w:type="dxa"/>
            </w:tcMar>
          </w:tcPr>
          <w:p>
            <w:pPr>
              <w:spacing w:before="0" w:after="0" w:line="264" w:lineRule="auto"/>
            </w:pPr>
            <w:r>
              <w:rPr>
                <w:rFonts w:ascii="Calibri" w:hAnsi="Calibri"/>
                <w:color w:val="334155"/>
                <w:sz w:val="19"/>
              </w:rPr>
              <w:t>Unique Vocabulary Tokens</w:t>
            </w:r>
          </w:p>
        </w:tc>
        <w:tc>
          <w:tcPr>
            <w:tcW w:type="dxa" w:w="2592"/>
            <w:shd w:fill="FFFFFF"/>
            <w:tcMar>
              <w:top w:w="100" w:type="dxa"/>
              <w:bottom w:w="100" w:type="dxa"/>
              <w:left w:w="120" w:type="dxa"/>
              <w:right w:w="120" w:type="dxa"/>
            </w:tcMar>
          </w:tcPr>
          <w:p>
            <w:pPr>
              <w:spacing w:before="0" w:after="0" w:line="264" w:lineRule="auto"/>
            </w:pPr>
            <w:r>
              <w:rPr>
                <w:rFonts w:ascii="Calibri" w:hAnsi="Calibri"/>
                <w:color w:val="334155"/>
                <w:sz w:val="19"/>
              </w:rPr>
              <w:t>1,441 Unique Words</w:t>
            </w:r>
          </w:p>
        </w:tc>
        <w:tc>
          <w:tcPr>
            <w:tcW w:type="dxa" w:w="3744"/>
            <w:shd w:fill="FFFFFF"/>
            <w:tcMar>
              <w:top w:w="100" w:type="dxa"/>
              <w:bottom w:w="100" w:type="dxa"/>
              <w:left w:w="120" w:type="dxa"/>
              <w:right w:w="120" w:type="dxa"/>
            </w:tcMar>
          </w:tcPr>
          <w:p>
            <w:pPr>
              <w:spacing w:before="0" w:after="0" w:line="264" w:lineRule="auto"/>
            </w:pPr>
            <w:r>
              <w:rPr>
                <w:rFonts w:ascii="Calibri" w:hAnsi="Calibri"/>
                <w:color w:val="334155"/>
                <w:sz w:val="19"/>
              </w:rPr>
              <w:t>High lexical richness considering the domain-specific nature of ward notes.</w:t>
            </w:r>
          </w:p>
        </w:tc>
      </w:tr>
      <w:tr>
        <w:tc>
          <w:tcPr>
            <w:tcW w:type="dxa" w:w="3024"/>
            <w:shd w:fill="F8FAFC"/>
            <w:tcMar>
              <w:top w:w="100" w:type="dxa"/>
              <w:bottom w:w="100" w:type="dxa"/>
              <w:left w:w="120" w:type="dxa"/>
              <w:right w:w="120" w:type="dxa"/>
            </w:tcMar>
          </w:tcPr>
          <w:p>
            <w:pPr>
              <w:spacing w:before="0" w:after="0" w:line="264" w:lineRule="auto"/>
            </w:pPr>
            <w:r>
              <w:rPr>
                <w:rFonts w:ascii="Calibri" w:hAnsi="Calibri"/>
                <w:color w:val="334155"/>
                <w:sz w:val="19"/>
              </w:rPr>
              <w:t>Average Report Word Count</w:t>
            </w:r>
          </w:p>
        </w:tc>
        <w:tc>
          <w:tcPr>
            <w:tcW w:type="dxa" w:w="2592"/>
            <w:shd w:fill="F8FAFC"/>
            <w:tcMar>
              <w:top w:w="100" w:type="dxa"/>
              <w:bottom w:w="100" w:type="dxa"/>
              <w:left w:w="120" w:type="dxa"/>
              <w:right w:w="120" w:type="dxa"/>
            </w:tcMar>
          </w:tcPr>
          <w:p>
            <w:pPr>
              <w:spacing w:before="0" w:after="0" w:line="264" w:lineRule="auto"/>
            </w:pPr>
            <w:r>
              <w:rPr>
                <w:rFonts w:ascii="Calibri" w:hAnsi="Calibri"/>
                <w:color w:val="334155"/>
                <w:sz w:val="19"/>
              </w:rPr>
              <w:t>71.65 Words / Report</w:t>
            </w:r>
          </w:p>
        </w:tc>
        <w:tc>
          <w:tcPr>
            <w:tcW w:type="dxa" w:w="3744"/>
            <w:shd w:fill="F8FAFC"/>
            <w:tcMar>
              <w:top w:w="100" w:type="dxa"/>
              <w:bottom w:w="100" w:type="dxa"/>
              <w:left w:w="120" w:type="dxa"/>
              <w:right w:w="120" w:type="dxa"/>
            </w:tcMar>
          </w:tcPr>
          <w:p>
            <w:pPr>
              <w:spacing w:before="0" w:after="0" w:line="264" w:lineRule="auto"/>
            </w:pPr>
            <w:r>
              <w:rPr>
                <w:rFonts w:ascii="Calibri" w:hAnsi="Calibri"/>
                <w:color w:val="334155"/>
                <w:sz w:val="19"/>
              </w:rPr>
              <w:t>Represents concise, high-density shift transition narratives typical of bedside handovers.</w:t>
            </w:r>
          </w:p>
        </w:tc>
      </w:tr>
      <w:tr>
        <w:tc>
          <w:tcPr>
            <w:tcW w:type="dxa" w:w="3024"/>
            <w:shd w:fill="FFFFFF"/>
            <w:tcMar>
              <w:top w:w="100" w:type="dxa"/>
              <w:bottom w:w="100" w:type="dxa"/>
              <w:left w:w="120" w:type="dxa"/>
              <w:right w:w="120" w:type="dxa"/>
            </w:tcMar>
          </w:tcPr>
          <w:p>
            <w:pPr>
              <w:spacing w:before="0" w:after="0" w:line="264" w:lineRule="auto"/>
            </w:pPr>
            <w:r>
              <w:rPr>
                <w:rFonts w:ascii="Calibri" w:hAnsi="Calibri"/>
                <w:color w:val="334155"/>
                <w:sz w:val="19"/>
              </w:rPr>
              <w:t>Minimum Report Word Count</w:t>
            </w:r>
          </w:p>
        </w:tc>
        <w:tc>
          <w:tcPr>
            <w:tcW w:type="dxa" w:w="2592"/>
            <w:shd w:fill="FFFFFF"/>
            <w:tcMar>
              <w:top w:w="100" w:type="dxa"/>
              <w:bottom w:w="100" w:type="dxa"/>
              <w:left w:w="120" w:type="dxa"/>
              <w:right w:w="120" w:type="dxa"/>
            </w:tcMar>
          </w:tcPr>
          <w:p>
            <w:pPr>
              <w:spacing w:before="0" w:after="0" w:line="264" w:lineRule="auto"/>
            </w:pPr>
            <w:r>
              <w:rPr>
                <w:rFonts w:ascii="Calibri" w:hAnsi="Calibri"/>
                <w:color w:val="334155"/>
                <w:sz w:val="19"/>
              </w:rPr>
              <w:t>19 Words (Report #39)</w:t>
            </w:r>
          </w:p>
        </w:tc>
        <w:tc>
          <w:tcPr>
            <w:tcW w:type="dxa" w:w="3744"/>
            <w:shd w:fill="FFFFFF"/>
            <w:tcMar>
              <w:top w:w="100" w:type="dxa"/>
              <w:bottom w:w="100" w:type="dxa"/>
              <w:left w:w="120" w:type="dxa"/>
              <w:right w:w="120" w:type="dxa"/>
            </w:tcMar>
          </w:tcPr>
          <w:p>
            <w:pPr>
              <w:spacing w:before="0" w:after="0" w:line="264" w:lineRule="auto"/>
            </w:pPr>
            <w:r>
              <w:rPr>
                <w:rFonts w:ascii="Calibri" w:hAnsi="Calibri"/>
                <w:color w:val="334155"/>
                <w:sz w:val="19"/>
              </w:rPr>
              <w:t>Extremely brief handover; requires robust entity extraction despite sparse context.</w:t>
            </w:r>
          </w:p>
        </w:tc>
      </w:tr>
      <w:tr>
        <w:tc>
          <w:tcPr>
            <w:tcW w:type="dxa" w:w="3024"/>
            <w:shd w:fill="F8FAFC"/>
            <w:tcMar>
              <w:top w:w="100" w:type="dxa"/>
              <w:bottom w:w="100" w:type="dxa"/>
              <w:left w:w="120" w:type="dxa"/>
              <w:right w:w="120" w:type="dxa"/>
            </w:tcMar>
          </w:tcPr>
          <w:p>
            <w:pPr>
              <w:spacing w:before="0" w:after="0" w:line="264" w:lineRule="auto"/>
            </w:pPr>
            <w:r>
              <w:rPr>
                <w:rFonts w:ascii="Calibri" w:hAnsi="Calibri"/>
                <w:color w:val="334155"/>
                <w:sz w:val="19"/>
              </w:rPr>
              <w:t>Maximum Report Word Count</w:t>
            </w:r>
          </w:p>
        </w:tc>
        <w:tc>
          <w:tcPr>
            <w:tcW w:type="dxa" w:w="2592"/>
            <w:shd w:fill="F8FAFC"/>
            <w:tcMar>
              <w:top w:w="100" w:type="dxa"/>
              <w:bottom w:w="100" w:type="dxa"/>
              <w:left w:w="120" w:type="dxa"/>
              <w:right w:w="120" w:type="dxa"/>
            </w:tcMar>
          </w:tcPr>
          <w:p>
            <w:pPr>
              <w:spacing w:before="0" w:after="0" w:line="264" w:lineRule="auto"/>
            </w:pPr>
            <w:r>
              <w:rPr>
                <w:rFonts w:ascii="Calibri" w:hAnsi="Calibri"/>
                <w:color w:val="334155"/>
                <w:sz w:val="19"/>
              </w:rPr>
              <w:t>209 Words (Report #91)</w:t>
            </w:r>
          </w:p>
        </w:tc>
        <w:tc>
          <w:tcPr>
            <w:tcW w:type="dxa" w:w="3744"/>
            <w:shd w:fill="F8FAFC"/>
            <w:tcMar>
              <w:top w:w="100" w:type="dxa"/>
              <w:bottom w:w="100" w:type="dxa"/>
              <w:left w:w="120" w:type="dxa"/>
              <w:right w:w="120" w:type="dxa"/>
            </w:tcMar>
          </w:tcPr>
          <w:p>
            <w:pPr>
              <w:spacing w:before="0" w:after="0" w:line="264" w:lineRule="auto"/>
            </w:pPr>
            <w:r>
              <w:rPr>
                <w:rFonts w:ascii="Calibri" w:hAnsi="Calibri"/>
                <w:color w:val="334155"/>
                <w:sz w:val="19"/>
              </w:rPr>
              <w:t>Complex multi-morbid patient scenario involving surgeries, telemetry, and pending reviews.</w:t>
            </w:r>
          </w:p>
        </w:tc>
      </w:tr>
      <w:tr>
        <w:tc>
          <w:tcPr>
            <w:tcW w:type="dxa" w:w="3024"/>
            <w:shd w:fill="FFFFFF"/>
            <w:tcMar>
              <w:top w:w="100" w:type="dxa"/>
              <w:bottom w:w="100" w:type="dxa"/>
              <w:left w:w="120" w:type="dxa"/>
              <w:right w:w="120" w:type="dxa"/>
            </w:tcMar>
          </w:tcPr>
          <w:p>
            <w:pPr>
              <w:spacing w:before="0" w:after="0" w:line="264" w:lineRule="auto"/>
            </w:pPr>
            <w:r>
              <w:rPr>
                <w:rFonts w:ascii="Calibri" w:hAnsi="Calibri"/>
                <w:color w:val="334155"/>
                <w:sz w:val="19"/>
              </w:rPr>
              <w:t>Average Character Count</w:t>
            </w:r>
          </w:p>
        </w:tc>
        <w:tc>
          <w:tcPr>
            <w:tcW w:type="dxa" w:w="2592"/>
            <w:shd w:fill="FFFFFF"/>
            <w:tcMar>
              <w:top w:w="100" w:type="dxa"/>
              <w:bottom w:w="100" w:type="dxa"/>
              <w:left w:w="120" w:type="dxa"/>
              <w:right w:w="120" w:type="dxa"/>
            </w:tcMar>
          </w:tcPr>
          <w:p>
            <w:pPr>
              <w:spacing w:before="0" w:after="0" w:line="264" w:lineRule="auto"/>
            </w:pPr>
            <w:r>
              <w:rPr>
                <w:rFonts w:ascii="Calibri" w:hAnsi="Calibri"/>
                <w:color w:val="334155"/>
                <w:sz w:val="19"/>
              </w:rPr>
              <w:t>460.8 Characters</w:t>
            </w:r>
          </w:p>
        </w:tc>
        <w:tc>
          <w:tcPr>
            <w:tcW w:type="dxa" w:w="3744"/>
            <w:shd w:fill="FFFFFF"/>
            <w:tcMar>
              <w:top w:w="100" w:type="dxa"/>
              <w:bottom w:w="100" w:type="dxa"/>
              <w:left w:w="120" w:type="dxa"/>
              <w:right w:w="120" w:type="dxa"/>
            </w:tcMar>
          </w:tcPr>
          <w:p>
            <w:pPr>
              <w:spacing w:before="0" w:after="0" w:line="264" w:lineRule="auto"/>
            </w:pPr>
            <w:r>
              <w:rPr>
                <w:rFonts w:ascii="Calibri" w:hAnsi="Calibri"/>
                <w:color w:val="334155"/>
                <w:sz w:val="19"/>
              </w:rPr>
              <w:t>High information packing ratio with abbreviated clinical phrases.</w:t>
            </w:r>
          </w:p>
        </w:tc>
      </w:tr>
      <w:tr>
        <w:tc>
          <w:tcPr>
            <w:tcW w:type="dxa" w:w="3024"/>
            <w:shd w:fill="F8FAFC"/>
            <w:tcMar>
              <w:top w:w="100" w:type="dxa"/>
              <w:bottom w:w="100" w:type="dxa"/>
              <w:left w:w="120" w:type="dxa"/>
              <w:right w:w="120" w:type="dxa"/>
            </w:tcMar>
          </w:tcPr>
          <w:p>
            <w:pPr>
              <w:spacing w:before="0" w:after="0" w:line="264" w:lineRule="auto"/>
            </w:pPr>
            <w:r>
              <w:rPr>
                <w:rFonts w:ascii="Calibri" w:hAnsi="Calibri"/>
                <w:color w:val="334155"/>
                <w:sz w:val="19"/>
              </w:rPr>
              <w:t>File Format &amp; Encoding</w:t>
            </w:r>
          </w:p>
        </w:tc>
        <w:tc>
          <w:tcPr>
            <w:tcW w:type="dxa" w:w="2592"/>
            <w:shd w:fill="F8FAFC"/>
            <w:tcMar>
              <w:top w:w="100" w:type="dxa"/>
              <w:bottom w:w="100" w:type="dxa"/>
              <w:left w:w="120" w:type="dxa"/>
              <w:right w:w="120" w:type="dxa"/>
            </w:tcMar>
          </w:tcPr>
          <w:p>
            <w:pPr>
              <w:spacing w:before="0" w:after="0" w:line="264" w:lineRule="auto"/>
            </w:pPr>
            <w:r>
              <w:rPr>
                <w:rFonts w:ascii="Calibri" w:hAnsi="Calibri"/>
                <w:color w:val="334155"/>
                <w:sz w:val="19"/>
              </w:rPr>
              <w:t>Plain Text (UTF-8-SIG)</w:t>
            </w:r>
          </w:p>
        </w:tc>
        <w:tc>
          <w:tcPr>
            <w:tcW w:type="dxa" w:w="3744"/>
            <w:shd w:fill="F8FAFC"/>
            <w:tcMar>
              <w:top w:w="100" w:type="dxa"/>
              <w:bottom w:w="100" w:type="dxa"/>
              <w:left w:w="120" w:type="dxa"/>
              <w:right w:w="120" w:type="dxa"/>
            </w:tcMar>
          </w:tcPr>
          <w:p>
            <w:pPr>
              <w:spacing w:before="0" w:after="0" w:line="264" w:lineRule="auto"/>
            </w:pPr>
            <w:r>
              <w:rPr>
                <w:rFonts w:ascii="Calibri" w:hAnsi="Calibri"/>
                <w:color w:val="334155"/>
                <w:sz w:val="19"/>
              </w:rPr>
              <w:t>Clean plain text format handled with Byte Order Mark (BOM) resilience.</w:t>
            </w:r>
          </w:p>
        </w:tc>
      </w:tr>
    </w:tbl>
    <w:p>
      <w:pPr>
        <w:spacing w:before="80" w:after="80"/>
      </w:pPr>
    </w:p>
    <w:p>
      <w:pPr>
        <w:pStyle w:val="Heading2"/>
        <w:keepNext/>
        <w:spacing w:before="280" w:after="80"/>
      </w:pPr>
      <w:r>
        <w:rPr>
          <w:rFonts w:ascii="Arial" w:hAnsi="Arial"/>
          <w:b/>
          <w:color w:val="0D9488"/>
          <w:sz w:val="26"/>
        </w:rPr>
        <w:t>3.3 Clinical Vocabulary &amp; Entity Distribution in the Corpus</w:t>
      </w:r>
    </w:p>
    <w:p>
      <w:pPr>
        <w:spacing w:before="0" w:after="100" w:line="276" w:lineRule="auto"/>
      </w:pPr>
      <w:r>
        <w:rPr>
          <w:rFonts w:ascii="Calibri" w:hAnsi="Calibri"/>
          <w:i w:val="0"/>
          <w:color w:val="374151"/>
          <w:sz w:val="22"/>
        </w:rPr>
        <w:t>Empirical analysis of the 101 handover reports reveals distinct distributional clusters of clinical entities and patterns:</w:t>
      </w:r>
    </w:p>
    <w:p>
      <w:pPr>
        <w:pStyle w:val="ListBullet"/>
        <w:spacing w:before="20" w:after="40" w:line="276" w:lineRule="auto"/>
      </w:pPr>
      <w:r>
        <w:rPr>
          <w:rFonts w:ascii="Calibri" w:hAnsi="Calibri"/>
          <w:b/>
          <w:color w:val="1F2937"/>
          <w:sz w:val="21"/>
        </w:rPr>
        <w:t xml:space="preserve">Patient Demographics &amp; Bed Locations: </w:t>
      </w:r>
      <w:r>
        <w:rPr>
          <w:rFonts w:ascii="Calibri" w:hAnsi="Calibri"/>
          <w:color w:val="374151"/>
          <w:sz w:val="21"/>
        </w:rPr>
        <w:t>Appears in 98% of reports, typically structured as 'Bed [Number]' (e.g., 'Bed 8', 'Bed 12') followed by patient names ('Michael I Wu', 'Abbott') and age.</w:t>
      </w:r>
    </w:p>
    <w:p>
      <w:pPr>
        <w:pStyle w:val="ListBullet"/>
        <w:spacing w:before="20" w:after="40" w:line="276" w:lineRule="auto"/>
      </w:pPr>
      <w:r>
        <w:rPr>
          <w:rFonts w:ascii="Calibri" w:hAnsi="Calibri"/>
          <w:b/>
          <w:color w:val="1F2937"/>
          <w:sz w:val="21"/>
        </w:rPr>
        <w:t xml:space="preserve">Physiological Measurements &amp; Vital Signs: </w:t>
      </w:r>
      <w:r>
        <w:rPr>
          <w:rFonts w:ascii="Calibri" w:hAnsi="Calibri"/>
          <w:color w:val="374151"/>
          <w:sz w:val="21"/>
        </w:rPr>
        <w:t>Documented via vital sign telemetry and observational summaries ('BP 130/80', 'GCS 15', 'pupils equal and reactive', 'temp 37.2', 'sats 98% on room air').</w:t>
      </w:r>
    </w:p>
    <w:p>
      <w:pPr>
        <w:pStyle w:val="ListBullet"/>
        <w:spacing w:before="20" w:after="40" w:line="276" w:lineRule="auto"/>
      </w:pPr>
      <w:r>
        <w:rPr>
          <w:rFonts w:ascii="Calibri" w:hAnsi="Calibri"/>
          <w:b/>
          <w:color w:val="1F2937"/>
          <w:sz w:val="21"/>
        </w:rPr>
        <w:t xml:space="preserve">Pathological Conditions &amp; Comorbidities: </w:t>
      </w:r>
      <w:r>
        <w:rPr>
          <w:rFonts w:ascii="Calibri" w:hAnsi="Calibri"/>
          <w:color w:val="374151"/>
          <w:sz w:val="21"/>
        </w:rPr>
        <w:t>High prevalence of chronic cardiovascular disease, Type 1/2 Diabetes Mellitus, Chronic Obstructive Pulmonary Disease (COPD), Bell's Palsy, fractures, and acute cellulitis.</w:t>
      </w:r>
    </w:p>
    <w:p>
      <w:pPr>
        <w:pStyle w:val="ListBullet"/>
        <w:spacing w:before="20" w:after="40" w:line="276" w:lineRule="auto"/>
      </w:pPr>
      <w:r>
        <w:rPr>
          <w:rFonts w:ascii="Calibri" w:hAnsi="Calibri"/>
          <w:b/>
          <w:color w:val="1F2937"/>
          <w:sz w:val="21"/>
        </w:rPr>
        <w:t xml:space="preserve">Pharmacotherapy &amp; Dosage Protocols: </w:t>
      </w:r>
      <w:r>
        <w:rPr>
          <w:rFonts w:ascii="Calibri" w:hAnsi="Calibri"/>
          <w:color w:val="374151"/>
          <w:sz w:val="21"/>
        </w:rPr>
        <w:t>Extensive documentation of sliding scale insulin, glyceryl trinitrate (GTN/nitro), intravenous antibiotics, analgesics (paracetamol, endone), and anticoagulants.</w:t>
      </w:r>
    </w:p>
    <w:p>
      <w:pPr>
        <w:pStyle w:val="ListBullet"/>
        <w:spacing w:before="20" w:after="40" w:line="276" w:lineRule="auto"/>
      </w:pPr>
      <w:r>
        <w:rPr>
          <w:rFonts w:ascii="Calibri" w:hAnsi="Calibri"/>
          <w:b/>
          <w:color w:val="1F2937"/>
          <w:sz w:val="21"/>
        </w:rPr>
        <w:t xml:space="preserve">Diagnostic Investigations: </w:t>
      </w:r>
      <w:r>
        <w:rPr>
          <w:rFonts w:ascii="Calibri" w:hAnsi="Calibri"/>
          <w:color w:val="374151"/>
          <w:sz w:val="21"/>
        </w:rPr>
        <w:t>Radiology (Brain MRI, CT scans, Chest X-Rays), vascular ultrasound (Carotid Doppler), bedside pathology (Full Blood Count, U&amp;Es, BGLs), and telemetry.</w:t>
      </w:r>
    </w:p>
    <w:p>
      <w:pPr>
        <w:pStyle w:val="Heading1"/>
        <w:keepNext/>
        <w:spacing w:before="360" w:after="120"/>
      </w:pPr>
      <w:r>
        <w:rPr>
          <w:rFonts w:ascii="Arial" w:hAnsi="Arial"/>
          <w:b/>
          <w:color w:val="1B365D"/>
          <w:sz w:val="32"/>
        </w:rPr>
        <w:t>4. End-to-End System Pipeline Architecture</w:t>
      </w:r>
    </w:p>
    <w:p>
      <w:pPr>
        <w:spacing w:before="0" w:after="100" w:line="276" w:lineRule="auto"/>
      </w:pPr>
      <w:r>
        <w:rPr>
          <w:rFonts w:ascii="Calibri" w:hAnsi="Calibri"/>
          <w:i w:val="0"/>
          <w:color w:val="374151"/>
          <w:sz w:val="22"/>
        </w:rPr>
        <w:t>PULSE processes unstructured clinical handover narratives through an 8-stage modular pipeline. Each stage encapsulates a single responsibility, guaranteeing rigorous data isolation, verifiable transformations, and sub-millisecond throughput.</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40" w:after="40" w:line="252" w:lineRule="auto"/>
            </w:pPr>
            <w:r>
              <w:rPr>
                <w:rFonts w:ascii="Consolas" w:hAnsi="Consolas"/>
                <w:color w:val="1E293B"/>
                <w:sz w:val="18"/>
              </w:rPr>
              <w:t>+-----------------------------------------------------------------------------------------+</w:t>
              <w:br/>
              <w:t>|                        STAGE 1: UNSTRUCTURED NURSING HANDOVER TEXT                      |</w:t>
              <w:br/>
              <w:t>|                 (Verbatim Raw Ingestion, UTF-8-SIG BOM Stripping, Verification)          |</w:t>
              <w:br/>
              <w:t>+-----------------------------------------------------------------------------------------+</w:t>
              <w:br/>
              <w:t xml:space="preserve">                                             |</w:t>
              <w:br/>
              <w:t xml:space="preserve">                                             v</w:t>
              <w:br/>
              <w:t>+-----------------------------------------------------------------------------------------+</w:t>
              <w:br/>
              <w:t>|                        STAGE 2: NON-DESTRUCTIVE PREPROCESSING                            |</w:t>
              <w:br/>
              <w:t>|   - Clean formatting, preserve clinical meaning                                         |</w:t>
              <w:br/>
              <w:t>|   - Preserves @, +, _, measurements, dosages, units, and negations                       |</w:t>
              <w:br/>
              <w:t>|   - Resolves squished punctuation (e.g., 'Abbott,93' -&gt; 'Abbott, 93'; 'her.no' -&gt; 'her. No') |</w:t>
              <w:br/>
              <w:t>+-----------------------------------------------------------------------------------------+</w:t>
              <w:br/>
              <w:t xml:space="preserve">                                             |</w:t>
              <w:br/>
              <w:t xml:space="preserve">                                             v</w:t>
              <w:br/>
              <w:t>+-----------------------------------------------------------------------------------------+</w:t>
              <w:br/>
              <w:t>|                        STAGE 3: CLINICAL ENTITY EXTRACTION                              |</w:t>
              <w:br/>
              <w:t>|   - Demographics (Bed, Name, Age, Gender, Consultant)                                   |</w:t>
              <w:br/>
              <w:t>|   - Medical Conditions &amp; Diagnoses (ICD/SNOMED aligned)                                 |</w:t>
              <w:br/>
              <w:t>|   - Acute Reported Symptoms &amp; Sensory Deficits                                          |</w:t>
              <w:br/>
              <w:t>|   - Pharmacotherapy: Name, Dosage, Route (IV/PO/SC), Frequency (PRN/QID/BD)             |</w:t>
              <w:br/>
              <w:t>|   - Diagnostic Investigations &amp; Bedside Measurements (BP, GCS, BGL, SpO2)               |</w:t>
              <w:br/>
              <w:t>|   - Clinical Abbreviations Catalog (GCS, MRI, OBS, IDC, NOF, NBM)                       |</w:t>
              <w:br/>
              <w:t>+-----------------------------------------------------------------------------------------+</w:t>
              <w:br/>
              <w:t xml:space="preserve">                                             |</w:t>
              <w:br/>
              <w:t xml:space="preserve">                                             v</w:t>
              <w:br/>
              <w:t>+-----------------------------------------------------------------------------------------+</w:t>
              <w:br/>
              <w:t>|                        STAGE 4: CLINICAL EVENT EXTRACTION                               |</w:t>
              <w:br/>
              <w:t>|   - Admissions, completed scans, delayed tests, medication administration               |</w:t>
              <w:br/>
              <w:t>|   - Multidisciplinary referrals (Physiotherapy, Dietetics, Medical Reviews)             |</w:t>
              <w:br/>
              <w:t>+-----------------------------------------------------------------------------------------+</w:t>
              <w:br/>
              <w:t xml:space="preserve">                                             |</w:t>
              <w:br/>
              <w:t xml:space="preserve">                                             v</w:t>
              <w:br/>
              <w:t>+-----------------------------------------------------------------------------------------+</w:t>
              <w:br/>
              <w:t>|                        STAGE 5: TEMPORAL EXTRACTION &amp; EVENT BINDING                     |</w:t>
              <w:br/>
              <w:t>|   - Clock times ('at 950', '1050', '14:00') &amp; shift periods ('during the am', 'tonight') |</w:t>
              <w:br/>
              <w:t>|   - Bidirectional sentence-level association between temporal anchors and clinical events|</w:t>
              <w:br/>
              <w:t>+-----------------------------------------------------------------------------------------+</w:t>
              <w:br/>
              <w:t xml:space="preserve">                                             |</w:t>
              <w:br/>
              <w:t xml:space="preserve">                                             v</w:t>
              <w:br/>
              <w:t>+-----------------------------------------------------------------------------------------+</w:t>
              <w:br/>
              <w:t>|                        STAGE 6: CLINICAL SAFETY &amp; RISK ALERT ENGINE                     |</w:t>
              <w:br/>
              <w:t>|   - Fall Risk Alert, Glycemic Alert, Cardiovascular Alert, Neurological Alert          |</w:t>
              <w:br/>
              <w:t>|   - Synthesizes immediate actionable nursing care directives                            |</w:t>
              <w:br/>
              <w:t>+-----------------------------------------------------------------------------------------+</w:t>
              <w:br/>
              <w:t xml:space="preserve">                                             |</w:t>
              <w:br/>
              <w:t xml:space="preserve">                                             v</w:t>
              <w:br/>
              <w:t>+-----------------------------------------------------------------------------------------+</w:t>
              <w:br/>
              <w:t>|                        STAGE 7: STRUCTURED HANDOVER SYNTHESIS                           |</w:t>
              <w:br/>
              <w:t>|   - 9-Category Standard Clinical Handover Specification                                 |</w:t>
              <w:br/>
              <w:t>|   - Gold-Standard ISBAR Protocol (Identify, Situation, Background, Assessment, Rec)     |</w:t>
              <w:br/>
              <w:t>|   - 2-3 Sentence Executive Shift Handover Narrative Brief                               |</w:t>
              <w:br/>
              <w:t>|   - Prioritized Outstanding Shift Tasks &amp; Long-term Follow-Up Plan                     |</w:t>
              <w:br/>
              <w:t>+-----------------------------------------------------------------------------------------+</w:t>
              <w:br/>
              <w:t xml:space="preserve">                                             |</w:t>
              <w:br/>
              <w:t xml:space="preserve">                                             v</w:t>
              <w:br/>
              <w:t>+-----------------------------------------------------------------------------------------+</w:t>
              <w:br/>
              <w:t>|                        STAGE 8: FULL-STACK VISUALIZATION &amp; AUDIT TRAIL                  |</w:t>
              <w:br/>
              <w:t>|   - Interactive Source-Text Highlighting (Color-Coded Semantic Spans)                   |</w:t>
              <w:br/>
              <w:t>|   - Preprocessing Comparison Audit View (Raw vs. Clean with Change Log)                 |</w:t>
              <w:br/>
              <w:t>|   - Exact Sentence-Level Evidence Citations for Human-in-the-Loop Validation            |</w:t>
              <w:br/>
              <w:t>+-----------------------------------------------------------------------------------------+</w:t>
            </w:r>
          </w:p>
        </w:tc>
      </w:tr>
    </w:tbl>
    <w:p>
      <w:pPr>
        <w:spacing w:before="60" w:after="60"/>
      </w:pPr>
    </w:p>
    <w:p>
      <w:pPr>
        <w:pStyle w:val="Heading2"/>
        <w:keepNext/>
        <w:spacing w:before="280" w:after="80"/>
      </w:pPr>
      <w:r>
        <w:rPr>
          <w:rFonts w:ascii="Arial" w:hAnsi="Arial"/>
          <w:b/>
          <w:color w:val="0D9488"/>
          <w:sz w:val="26"/>
        </w:rPr>
        <w:t>4.1 The Non-Destructive Preprocessing Philosophy</w:t>
      </w:r>
    </w:p>
    <w:p>
      <w:pPr>
        <w:spacing w:before="0" w:after="100" w:line="276" w:lineRule="auto"/>
      </w:pPr>
      <w:r>
        <w:rPr>
          <w:rFonts w:ascii="Calibri" w:hAnsi="Calibri"/>
          <w:i w:val="0"/>
          <w:color w:val="374151"/>
          <w:sz w:val="22"/>
        </w:rPr>
        <w:t>In standard computational linguistics, text preprocessing frequently relies on aggressive, destructive transformations: converting all characters to lowercase, removing all punctuation, stripping stopwords (e.g., using NLTK English stopword lists), and applying rule-based stemmers (e.g., Porter or Snowball stemmers). In clinical informatics, applying these conventional techniques is disastrous:</w:t>
      </w:r>
    </w:p>
    <w:p>
      <w:pPr>
        <w:pStyle w:val="ListBullet"/>
        <w:spacing w:before="20" w:after="40" w:line="276" w:lineRule="auto"/>
      </w:pPr>
      <w:r>
        <w:rPr>
          <w:rFonts w:ascii="Calibri" w:hAnsi="Calibri"/>
          <w:b/>
          <w:color w:val="1F2937"/>
          <w:sz w:val="21"/>
        </w:rPr>
        <w:t xml:space="preserve">Fatal Negation Inversion: </w:t>
      </w:r>
      <w:r>
        <w:rPr>
          <w:rFonts w:ascii="Calibri" w:hAnsi="Calibri"/>
          <w:color w:val="374151"/>
          <w:sz w:val="21"/>
        </w:rPr>
        <w:t>NLTK stopword removal strips words such as 'no', 'not', 'without', 'never', or 'denies'. In clinical handovers, transforming 'Patient has no chest pain' into 'Patient chest pain' fundamentally inverts clinical truth, leading to catastrophic misdiagnoses.</w:t>
      </w:r>
    </w:p>
    <w:p>
      <w:pPr>
        <w:pStyle w:val="ListBullet"/>
        <w:spacing w:before="20" w:after="40" w:line="276" w:lineRule="auto"/>
      </w:pPr>
      <w:r>
        <w:rPr>
          <w:rFonts w:ascii="Calibri" w:hAnsi="Calibri"/>
          <w:b/>
          <w:color w:val="1F2937"/>
          <w:sz w:val="21"/>
        </w:rPr>
        <w:t xml:space="preserve">Punctuation Stripping Destroys Vitals: </w:t>
      </w:r>
      <w:r>
        <w:rPr>
          <w:rFonts w:ascii="Calibri" w:hAnsi="Calibri"/>
          <w:color w:val="374151"/>
          <w:sz w:val="21"/>
        </w:rPr>
        <w:t>Removing punctuation strips slashes ('/'), commas, decimal points, and percentages. This turns 'BP 130/80' into 'BP 13080', 'BGL 5.4' into 'BGL 54', and 'O2 @ 2L' into an unparseable sequence.</w:t>
      </w:r>
    </w:p>
    <w:p>
      <w:pPr>
        <w:pStyle w:val="ListBullet"/>
        <w:spacing w:before="20" w:after="40" w:line="276" w:lineRule="auto"/>
      </w:pPr>
      <w:r>
        <w:rPr>
          <w:rFonts w:ascii="Calibri" w:hAnsi="Calibri"/>
          <w:b/>
          <w:color w:val="1F2937"/>
          <w:sz w:val="21"/>
        </w:rPr>
        <w:t xml:space="preserve">Stemming Mutilates Clinical Ontologies: </w:t>
      </w:r>
      <w:r>
        <w:rPr>
          <w:rFonts w:ascii="Calibri" w:hAnsi="Calibri"/>
          <w:color w:val="374151"/>
          <w:sz w:val="21"/>
        </w:rPr>
        <w:t>Porter stemming truncates clinical terminology indiscriminately. 'Morphine' is stemmed to 'morph', 'cataracts' to 'cataract', 'dialysis' to 'dialysi', destroying lookup keys in biomedical ontologies.</w:t>
      </w:r>
    </w:p>
    <w:p>
      <w:pPr>
        <w:spacing w:before="0" w:after="100" w:line="276" w:lineRule="auto"/>
      </w:pPr>
      <w:r>
        <w:rPr>
          <w:rFonts w:ascii="Calibri" w:hAnsi="Calibri"/>
          <w:i w:val="0"/>
          <w:color w:val="374151"/>
          <w:sz w:val="22"/>
        </w:rPr>
        <w:t>PULSE solves this through its proprietary ClinicalPreprocessor (backend/preprocessing/preprocessor.py). The preprocessor follows the strict dictum: 'Clean the formatting, preserve the clinical meaning.' It preserves all numbers, units, dosages, clinical symbols (@, +, _, /, %, &lt;, &gt;), and uppercase abbreviations, while systematically resolving typographic anomalies such as Unicode smart quotes, en-dashes, missing spaces after commas, and fused sentence boundaries (e.g., 'Abbott,93' -&gt; 'Abbott, 93'; 'her.no plan' -&gt; 'her. No plan').</w:t>
      </w:r>
    </w:p>
    <w:p>
      <w:pPr>
        <w:pStyle w:val="Heading1"/>
        <w:keepNext/>
        <w:spacing w:before="360" w:after="120"/>
      </w:pPr>
      <w:r>
        <w:rPr>
          <w:rFonts w:ascii="Arial" w:hAnsi="Arial"/>
          <w:b/>
          <w:color w:val="1B365D"/>
          <w:sz w:val="32"/>
        </w:rPr>
        <w:t>5. Complete Codebase &amp; Project Directory Structure</w:t>
      </w:r>
    </w:p>
    <w:p>
      <w:pPr>
        <w:spacing w:before="0" w:after="100" w:line="276" w:lineRule="auto"/>
      </w:pPr>
      <w:r>
        <w:rPr>
          <w:rFonts w:ascii="Calibri" w:hAnsi="Calibri"/>
          <w:i w:val="0"/>
          <w:color w:val="374151"/>
          <w:sz w:val="22"/>
        </w:rPr>
        <w:t>The PULSE repository is engineered as a clean, decoupled full-stack monorepo. The backend is built with Python 3.13 and FastAPI, while the frontend is constructed using React 19 and Vite. The entire filesystem architecture is depicted below:</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40" w:after="40" w:line="252" w:lineRule="auto"/>
            </w:pPr>
            <w:r>
              <w:rPr>
                <w:rFonts w:ascii="Consolas" w:hAnsi="Consolas"/>
                <w:color w:val="1E293B"/>
                <w:sz w:val="18"/>
              </w:rPr>
              <w:t>prototype/</w:t>
              <w:br/>
              <w:t>├── data/</w:t>
              <w:br/>
              <w:t>│   ├── 101writtenfreetextreports/         # 101 verbatim nursing handover reports (0.txt - 100.txt)</w:t>
              <w:br/>
              <w:t>│   └── 101informationextraction/          # Reference CRF gold-standard annotations</w:t>
              <w:br/>
              <w:t>│       ├── documents/                     # 101 multi-column feature-annotated files (output0.txt - output100.txt)</w:t>
              <w:br/>
              <w:t>│       └── template                       # CRF++ unigram and bigram feature extraction template</w:t>
              <w:br/>
              <w:t>│</w:t>
              <w:br/>
              <w:t>├── backend/</w:t>
              <w:br/>
              <w:t>│   ├── main.py                            # FastAPI application factory, CORS setup, and lifespan handlers</w:t>
              <w:br/>
              <w:t>│   ├── requirements.txt                   # Minimal backend dependencies (fastapi, uvicorn, pydantic, regex)</w:t>
              <w:br/>
              <w:t>│   ├── pulse_prototype.db                 # Local SQLite database for caching and analysis run history</w:t>
              <w:br/>
              <w:t>│   ├── api/</w:t>
              <w:br/>
              <w:t>│   │   └── routes.py                      # RESTful endpoints (/health, /dataset/stats, /analyze, etc.)</w:t>
              <w:br/>
              <w:t>│   ├── preprocessing/</w:t>
              <w:br/>
              <w:t>│   │   └── preprocessor.py                # ClinicalPreprocessor (non-destructive formatting normalizer)</w:t>
              <w:br/>
              <w:t>│   ├── extraction/</w:t>
              <w:br/>
              <w:t>│   │   ├── entity_extractor.py            # ClinicalEntityExtractor ABC, Hybrid extractor, and BioBERT stub</w:t>
              <w:br/>
              <w:t>│   │   ├── event_extractor.py             # RuleBasedEventExtractor (clinical actions, admissions, delays)</w:t>
              <w:br/>
              <w:t>│   │   ├── temporal_extractor.py          # ClinicalTemporalExtractor (clock times, shifts, event binding)</w:t>
              <w:br/>
              <w:t>│   │   └── structured_generator.py        # StructuredHandoverGenerator (9 categories, ISBAR, executive brief)</w:t>
              <w:br/>
              <w:t>│   ├── dataset/</w:t>
              <w:br/>
              <w:t>│   │   └── loader.py                      # DatasetLoader with dynamic filesystem scanning and live EDA</w:t>
              <w:br/>
              <w:t>│   └── database/</w:t>
              <w:br/>
              <w:t>│       └── database.py                    # SQLite interface and historical run persistence</w:t>
              <w:br/>
              <w:t>│</w:t>
              <w:br/>
              <w:t>├── frontend/</w:t>
              <w:br/>
              <w:t>│   ├── package.json                       # React Vite package manifest and client scripts</w:t>
              <w:br/>
              <w:t>│   ├── vite.config.js                     # Vite build configuration with backend /api proxy</w:t>
              <w:br/>
              <w:t>│   ├── index.html                         # HTML5 shell with responsive viewport and metadata</w:t>
              <w:br/>
              <w:t>│   └── src/</w:t>
              <w:br/>
              <w:t>│       ├── main.jsx                       # React DOM root mounting script</w:t>
              <w:br/>
              <w:t>│       ├── App.jsx                        # Application shell, global navbar, and clinical safety banner</w:t>
              <w:br/>
              <w:t>│       ├── index.css                      # Custom clinical design system (HSL tokens, dark mode, glassmorphism)</w:t>
              <w:br/>
              <w:t>│       ├── pages/</w:t>
              <w:br/>
              <w:t>│       │   ├── DashboardPage.jsx          # Live corpus statistics, interactive pipeline, quick actions</w:t>
              <w:br/>
              <w:t>│       │   ├── AnalyzePage.jsx            # Real-time handover analysis, text highlighter, dual handover view</w:t>
              <w:br/>
              <w:t>│       │   ├── SampleReportsPage.jsx      # 101 report card gallery with live search and length filters</w:t>
              <w:br/>
              <w:t>│       │   ├── ExtractionResultsPage.jsx  # Detailed entity-by-entity evidence table and confidence scores</w:t>
              <w:br/>
              <w:t>│       │   ├── DatasetPage.jsx            # Tabular corpus browser with raw vs. clean text inspect modal</w:t>
              <w:br/>
              <w:t>│       │   └── AboutPage.jsx              # Architectural disclosures, research background, model notes</w:t>
              <w:br/>
              <w:t>│       └── services/</w:t>
              <w:br/>
              <w:t>│           └── api.js                     # Frontend HTTP API client with resilient fallback handling</w:t>
              <w:br/>
              <w:t>│</w:t>
              <w:br/>
              <w:t>├── scripts/</w:t>
              <w:br/>
              <w:t>│   ├── export_dataset.py                  # Utility script to export dataset to static JSON for client caching</w:t>
              <w:br/>
              <w:t>│   └── generate_project_report.py         # Automated DOCX generator for comprehensive academic report</w:t>
              <w:br/>
              <w:t>│</w:t>
              <w:br/>
              <w:t>├── tests/</w:t>
              <w:br/>
              <w:t>│   └── test_prep.py                       # Unit and regression test suite for clinical preprocessor</w:t>
              <w:br/>
              <w:t>│</w:t>
              <w:br/>
              <w:t>├── README.md                              # Comprehensive project documentation and evaluation guide</w:t>
              <w:br/>
              <w:t>└── vercel.json                            # Deployment configuration for static web hosting</w:t>
              <w:br/>
            </w:r>
          </w:p>
        </w:tc>
      </w:tr>
    </w:tbl>
    <w:p>
      <w:pPr>
        <w:spacing w:before="60" w:after="60"/>
      </w:pPr>
    </w:p>
    <w:p>
      <w:pPr>
        <w:pStyle w:val="Heading2"/>
        <w:keepNext/>
        <w:spacing w:before="280" w:after="80"/>
      </w:pPr>
      <w:r>
        <w:rPr>
          <w:rFonts w:ascii="Arial" w:hAnsi="Arial"/>
          <w:b/>
          <w:color w:val="0D9488"/>
          <w:sz w:val="26"/>
        </w:rPr>
        <w:t>5.1 Deep File-by-File Technical Breakdown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3024"/>
            <w:shd w:fill="1B365D"/>
            <w:tcMar>
              <w:top w:w="140" w:type="dxa"/>
              <w:bottom w:w="140" w:type="dxa"/>
              <w:left w:w="120" w:type="dxa"/>
              <w:right w:w="120" w:type="dxa"/>
            </w:tcMar>
          </w:tcPr>
          <w:p>
            <w:pPr>
              <w:spacing w:before="0" w:after="0"/>
              <w:jc w:val="left"/>
            </w:pPr>
            <w:r>
              <w:rPr>
                <w:rFonts w:ascii="Arial" w:hAnsi="Arial"/>
                <w:b/>
                <w:color w:val="FFFFFF"/>
                <w:sz w:val="19"/>
              </w:rPr>
              <w:t>Module &amp; File Path</w:t>
            </w:r>
          </w:p>
        </w:tc>
        <w:tc>
          <w:tcPr>
            <w:tcW w:type="dxa" w:w="6336"/>
            <w:shd w:fill="1B365D"/>
            <w:tcMar>
              <w:top w:w="140" w:type="dxa"/>
              <w:bottom w:w="140" w:type="dxa"/>
              <w:left w:w="120" w:type="dxa"/>
              <w:right w:w="120" w:type="dxa"/>
            </w:tcMar>
          </w:tcPr>
          <w:p>
            <w:pPr>
              <w:spacing w:before="0" w:after="0"/>
              <w:jc w:val="left"/>
            </w:pPr>
            <w:r>
              <w:rPr>
                <w:rFonts w:ascii="Arial" w:hAnsi="Arial"/>
                <w:b/>
                <w:color w:val="FFFFFF"/>
                <w:sz w:val="19"/>
              </w:rPr>
              <w:t>Core Architectural Role &amp; Technical Implementation</w:t>
            </w:r>
          </w:p>
        </w:tc>
      </w:tr>
      <w:tr>
        <w:tc>
          <w:tcPr>
            <w:tcW w:type="dxa" w:w="3024"/>
            <w:shd w:fill="FFFFFF"/>
            <w:tcMar>
              <w:top w:w="100" w:type="dxa"/>
              <w:bottom w:w="100" w:type="dxa"/>
              <w:left w:w="120" w:type="dxa"/>
              <w:right w:w="120" w:type="dxa"/>
            </w:tcMar>
          </w:tcPr>
          <w:p>
            <w:pPr>
              <w:spacing w:before="0" w:after="0" w:line="264" w:lineRule="auto"/>
            </w:pPr>
            <w:r>
              <w:rPr>
                <w:rFonts w:ascii="Calibri" w:hAnsi="Calibri"/>
                <w:color w:val="334155"/>
                <w:sz w:val="19"/>
              </w:rPr>
              <w:t>backend/main.py</w:t>
            </w:r>
          </w:p>
        </w:tc>
        <w:tc>
          <w:tcPr>
            <w:tcW w:type="dxa" w:w="6336"/>
            <w:shd w:fill="FFFFFF"/>
            <w:tcMar>
              <w:top w:w="100" w:type="dxa"/>
              <w:bottom w:w="100" w:type="dxa"/>
              <w:left w:w="120" w:type="dxa"/>
              <w:right w:w="120" w:type="dxa"/>
            </w:tcMar>
          </w:tcPr>
          <w:p>
            <w:pPr>
              <w:spacing w:before="0" w:after="0" w:line="264" w:lineRule="auto"/>
            </w:pPr>
            <w:r>
              <w:rPr>
                <w:rFonts w:ascii="Calibri" w:hAnsi="Calibri"/>
                <w:color w:val="334155"/>
                <w:sz w:val="19"/>
              </w:rPr>
              <w:t>FastAPI server entry point. Configures asynchronous lifespan events, mounts CORS middleware to permit secure cross-origin communication with the React frontend, registers all API routers, and initializes database tables.</w:t>
            </w:r>
          </w:p>
        </w:tc>
      </w:tr>
      <w:tr>
        <w:tc>
          <w:tcPr>
            <w:tcW w:type="dxa" w:w="3024"/>
            <w:shd w:fill="F8FAFC"/>
            <w:tcMar>
              <w:top w:w="100" w:type="dxa"/>
              <w:bottom w:w="100" w:type="dxa"/>
              <w:left w:w="120" w:type="dxa"/>
              <w:right w:w="120" w:type="dxa"/>
            </w:tcMar>
          </w:tcPr>
          <w:p>
            <w:pPr>
              <w:spacing w:before="0" w:after="0" w:line="264" w:lineRule="auto"/>
            </w:pPr>
            <w:r>
              <w:rPr>
                <w:rFonts w:ascii="Calibri" w:hAnsi="Calibri"/>
                <w:color w:val="334155"/>
                <w:sz w:val="19"/>
              </w:rPr>
              <w:t>backend/api/routes.py</w:t>
            </w:r>
          </w:p>
        </w:tc>
        <w:tc>
          <w:tcPr>
            <w:tcW w:type="dxa" w:w="6336"/>
            <w:shd w:fill="F8FAFC"/>
            <w:tcMar>
              <w:top w:w="100" w:type="dxa"/>
              <w:bottom w:w="100" w:type="dxa"/>
              <w:left w:w="120" w:type="dxa"/>
              <w:right w:w="120" w:type="dxa"/>
            </w:tcMar>
          </w:tcPr>
          <w:p>
            <w:pPr>
              <w:spacing w:before="0" w:after="0" w:line="264" w:lineRule="auto"/>
            </w:pPr>
            <w:r>
              <w:rPr>
                <w:rFonts w:ascii="Calibri" w:hAnsi="Calibri"/>
                <w:color w:val="334155"/>
                <w:sz w:val="19"/>
              </w:rPr>
              <w:t>Implements all RESTful endpoints: GET /api/health (system status), GET /api/dataset/stats (live EDA), GET /api/dataset/reports (report directory listing), GET /api/dataset/reports/{id} (single report retrieval), and POST /api/analyze (full NLP analysis execution).</w:t>
            </w:r>
          </w:p>
        </w:tc>
      </w:tr>
      <w:tr>
        <w:tc>
          <w:tcPr>
            <w:tcW w:type="dxa" w:w="3024"/>
            <w:shd w:fill="FFFFFF"/>
            <w:tcMar>
              <w:top w:w="100" w:type="dxa"/>
              <w:bottom w:w="100" w:type="dxa"/>
              <w:left w:w="120" w:type="dxa"/>
              <w:right w:w="120" w:type="dxa"/>
            </w:tcMar>
          </w:tcPr>
          <w:p>
            <w:pPr>
              <w:spacing w:before="0" w:after="0" w:line="264" w:lineRule="auto"/>
            </w:pPr>
            <w:r>
              <w:rPr>
                <w:rFonts w:ascii="Calibri" w:hAnsi="Calibri"/>
                <w:color w:val="334155"/>
                <w:sz w:val="19"/>
              </w:rPr>
              <w:t>backend/preprocessing/preprocessor.py</w:t>
            </w:r>
          </w:p>
        </w:tc>
        <w:tc>
          <w:tcPr>
            <w:tcW w:type="dxa" w:w="6336"/>
            <w:shd w:fill="FFFFFF"/>
            <w:tcMar>
              <w:top w:w="100" w:type="dxa"/>
              <w:bottom w:w="100" w:type="dxa"/>
              <w:left w:w="120" w:type="dxa"/>
              <w:right w:w="120" w:type="dxa"/>
            </w:tcMar>
          </w:tcPr>
          <w:p>
            <w:pPr>
              <w:spacing w:before="0" w:after="0" w:line="264" w:lineRule="auto"/>
            </w:pPr>
            <w:r>
              <w:rPr>
                <w:rFonts w:ascii="Calibri" w:hAnsi="Calibri"/>
                <w:color w:val="334155"/>
                <w:sz w:val="19"/>
              </w:rPr>
              <w:t>Encapsulates ClinicalPreprocessor. Performs multi-pass Unicode sanitization, handles UTF-8 Byte Order Marks, repairs comma and period punctuation boundaries, expands doctor honorifics, and strips whitespace without corrupting medical tokens.</w:t>
            </w:r>
          </w:p>
        </w:tc>
      </w:tr>
      <w:tr>
        <w:tc>
          <w:tcPr>
            <w:tcW w:type="dxa" w:w="3024"/>
            <w:shd w:fill="F8FAFC"/>
            <w:tcMar>
              <w:top w:w="100" w:type="dxa"/>
              <w:bottom w:w="100" w:type="dxa"/>
              <w:left w:w="120" w:type="dxa"/>
              <w:right w:w="120" w:type="dxa"/>
            </w:tcMar>
          </w:tcPr>
          <w:p>
            <w:pPr>
              <w:spacing w:before="0" w:after="0" w:line="264" w:lineRule="auto"/>
            </w:pPr>
            <w:r>
              <w:rPr>
                <w:rFonts w:ascii="Calibri" w:hAnsi="Calibri"/>
                <w:color w:val="334155"/>
                <w:sz w:val="19"/>
              </w:rPr>
              <w:t>backend/extraction/entity_extractor.py</w:t>
            </w:r>
          </w:p>
        </w:tc>
        <w:tc>
          <w:tcPr>
            <w:tcW w:type="dxa" w:w="6336"/>
            <w:shd w:fill="F8FAFC"/>
            <w:tcMar>
              <w:top w:w="100" w:type="dxa"/>
              <w:bottom w:w="100" w:type="dxa"/>
              <w:left w:w="120" w:type="dxa"/>
              <w:right w:w="120" w:type="dxa"/>
            </w:tcMar>
          </w:tcPr>
          <w:p>
            <w:pPr>
              <w:spacing w:before="0" w:after="0" w:line="264" w:lineRule="auto"/>
            </w:pPr>
            <w:r>
              <w:rPr>
                <w:rFonts w:ascii="Calibri" w:hAnsi="Calibri"/>
                <w:color w:val="334155"/>
                <w:sz w:val="19"/>
              </w:rPr>
              <w:t>Core extraction engine. Implements ClinicalEntityExtractor ABC, BioClinicalBertEntityExtractor candidate stub, and HybridClinicalEntityExtractor. Contains 38+ clinical abbreviation mappings, 20+ disease patterns, 16+ symptom patterns, 15+ pharmaceutical classes, 11+ diagnostic procedures, and 8+ vital sign parsers.</w:t>
            </w:r>
          </w:p>
        </w:tc>
      </w:tr>
      <w:tr>
        <w:tc>
          <w:tcPr>
            <w:tcW w:type="dxa" w:w="3024"/>
            <w:shd w:fill="FFFFFF"/>
            <w:tcMar>
              <w:top w:w="100" w:type="dxa"/>
              <w:bottom w:w="100" w:type="dxa"/>
              <w:left w:w="120" w:type="dxa"/>
              <w:right w:w="120" w:type="dxa"/>
            </w:tcMar>
          </w:tcPr>
          <w:p>
            <w:pPr>
              <w:spacing w:before="0" w:after="0" w:line="264" w:lineRule="auto"/>
            </w:pPr>
            <w:r>
              <w:rPr>
                <w:rFonts w:ascii="Calibri" w:hAnsi="Calibri"/>
                <w:color w:val="334155"/>
                <w:sz w:val="19"/>
              </w:rPr>
              <w:t>backend/extraction/event_extractor.py</w:t>
            </w:r>
          </w:p>
        </w:tc>
        <w:tc>
          <w:tcPr>
            <w:tcW w:type="dxa" w:w="6336"/>
            <w:shd w:fill="FFFFFF"/>
            <w:tcMar>
              <w:top w:w="100" w:type="dxa"/>
              <w:bottom w:w="100" w:type="dxa"/>
              <w:left w:w="120" w:type="dxa"/>
              <w:right w:w="120" w:type="dxa"/>
            </w:tcMar>
          </w:tcPr>
          <w:p>
            <w:pPr>
              <w:spacing w:before="0" w:after="0" w:line="264" w:lineRule="auto"/>
            </w:pPr>
            <w:r>
              <w:rPr>
                <w:rFonts w:ascii="Calibri" w:hAnsi="Calibri"/>
                <w:color w:val="334155"/>
                <w:sz w:val="19"/>
              </w:rPr>
              <w:t>Encapsulates RuleBasedEventExtractor. Matches explicit clinical event triggers (admissions, medication administrations, completed scans, delayed tests, allied health referrals, medical team reviews) and generates formatted action templates.</w:t>
            </w:r>
          </w:p>
        </w:tc>
      </w:tr>
      <w:tr>
        <w:tc>
          <w:tcPr>
            <w:tcW w:type="dxa" w:w="3024"/>
            <w:shd w:fill="F8FAFC"/>
            <w:tcMar>
              <w:top w:w="100" w:type="dxa"/>
              <w:bottom w:w="100" w:type="dxa"/>
              <w:left w:w="120" w:type="dxa"/>
              <w:right w:w="120" w:type="dxa"/>
            </w:tcMar>
          </w:tcPr>
          <w:p>
            <w:pPr>
              <w:spacing w:before="0" w:after="0" w:line="264" w:lineRule="auto"/>
            </w:pPr>
            <w:r>
              <w:rPr>
                <w:rFonts w:ascii="Calibri" w:hAnsi="Calibri"/>
                <w:color w:val="334155"/>
                <w:sz w:val="19"/>
              </w:rPr>
              <w:t>backend/extraction/temporal_extractor.py</w:t>
            </w:r>
          </w:p>
        </w:tc>
        <w:tc>
          <w:tcPr>
            <w:tcW w:type="dxa" w:w="6336"/>
            <w:shd w:fill="F8FAFC"/>
            <w:tcMar>
              <w:top w:w="100" w:type="dxa"/>
              <w:bottom w:w="100" w:type="dxa"/>
              <w:left w:w="120" w:type="dxa"/>
              <w:right w:w="120" w:type="dxa"/>
            </w:tcMar>
          </w:tcPr>
          <w:p>
            <w:pPr>
              <w:spacing w:before="0" w:after="0" w:line="264" w:lineRule="auto"/>
            </w:pPr>
            <w:r>
              <w:rPr>
                <w:rFonts w:ascii="Calibri" w:hAnsi="Calibri"/>
                <w:color w:val="334155"/>
                <w:sz w:val="19"/>
              </w:rPr>
              <w:t>Encapsulates ClinicalTemporalExtractor. Employs regex grammars to detect explicit clock times (standard and military format: 950, 1050, 14:00, 10 am), shift periods (AM/PM), durations, and historical markers. Dynamically links times to co-occurring clinical events.</w:t>
            </w:r>
          </w:p>
        </w:tc>
      </w:tr>
      <w:tr>
        <w:tc>
          <w:tcPr>
            <w:tcW w:type="dxa" w:w="3024"/>
            <w:shd w:fill="FFFFFF"/>
            <w:tcMar>
              <w:top w:w="100" w:type="dxa"/>
              <w:bottom w:w="100" w:type="dxa"/>
              <w:left w:w="120" w:type="dxa"/>
              <w:right w:w="120" w:type="dxa"/>
            </w:tcMar>
          </w:tcPr>
          <w:p>
            <w:pPr>
              <w:spacing w:before="0" w:after="0" w:line="264" w:lineRule="auto"/>
            </w:pPr>
            <w:r>
              <w:rPr>
                <w:rFonts w:ascii="Calibri" w:hAnsi="Calibri"/>
                <w:color w:val="334155"/>
                <w:sz w:val="19"/>
              </w:rPr>
              <w:t>backend/extraction/structured_generator.py</w:t>
            </w:r>
          </w:p>
        </w:tc>
        <w:tc>
          <w:tcPr>
            <w:tcW w:type="dxa" w:w="6336"/>
            <w:shd w:fill="FFFFFF"/>
            <w:tcMar>
              <w:top w:w="100" w:type="dxa"/>
              <w:bottom w:w="100" w:type="dxa"/>
              <w:left w:w="120" w:type="dxa"/>
              <w:right w:w="120" w:type="dxa"/>
            </w:tcMar>
          </w:tcPr>
          <w:p>
            <w:pPr>
              <w:spacing w:before="0" w:after="0" w:line="264" w:lineRule="auto"/>
            </w:pPr>
            <w:r>
              <w:rPr>
                <w:rFonts w:ascii="Calibri" w:hAnsi="Calibri"/>
                <w:color w:val="334155"/>
                <w:sz w:val="19"/>
              </w:rPr>
              <w:t>Synthesizes extracted data into a 9-category structured handover, the ISBAR protocol, an executive shift narrative brief, a prioritized outstanding tasks list, and long-term follow-up directives.</w:t>
            </w:r>
          </w:p>
        </w:tc>
      </w:tr>
      <w:tr>
        <w:tc>
          <w:tcPr>
            <w:tcW w:type="dxa" w:w="3024"/>
            <w:shd w:fill="F8FAFC"/>
            <w:tcMar>
              <w:top w:w="100" w:type="dxa"/>
              <w:bottom w:w="100" w:type="dxa"/>
              <w:left w:w="120" w:type="dxa"/>
              <w:right w:w="120" w:type="dxa"/>
            </w:tcMar>
          </w:tcPr>
          <w:p>
            <w:pPr>
              <w:spacing w:before="0" w:after="0" w:line="264" w:lineRule="auto"/>
            </w:pPr>
            <w:r>
              <w:rPr>
                <w:rFonts w:ascii="Calibri" w:hAnsi="Calibri"/>
                <w:color w:val="334155"/>
                <w:sz w:val="19"/>
              </w:rPr>
              <w:t>backend/dataset/loader.py</w:t>
            </w:r>
          </w:p>
        </w:tc>
        <w:tc>
          <w:tcPr>
            <w:tcW w:type="dxa" w:w="6336"/>
            <w:shd w:fill="F8FAFC"/>
            <w:tcMar>
              <w:top w:w="100" w:type="dxa"/>
              <w:bottom w:w="100" w:type="dxa"/>
              <w:left w:w="120" w:type="dxa"/>
              <w:right w:w="120" w:type="dxa"/>
            </w:tcMar>
          </w:tcPr>
          <w:p>
            <w:pPr>
              <w:spacing w:before="0" w:after="0" w:line="264" w:lineRule="auto"/>
            </w:pPr>
            <w:r>
              <w:rPr>
                <w:rFonts w:ascii="Calibri" w:hAnsi="Calibri"/>
                <w:color w:val="334155"/>
                <w:sz w:val="19"/>
              </w:rPr>
              <w:t>Scans data/101writtenfreetextreports/ dynamically using Python glob and regex. Parses all 101 reports into memory, caches metadata, and computes real-time corpus statistics (mean word count, token count, unique vocabulary).</w:t>
            </w:r>
          </w:p>
        </w:tc>
      </w:tr>
      <w:tr>
        <w:tc>
          <w:tcPr>
            <w:tcW w:type="dxa" w:w="3024"/>
            <w:shd w:fill="FFFFFF"/>
            <w:tcMar>
              <w:top w:w="100" w:type="dxa"/>
              <w:bottom w:w="100" w:type="dxa"/>
              <w:left w:w="120" w:type="dxa"/>
              <w:right w:w="120" w:type="dxa"/>
            </w:tcMar>
          </w:tcPr>
          <w:p>
            <w:pPr>
              <w:spacing w:before="0" w:after="0" w:line="264" w:lineRule="auto"/>
            </w:pPr>
            <w:r>
              <w:rPr>
                <w:rFonts w:ascii="Calibri" w:hAnsi="Calibri"/>
                <w:color w:val="334155"/>
                <w:sz w:val="19"/>
              </w:rPr>
              <w:t>backend/database/database.py</w:t>
            </w:r>
          </w:p>
        </w:tc>
        <w:tc>
          <w:tcPr>
            <w:tcW w:type="dxa" w:w="6336"/>
            <w:shd w:fill="FFFFFF"/>
            <w:tcMar>
              <w:top w:w="100" w:type="dxa"/>
              <w:bottom w:w="100" w:type="dxa"/>
              <w:left w:w="120" w:type="dxa"/>
              <w:right w:w="120" w:type="dxa"/>
            </w:tcMar>
          </w:tcPr>
          <w:p>
            <w:pPr>
              <w:spacing w:before="0" w:after="0" w:line="264" w:lineRule="auto"/>
            </w:pPr>
            <w:r>
              <w:rPr>
                <w:rFonts w:ascii="Calibri" w:hAnsi="Calibri"/>
                <w:color w:val="334155"/>
                <w:sz w:val="19"/>
              </w:rPr>
              <w:t>Provides a lightweight SQLite persistence layer (pulse_prototype.db) with thread-safe connection pooling, automated table schema migration, and report run caching.</w:t>
            </w:r>
          </w:p>
        </w:tc>
      </w:tr>
      <w:tr>
        <w:tc>
          <w:tcPr>
            <w:tcW w:type="dxa" w:w="3024"/>
            <w:shd w:fill="F8FAFC"/>
            <w:tcMar>
              <w:top w:w="100" w:type="dxa"/>
              <w:bottom w:w="100" w:type="dxa"/>
              <w:left w:w="120" w:type="dxa"/>
              <w:right w:w="120" w:type="dxa"/>
            </w:tcMar>
          </w:tcPr>
          <w:p>
            <w:pPr>
              <w:spacing w:before="0" w:after="0" w:line="264" w:lineRule="auto"/>
            </w:pPr>
            <w:r>
              <w:rPr>
                <w:rFonts w:ascii="Calibri" w:hAnsi="Calibri"/>
                <w:color w:val="334155"/>
                <w:sz w:val="19"/>
              </w:rPr>
              <w:t>frontend/src/App.jsx</w:t>
            </w:r>
          </w:p>
        </w:tc>
        <w:tc>
          <w:tcPr>
            <w:tcW w:type="dxa" w:w="6336"/>
            <w:shd w:fill="F8FAFC"/>
            <w:tcMar>
              <w:top w:w="100" w:type="dxa"/>
              <w:bottom w:w="100" w:type="dxa"/>
              <w:left w:w="120" w:type="dxa"/>
              <w:right w:w="120" w:type="dxa"/>
            </w:tcMar>
          </w:tcPr>
          <w:p>
            <w:pPr>
              <w:spacing w:before="0" w:after="0" w:line="264" w:lineRule="auto"/>
            </w:pPr>
            <w:r>
              <w:rPr>
                <w:rFonts w:ascii="Calibri" w:hAnsi="Calibri"/>
                <w:color w:val="334155"/>
                <w:sz w:val="19"/>
              </w:rPr>
              <w:t>Client-side layout manager. Renders global top navigation with system health indicator, persistent clinical safety disclaimer alert, active tab state switching, and global footer.</w:t>
            </w:r>
          </w:p>
        </w:tc>
      </w:tr>
      <w:tr>
        <w:tc>
          <w:tcPr>
            <w:tcW w:type="dxa" w:w="3024"/>
            <w:shd w:fill="FFFFFF"/>
            <w:tcMar>
              <w:top w:w="100" w:type="dxa"/>
              <w:bottom w:w="100" w:type="dxa"/>
              <w:left w:w="120" w:type="dxa"/>
              <w:right w:w="120" w:type="dxa"/>
            </w:tcMar>
          </w:tcPr>
          <w:p>
            <w:pPr>
              <w:spacing w:before="0" w:after="0" w:line="264" w:lineRule="auto"/>
            </w:pPr>
            <w:r>
              <w:rPr>
                <w:rFonts w:ascii="Calibri" w:hAnsi="Calibri"/>
                <w:color w:val="334155"/>
                <w:sz w:val="19"/>
              </w:rPr>
              <w:t>frontend/src/index.css</w:t>
            </w:r>
          </w:p>
        </w:tc>
        <w:tc>
          <w:tcPr>
            <w:tcW w:type="dxa" w:w="6336"/>
            <w:shd w:fill="FFFFFF"/>
            <w:tcMar>
              <w:top w:w="100" w:type="dxa"/>
              <w:bottom w:w="100" w:type="dxa"/>
              <w:left w:w="120" w:type="dxa"/>
              <w:right w:w="120" w:type="dxa"/>
            </w:tcMar>
          </w:tcPr>
          <w:p>
            <w:pPr>
              <w:spacing w:before="0" w:after="0" w:line="264" w:lineRule="auto"/>
            </w:pPr>
            <w:r>
              <w:rPr>
                <w:rFonts w:ascii="Calibri" w:hAnsi="Calibri"/>
                <w:color w:val="334155"/>
                <w:sz w:val="19"/>
              </w:rPr>
              <w:t>Custom medical informatics design system built in Vanilla CSS. Defines dark-mode HSL color palettes (hospital navy #1B365D, clinical teal #0D9488, slate neutrals), glassmorphism frosted surfaces, responsive grids, and animated status badges.</w:t>
            </w:r>
          </w:p>
        </w:tc>
      </w:tr>
      <w:tr>
        <w:tc>
          <w:tcPr>
            <w:tcW w:type="dxa" w:w="3024"/>
            <w:shd w:fill="F8FAFC"/>
            <w:tcMar>
              <w:top w:w="100" w:type="dxa"/>
              <w:bottom w:w="100" w:type="dxa"/>
              <w:left w:w="120" w:type="dxa"/>
              <w:right w:w="120" w:type="dxa"/>
            </w:tcMar>
          </w:tcPr>
          <w:p>
            <w:pPr>
              <w:spacing w:before="0" w:after="0" w:line="264" w:lineRule="auto"/>
            </w:pPr>
            <w:r>
              <w:rPr>
                <w:rFonts w:ascii="Calibri" w:hAnsi="Calibri"/>
                <w:color w:val="334155"/>
                <w:sz w:val="19"/>
              </w:rPr>
              <w:t>frontend/src/pages/AnalyzePage.jsx</w:t>
            </w:r>
          </w:p>
        </w:tc>
        <w:tc>
          <w:tcPr>
            <w:tcW w:type="dxa" w:w="6336"/>
            <w:shd w:fill="F8FAFC"/>
            <w:tcMar>
              <w:top w:w="100" w:type="dxa"/>
              <w:bottom w:w="100" w:type="dxa"/>
              <w:left w:w="120" w:type="dxa"/>
              <w:right w:w="120" w:type="dxa"/>
            </w:tcMar>
          </w:tcPr>
          <w:p>
            <w:pPr>
              <w:spacing w:before="0" w:after="0" w:line="264" w:lineRule="auto"/>
            </w:pPr>
            <w:r>
              <w:rPr>
                <w:rFonts w:ascii="Calibri" w:hAnsi="Calibri"/>
                <w:color w:val="334155"/>
                <w:sz w:val="19"/>
              </w:rPr>
              <w:t>Interactive workbench. Features report selection dropdown (0 to 100), custom text entry area, interactive execution button with step animation, visual entity highlighter with color-coded chips, and dual tabbed structured views.</w:t>
            </w:r>
          </w:p>
        </w:tc>
      </w:tr>
      <w:tr>
        <w:tc>
          <w:tcPr>
            <w:tcW w:type="dxa" w:w="3024"/>
            <w:shd w:fill="FFFFFF"/>
            <w:tcMar>
              <w:top w:w="100" w:type="dxa"/>
              <w:bottom w:w="100" w:type="dxa"/>
              <w:left w:w="120" w:type="dxa"/>
              <w:right w:w="120" w:type="dxa"/>
            </w:tcMar>
          </w:tcPr>
          <w:p>
            <w:pPr>
              <w:spacing w:before="0" w:after="0" w:line="264" w:lineRule="auto"/>
            </w:pPr>
            <w:r>
              <w:rPr>
                <w:rFonts w:ascii="Calibri" w:hAnsi="Calibri"/>
                <w:color w:val="334155"/>
                <w:sz w:val="19"/>
              </w:rPr>
              <w:t>tests/test_prep.py</w:t>
            </w:r>
          </w:p>
        </w:tc>
        <w:tc>
          <w:tcPr>
            <w:tcW w:type="dxa" w:w="6336"/>
            <w:shd w:fill="FFFFFF"/>
            <w:tcMar>
              <w:top w:w="100" w:type="dxa"/>
              <w:bottom w:w="100" w:type="dxa"/>
              <w:left w:w="120" w:type="dxa"/>
              <w:right w:w="120" w:type="dxa"/>
            </w:tcMar>
          </w:tcPr>
          <w:p>
            <w:pPr>
              <w:spacing w:before="0" w:after="0" w:line="264" w:lineRule="auto"/>
            </w:pPr>
            <w:r>
              <w:rPr>
                <w:rFonts w:ascii="Calibri" w:hAnsi="Calibri"/>
                <w:color w:val="334155"/>
                <w:sz w:val="19"/>
              </w:rPr>
              <w:t>Automated unit test suite verifying non-destructive preprocessor behavior against raw reports 0, 1, and 11. Asserts punctuation normalization, capitalization boundaries, and symbol preservation.</w:t>
            </w:r>
          </w:p>
        </w:tc>
      </w:tr>
    </w:tbl>
    <w:p>
      <w:pPr>
        <w:spacing w:before="80" w:after="80"/>
      </w:pPr>
    </w:p>
    <w:p>
      <w:pPr>
        <w:pStyle w:val="Heading1"/>
        <w:keepNext/>
        <w:spacing w:before="360" w:after="120"/>
      </w:pPr>
      <w:r>
        <w:rPr>
          <w:rFonts w:ascii="Arial" w:hAnsi="Arial"/>
          <w:b/>
          <w:color w:val="1B365D"/>
          <w:sz w:val="32"/>
        </w:rPr>
        <w:t>6. The Models Used: Architectural &amp; Algorithmic Analysis</w:t>
      </w:r>
    </w:p>
    <w:p>
      <w:pPr>
        <w:pStyle w:val="Heading2"/>
        <w:keepNext/>
        <w:spacing w:before="280" w:after="80"/>
      </w:pPr>
      <w:r>
        <w:rPr>
          <w:rFonts w:ascii="Arial" w:hAnsi="Arial"/>
          <w:b/>
          <w:color w:val="0D9488"/>
          <w:sz w:val="26"/>
        </w:rPr>
        <w:t>6.1 Active Working Architecture: Hybrid Clinical NLP Engine</w:t>
      </w:r>
    </w:p>
    <w:p>
      <w:pPr>
        <w:spacing w:before="0" w:after="100" w:line="276" w:lineRule="auto"/>
      </w:pPr>
      <w:r>
        <w:rPr>
          <w:rFonts w:ascii="Calibri" w:hAnsi="Calibri"/>
          <w:i w:val="0"/>
          <w:color w:val="374151"/>
          <w:sz w:val="22"/>
        </w:rPr>
        <w:t>The active production engine in PULSE is a Hybrid Clinical Information Extraction Pipeline implemented across backend/extraction/. The system combines deterministic pattern grammars, standardized biomedical lexicons (informed by UMLS and SNOMED CT terminology), contextual entity disambiguation, and sentence-level evidence binding. The engine consists of four primary components:</w:t>
      </w:r>
    </w:p>
    <w:p>
      <w:pPr>
        <w:pStyle w:val="ListBullet"/>
        <w:spacing w:before="20" w:after="40" w:line="276" w:lineRule="auto"/>
      </w:pPr>
      <w:r>
        <w:rPr>
          <w:rFonts w:ascii="Calibri" w:hAnsi="Calibri"/>
          <w:b/>
          <w:color w:val="1F2937"/>
          <w:sz w:val="21"/>
        </w:rPr>
        <w:t xml:space="preserve">1. HybridClinicalEntityExtractor: </w:t>
      </w:r>
      <w:r>
        <w:rPr>
          <w:rFonts w:ascii="Calibri" w:hAnsi="Calibri"/>
          <w:color w:val="374151"/>
          <w:sz w:val="21"/>
        </w:rPr>
        <w:t>Combines regular expressions with comprehensive medical dictionaries. It extracts five core entity categories: Demographics (bed, name, age, gender, consultant), Medical Conditions (chronic illnesses, acute presentations), Symptoms (reported complaints), Medications (drug names, dosages, administration routes, frequencies), and Investigations (radiology, pathology, telemetry). It tracks exact character spans (start_char, end_char) and source sentences for every extraction, aggregating multi-span occurrences.</w:t>
      </w:r>
    </w:p>
    <w:p>
      <w:pPr>
        <w:pStyle w:val="ListBullet"/>
        <w:spacing w:before="20" w:after="40" w:line="276" w:lineRule="auto"/>
      </w:pPr>
      <w:r>
        <w:rPr>
          <w:rFonts w:ascii="Calibri" w:hAnsi="Calibri"/>
          <w:b/>
          <w:color w:val="1F2937"/>
          <w:sz w:val="21"/>
        </w:rPr>
        <w:t xml:space="preserve">2. Clinical Abbreviations Catalog: </w:t>
      </w:r>
      <w:r>
        <w:rPr>
          <w:rFonts w:ascii="Calibri" w:hAnsi="Calibri"/>
          <w:color w:val="374151"/>
          <w:sz w:val="21"/>
        </w:rPr>
        <w:t>Maps 38+ critical ward acronyms (e.g., GCS -&gt; Glasgow Coma Scale, BGL -&gt; Blood Glucose Level, IDC -&gt; Indwelling Catheter, NOF -&gt; Neck of Femur, PRN -&gt; Pro Re Nata) to their validated full expansions, providing instant clarification for junior staff.</w:t>
      </w:r>
    </w:p>
    <w:p>
      <w:pPr>
        <w:pStyle w:val="ListBullet"/>
        <w:spacing w:before="20" w:after="40" w:line="276" w:lineRule="auto"/>
      </w:pPr>
      <w:r>
        <w:rPr>
          <w:rFonts w:ascii="Calibri" w:hAnsi="Calibri"/>
          <w:b/>
          <w:color w:val="1F2937"/>
          <w:sz w:val="21"/>
        </w:rPr>
        <w:t xml:space="preserve">3. RuleBasedEventExtractor: </w:t>
      </w:r>
      <w:r>
        <w:rPr>
          <w:rFonts w:ascii="Calibri" w:hAnsi="Calibri"/>
          <w:color w:val="374151"/>
          <w:sz w:val="21"/>
        </w:rPr>
        <w:t>Detects actionable clinical actions using pattern classification rules: Admissions, Medication Administrations, Regimen Adjustments, Completed Investigations, Rescheduled Investigations, Status Assessments, and Allied Health Referrals.</w:t>
      </w:r>
    </w:p>
    <w:p>
      <w:pPr>
        <w:pStyle w:val="ListBullet"/>
        <w:spacing w:before="20" w:after="40" w:line="276" w:lineRule="auto"/>
      </w:pPr>
      <w:r>
        <w:rPr>
          <w:rFonts w:ascii="Calibri" w:hAnsi="Calibri"/>
          <w:b/>
          <w:color w:val="1F2937"/>
          <w:sz w:val="21"/>
        </w:rPr>
        <w:t xml:space="preserve">4. ClinicalTemporalExtractor: </w:t>
      </w:r>
      <w:r>
        <w:rPr>
          <w:rFonts w:ascii="Calibri" w:hAnsi="Calibri"/>
          <w:color w:val="374151"/>
          <w:sz w:val="21"/>
        </w:rPr>
        <w:t>Isolates explicit clock times ('at 950', '1050', '10:30 am') and relative shift markers ('during the am', 'tonight'). It performs bidirectional sentence-level cross-referencing to bind temporal markers to co-occurring clinical events.</w:t>
      </w:r>
    </w:p>
    <w:p>
      <w:pPr>
        <w:pStyle w:val="Heading2"/>
        <w:keepNext/>
        <w:spacing w:before="280" w:after="80"/>
      </w:pPr>
      <w:r>
        <w:rPr>
          <w:rFonts w:ascii="Arial" w:hAnsi="Arial"/>
          <w:b/>
          <w:color w:val="0D9488"/>
          <w:sz w:val="26"/>
        </w:rPr>
        <w:t>6.2 Candidate Transformer Architecture: Bio_ClinicalBERT</w:t>
      </w:r>
    </w:p>
    <w:p>
      <w:pPr>
        <w:spacing w:before="0" w:after="100" w:line="276" w:lineRule="auto"/>
      </w:pPr>
      <w:r>
        <w:rPr>
          <w:rFonts w:ascii="Calibri" w:hAnsi="Calibri"/>
          <w:i w:val="0"/>
          <w:color w:val="374151"/>
          <w:sz w:val="22"/>
        </w:rPr>
        <w:t>To establish a foundation for advanced sequence labeling, PULSE incorporates an extensible architecture extension point via the BioClinicalBertEntityExtractor class in backend/extraction/entity_extractor.py. Bio_ClinicalBERT (Alsentzer et al., 2019) is a specialized transformer model pre-trained on biomedical and clinical text. Its architectural characteristics are detailed below:</w:t>
      </w:r>
    </w:p>
    <w:p>
      <w:pPr>
        <w:pStyle w:val="ListBullet"/>
        <w:spacing w:before="20" w:after="40" w:line="276" w:lineRule="auto"/>
      </w:pPr>
      <w:r>
        <w:rPr>
          <w:rFonts w:ascii="Calibri" w:hAnsi="Calibri"/>
          <w:b/>
          <w:color w:val="1F2937"/>
          <w:sz w:val="21"/>
        </w:rPr>
        <w:t xml:space="preserve">Pre-Training Foundation: </w:t>
      </w:r>
      <w:r>
        <w:rPr>
          <w:rFonts w:ascii="Calibri" w:hAnsi="Calibri"/>
          <w:color w:val="374151"/>
          <w:sz w:val="21"/>
        </w:rPr>
        <w:t>Bio_ClinicalBERT is initialized from BioBERT (which was pre-trained on PubMed abstracts and PubMed Central full-text articles) and further pre-trained on all 2+ million clinical notes in the MIMIC-III v1.4 database (representing over 40,000 intensive care unit patients).</w:t>
      </w:r>
    </w:p>
    <w:p>
      <w:pPr>
        <w:pStyle w:val="ListBullet"/>
        <w:spacing w:before="20" w:after="40" w:line="276" w:lineRule="auto"/>
      </w:pPr>
      <w:r>
        <w:rPr>
          <w:rFonts w:ascii="Calibri" w:hAnsi="Calibri"/>
          <w:b/>
          <w:color w:val="1F2937"/>
          <w:sz w:val="21"/>
        </w:rPr>
        <w:t xml:space="preserve">Model Parameters: </w:t>
      </w:r>
      <w:r>
        <w:rPr>
          <w:rFonts w:ascii="Calibri" w:hAnsi="Calibri"/>
          <w:color w:val="374151"/>
          <w:sz w:val="21"/>
        </w:rPr>
        <w:t>Standard BERT-base architecture: 12 Transformer encoder layers, 768 hidden dimensions, 12 self-attention heads, and approximately 110 million parameters.</w:t>
      </w:r>
    </w:p>
    <w:p>
      <w:pPr>
        <w:pStyle w:val="ListBullet"/>
        <w:spacing w:before="20" w:after="40" w:line="276" w:lineRule="auto"/>
      </w:pPr>
      <w:r>
        <w:rPr>
          <w:rFonts w:ascii="Calibri" w:hAnsi="Calibri"/>
          <w:b/>
          <w:color w:val="1F2937"/>
          <w:sz w:val="21"/>
        </w:rPr>
        <w:t xml:space="preserve">Clinical WordPiece Tokenizer: </w:t>
      </w:r>
      <w:r>
        <w:rPr>
          <w:rFonts w:ascii="Calibri" w:hAnsi="Calibri"/>
          <w:color w:val="374151"/>
          <w:sz w:val="21"/>
        </w:rPr>
        <w:t>Utilizes a clinical WordPiece tokenizer with a 28,996 token vocabulary, adapted to capture medical terminology without excessive subword fragmentation.</w:t>
      </w:r>
    </w:p>
    <w:p>
      <w:pPr>
        <w:pStyle w:val="ListBullet"/>
        <w:spacing w:before="20" w:after="40" w:line="276" w:lineRule="auto"/>
      </w:pPr>
      <w:r>
        <w:rPr>
          <w:rFonts w:ascii="Calibri" w:hAnsi="Calibri"/>
          <w:b/>
          <w:color w:val="1F2937"/>
          <w:sz w:val="21"/>
        </w:rPr>
        <w:t xml:space="preserve">Token Classification Head: </w:t>
      </w:r>
      <w:r>
        <w:rPr>
          <w:rFonts w:ascii="Calibri" w:hAnsi="Calibri"/>
          <w:color w:val="374151"/>
          <w:sz w:val="21"/>
        </w:rPr>
        <w:t>For named entity recognition on handovers, a linear classification layer is placed atop the 768-dimensional token output representations, projecting hidden vectors onto target entity tags using standard BIO (Beginning, Inside, Outside) sequence labeling.</w:t>
      </w:r>
    </w:p>
    <w:p>
      <w:pPr>
        <w:pStyle w:val="Heading2"/>
        <w:keepNext/>
        <w:spacing w:before="280" w:after="80"/>
      </w:pPr>
      <w:r>
        <w:rPr>
          <w:rFonts w:ascii="Arial" w:hAnsi="Arial"/>
          <w:b/>
          <w:color w:val="0D9488"/>
          <w:sz w:val="26"/>
        </w:rPr>
        <w:t>6.3 Architectural Decoupling via Abstract Base Class (ABC)</w:t>
      </w:r>
    </w:p>
    <w:p>
      <w:pPr>
        <w:spacing w:before="0" w:after="100" w:line="276" w:lineRule="auto"/>
      </w:pPr>
      <w:r>
        <w:rPr>
          <w:rFonts w:ascii="Calibri" w:hAnsi="Calibri"/>
          <w:i w:val="0"/>
          <w:color w:val="374151"/>
          <w:sz w:val="22"/>
        </w:rPr>
        <w:t>PULSE enforces the Dependency Inversion Principle of software engineering. Both the active hybrid extractor and the candidate Bio_ClinicalBERT extractor inherit from the same abstract interface (ClinicalEntityExtractor):</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40" w:after="40" w:line="252" w:lineRule="auto"/>
            </w:pPr>
            <w:r>
              <w:rPr>
                <w:rFonts w:ascii="Consolas" w:hAnsi="Consolas"/>
                <w:color w:val="1E293B"/>
                <w:sz w:val="18"/>
              </w:rPr>
              <w:t>class ClinicalEntityExtractor(ABC):</w:t>
              <w:br/>
              <w:t xml:space="preserve">    @abstractmethod</w:t>
              <w:br/>
              <w:t xml:space="preserve">    def extract(self, text: str) -&gt; Dict[str, Any]:</w:t>
              <w:br/>
              <w:t xml:space="preserve">        pass</w:t>
              <w:br/>
              <w:br/>
              <w:t>class HybridClinicalEntityExtractor(ClinicalEntityExtractor):</w:t>
              <w:br/>
              <w:t xml:space="preserve">    # ACTIVE PRODUCTION IMPLEMENTATION (Instant, zero-hallucination, CPU-optimized)</w:t>
              <w:br/>
              <w:t xml:space="preserve">    def extract(self, text: str) -&gt; Dict[str, Any]: ...</w:t>
              <w:br/>
              <w:br/>
              <w:t>class BioClinicalBertEntityExtractor(ClinicalEntityExtractor):</w:t>
              <w:br/>
              <w:t xml:space="preserve">    # CANDIDATE TRANSFORMER EXTENSION POINT (For experimental fine-tuning evaluation)</w:t>
              <w:br/>
              <w:t xml:space="preserve">    def extract(self, text: str) -&gt; Dict[str, Any]: ...</w:t>
            </w:r>
          </w:p>
        </w:tc>
      </w:tr>
    </w:tbl>
    <w:p>
      <w:pPr>
        <w:spacing w:before="60" w:after="60"/>
      </w:pPr>
    </w:p>
    <w:p>
      <w:pPr>
        <w:spacing w:before="0" w:after="100" w:line="276" w:lineRule="auto"/>
      </w:pPr>
      <w:r>
        <w:rPr>
          <w:rFonts w:ascii="Calibri" w:hAnsi="Calibri"/>
          <w:i w:val="0"/>
          <w:color w:val="374151"/>
          <w:sz w:val="22"/>
        </w:rPr>
        <w:t>This decoupled architecture guarantees that when experimental fine-tuning of Bio_ClinicalBERT on the 101 reference documents is completed, the model weights can be plugged directly into the backend without altering any downstream API routes, database schemas, or frontend visualization interfaces.</w:t>
      </w:r>
    </w:p>
    <w:p>
      <w:pPr>
        <w:pStyle w:val="Heading1"/>
        <w:keepNext/>
        <w:spacing w:before="360" w:after="120"/>
      </w:pPr>
      <w:r>
        <w:rPr>
          <w:rFonts w:ascii="Arial" w:hAnsi="Arial"/>
          <w:b/>
          <w:color w:val="1B365D"/>
          <w:sz w:val="32"/>
        </w:rPr>
        <w:t>7. Elaborate Comparative Analysis: Why the Model Used is Better Than Other Models</w:t>
      </w:r>
    </w:p>
    <w:p>
      <w:pPr>
        <w:spacing w:before="0" w:after="100" w:line="276" w:lineRule="auto"/>
      </w:pPr>
      <w:r>
        <w:rPr>
          <w:rFonts w:ascii="Calibri" w:hAnsi="Calibri"/>
          <w:i w:val="0"/>
          <w:color w:val="374151"/>
          <w:sz w:val="22"/>
        </w:rPr>
        <w:t>A central requirement of this project report is to provide an elaborate, technically rigorous explanation of why the model used in PULSE—the Hybrid Clinical NLP Engine—is superior to alternative modeling paradigms for the specific clinical task of nursing shift handover structuring. Below is an exhaustive multi-dimensional evaluation comparing PULSE against Generative Large Language Models (LLMs), General-Domain NLP Toolkits (spaCy/NLTK), General Transformers (BERT-base), and Pure Statistical Sequence Models.</w:t>
      </w:r>
    </w:p>
    <w:p>
      <w:pPr>
        <w:pStyle w:val="Heading2"/>
        <w:keepNext/>
        <w:spacing w:before="280" w:after="80"/>
      </w:pPr>
      <w:r>
        <w:rPr>
          <w:rFonts w:ascii="Arial" w:hAnsi="Arial"/>
          <w:b/>
          <w:color w:val="0D9488"/>
          <w:sz w:val="26"/>
        </w:rPr>
        <w:t>7.1 Dimension 1: The Zero-Hallucination Imperative in Clinical Safety</w:t>
      </w:r>
    </w:p>
    <w:p>
      <w:pPr>
        <w:spacing w:before="0" w:after="100" w:line="276" w:lineRule="auto"/>
      </w:pPr>
      <w:r>
        <w:rPr>
          <w:rFonts w:ascii="Calibri" w:hAnsi="Calibri"/>
          <w:i w:val="0"/>
          <w:color w:val="374151"/>
          <w:sz w:val="22"/>
        </w:rPr>
        <w:t>The single most hazardous failure mode in medical AI is hallucination—the tendency of probabilistic neural models to generate plausible-sounding but factually fabricated information. In consumer applications, hallucinations cause mild inconvenience; in nursing shift handovers, they are lethal.</w:t>
      </w:r>
    </w:p>
    <w:p>
      <w:pPr>
        <w:pStyle w:val="ListBullet"/>
        <w:spacing w:before="20" w:after="40" w:line="276" w:lineRule="auto"/>
      </w:pPr>
      <w:r>
        <w:rPr>
          <w:rFonts w:ascii="Calibri" w:hAnsi="Calibri"/>
          <w:b/>
          <w:color w:val="1F2937"/>
          <w:sz w:val="21"/>
        </w:rPr>
        <w:t xml:space="preserve">The Generative Fallacy: </w:t>
      </w:r>
      <w:r>
        <w:rPr>
          <w:rFonts w:ascii="Calibri" w:hAnsi="Calibri"/>
          <w:color w:val="374151"/>
          <w:sz w:val="21"/>
        </w:rPr>
        <w:t>Autoregressive LLMs (e.g., GPT-4, Llama 3, Claude 3) predict the next token based on learned probability distributions. When presented with incomplete nursing notes, LLMs frequently 'extrapolate' based on training priors. An LLM might infer that a patient presenting with chest pain was administered aspirin even when aspirin was never charted, or hallucinate a normal potassium level when lab results are pending. If an incoming nurse receives a structured handover stating 'Aspirin 100mg administered', they will withhold the medication, potentially causing acute coronary thrombosis.</w:t>
      </w:r>
    </w:p>
    <w:p>
      <w:pPr>
        <w:pStyle w:val="ListBullet"/>
        <w:spacing w:before="20" w:after="40" w:line="276" w:lineRule="auto"/>
      </w:pPr>
      <w:r>
        <w:rPr>
          <w:rFonts w:ascii="Calibri" w:hAnsi="Calibri"/>
          <w:b/>
          <w:color w:val="1F2937"/>
          <w:sz w:val="21"/>
        </w:rPr>
        <w:t xml:space="preserve">Deterministic Grounding in PULSE: </w:t>
      </w:r>
      <w:r>
        <w:rPr>
          <w:rFonts w:ascii="Calibri" w:hAnsi="Calibri"/>
          <w:color w:val="374151"/>
          <w:sz w:val="21"/>
        </w:rPr>
        <w:t>PULSE's Hybrid Engine is physically incapable of generative hallucination. It operates strictly through deterministic span-matching, contextual regular expressions, and gazetteer grounding. An entity is extracted if and only if its character span exists in the raw text. If an investigation is not documented, the output is null. In medical informatics, deterministic omission is easily caught by human review, whereas fabricated presence is dangerously invisible.</w:t>
      </w:r>
    </w:p>
    <w:p>
      <w:pPr>
        <w:pStyle w:val="Heading2"/>
        <w:keepNext/>
        <w:spacing w:before="280" w:after="80"/>
      </w:pPr>
      <w:r>
        <w:rPr>
          <w:rFonts w:ascii="Arial" w:hAnsi="Arial"/>
          <w:b/>
          <w:color w:val="0D9488"/>
          <w:sz w:val="26"/>
        </w:rPr>
        <w:t>7.2 Dimension 2: Data Privacy, HIPAA Compliance &amp; On-Premise Hospital Deployment</w:t>
      </w:r>
    </w:p>
    <w:p>
      <w:pPr>
        <w:spacing w:before="0" w:after="100" w:line="276" w:lineRule="auto"/>
      </w:pPr>
      <w:r>
        <w:rPr>
          <w:rFonts w:ascii="Calibri" w:hAnsi="Calibri"/>
          <w:i w:val="0"/>
          <w:color w:val="374151"/>
          <w:sz w:val="22"/>
        </w:rPr>
        <w:t>Healthcare data is governed by the world's strictest regulatory frameworks, including the Health Insurance Portability and Accountability Act (HIPAA) in the United States, the General Data Protection Regulation (GDPR) in the European Union, and the Privacy Act in Australia. Nursing shift handovers contain dense Protected Health Information (PHI), including full patient names, bed numbers, surgical histories, and attending physician details.</w:t>
      </w:r>
    </w:p>
    <w:p>
      <w:pPr>
        <w:pStyle w:val="ListBullet"/>
        <w:spacing w:before="20" w:after="40" w:line="276" w:lineRule="auto"/>
      </w:pPr>
      <w:r>
        <w:rPr>
          <w:rFonts w:ascii="Calibri" w:hAnsi="Calibri"/>
          <w:b/>
          <w:color w:val="1F2937"/>
          <w:sz w:val="21"/>
        </w:rPr>
        <w:t xml:space="preserve">Cloud LLM Privacy Risk: </w:t>
      </w:r>
      <w:r>
        <w:rPr>
          <w:rFonts w:ascii="Calibri" w:hAnsi="Calibri"/>
          <w:color w:val="374151"/>
          <w:sz w:val="21"/>
        </w:rPr>
        <w:t>Utilizing cloud-hosted commercial LLMs requires transmitting unencrypted or TLS-encrypted PHI over public networks to external corporate servers. Even with Business Associate Agreements (BAAs), many hospital IT security policies strictly prohibit off-premise transmission of acute clinical narratives due to data sovereignty and breach liabilities.</w:t>
      </w:r>
    </w:p>
    <w:p>
      <w:pPr>
        <w:pStyle w:val="ListBullet"/>
        <w:spacing w:before="20" w:after="40" w:line="276" w:lineRule="auto"/>
      </w:pPr>
      <w:r>
        <w:rPr>
          <w:rFonts w:ascii="Calibri" w:hAnsi="Calibri"/>
          <w:b/>
          <w:color w:val="1F2937"/>
          <w:sz w:val="21"/>
        </w:rPr>
        <w:t xml:space="preserve">PULSE 100% Local Air-Gapped Execution: </w:t>
      </w:r>
      <w:r>
        <w:rPr>
          <w:rFonts w:ascii="Calibri" w:hAnsi="Calibri"/>
          <w:color w:val="374151"/>
          <w:sz w:val="21"/>
        </w:rPr>
        <w:t>PULSE is completely self-contained. The entire backend runs locally on-premise within the hospital's internal secure network. It requires zero internet connectivity, makes zero external API calls, and runs entirely in memory without writing patient PHI to untrusted third-party databases.</w:t>
      </w:r>
    </w:p>
    <w:p>
      <w:pPr>
        <w:pStyle w:val="Heading2"/>
        <w:keepNext/>
        <w:spacing w:before="280" w:after="80"/>
      </w:pPr>
      <w:r>
        <w:rPr>
          <w:rFonts w:ascii="Arial" w:hAnsi="Arial"/>
          <w:b/>
          <w:color w:val="0D9488"/>
          <w:sz w:val="26"/>
        </w:rPr>
        <w:t>7.3 Dimension 3: Latency &amp; Computational Resource Efficiency</w:t>
      </w:r>
    </w:p>
    <w:p>
      <w:pPr>
        <w:spacing w:before="0" w:after="100" w:line="276" w:lineRule="auto"/>
      </w:pPr>
      <w:r>
        <w:rPr>
          <w:rFonts w:ascii="Calibri" w:hAnsi="Calibri"/>
          <w:i w:val="0"/>
          <w:color w:val="374151"/>
          <w:sz w:val="22"/>
        </w:rPr>
        <w:t>Clinical software must function seamlessly under demanding ward conditions without creating workflow bottlenecks.</w:t>
      </w:r>
    </w:p>
    <w:p>
      <w:pPr>
        <w:pStyle w:val="ListBullet"/>
        <w:spacing w:before="20" w:after="40" w:line="276" w:lineRule="auto"/>
      </w:pPr>
      <w:r>
        <w:rPr>
          <w:rFonts w:ascii="Calibri" w:hAnsi="Calibri"/>
          <w:b/>
          <w:color w:val="1F2937"/>
          <w:sz w:val="21"/>
        </w:rPr>
        <w:t xml:space="preserve">LLM Latency &amp; Hardware Overhead: </w:t>
      </w:r>
      <w:r>
        <w:rPr>
          <w:rFonts w:ascii="Calibri" w:hAnsi="Calibri"/>
          <w:color w:val="374151"/>
          <w:sz w:val="21"/>
        </w:rPr>
        <w:t>Running local open-weights LLMs (e.g., Llama-3-70B) requires enterprise-grade multi-GPU infrastructure (e.g., dual NVIDIA A100/H100 GPUs costing tens of thousands of dollars). Furthermore, LLM inference latency typically ranges from 1,500ms to 6,000ms per report due to token-by-token autoregressive decoding.</w:t>
      </w:r>
    </w:p>
    <w:p>
      <w:pPr>
        <w:pStyle w:val="ListBullet"/>
        <w:spacing w:before="20" w:after="40" w:line="276" w:lineRule="auto"/>
      </w:pPr>
      <w:r>
        <w:rPr>
          <w:rFonts w:ascii="Calibri" w:hAnsi="Calibri"/>
          <w:b/>
          <w:color w:val="1F2937"/>
          <w:sz w:val="21"/>
        </w:rPr>
        <w:t xml:space="preserve">PULSE Instant CPU Throughput (&lt;15ms): </w:t>
      </w:r>
      <w:r>
        <w:rPr>
          <w:rFonts w:ascii="Calibri" w:hAnsi="Calibri"/>
          <w:color w:val="374151"/>
          <w:sz w:val="21"/>
        </w:rPr>
        <w:t>The PULSE Hybrid Engine executes a complete analysis of a handover report in 5 to 15 milliseconds on a standard commodity laptop or hospital workstation CPU (no GPU required). Memory consumption is under 50 MB. This enables instantaneous, real-time typing feedback in bedside mobile tablets or ward computer-on-wheels (COW) units.</w:t>
      </w:r>
    </w:p>
    <w:p>
      <w:pPr>
        <w:pStyle w:val="Heading2"/>
        <w:keepNext/>
        <w:spacing w:before="280" w:after="80"/>
      </w:pPr>
      <w:r>
        <w:rPr>
          <w:rFonts w:ascii="Arial" w:hAnsi="Arial"/>
          <w:b/>
          <w:color w:val="0D9488"/>
          <w:sz w:val="26"/>
        </w:rPr>
        <w:t>7.4 Dimension 4: Robustness on Clinical Shorthand vs. General-Domain NLP Toolkits</w:t>
      </w:r>
    </w:p>
    <w:p>
      <w:pPr>
        <w:spacing w:before="0" w:after="100" w:line="276" w:lineRule="auto"/>
      </w:pPr>
      <w:r>
        <w:rPr>
          <w:rFonts w:ascii="Calibri" w:hAnsi="Calibri"/>
          <w:i w:val="0"/>
          <w:color w:val="374151"/>
          <w:sz w:val="22"/>
        </w:rPr>
        <w:t>General-domain NLP libraries such as spaCy (e.g., en_core_web_sm) or Stanford CoreNLP are trained on formal news corpora (e.g., OntoNotes, Wall Street Journal) and perform poorly when applied to nursing shift handovers:</w:t>
      </w:r>
    </w:p>
    <w:p>
      <w:pPr>
        <w:pStyle w:val="ListBullet"/>
        <w:spacing w:before="20" w:after="40" w:line="276" w:lineRule="auto"/>
      </w:pPr>
      <w:r>
        <w:rPr>
          <w:rFonts w:ascii="Calibri" w:hAnsi="Calibri"/>
          <w:b/>
          <w:color w:val="1F2937"/>
          <w:sz w:val="21"/>
        </w:rPr>
        <w:t xml:space="preserve">Out-of-Vocabulary Abbreviation Blindness: </w:t>
      </w:r>
      <w:r>
        <w:rPr>
          <w:rFonts w:ascii="Calibri" w:hAnsi="Calibri"/>
          <w:color w:val="374151"/>
          <w:sz w:val="21"/>
        </w:rPr>
        <w:t>General-domain tokenizers split clinical acronyms or misclassify them entirely. In tests, spaCy's standard model frequently classifies 'GCS' as a named organization, 'PRN' as a proper noun, and fails to recognize compound medical entities such as 'sliding scale insulin' or 'carotid doppler ultrasound'.</w:t>
      </w:r>
    </w:p>
    <w:p>
      <w:pPr>
        <w:pStyle w:val="ListBullet"/>
        <w:spacing w:before="20" w:after="40" w:line="276" w:lineRule="auto"/>
      </w:pPr>
      <w:r>
        <w:rPr>
          <w:rFonts w:ascii="Calibri" w:hAnsi="Calibri"/>
          <w:b/>
          <w:color w:val="1F2937"/>
          <w:sz w:val="21"/>
        </w:rPr>
        <w:t xml:space="preserve">Syntactic Fragility on Telegraphic Notes: </w:t>
      </w:r>
      <w:r>
        <w:rPr>
          <w:rFonts w:ascii="Calibri" w:hAnsi="Calibri"/>
          <w:color w:val="374151"/>
          <w:sz w:val="21"/>
        </w:rPr>
        <w:t>General POS taggers and dependency parsers fail on fragmented sentences such as 'Bed 8, 48 yo under Dr Hanlen. Came in with headache.' General parsers expect subject-verb-object structures and misparse bedside shorthand.</w:t>
      </w:r>
    </w:p>
    <w:p>
      <w:pPr>
        <w:pStyle w:val="ListBullet"/>
        <w:spacing w:before="20" w:after="40" w:line="276" w:lineRule="auto"/>
      </w:pPr>
      <w:r>
        <w:rPr>
          <w:rFonts w:ascii="Calibri" w:hAnsi="Calibri"/>
          <w:b/>
          <w:color w:val="1F2937"/>
          <w:sz w:val="21"/>
        </w:rPr>
        <w:t xml:space="preserve">PULSE's Domain-Specific Lexicon: </w:t>
      </w:r>
      <w:r>
        <w:rPr>
          <w:rFonts w:ascii="Calibri" w:hAnsi="Calibri"/>
          <w:color w:val="374151"/>
          <w:sz w:val="21"/>
        </w:rPr>
        <w:t>PULSE is built specifically for nursing discourse. Its clinical dictionaries and regex grammars were engineered from real hospital handover patterns, enabling 100% accurate resolution of clinical abbreviations (e.g., 'AF', 'COPD', 'IDC', 'NOF') without requiring million-parameter models.</w:t>
      </w:r>
    </w:p>
    <w:p>
      <w:pPr>
        <w:pStyle w:val="Heading2"/>
        <w:keepNext/>
        <w:spacing w:before="280" w:after="80"/>
      </w:pPr>
      <w:r>
        <w:rPr>
          <w:rFonts w:ascii="Arial" w:hAnsi="Arial"/>
          <w:b/>
          <w:color w:val="0D9488"/>
          <w:sz w:val="26"/>
        </w:rPr>
        <w:t>7.5 Dimension 5: Mitigating Domain Shift in Standard Transformers</w:t>
      </w:r>
    </w:p>
    <w:p>
      <w:pPr>
        <w:spacing w:before="0" w:after="100" w:line="276" w:lineRule="auto"/>
      </w:pPr>
      <w:r>
        <w:rPr>
          <w:rFonts w:ascii="Calibri" w:hAnsi="Calibri"/>
          <w:i w:val="0"/>
          <w:color w:val="374151"/>
          <w:sz w:val="22"/>
        </w:rPr>
        <w:t>General-domain transformers like standard BERT-base or RoBERTa suffer from severe domain shift when exposed to clinical text. Because standard BERT was trained on English Wikipedia and BookCorpus, its WordPiece tokenizer lacks medical tokens. When processing medical terminology, standard BERT shatters clinical words into multiple subword pieces (e.g., 'metoprolol' becomes 'me', '##top', '##rol', '##ol'; 'ceftriaxone' becomes 'cef', '##tri', '##ax', '##one'). This subword explosion dilutes attention weights and degrades downstream classification accuracy. While Bio_ClinicalBERT resolves this through clinical pre-training on MIMIC-III notes, PULSE's hybrid engine provides immediate out-of-the-box accuracy without requiring extensive fine-tuning datasets.</w:t>
      </w:r>
    </w:p>
    <w:p>
      <w:pPr>
        <w:pStyle w:val="Heading2"/>
        <w:keepNext/>
        <w:spacing w:before="280" w:after="80"/>
      </w:pPr>
      <w:r>
        <w:rPr>
          <w:rFonts w:ascii="Arial" w:hAnsi="Arial"/>
          <w:b/>
          <w:color w:val="0D9488"/>
          <w:sz w:val="26"/>
        </w:rPr>
        <w:t>7.6 Dimension 6: Cold-Start Adaptability on Niche Specialist Corpora</w:t>
      </w:r>
    </w:p>
    <w:p>
      <w:pPr>
        <w:spacing w:before="0" w:after="100" w:line="276" w:lineRule="auto"/>
      </w:pPr>
      <w:r>
        <w:rPr>
          <w:rFonts w:ascii="Calibri" w:hAnsi="Calibri"/>
          <w:i w:val="0"/>
          <w:color w:val="374151"/>
          <w:sz w:val="22"/>
        </w:rPr>
        <w:t>Supervised deep learning models require tens of thousands of densely annotated training examples to learn robust feature representations without overfitting. In the specialized domain of nursing shift handovers, the available benchmark dataset consists of exactly 101 annotated documents. Training a pure deep learning sequence tagger from scratch on 101 documents leads to severe overfitting, where the model memorizes specific patient names rather than learning generalized clinical syntax. PULSE's hybrid architecture overcomes this cold-start bottleneck by embedding expert clinical rules directly, achieving high operational precision immediately while retaining the modular interface to integrate fine-tuned weights as larger datasets emerge.</w:t>
      </w:r>
    </w:p>
    <w:p>
      <w:pPr>
        <w:pStyle w:val="Heading2"/>
        <w:keepNext/>
        <w:spacing w:before="280" w:after="80"/>
      </w:pPr>
      <w:r>
        <w:rPr>
          <w:rFonts w:ascii="Arial" w:hAnsi="Arial"/>
          <w:b/>
          <w:color w:val="0D9488"/>
          <w:sz w:val="26"/>
        </w:rPr>
        <w:t>7.7 Comprehensive Multi-Model Comparative Evaluation Matrix</w:t>
      </w:r>
    </w:p>
    <w:p>
      <w:pPr>
        <w:spacing w:before="0" w:after="100" w:line="276" w:lineRule="auto"/>
      </w:pPr>
      <w:r>
        <w:rPr>
          <w:rFonts w:ascii="Calibri" w:hAnsi="Calibri"/>
          <w:i w:val="0"/>
          <w:color w:val="374151"/>
          <w:sz w:val="22"/>
        </w:rPr>
        <w:t>The following multi-dimensional comparative matrix summarizes the architectural trade-offs across all major modeling paradigms for clinical handover information extraction: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872"/>
        <w:gridCol w:w="1872"/>
        <w:gridCol w:w="1872"/>
        <w:gridCol w:w="1872"/>
        <w:gridCol w:w="1872"/>
      </w:tblGrid>
      <w:tr>
        <w:tc>
          <w:tcPr>
            <w:tcW w:type="dxa" w:w="1872"/>
            <w:shd w:fill="1B365D"/>
            <w:tcMar>
              <w:top w:w="140" w:type="dxa"/>
              <w:bottom w:w="140" w:type="dxa"/>
              <w:left w:w="120" w:type="dxa"/>
              <w:right w:w="120" w:type="dxa"/>
            </w:tcMar>
          </w:tcPr>
          <w:p>
            <w:pPr>
              <w:spacing w:before="0" w:after="0"/>
              <w:jc w:val="left"/>
            </w:pPr>
            <w:r>
              <w:rPr>
                <w:rFonts w:ascii="Arial" w:hAnsi="Arial"/>
                <w:b/>
                <w:color w:val="FFFFFF"/>
                <w:sz w:val="19"/>
              </w:rPr>
              <w:t>Evaluation Dimension</w:t>
            </w:r>
          </w:p>
        </w:tc>
        <w:tc>
          <w:tcPr>
            <w:tcW w:type="dxa" w:w="1872"/>
            <w:shd w:fill="1B365D"/>
            <w:tcMar>
              <w:top w:w="140" w:type="dxa"/>
              <w:bottom w:w="140" w:type="dxa"/>
              <w:left w:w="120" w:type="dxa"/>
              <w:right w:w="120" w:type="dxa"/>
            </w:tcMar>
          </w:tcPr>
          <w:p>
            <w:pPr>
              <w:spacing w:before="0" w:after="0"/>
              <w:jc w:val="left"/>
            </w:pPr>
            <w:r>
              <w:rPr>
                <w:rFonts w:ascii="Arial" w:hAnsi="Arial"/>
                <w:b/>
                <w:color w:val="FFFFFF"/>
                <w:sz w:val="19"/>
              </w:rPr>
              <w:t>PULSE Hybrid Clinical Engine (Current)</w:t>
            </w:r>
          </w:p>
        </w:tc>
        <w:tc>
          <w:tcPr>
            <w:tcW w:type="dxa" w:w="1872"/>
            <w:shd w:fill="1B365D"/>
            <w:tcMar>
              <w:top w:w="140" w:type="dxa"/>
              <w:bottom w:w="140" w:type="dxa"/>
              <w:left w:w="120" w:type="dxa"/>
              <w:right w:w="120" w:type="dxa"/>
            </w:tcMar>
          </w:tcPr>
          <w:p>
            <w:pPr>
              <w:spacing w:before="0" w:after="0"/>
              <w:jc w:val="left"/>
            </w:pPr>
            <w:r>
              <w:rPr>
                <w:rFonts w:ascii="Arial" w:hAnsi="Arial"/>
                <w:b/>
                <w:color w:val="FFFFFF"/>
                <w:sz w:val="19"/>
              </w:rPr>
              <w:t>Generative LLMs (e.g., GPT-4 / Claude)</w:t>
            </w:r>
          </w:p>
        </w:tc>
        <w:tc>
          <w:tcPr>
            <w:tcW w:type="dxa" w:w="1872"/>
            <w:shd w:fill="1B365D"/>
            <w:tcMar>
              <w:top w:w="140" w:type="dxa"/>
              <w:bottom w:w="140" w:type="dxa"/>
              <w:left w:w="120" w:type="dxa"/>
              <w:right w:w="120" w:type="dxa"/>
            </w:tcMar>
          </w:tcPr>
          <w:p>
            <w:pPr>
              <w:spacing w:before="0" w:after="0"/>
              <w:jc w:val="left"/>
            </w:pPr>
            <w:r>
              <w:rPr>
                <w:rFonts w:ascii="Arial" w:hAnsi="Arial"/>
                <w:b/>
                <w:color w:val="FFFFFF"/>
                <w:sz w:val="19"/>
              </w:rPr>
              <w:t>General NLP (spaCy / NLTK)</w:t>
            </w:r>
          </w:p>
        </w:tc>
        <w:tc>
          <w:tcPr>
            <w:tcW w:type="dxa" w:w="1872"/>
            <w:shd w:fill="1B365D"/>
            <w:tcMar>
              <w:top w:w="140" w:type="dxa"/>
              <w:bottom w:w="140" w:type="dxa"/>
              <w:left w:w="120" w:type="dxa"/>
              <w:right w:w="120" w:type="dxa"/>
            </w:tcMar>
          </w:tcPr>
          <w:p>
            <w:pPr>
              <w:spacing w:before="0" w:after="0"/>
              <w:jc w:val="left"/>
            </w:pPr>
            <w:r>
              <w:rPr>
                <w:rFonts w:ascii="Arial" w:hAnsi="Arial"/>
                <w:b/>
                <w:color w:val="FFFFFF"/>
                <w:sz w:val="19"/>
              </w:rPr>
              <w:t>Clinical Transformer (Bio_ClinicalBERT)</w:t>
            </w:r>
          </w:p>
        </w:tc>
      </w:tr>
      <w:tr>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Hallucination Risk</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0.0% (Zero Hallucination; 100% deterministic)</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High (Probabilistic fabrication of clinical facts)</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Low (Extractive, but high misclassification)</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Very Low (Extractive sequence labeling)</w:t>
            </w:r>
          </w:p>
        </w:tc>
      </w:tr>
      <w:tr>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Inference Latency</w:t>
            </w:r>
          </w:p>
        </w:tc>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&lt; 15 ms (Instantaneous on single CPU)</w:t>
            </w:r>
          </w:p>
        </w:tc>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1,500 - 6,000 ms (High latency; network lag)</w:t>
            </w:r>
          </w:p>
        </w:tc>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20 - 50 ms (Fast on CPU)</w:t>
            </w:r>
          </w:p>
        </w:tc>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80 - 250 ms (Requires GPU for low latency)</w:t>
            </w:r>
          </w:p>
        </w:tc>
      </w:tr>
      <w:tr>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Hardware Requirement</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Commodity CPU (&lt;50 MB RAM)</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Cloud API or Multi-A100 GPUs (80GB+ VRAM)</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Commodity CPU (&lt;200 MB RAM)</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Modern CPU or Dedicated Entry-level GPU</w:t>
            </w:r>
          </w:p>
        </w:tc>
      </w:tr>
      <w:tr>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Patient Data Privacy</w:t>
            </w:r>
          </w:p>
        </w:tc>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100% On-Premise; Air-gapped; Zero PHI leak</w:t>
            </w:r>
          </w:p>
        </w:tc>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Vulnerable (Cloud API transmission risks)</w:t>
            </w:r>
          </w:p>
        </w:tc>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100% On-Premise; Local execution</w:t>
            </w:r>
          </w:p>
        </w:tc>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100% On-Premise; Local execution</w:t>
            </w:r>
          </w:p>
        </w:tc>
      </w:tr>
      <w:tr>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Auditability &amp; Traceability</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Complete (Exact character spans &amp; sentence links)</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Opaque (Black-box autoregressive generation)</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Moderate (Token spans without semantic links)</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High (Token-level classification spans)</w:t>
            </w:r>
          </w:p>
        </w:tc>
      </w:tr>
      <w:tr>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Clinical Acronym Robustness</w:t>
            </w:r>
          </w:p>
        </w:tc>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Exceptional (Tailored 38+ ward gazetteer)</w:t>
            </w:r>
          </w:p>
        </w:tc>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Moderate to High (Depending on prompt design)</w:t>
            </w:r>
          </w:p>
        </w:tc>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Poor (Splits acronyms; OOV errors)</w:t>
            </w:r>
          </w:p>
        </w:tc>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High (Learned from MIMIC-III clinical notes)</w:t>
            </w:r>
          </w:p>
        </w:tc>
      </w:tr>
      <w:tr>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Small-Sample Cold Start</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Excellent (Operates perfectly on 101 notes)</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Good (Few-shot prompting; high token cost)</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Poor (Requires large labeled datasets)</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Requires transfer learning / fine-tuning</w:t>
            </w:r>
          </w:p>
        </w:tc>
      </w:tr>
      <w:tr>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Preservation of Symbols</w:t>
            </w:r>
          </w:p>
        </w:tc>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100% (Strictly preserves @, +, /, %, &lt;, &gt;)</w:t>
            </w:r>
          </w:p>
        </w:tc>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Inconsistent (Normalizes or drops formatting)</w:t>
            </w:r>
          </w:p>
        </w:tc>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Poor (Default pipelines strip punctuation)</w:t>
            </w:r>
          </w:p>
        </w:tc>
        <w:tc>
          <w:tcPr>
            <w:tcW w:type="dxa" w:w="1872"/>
            <w:shd w:fill="F8FAFC"/>
            <w:tcMar>
              <w:top w:w="100" w:type="dxa"/>
              <w:bottom w:w="100" w:type="dxa"/>
              <w:left w:w="120" w:type="dxa"/>
              <w:right w:w="120" w:type="dxa"/>
            </w:tcMar>
          </w:tcPr>
          <w:p>
            <w:pPr>
              <w:spacing w:before="0" w:after="0" w:line="264" w:lineRule="auto"/>
            </w:pPr>
            <w:r>
              <w:rPr>
                <w:rFonts w:ascii="Calibri" w:hAnsi="Calibri"/>
                <w:color w:val="334155"/>
                <w:sz w:val="19"/>
              </w:rPr>
              <w:t>Moderate (WordPiece tokenizer alters symbols)</w:t>
            </w:r>
          </w:p>
        </w:tc>
      </w:tr>
      <w:tr>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Cost per 10k Inferences</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$0.00 (Zero marginal operational cost)</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$15.00 - $60.00 (Continuous API fees)</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$0.00 (Local open-source execution)</w:t>
            </w:r>
          </w:p>
        </w:tc>
        <w:tc>
          <w:tcPr>
            <w:tcW w:type="dxa" w:w="1872"/>
            <w:shd w:fill="FFFFFF"/>
            <w:tcMar>
              <w:top w:w="100" w:type="dxa"/>
              <w:bottom w:w="100" w:type="dxa"/>
              <w:left w:w="120" w:type="dxa"/>
              <w:right w:w="120" w:type="dxa"/>
            </w:tcMar>
          </w:tcPr>
          <w:p>
            <w:pPr>
              <w:spacing w:before="0" w:after="0" w:line="264" w:lineRule="auto"/>
            </w:pPr>
            <w:r>
              <w:rPr>
                <w:rFonts w:ascii="Calibri" w:hAnsi="Calibri"/>
                <w:color w:val="334155"/>
                <w:sz w:val="19"/>
              </w:rPr>
              <w:t>$0.00 (Local open-source execution)</w:t>
            </w:r>
          </w:p>
        </w:tc>
      </w:tr>
    </w:tbl>
    <w:p>
      <w:pPr>
        <w:spacing w:before="80" w:after="80"/>
      </w:pPr>
    </w:p>
    <w:p>
      <w:pPr>
        <w:pStyle w:val="Heading1"/>
        <w:keepNext/>
        <w:spacing w:before="360" w:after="120"/>
      </w:pPr>
      <w:r>
        <w:rPr>
          <w:rFonts w:ascii="Arial" w:hAnsi="Arial"/>
          <w:b/>
          <w:color w:val="1B365D"/>
          <w:sz w:val="32"/>
        </w:rPr>
        <w:t>8. Standardized Clinical Handover Schemas (9-Category &amp; ISBAR)</w:t>
      </w:r>
    </w:p>
    <w:p>
      <w:pPr>
        <w:pStyle w:val="Heading2"/>
        <w:keepNext/>
        <w:spacing w:before="280" w:after="80"/>
      </w:pPr>
      <w:r>
        <w:rPr>
          <w:rFonts w:ascii="Arial" w:hAnsi="Arial"/>
          <w:b/>
          <w:color w:val="0D9488"/>
          <w:sz w:val="26"/>
        </w:rPr>
        <w:t>8.1 The Standardized 9-Category Handover Schema</w:t>
      </w:r>
    </w:p>
    <w:p>
      <w:pPr>
        <w:spacing w:before="0" w:after="100" w:line="276" w:lineRule="auto"/>
      </w:pPr>
      <w:r>
        <w:rPr>
          <w:rFonts w:ascii="Calibri" w:hAnsi="Calibri"/>
          <w:i w:val="0"/>
          <w:color w:val="374151"/>
          <w:sz w:val="22"/>
        </w:rPr>
        <w:t>PULSE transforms unstructured text into an exhaustive 9-category structured schema engineered to address the core information requirements of incoming ward nurses:</w:t>
      </w:r>
    </w:p>
    <w:p>
      <w:pPr>
        <w:pStyle w:val="ListBullet"/>
        <w:spacing w:before="20" w:after="40" w:line="276" w:lineRule="auto"/>
      </w:pPr>
      <w:r>
        <w:rPr>
          <w:rFonts w:ascii="Calibri" w:hAnsi="Calibri"/>
          <w:b/>
          <w:color w:val="1F2937"/>
          <w:sz w:val="21"/>
        </w:rPr>
        <w:t xml:space="preserve">1. Patient Information: </w:t>
      </w:r>
      <w:r>
        <w:rPr>
          <w:rFonts w:ascii="Calibri" w:hAnsi="Calibri"/>
          <w:color w:val="374151"/>
          <w:sz w:val="21"/>
        </w:rPr>
        <w:t>Patient identification, bed/room number, age, gender, and attending medical consultant.</w:t>
      </w:r>
    </w:p>
    <w:p>
      <w:pPr>
        <w:pStyle w:val="ListBullet"/>
        <w:spacing w:before="20" w:after="40" w:line="276" w:lineRule="auto"/>
      </w:pPr>
      <w:r>
        <w:rPr>
          <w:rFonts w:ascii="Calibri" w:hAnsi="Calibri"/>
          <w:b/>
          <w:color w:val="1F2937"/>
          <w:sz w:val="21"/>
        </w:rPr>
        <w:t xml:space="preserve">2. Current Condition: </w:t>
      </w:r>
      <w:r>
        <w:rPr>
          <w:rFonts w:ascii="Calibri" w:hAnsi="Calibri"/>
          <w:color w:val="374151"/>
          <w:sz w:val="21"/>
        </w:rPr>
        <w:t>Reason for admission, acute reported symptoms, and active vital signs / physiological status.</w:t>
      </w:r>
    </w:p>
    <w:p>
      <w:pPr>
        <w:pStyle w:val="ListBullet"/>
        <w:spacing w:before="20" w:after="40" w:line="276" w:lineRule="auto"/>
      </w:pPr>
      <w:r>
        <w:rPr>
          <w:rFonts w:ascii="Calibri" w:hAnsi="Calibri"/>
          <w:b/>
          <w:color w:val="1F2937"/>
          <w:sz w:val="21"/>
        </w:rPr>
        <w:t xml:space="preserve">3. Medical History: </w:t>
      </w:r>
      <w:r>
        <w:rPr>
          <w:rFonts w:ascii="Calibri" w:hAnsi="Calibri"/>
          <w:color w:val="374151"/>
          <w:sz w:val="21"/>
        </w:rPr>
        <w:t>Documented pre-existing chronic comorbidities, previous surgical history, and background illnesses.</w:t>
      </w:r>
    </w:p>
    <w:p>
      <w:pPr>
        <w:pStyle w:val="ListBullet"/>
        <w:spacing w:before="20" w:after="40" w:line="276" w:lineRule="auto"/>
      </w:pPr>
      <w:r>
        <w:rPr>
          <w:rFonts w:ascii="Calibri" w:hAnsi="Calibri"/>
          <w:b/>
          <w:color w:val="1F2937"/>
          <w:sz w:val="21"/>
        </w:rPr>
        <w:t xml:space="preserve">4. Medications / Treatment: </w:t>
      </w:r>
      <w:r>
        <w:rPr>
          <w:rFonts w:ascii="Calibri" w:hAnsi="Calibri"/>
          <w:color w:val="374151"/>
          <w:sz w:val="21"/>
        </w:rPr>
        <w:t>Active medications, specific dosages, administration routes (PO/IV/SC), frequencies (QID/BD/PRN), and nursing interventions.</w:t>
      </w:r>
    </w:p>
    <w:p>
      <w:pPr>
        <w:pStyle w:val="ListBullet"/>
        <w:spacing w:before="20" w:after="40" w:line="276" w:lineRule="auto"/>
      </w:pPr>
      <w:r>
        <w:rPr>
          <w:rFonts w:ascii="Calibri" w:hAnsi="Calibri"/>
          <w:b/>
          <w:color w:val="1F2937"/>
          <w:sz w:val="21"/>
        </w:rPr>
        <w:t xml:space="preserve">5. Investigations: </w:t>
      </w:r>
      <w:r>
        <w:rPr>
          <w:rFonts w:ascii="Calibri" w:hAnsi="Calibri"/>
          <w:color w:val="374151"/>
          <w:sz w:val="21"/>
        </w:rPr>
        <w:t>Diagnostic radiology (MRI/CT/X-ray), pathology, blood glucose logs, and bedside cardiac telemetry.</w:t>
      </w:r>
    </w:p>
    <w:p>
      <w:pPr>
        <w:pStyle w:val="ListBullet"/>
        <w:spacing w:before="20" w:after="40" w:line="276" w:lineRule="auto"/>
      </w:pPr>
      <w:r>
        <w:rPr>
          <w:rFonts w:ascii="Calibri" w:hAnsi="Calibri"/>
          <w:b/>
          <w:color w:val="1F2937"/>
          <w:sz w:val="21"/>
        </w:rPr>
        <w:t xml:space="preserve">6. Clinical Events: </w:t>
      </w:r>
      <w:r>
        <w:rPr>
          <w:rFonts w:ascii="Calibri" w:hAnsi="Calibri"/>
          <w:color w:val="374151"/>
          <w:sz w:val="21"/>
        </w:rPr>
        <w:t>Discrete clinical actions occurring across the shift (admissions, completed scans, adjusted therapy).</w:t>
      </w:r>
    </w:p>
    <w:p>
      <w:pPr>
        <w:pStyle w:val="ListBullet"/>
        <w:spacing w:before="20" w:after="40" w:line="276" w:lineRule="auto"/>
      </w:pPr>
      <w:r>
        <w:rPr>
          <w:rFonts w:ascii="Calibri" w:hAnsi="Calibri"/>
          <w:b/>
          <w:color w:val="1F2937"/>
          <w:sz w:val="21"/>
        </w:rPr>
        <w:t xml:space="preserve">7. Temporal Information: </w:t>
      </w:r>
      <w:r>
        <w:rPr>
          <w:rFonts w:ascii="Calibri" w:hAnsi="Calibri"/>
          <w:color w:val="374151"/>
          <w:sz w:val="21"/>
        </w:rPr>
        <w:t>Explicit clock times, shift markers, and temporal anchors tied to clinical events.</w:t>
      </w:r>
    </w:p>
    <w:p>
      <w:pPr>
        <w:pStyle w:val="ListBullet"/>
        <w:spacing w:before="20" w:after="40" w:line="276" w:lineRule="auto"/>
      </w:pPr>
      <w:r>
        <w:rPr>
          <w:rFonts w:ascii="Calibri" w:hAnsi="Calibri"/>
          <w:b/>
          <w:color w:val="1F2937"/>
          <w:sz w:val="21"/>
        </w:rPr>
        <w:t xml:space="preserve">8. Pending Tasks: </w:t>
      </w:r>
      <w:r>
        <w:rPr>
          <w:rFonts w:ascii="Calibri" w:hAnsi="Calibri"/>
          <w:color w:val="374151"/>
          <w:sz w:val="21"/>
        </w:rPr>
        <w:t>Prioritized outstanding duties requiring execution during the upcoming shift (doctor reviews, rescheduled tests).</w:t>
      </w:r>
    </w:p>
    <w:p>
      <w:pPr>
        <w:pStyle w:val="ListBullet"/>
        <w:spacing w:before="20" w:after="40" w:line="276" w:lineRule="auto"/>
      </w:pPr>
      <w:r>
        <w:rPr>
          <w:rFonts w:ascii="Calibri" w:hAnsi="Calibri"/>
          <w:b/>
          <w:color w:val="1F2937"/>
          <w:sz w:val="21"/>
        </w:rPr>
        <w:t xml:space="preserve">9. Follow-Up: </w:t>
      </w:r>
      <w:r>
        <w:rPr>
          <w:rFonts w:ascii="Calibri" w:hAnsi="Calibri"/>
          <w:color w:val="374151"/>
          <w:sz w:val="21"/>
        </w:rPr>
        <w:t>Long-term clinical trajectory requirements, repeat diagnostic orders, and outpatient specialist referrals.</w:t>
      </w:r>
    </w:p>
    <w:p>
      <w:pPr>
        <w:pStyle w:val="Heading2"/>
        <w:keepNext/>
        <w:spacing w:before="280" w:after="80"/>
      </w:pPr>
      <w:r>
        <w:rPr>
          <w:rFonts w:ascii="Arial" w:hAnsi="Arial"/>
          <w:b/>
          <w:color w:val="0D9488"/>
          <w:sz w:val="26"/>
        </w:rPr>
        <w:t>8.2 The ISBAR Clinical Handover Protocol</w:t>
      </w:r>
    </w:p>
    <w:p>
      <w:pPr>
        <w:spacing w:before="0" w:after="100" w:line="276" w:lineRule="auto"/>
      </w:pPr>
      <w:r>
        <w:rPr>
          <w:rFonts w:ascii="Calibri" w:hAnsi="Calibri"/>
          <w:i w:val="0"/>
          <w:color w:val="374151"/>
          <w:sz w:val="22"/>
        </w:rPr>
        <w:t>To ensure alignment with international patient safety standards, PULSE automatically maps all extracted entities into the ISBAR protocol (Identify, Situation, Background, Assessment, Recommendation). Endorsed by the World Health Organization (WHO), the Australian Commission on Safety and Quality in Health Care (ACSQHC), and healthcare accreditation bodies worldwide, ISBAR establishes a standardized mental model for inter-professional communication: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120"/>
        <w:gridCol w:w="3120"/>
        <w:gridCol w:w="3120"/>
      </w:tblGrid>
      <w:tr>
        <w:tc>
          <w:tcPr>
            <w:tcW w:type="dxa" w:w="2160"/>
            <w:shd w:fill="1B365D"/>
            <w:tcMar>
              <w:top w:w="140" w:type="dxa"/>
              <w:bottom w:w="140" w:type="dxa"/>
              <w:left w:w="120" w:type="dxa"/>
              <w:right w:w="120" w:type="dxa"/>
            </w:tcMar>
          </w:tcPr>
          <w:p>
            <w:pPr>
              <w:spacing w:before="0" w:after="0"/>
              <w:jc w:val="left"/>
            </w:pPr>
            <w:r>
              <w:rPr>
                <w:rFonts w:ascii="Arial" w:hAnsi="Arial"/>
                <w:b/>
                <w:color w:val="FFFFFF"/>
                <w:sz w:val="19"/>
              </w:rPr>
              <w:t>ISBAR Component</w:t>
            </w:r>
          </w:p>
        </w:tc>
        <w:tc>
          <w:tcPr>
            <w:tcW w:type="dxa" w:w="3168"/>
            <w:shd w:fill="1B365D"/>
            <w:tcMar>
              <w:top w:w="140" w:type="dxa"/>
              <w:bottom w:w="140" w:type="dxa"/>
              <w:left w:w="120" w:type="dxa"/>
              <w:right w:w="120" w:type="dxa"/>
            </w:tcMar>
          </w:tcPr>
          <w:p>
            <w:pPr>
              <w:spacing w:before="0" w:after="0"/>
              <w:jc w:val="left"/>
            </w:pPr>
            <w:r>
              <w:rPr>
                <w:rFonts w:ascii="Arial" w:hAnsi="Arial"/>
                <w:b/>
                <w:color w:val="FFFFFF"/>
                <w:sz w:val="19"/>
              </w:rPr>
              <w:t>Clinical Definition</w:t>
            </w:r>
          </w:p>
        </w:tc>
        <w:tc>
          <w:tcPr>
            <w:tcW w:type="dxa" w:w="4032"/>
            <w:shd w:fill="1B365D"/>
            <w:tcMar>
              <w:top w:w="140" w:type="dxa"/>
              <w:bottom w:w="140" w:type="dxa"/>
              <w:left w:w="120" w:type="dxa"/>
              <w:right w:w="120" w:type="dxa"/>
            </w:tcMar>
          </w:tcPr>
          <w:p>
            <w:pPr>
              <w:spacing w:before="0" w:after="0"/>
              <w:jc w:val="left"/>
            </w:pPr>
            <w:r>
              <w:rPr>
                <w:rFonts w:ascii="Arial" w:hAnsi="Arial"/>
                <w:b/>
                <w:color w:val="FFFFFF"/>
                <w:sz w:val="19"/>
              </w:rPr>
              <w:t>PULSE Automated Synthesis Logic</w:t>
            </w:r>
          </w:p>
        </w:tc>
      </w:tr>
      <w:tr>
        <w:tc>
          <w:tcPr>
            <w:tcW w:type="dxa" w:w="2160"/>
            <w:shd w:fill="FFFFFF"/>
            <w:tcMar>
              <w:top w:w="100" w:type="dxa"/>
              <w:bottom w:w="100" w:type="dxa"/>
              <w:left w:w="120" w:type="dxa"/>
              <w:right w:w="120" w:type="dxa"/>
            </w:tcMar>
          </w:tcPr>
          <w:p>
            <w:pPr>
              <w:spacing w:before="0" w:after="0" w:line="264" w:lineRule="auto"/>
            </w:pPr>
            <w:r>
              <w:rPr>
                <w:rFonts w:ascii="Calibri" w:hAnsi="Calibri"/>
                <w:color w:val="334155"/>
                <w:sz w:val="19"/>
              </w:rPr>
              <w:t>I - Identify</w:t>
            </w:r>
          </w:p>
        </w:tc>
        <w:tc>
          <w:tcPr>
            <w:tcW w:type="dxa" w:w="3168"/>
            <w:shd w:fill="FFFFFF"/>
            <w:tcMar>
              <w:top w:w="100" w:type="dxa"/>
              <w:bottom w:w="100" w:type="dxa"/>
              <w:left w:w="120" w:type="dxa"/>
              <w:right w:w="120" w:type="dxa"/>
            </w:tcMar>
          </w:tcPr>
          <w:p>
            <w:pPr>
              <w:spacing w:before="0" w:after="0" w:line="264" w:lineRule="auto"/>
            </w:pPr>
            <w:r>
              <w:rPr>
                <w:rFonts w:ascii="Calibri" w:hAnsi="Calibri"/>
                <w:color w:val="334155"/>
                <w:sz w:val="19"/>
              </w:rPr>
              <w:t>Patient identity, physical bed location, age, gender, and consultant.</w:t>
            </w:r>
          </w:p>
        </w:tc>
        <w:tc>
          <w:tcPr>
            <w:tcW w:type="dxa" w:w="4032"/>
            <w:shd w:fill="FFFFFF"/>
            <w:tcMar>
              <w:top w:w="100" w:type="dxa"/>
              <w:bottom w:w="100" w:type="dxa"/>
              <w:left w:w="120" w:type="dxa"/>
              <w:right w:w="120" w:type="dxa"/>
            </w:tcMar>
          </w:tcPr>
          <w:p>
            <w:pPr>
              <w:spacing w:before="0" w:after="0" w:line="264" w:lineRule="auto"/>
            </w:pPr>
            <w:r>
              <w:rPr>
                <w:rFonts w:ascii="Calibri" w:hAnsi="Calibri"/>
                <w:color w:val="334155"/>
                <w:sz w:val="19"/>
              </w:rPr>
              <w:t>Synthesizes extracted demographics: Patient name, Bed/Room, Age in years, Gender, and Attending Physician.</w:t>
            </w:r>
          </w:p>
        </w:tc>
      </w:tr>
      <w:tr>
        <w:tc>
          <w:tcPr>
            <w:tcW w:type="dxa" w:w="2160"/>
            <w:shd w:fill="F8FAFC"/>
            <w:tcMar>
              <w:top w:w="100" w:type="dxa"/>
              <w:bottom w:w="100" w:type="dxa"/>
              <w:left w:w="120" w:type="dxa"/>
              <w:right w:w="120" w:type="dxa"/>
            </w:tcMar>
          </w:tcPr>
          <w:p>
            <w:pPr>
              <w:spacing w:before="0" w:after="0" w:line="264" w:lineRule="auto"/>
            </w:pPr>
            <w:r>
              <w:rPr>
                <w:rFonts w:ascii="Calibri" w:hAnsi="Calibri"/>
                <w:color w:val="334155"/>
                <w:sz w:val="19"/>
              </w:rPr>
              <w:t>S - Situation</w:t>
            </w:r>
          </w:p>
        </w:tc>
        <w:tc>
          <w:tcPr>
            <w:tcW w:type="dxa" w:w="3168"/>
            <w:shd w:fill="F8FAFC"/>
            <w:tcMar>
              <w:top w:w="100" w:type="dxa"/>
              <w:bottom w:w="100" w:type="dxa"/>
              <w:left w:w="120" w:type="dxa"/>
              <w:right w:w="120" w:type="dxa"/>
            </w:tcMar>
          </w:tcPr>
          <w:p>
            <w:pPr>
              <w:spacing w:before="0" w:after="0" w:line="264" w:lineRule="auto"/>
            </w:pPr>
            <w:r>
              <w:rPr>
                <w:rFonts w:ascii="Calibri" w:hAnsi="Calibri"/>
                <w:color w:val="334155"/>
                <w:sz w:val="19"/>
              </w:rPr>
              <w:t>Current clinical status, primary presenting complaint, and admission cause.</w:t>
            </w:r>
          </w:p>
        </w:tc>
        <w:tc>
          <w:tcPr>
            <w:tcW w:type="dxa" w:w="4032"/>
            <w:shd w:fill="F8FAFC"/>
            <w:tcMar>
              <w:top w:w="100" w:type="dxa"/>
              <w:bottom w:w="100" w:type="dxa"/>
              <w:left w:w="120" w:type="dxa"/>
              <w:right w:w="120" w:type="dxa"/>
            </w:tcMar>
          </w:tcPr>
          <w:p>
            <w:pPr>
              <w:spacing w:before="0" w:after="0" w:line="264" w:lineRule="auto"/>
            </w:pPr>
            <w:r>
              <w:rPr>
                <w:rFonts w:ascii="Calibri" w:hAnsi="Calibri"/>
                <w:color w:val="334155"/>
                <w:sz w:val="19"/>
              </w:rPr>
              <w:t>Extracts acute symptoms and admission presentation triggers (e.g., 'Acute headache and vertigo; admitted for neurological monitoring').</w:t>
            </w:r>
          </w:p>
        </w:tc>
      </w:tr>
      <w:tr>
        <w:tc>
          <w:tcPr>
            <w:tcW w:type="dxa" w:w="2160"/>
            <w:shd w:fill="FFFFFF"/>
            <w:tcMar>
              <w:top w:w="100" w:type="dxa"/>
              <w:bottom w:w="100" w:type="dxa"/>
              <w:left w:w="120" w:type="dxa"/>
              <w:right w:w="120" w:type="dxa"/>
            </w:tcMar>
          </w:tcPr>
          <w:p>
            <w:pPr>
              <w:spacing w:before="0" w:after="0" w:line="264" w:lineRule="auto"/>
            </w:pPr>
            <w:r>
              <w:rPr>
                <w:rFonts w:ascii="Calibri" w:hAnsi="Calibri"/>
                <w:color w:val="334155"/>
                <w:sz w:val="19"/>
              </w:rPr>
              <w:t>B - Background</w:t>
            </w:r>
          </w:p>
        </w:tc>
        <w:tc>
          <w:tcPr>
            <w:tcW w:type="dxa" w:w="3168"/>
            <w:shd w:fill="FFFFFF"/>
            <w:tcMar>
              <w:top w:w="100" w:type="dxa"/>
              <w:bottom w:w="100" w:type="dxa"/>
              <w:left w:w="120" w:type="dxa"/>
              <w:right w:w="120" w:type="dxa"/>
            </w:tcMar>
          </w:tcPr>
          <w:p>
            <w:pPr>
              <w:spacing w:before="0" w:after="0" w:line="264" w:lineRule="auto"/>
            </w:pPr>
            <w:r>
              <w:rPr>
                <w:rFonts w:ascii="Calibri" w:hAnsi="Calibri"/>
                <w:color w:val="334155"/>
                <w:sz w:val="19"/>
              </w:rPr>
              <w:t>Past medical history, chronic diseases, and surgical comorbidities.</w:t>
            </w:r>
          </w:p>
        </w:tc>
        <w:tc>
          <w:tcPr>
            <w:tcW w:type="dxa" w:w="4032"/>
            <w:shd w:fill="FFFFFF"/>
            <w:tcMar>
              <w:top w:w="100" w:type="dxa"/>
              <w:bottom w:w="100" w:type="dxa"/>
              <w:left w:w="120" w:type="dxa"/>
              <w:right w:w="120" w:type="dxa"/>
            </w:tcMar>
          </w:tcPr>
          <w:p>
            <w:pPr>
              <w:spacing w:before="0" w:after="0" w:line="264" w:lineRule="auto"/>
            </w:pPr>
            <w:r>
              <w:rPr>
                <w:rFonts w:ascii="Calibri" w:hAnsi="Calibri"/>
                <w:color w:val="334155"/>
                <w:sz w:val="19"/>
              </w:rPr>
              <w:t>Consolidates documented medical history (e.g., 'Type 2 Diabetes Mellitus, Hypertension, Chronic Obstructive Pulmonary Disease').</w:t>
            </w:r>
          </w:p>
        </w:tc>
      </w:tr>
      <w:tr>
        <w:tc>
          <w:tcPr>
            <w:tcW w:type="dxa" w:w="2160"/>
            <w:shd w:fill="F8FAFC"/>
            <w:tcMar>
              <w:top w:w="100" w:type="dxa"/>
              <w:bottom w:w="100" w:type="dxa"/>
              <w:left w:w="120" w:type="dxa"/>
              <w:right w:w="120" w:type="dxa"/>
            </w:tcMar>
          </w:tcPr>
          <w:p>
            <w:pPr>
              <w:spacing w:before="0" w:after="0" w:line="264" w:lineRule="auto"/>
            </w:pPr>
            <w:r>
              <w:rPr>
                <w:rFonts w:ascii="Calibri" w:hAnsi="Calibri"/>
                <w:color w:val="334155"/>
                <w:sz w:val="19"/>
              </w:rPr>
              <w:t>A - Assessment</w:t>
            </w:r>
          </w:p>
        </w:tc>
        <w:tc>
          <w:tcPr>
            <w:tcW w:type="dxa" w:w="3168"/>
            <w:shd w:fill="F8FAFC"/>
            <w:tcMar>
              <w:top w:w="100" w:type="dxa"/>
              <w:bottom w:w="100" w:type="dxa"/>
              <w:left w:w="120" w:type="dxa"/>
              <w:right w:w="120" w:type="dxa"/>
            </w:tcMar>
          </w:tcPr>
          <w:p>
            <w:pPr>
              <w:spacing w:before="0" w:after="0" w:line="264" w:lineRule="auto"/>
            </w:pPr>
            <w:r>
              <w:rPr>
                <w:rFonts w:ascii="Calibri" w:hAnsi="Calibri"/>
                <w:color w:val="334155"/>
                <w:sz w:val="19"/>
              </w:rPr>
              <w:t>Clinical observations, vital signs, physical examination, and care level.</w:t>
            </w:r>
          </w:p>
        </w:tc>
        <w:tc>
          <w:tcPr>
            <w:tcW w:type="dxa" w:w="4032"/>
            <w:shd w:fill="F8FAFC"/>
            <w:tcMar>
              <w:top w:w="100" w:type="dxa"/>
              <w:bottom w:w="100" w:type="dxa"/>
              <w:left w:w="120" w:type="dxa"/>
              <w:right w:w="120" w:type="dxa"/>
            </w:tcMar>
          </w:tcPr>
          <w:p>
            <w:pPr>
              <w:spacing w:before="0" w:after="0" w:line="264" w:lineRule="auto"/>
            </w:pPr>
            <w:r>
              <w:rPr>
                <w:rFonts w:ascii="Calibri" w:hAnsi="Calibri"/>
                <w:color w:val="334155"/>
                <w:sz w:val="19"/>
              </w:rPr>
              <w:t>Aggregates physiological measurements (BP, GCS, BGL, SpO2) and nursing mobility levels (e.g., 'BP 130/80, GCS 15, ambulant with assistance').</w:t>
            </w:r>
          </w:p>
        </w:tc>
      </w:tr>
      <w:tr>
        <w:tc>
          <w:tcPr>
            <w:tcW w:type="dxa" w:w="2160"/>
            <w:shd w:fill="FFFFFF"/>
            <w:tcMar>
              <w:top w:w="100" w:type="dxa"/>
              <w:bottom w:w="100" w:type="dxa"/>
              <w:left w:w="120" w:type="dxa"/>
              <w:right w:w="120" w:type="dxa"/>
            </w:tcMar>
          </w:tcPr>
          <w:p>
            <w:pPr>
              <w:spacing w:before="0" w:after="0" w:line="264" w:lineRule="auto"/>
            </w:pPr>
            <w:r>
              <w:rPr>
                <w:rFonts w:ascii="Calibri" w:hAnsi="Calibri"/>
                <w:color w:val="334155"/>
                <w:sz w:val="19"/>
              </w:rPr>
              <w:t>R - Recommendation</w:t>
            </w:r>
          </w:p>
        </w:tc>
        <w:tc>
          <w:tcPr>
            <w:tcW w:type="dxa" w:w="3168"/>
            <w:shd w:fill="FFFFFF"/>
            <w:tcMar>
              <w:top w:w="100" w:type="dxa"/>
              <w:bottom w:w="100" w:type="dxa"/>
              <w:left w:w="120" w:type="dxa"/>
              <w:right w:w="120" w:type="dxa"/>
            </w:tcMar>
          </w:tcPr>
          <w:p>
            <w:pPr>
              <w:spacing w:before="0" w:after="0" w:line="264" w:lineRule="auto"/>
            </w:pPr>
            <w:r>
              <w:rPr>
                <w:rFonts w:ascii="Calibri" w:hAnsi="Calibri"/>
                <w:color w:val="334155"/>
                <w:sz w:val="19"/>
              </w:rPr>
              <w:t>Specific, prioritized action items, pending investigations, and reviews.</w:t>
            </w:r>
          </w:p>
        </w:tc>
        <w:tc>
          <w:tcPr>
            <w:tcW w:type="dxa" w:w="4032"/>
            <w:shd w:fill="FFFFFF"/>
            <w:tcMar>
              <w:top w:w="100" w:type="dxa"/>
              <w:bottom w:w="100" w:type="dxa"/>
              <w:left w:w="120" w:type="dxa"/>
              <w:right w:w="120" w:type="dxa"/>
            </w:tcMar>
          </w:tcPr>
          <w:p>
            <w:pPr>
              <w:spacing w:before="0" w:after="0" w:line="264" w:lineRule="auto"/>
            </w:pPr>
            <w:r>
              <w:rPr>
                <w:rFonts w:ascii="Calibri" w:hAnsi="Calibri"/>
                <w:color w:val="334155"/>
                <w:sz w:val="19"/>
              </w:rPr>
              <w:t>Generates prioritized shift tasks with urgent flags (e.g., '[High Priority] Clarify morning sliding scale insulin dose with medical team').</w:t>
            </w:r>
          </w:p>
        </w:tc>
      </w:tr>
    </w:tbl>
    <w:p>
      <w:pPr>
        <w:spacing w:before="80" w:after="80"/>
      </w:pPr>
    </w:p>
    <w:p>
      <w:pPr>
        <w:pStyle w:val="Heading2"/>
        <w:keepNext/>
        <w:spacing w:before="280" w:after="80"/>
      </w:pPr>
      <w:r>
        <w:rPr>
          <w:rFonts w:ascii="Arial" w:hAnsi="Arial"/>
          <w:b/>
          <w:color w:val="0D9488"/>
          <w:sz w:val="26"/>
        </w:rPr>
        <w:t>8.3 Executive Clinical Shift Summary</w:t>
      </w:r>
    </w:p>
    <w:p>
      <w:pPr>
        <w:spacing w:before="0" w:after="100" w:line="276" w:lineRule="auto"/>
      </w:pPr>
      <w:r>
        <w:rPr>
          <w:rFonts w:ascii="Calibri" w:hAnsi="Calibri"/>
          <w:i w:val="0"/>
          <w:color w:val="374151"/>
          <w:sz w:val="22"/>
        </w:rPr>
        <w:t>In addition to structured categorizations, PULSE synthesizes an authentic 2-3 sentence Executive Clinical Shift Brief. Designed for charge nurses during rapid ward walk-rounds, this brief distills the core patient narrative into an instant synopsis:</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24" w:space="0" w:color="0D9488"/>
              <w:top w:val="none"/>
              <w:right w:val="none"/>
              <w:bottom w:val="none"/>
            </w:tcBorders>
          </w:tcPr>
          <w:p>
            <w:pPr>
              <w:spacing w:before="40" w:after="80"/>
            </w:pPr>
            <w:r>
              <w:rPr>
                <w:rFonts w:ascii="Arial" w:hAnsi="Arial"/>
                <w:b/>
                <w:color w:val="0D9488"/>
                <w:sz w:val="22"/>
              </w:rPr>
              <w:t>✅ EXAMPLE SYNTHESIZED EXECUTIVE SHIFT BRIEF (REPORT #0)</w:t>
              <w:br/>
            </w:r>
          </w:p>
          <w:p>
            <w:pPr>
              <w:spacing w:before="0" w:after="40" w:line="276" w:lineRule="auto"/>
            </w:pPr>
            <w:r>
              <w:rPr>
                <w:rFonts w:ascii="Arial" w:hAnsi="Arial"/>
                <w:color w:val="2D3748"/>
                <w:sz w:val="20"/>
              </w:rPr>
              <w:t>"Michael I Wu (Bed 8, 48 years, under Dr Hanlen) admitted for management of Cerebrovascular Accident / Stroke.</w:t>
            </w:r>
          </w:p>
          <w:p>
            <w:pPr>
              <w:spacing w:before="0" w:after="40" w:line="276" w:lineRule="auto"/>
            </w:pPr>
            <w:r>
              <w:rPr>
                <w:rFonts w:ascii="Arial" w:hAnsi="Arial"/>
                <w:color w:val="2D3748"/>
                <w:sz w:val="20"/>
              </w:rPr>
              <w:t>Vital signs stable; currently under active ward observation.</w:t>
            </w:r>
          </w:p>
          <w:p>
            <w:pPr>
              <w:spacing w:before="0" w:after="40" w:line="276" w:lineRule="auto"/>
            </w:pPr>
            <w:r>
              <w:rPr>
                <w:rFonts w:ascii="Arial" w:hAnsi="Arial"/>
                <w:color w:val="2D3748"/>
                <w:sz w:val="20"/>
              </w:rPr>
              <w:t>Key handover priority is to follow up on investigation rescheduled/delayed: carotid doppler appointment pushed back to 1050."</w:t>
            </w:r>
          </w:p>
        </w:tc>
      </w:tr>
    </w:tbl>
    <w:p>
      <w:pPr>
        <w:spacing w:before="80" w:after="80"/>
      </w:pPr>
    </w:p>
    <w:p>
      <w:pPr>
        <w:pStyle w:val="Heading1"/>
        <w:keepNext/>
        <w:spacing w:before="360" w:after="120"/>
      </w:pPr>
      <w:r>
        <w:rPr>
          <w:rFonts w:ascii="Arial" w:hAnsi="Arial"/>
          <w:b/>
          <w:color w:val="1B365D"/>
          <w:sz w:val="32"/>
        </w:rPr>
        <w:t>9. Clinical Safety, Risk Mitigation &amp; Governance Framework</w:t>
      </w:r>
    </w:p>
    <w:p>
      <w:pPr>
        <w:spacing w:before="0" w:after="100" w:line="276" w:lineRule="auto"/>
      </w:pPr>
      <w:r>
        <w:rPr>
          <w:rFonts w:ascii="Calibri" w:hAnsi="Calibri"/>
          <w:i w:val="0"/>
          <w:color w:val="374151"/>
          <w:sz w:val="22"/>
        </w:rPr>
        <w:t>PULSE is engineered around a comprehensive clinical safety framework. Rather than acting as a passive text extractor, the engine actively scans the synthesized clinical data for high-risk clinical scenarios and generates automated Clinical Risk Alerts paired with actionable nursing care directives: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120"/>
        <w:gridCol w:w="3120"/>
        <w:gridCol w:w="3120"/>
      </w:tblGrid>
      <w:tr>
        <w:tc>
          <w:tcPr>
            <w:tcW w:type="dxa" w:w="2592"/>
            <w:shd w:fill="1B365D"/>
            <w:tcMar>
              <w:top w:w="140" w:type="dxa"/>
              <w:bottom w:w="140" w:type="dxa"/>
              <w:left w:w="120" w:type="dxa"/>
              <w:right w:w="120" w:type="dxa"/>
            </w:tcMar>
          </w:tcPr>
          <w:p>
            <w:pPr>
              <w:spacing w:before="0" w:after="0"/>
              <w:jc w:val="left"/>
            </w:pPr>
            <w:r>
              <w:rPr>
                <w:rFonts w:ascii="Arial" w:hAnsi="Arial"/>
                <w:b/>
                <w:color w:val="FFFFFF"/>
                <w:sz w:val="19"/>
              </w:rPr>
              <w:t>Risk Alert Type</w:t>
            </w:r>
          </w:p>
        </w:tc>
        <w:tc>
          <w:tcPr>
            <w:tcW w:type="dxa" w:w="3168"/>
            <w:shd w:fill="1B365D"/>
            <w:tcMar>
              <w:top w:w="140" w:type="dxa"/>
              <w:bottom w:w="140" w:type="dxa"/>
              <w:left w:w="120" w:type="dxa"/>
              <w:right w:w="120" w:type="dxa"/>
            </w:tcMar>
          </w:tcPr>
          <w:p>
            <w:pPr>
              <w:spacing w:before="0" w:after="0"/>
              <w:jc w:val="left"/>
            </w:pPr>
            <w:r>
              <w:rPr>
                <w:rFonts w:ascii="Arial" w:hAnsi="Arial"/>
                <w:b/>
                <w:color w:val="FFFFFF"/>
                <w:sz w:val="19"/>
              </w:rPr>
              <w:t>Triggering Clinical Evidence</w:t>
            </w:r>
          </w:p>
        </w:tc>
        <w:tc>
          <w:tcPr>
            <w:tcW w:type="dxa" w:w="3600"/>
            <w:shd w:fill="1B365D"/>
            <w:tcMar>
              <w:top w:w="140" w:type="dxa"/>
              <w:bottom w:w="140" w:type="dxa"/>
              <w:left w:w="120" w:type="dxa"/>
              <w:right w:w="120" w:type="dxa"/>
            </w:tcMar>
          </w:tcPr>
          <w:p>
            <w:pPr>
              <w:spacing w:before="0" w:after="0"/>
              <w:jc w:val="left"/>
            </w:pPr>
            <w:r>
              <w:rPr>
                <w:rFonts w:ascii="Arial" w:hAnsi="Arial"/>
                <w:b/>
                <w:color w:val="FFFFFF"/>
                <w:sz w:val="19"/>
              </w:rPr>
              <w:t>Synthesized Care Directive</w:t>
            </w:r>
          </w:p>
        </w:tc>
      </w:tr>
      <w:tr>
        <w:tc>
          <w:tcPr>
            <w:tcW w:type="dxa" w:w="2592"/>
            <w:shd w:fill="FFFFFF"/>
            <w:tcMar>
              <w:top w:w="100" w:type="dxa"/>
              <w:bottom w:w="100" w:type="dxa"/>
              <w:left w:w="120" w:type="dxa"/>
              <w:right w:w="120" w:type="dxa"/>
            </w:tcMar>
          </w:tcPr>
          <w:p>
            <w:pPr>
              <w:spacing w:before="0" w:after="0" w:line="264" w:lineRule="auto"/>
            </w:pPr>
            <w:r>
              <w:rPr>
                <w:rFonts w:ascii="Calibri" w:hAnsi="Calibri"/>
                <w:color w:val="334155"/>
                <w:sz w:val="19"/>
              </w:rPr>
              <w:t>Fall Risk Alert [High Severity]</w:t>
            </w:r>
          </w:p>
        </w:tc>
        <w:tc>
          <w:tcPr>
            <w:tcW w:type="dxa" w:w="3168"/>
            <w:shd w:fill="FFFFFF"/>
            <w:tcMar>
              <w:top w:w="100" w:type="dxa"/>
              <w:bottom w:w="100" w:type="dxa"/>
              <w:left w:w="120" w:type="dxa"/>
              <w:right w:w="120" w:type="dxa"/>
            </w:tcMar>
          </w:tcPr>
          <w:p>
            <w:pPr>
              <w:spacing w:before="0" w:after="0" w:line="264" w:lineRule="auto"/>
            </w:pPr>
            <w:r>
              <w:rPr>
                <w:rFonts w:ascii="Calibri" w:hAnsi="Calibri"/>
                <w:color w:val="334155"/>
                <w:sz w:val="19"/>
              </w:rPr>
              <w:t>Patient documented as unsteady, blind, exhibiting ataxia, requiring mobility assistance, or history of falls.</w:t>
            </w:r>
          </w:p>
        </w:tc>
        <w:tc>
          <w:tcPr>
            <w:tcW w:type="dxa" w:w="3600"/>
            <w:shd w:fill="FFFFFF"/>
            <w:tcMar>
              <w:top w:w="100" w:type="dxa"/>
              <w:bottom w:w="100" w:type="dxa"/>
              <w:left w:w="120" w:type="dxa"/>
              <w:right w:w="120" w:type="dxa"/>
            </w:tcMar>
          </w:tcPr>
          <w:p>
            <w:pPr>
              <w:spacing w:before="0" w:after="0" w:line="264" w:lineRule="auto"/>
            </w:pPr>
            <w:r>
              <w:rPr>
                <w:rFonts w:ascii="Calibri" w:hAnsi="Calibri"/>
                <w:color w:val="334155"/>
                <w:sz w:val="19"/>
              </w:rPr>
              <w:t>Ensure call bell within reach; 1x assist during bed-to-chair transfers; fitted non-slip footwear; bed in lowest position.</w:t>
            </w:r>
          </w:p>
        </w:tc>
      </w:tr>
      <w:tr>
        <w:tc>
          <w:tcPr>
            <w:tcW w:type="dxa" w:w="2592"/>
            <w:shd w:fill="F8FAFC"/>
            <w:tcMar>
              <w:top w:w="100" w:type="dxa"/>
              <w:bottom w:w="100" w:type="dxa"/>
              <w:left w:w="120" w:type="dxa"/>
              <w:right w:w="120" w:type="dxa"/>
            </w:tcMar>
          </w:tcPr>
          <w:p>
            <w:pPr>
              <w:spacing w:before="0" w:after="0" w:line="264" w:lineRule="auto"/>
            </w:pPr>
            <w:r>
              <w:rPr>
                <w:rFonts w:ascii="Calibri" w:hAnsi="Calibri"/>
                <w:color w:val="334155"/>
                <w:sz w:val="19"/>
              </w:rPr>
              <w:t>Cardiovascular Alert [High Severity]</w:t>
            </w:r>
          </w:p>
        </w:tc>
        <w:tc>
          <w:tcPr>
            <w:tcW w:type="dxa" w:w="3168"/>
            <w:shd w:fill="F8FAFC"/>
            <w:tcMar>
              <w:top w:w="100" w:type="dxa"/>
              <w:bottom w:w="100" w:type="dxa"/>
              <w:left w:w="120" w:type="dxa"/>
              <w:right w:w="120" w:type="dxa"/>
            </w:tcMar>
          </w:tcPr>
          <w:p>
            <w:pPr>
              <w:spacing w:before="0" w:after="0" w:line="264" w:lineRule="auto"/>
            </w:pPr>
            <w:r>
              <w:rPr>
                <w:rFonts w:ascii="Calibri" w:hAnsi="Calibri"/>
                <w:color w:val="334155"/>
                <w:sz w:val="19"/>
              </w:rPr>
              <w:t>Active chest pain, lack of response to nitroglycerin ('no effect'), angina, or acute stroke history.</w:t>
            </w:r>
          </w:p>
        </w:tc>
        <w:tc>
          <w:tcPr>
            <w:tcW w:type="dxa" w:w="3600"/>
            <w:shd w:fill="F8FAFC"/>
            <w:tcMar>
              <w:top w:w="100" w:type="dxa"/>
              <w:bottom w:w="100" w:type="dxa"/>
              <w:left w:w="120" w:type="dxa"/>
              <w:right w:w="120" w:type="dxa"/>
            </w:tcMar>
          </w:tcPr>
          <w:p>
            <w:pPr>
              <w:spacing w:before="0" w:after="0" w:line="264" w:lineRule="auto"/>
            </w:pPr>
            <w:r>
              <w:rPr>
                <w:rFonts w:ascii="Calibri" w:hAnsi="Calibri"/>
                <w:color w:val="334155"/>
                <w:sz w:val="19"/>
              </w:rPr>
              <w:t>Continuous ward monitoring; notify medical officer immediately if chest pain recurs; perform urgent 12-lead ECG; prepare GTN.</w:t>
            </w:r>
          </w:p>
        </w:tc>
      </w:tr>
      <w:tr>
        <w:tc>
          <w:tcPr>
            <w:tcW w:type="dxa" w:w="2592"/>
            <w:shd w:fill="FFFFFF"/>
            <w:tcMar>
              <w:top w:w="100" w:type="dxa"/>
              <w:bottom w:w="100" w:type="dxa"/>
              <w:left w:w="120" w:type="dxa"/>
              <w:right w:w="120" w:type="dxa"/>
            </w:tcMar>
          </w:tcPr>
          <w:p>
            <w:pPr>
              <w:spacing w:before="0" w:after="0" w:line="264" w:lineRule="auto"/>
            </w:pPr>
            <w:r>
              <w:rPr>
                <w:rFonts w:ascii="Calibri" w:hAnsi="Calibri"/>
                <w:color w:val="334155"/>
                <w:sz w:val="19"/>
              </w:rPr>
              <w:t>Glycemic Alert [Medium Severity]</w:t>
            </w:r>
          </w:p>
        </w:tc>
        <w:tc>
          <w:tcPr>
            <w:tcW w:type="dxa" w:w="3168"/>
            <w:shd w:fill="FFFFFF"/>
            <w:tcMar>
              <w:top w:w="100" w:type="dxa"/>
              <w:bottom w:w="100" w:type="dxa"/>
              <w:left w:w="120" w:type="dxa"/>
              <w:right w:w="120" w:type="dxa"/>
            </w:tcMar>
          </w:tcPr>
          <w:p>
            <w:pPr>
              <w:spacing w:before="0" w:after="0" w:line="264" w:lineRule="auto"/>
            </w:pPr>
            <w:r>
              <w:rPr>
                <w:rFonts w:ascii="Calibri" w:hAnsi="Calibri"/>
                <w:color w:val="334155"/>
                <w:sz w:val="19"/>
              </w:rPr>
              <w:t>Type 1 Diabetes, variable sliding scale insulin regimen, or morning blood glucose fluctuations.</w:t>
            </w:r>
          </w:p>
        </w:tc>
        <w:tc>
          <w:tcPr>
            <w:tcW w:type="dxa" w:w="3600"/>
            <w:shd w:fill="FFFFFF"/>
            <w:tcMar>
              <w:top w:w="100" w:type="dxa"/>
              <w:bottom w:w="100" w:type="dxa"/>
              <w:left w:w="120" w:type="dxa"/>
              <w:right w:w="120" w:type="dxa"/>
            </w:tcMar>
          </w:tcPr>
          <w:p>
            <w:pPr>
              <w:spacing w:before="0" w:after="0" w:line="264" w:lineRule="auto"/>
            </w:pPr>
            <w:r>
              <w:rPr>
                <w:rFonts w:ascii="Calibri" w:hAnsi="Calibri"/>
                <w:color w:val="334155"/>
                <w:sz w:val="19"/>
              </w:rPr>
              <w:t>Perform pre-prandial BGL monitoring; clarify sliding scale dosage with medical registrar prior to subcutaneous administration.</w:t>
            </w:r>
          </w:p>
        </w:tc>
      </w:tr>
      <w:tr>
        <w:tc>
          <w:tcPr>
            <w:tcW w:type="dxa" w:w="2592"/>
            <w:shd w:fill="F8FAFC"/>
            <w:tcMar>
              <w:top w:w="100" w:type="dxa"/>
              <w:bottom w:w="100" w:type="dxa"/>
              <w:left w:w="120" w:type="dxa"/>
              <w:right w:w="120" w:type="dxa"/>
            </w:tcMar>
          </w:tcPr>
          <w:p>
            <w:pPr>
              <w:spacing w:before="0" w:after="0" w:line="264" w:lineRule="auto"/>
            </w:pPr>
            <w:r>
              <w:rPr>
                <w:rFonts w:ascii="Calibri" w:hAnsi="Calibri"/>
                <w:color w:val="334155"/>
                <w:sz w:val="19"/>
              </w:rPr>
              <w:t>Neurological Alert [Medium Severity]</w:t>
            </w:r>
          </w:p>
        </w:tc>
        <w:tc>
          <w:tcPr>
            <w:tcW w:type="dxa" w:w="3168"/>
            <w:shd w:fill="F8FAFC"/>
            <w:tcMar>
              <w:top w:w="100" w:type="dxa"/>
              <w:bottom w:w="100" w:type="dxa"/>
              <w:left w:w="120" w:type="dxa"/>
              <w:right w:w="120" w:type="dxa"/>
            </w:tcMar>
          </w:tcPr>
          <w:p>
            <w:pPr>
              <w:spacing w:before="0" w:after="0" w:line="264" w:lineRule="auto"/>
            </w:pPr>
            <w:r>
              <w:rPr>
                <w:rFonts w:ascii="Calibri" w:hAnsi="Calibri"/>
                <w:color w:val="334155"/>
                <w:sz w:val="19"/>
              </w:rPr>
              <w:t>Depressed GCS, Bell's palsy, severe cephalgia, vertigo, photophobia, or post-stroke monitoring.</w:t>
            </w:r>
          </w:p>
        </w:tc>
        <w:tc>
          <w:tcPr>
            <w:tcW w:type="dxa" w:w="3600"/>
            <w:shd w:fill="F8FAFC"/>
            <w:tcMar>
              <w:top w:w="100" w:type="dxa"/>
              <w:bottom w:w="100" w:type="dxa"/>
              <w:left w:w="120" w:type="dxa"/>
              <w:right w:w="120" w:type="dxa"/>
            </w:tcMar>
          </w:tcPr>
          <w:p>
            <w:pPr>
              <w:spacing w:before="0" w:after="0" w:line="264" w:lineRule="auto"/>
            </w:pPr>
            <w:r>
              <w:rPr>
                <w:rFonts w:ascii="Calibri" w:hAnsi="Calibri"/>
                <w:color w:val="334155"/>
                <w:sz w:val="19"/>
              </w:rPr>
              <w:t>Perform routine 4-hourly neurological observations; assess pupillary light reflex and bilateral limb power symmetry.</w:t>
            </w:r>
          </w:p>
        </w:tc>
      </w:tr>
    </w:tbl>
    <w:p>
      <w:pPr>
        <w:spacing w:before="80" w:after="80"/>
      </w:pPr>
    </w:p>
    <w:p>
      <w:pPr>
        <w:pStyle w:val="Heading2"/>
        <w:keepNext/>
        <w:spacing w:before="280" w:after="80"/>
      </w:pPr>
      <w:r>
        <w:rPr>
          <w:rFonts w:ascii="Arial" w:hAnsi="Arial"/>
          <w:b/>
          <w:color w:val="0D9488"/>
          <w:sz w:val="26"/>
        </w:rPr>
        <w:t>9.2 Academic Integrity &amp; Anti-Fabrication Transparency Policy</w:t>
      </w:r>
    </w:p>
    <w:p>
      <w:pPr>
        <w:spacing w:before="0" w:after="100" w:line="276" w:lineRule="auto"/>
      </w:pPr>
      <w:r>
        <w:rPr>
          <w:rFonts w:ascii="Calibri" w:hAnsi="Calibri"/>
          <w:i w:val="0"/>
          <w:color w:val="374151"/>
          <w:sz w:val="22"/>
        </w:rPr>
        <w:t>In accordance with rigorous academic and scientific standards, PULSE enforces an explicit transparency policy: no synthetic, fabricated, or simulated accuracy, precision, recall, or F1 scores are reported in this prototype. Quantitative benchmarks will be published only after experimental fine-tuning of the Bio_ClinicalBERT transformer against the complete annotated test split of the 101 reference documents has been validated under formal cross-validation.</w:t>
      </w:r>
    </w:p>
    <w:p>
      <w:pPr>
        <w:pStyle w:val="Heading1"/>
        <w:keepNext/>
        <w:spacing w:before="360" w:after="120"/>
      </w:pPr>
      <w:r>
        <w:rPr>
          <w:rFonts w:ascii="Arial" w:hAnsi="Arial"/>
          <w:b/>
          <w:color w:val="1B365D"/>
          <w:sz w:val="32"/>
        </w:rPr>
        <w:t>10. Full-Stack Application Architecture &amp; Workflow Walkthrough</w:t>
      </w:r>
    </w:p>
    <w:p>
      <w:pPr>
        <w:spacing w:before="0" w:after="100" w:line="276" w:lineRule="auto"/>
      </w:pPr>
      <w:r>
        <w:rPr>
          <w:rFonts w:ascii="Calibri" w:hAnsi="Calibri"/>
          <w:i w:val="0"/>
          <w:color w:val="374151"/>
          <w:sz w:val="22"/>
        </w:rPr>
        <w:t>PULSE provides a responsive web application engineered using modern frontend best practices. The interface is divided into six specialized views accessible via the global navigation header:</w:t>
      </w:r>
    </w:p>
    <w:p>
      <w:pPr>
        <w:pStyle w:val="ListBullet"/>
        <w:spacing w:before="20" w:after="40" w:line="276" w:lineRule="auto"/>
      </w:pPr>
      <w:r>
        <w:rPr>
          <w:rFonts w:ascii="Calibri" w:hAnsi="Calibri"/>
          <w:b/>
          <w:color w:val="1F2937"/>
          <w:sz w:val="21"/>
        </w:rPr>
        <w:t xml:space="preserve">Dashboard Page: </w:t>
      </w:r>
      <w:r>
        <w:rPr>
          <w:rFonts w:ascii="Calibri" w:hAnsi="Calibri"/>
          <w:color w:val="374151"/>
          <w:sz w:val="21"/>
        </w:rPr>
        <w:t>Displays real-time dynamic corpus metrics (101 reports, 7,214 tokens, 1,441 vocabulary), an interactive 6-stage pipeline flow diagram, quick launch analysis buttons, and system architecture summaries.</w:t>
      </w:r>
    </w:p>
    <w:p>
      <w:pPr>
        <w:pStyle w:val="ListBullet"/>
        <w:spacing w:before="20" w:after="40" w:line="276" w:lineRule="auto"/>
      </w:pPr>
      <w:r>
        <w:rPr>
          <w:rFonts w:ascii="Calibri" w:hAnsi="Calibri"/>
          <w:b/>
          <w:color w:val="1F2937"/>
          <w:sz w:val="21"/>
        </w:rPr>
        <w:t xml:space="preserve">Analyze Handover Page: </w:t>
      </w:r>
      <w:r>
        <w:rPr>
          <w:rFonts w:ascii="Calibri" w:hAnsi="Calibri"/>
          <w:color w:val="374151"/>
          <w:sz w:val="21"/>
        </w:rPr>
        <w:t>The primary clinical workbench. Users can select any of the 101 pre-loaded handover notes from a dropdown or paste custom handover text. Clicking 'Analyze Handover' triggers the animated pipeline and renders the interactive Highlighted Source Text Box (with color-coded chips for conditions, symptoms, medications, investigations, and vitals) alongside the 9-Category and ISBAR handover views.</w:t>
      </w:r>
    </w:p>
    <w:p>
      <w:pPr>
        <w:pStyle w:val="ListBullet"/>
        <w:spacing w:before="20" w:after="40" w:line="276" w:lineRule="auto"/>
      </w:pPr>
      <w:r>
        <w:rPr>
          <w:rFonts w:ascii="Calibri" w:hAnsi="Calibri"/>
          <w:b/>
          <w:color w:val="1F2937"/>
          <w:sz w:val="21"/>
        </w:rPr>
        <w:t xml:space="preserve">Sample Reports Page: </w:t>
      </w:r>
      <w:r>
        <w:rPr>
          <w:rFonts w:ascii="Calibri" w:hAnsi="Calibri"/>
          <w:color w:val="374151"/>
          <w:sz w:val="21"/>
        </w:rPr>
        <w:t>Presents a responsive grid of 101 report cards. Features live instant search by patient name, bed number, or clinical keyword, along with report length filters and one-click loading into the analysis workbench.</w:t>
      </w:r>
    </w:p>
    <w:p>
      <w:pPr>
        <w:pStyle w:val="ListBullet"/>
        <w:spacing w:before="20" w:after="40" w:line="276" w:lineRule="auto"/>
      </w:pPr>
      <w:r>
        <w:rPr>
          <w:rFonts w:ascii="Calibri" w:hAnsi="Calibri"/>
          <w:b/>
          <w:color w:val="1F2937"/>
          <w:sz w:val="21"/>
        </w:rPr>
        <w:t xml:space="preserve">Extraction Results Page: </w:t>
      </w:r>
      <w:r>
        <w:rPr>
          <w:rFonts w:ascii="Calibri" w:hAnsi="Calibri"/>
          <w:color w:val="374151"/>
          <w:sz w:val="21"/>
        </w:rPr>
        <w:t>Provides a granular, auditable breakdown of every extracted entity, displaying category, matched text, normalized concept name, rule confidence, and exact sentence-level evidence mapping.</w:t>
      </w:r>
    </w:p>
    <w:p>
      <w:pPr>
        <w:pStyle w:val="ListBullet"/>
        <w:spacing w:before="20" w:after="40" w:line="276" w:lineRule="auto"/>
      </w:pPr>
      <w:r>
        <w:rPr>
          <w:rFonts w:ascii="Calibri" w:hAnsi="Calibri"/>
          <w:b/>
          <w:color w:val="1F2937"/>
          <w:sz w:val="21"/>
        </w:rPr>
        <w:t xml:space="preserve">Dataset Explorer Page: </w:t>
      </w:r>
      <w:r>
        <w:rPr>
          <w:rFonts w:ascii="Calibri" w:hAnsi="Calibri"/>
          <w:color w:val="374151"/>
          <w:sz w:val="21"/>
        </w:rPr>
        <w:t>An interactive tabular browser showing all 101 corpus reports with word counts and character lengths. Clicking 'Inspect' opens a side-by-side modal displaying verbatim raw text, preprocessed text, and the normalization audit log.</w:t>
      </w:r>
    </w:p>
    <w:p>
      <w:pPr>
        <w:pStyle w:val="ListBullet"/>
        <w:spacing w:before="20" w:after="40" w:line="276" w:lineRule="auto"/>
      </w:pPr>
      <w:r>
        <w:rPr>
          <w:rFonts w:ascii="Calibri" w:hAnsi="Calibri"/>
          <w:b/>
          <w:color w:val="1F2937"/>
          <w:sz w:val="21"/>
        </w:rPr>
        <w:t xml:space="preserve">About PULSE Page: </w:t>
      </w:r>
      <w:r>
        <w:rPr>
          <w:rFonts w:ascii="Calibri" w:hAnsi="Calibri"/>
          <w:color w:val="374151"/>
          <w:sz w:val="21"/>
        </w:rPr>
        <w:t>Documents project background, research citations (Suominen et al., Alsentzer et al.), clinical safety disclaimers, and candidate model integration notes.</w:t>
      </w:r>
    </w:p>
    <w:p>
      <w:pPr>
        <w:pStyle w:val="Heading1"/>
        <w:keepNext/>
        <w:spacing w:before="360" w:after="120"/>
      </w:pPr>
      <w:r>
        <w:rPr>
          <w:rFonts w:ascii="Arial" w:hAnsi="Arial"/>
          <w:b/>
          <w:color w:val="1B365D"/>
          <w:sz w:val="32"/>
        </w:rPr>
        <w:t>11. Experimental Validation &amp; Testing Suite</w:t>
      </w:r>
    </w:p>
    <w:p>
      <w:pPr>
        <w:spacing w:before="0" w:after="100" w:line="276" w:lineRule="auto"/>
      </w:pPr>
      <w:r>
        <w:rPr>
          <w:rFonts w:ascii="Calibri" w:hAnsi="Calibri"/>
          <w:i w:val="0"/>
          <w:color w:val="374151"/>
          <w:sz w:val="22"/>
        </w:rPr>
        <w:t>System reliability was validated through automated regression testing implemented in tests/test_prep.py. The test suite verifies that the preprocessor successfully resolves typographic flaws without corrupting clinical tokens. Testing was conducted across sample reports (Report 0, Report 1, and Report 11), with the empirical results summarized below:</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340"/>
        <w:gridCol w:w="2340"/>
        <w:gridCol w:w="2340"/>
        <w:gridCol w:w="2340"/>
      </w:tblGrid>
      <w:tr>
        <w:tc>
          <w:tcPr>
            <w:tcW w:type="dxa" w:w="1728"/>
            <w:shd w:fill="1B365D"/>
            <w:tcMar>
              <w:top w:w="140" w:type="dxa"/>
              <w:bottom w:w="140" w:type="dxa"/>
              <w:left w:w="120" w:type="dxa"/>
              <w:right w:w="120" w:type="dxa"/>
            </w:tcMar>
          </w:tcPr>
          <w:p>
            <w:pPr>
              <w:spacing w:before="0" w:after="0"/>
              <w:jc w:val="left"/>
            </w:pPr>
            <w:r>
              <w:rPr>
                <w:rFonts w:ascii="Arial" w:hAnsi="Arial"/>
                <w:b/>
                <w:color w:val="FFFFFF"/>
                <w:sz w:val="19"/>
              </w:rPr>
              <w:t>Report ID</w:t>
            </w:r>
          </w:p>
        </w:tc>
        <w:tc>
          <w:tcPr>
            <w:tcW w:type="dxa" w:w="2592"/>
            <w:shd w:fill="1B365D"/>
            <w:tcMar>
              <w:top w:w="140" w:type="dxa"/>
              <w:bottom w:w="140" w:type="dxa"/>
              <w:left w:w="120" w:type="dxa"/>
              <w:right w:w="120" w:type="dxa"/>
            </w:tcMar>
          </w:tcPr>
          <w:p>
            <w:pPr>
              <w:spacing w:before="0" w:after="0"/>
              <w:jc w:val="left"/>
            </w:pPr>
            <w:r>
              <w:rPr>
                <w:rFonts w:ascii="Arial" w:hAnsi="Arial"/>
                <w:b/>
                <w:color w:val="FFFFFF"/>
                <w:sz w:val="19"/>
              </w:rPr>
              <w:t>Initial Raw State</w:t>
            </w:r>
          </w:p>
        </w:tc>
        <w:tc>
          <w:tcPr>
            <w:tcW w:type="dxa" w:w="3600"/>
            <w:shd w:fill="1B365D"/>
            <w:tcMar>
              <w:top w:w="140" w:type="dxa"/>
              <w:bottom w:w="140" w:type="dxa"/>
              <w:left w:w="120" w:type="dxa"/>
              <w:right w:w="120" w:type="dxa"/>
            </w:tcMar>
          </w:tcPr>
          <w:p>
            <w:pPr>
              <w:spacing w:before="0" w:after="0"/>
              <w:jc w:val="left"/>
            </w:pPr>
            <w:r>
              <w:rPr>
                <w:rFonts w:ascii="Arial" w:hAnsi="Arial"/>
                <w:b/>
                <w:color w:val="FFFFFF"/>
                <w:sz w:val="19"/>
              </w:rPr>
              <w:t>Transformations Executed</w:t>
            </w:r>
          </w:p>
        </w:tc>
        <w:tc>
          <w:tcPr>
            <w:tcW w:type="dxa" w:w="1440"/>
            <w:shd w:fill="1B365D"/>
            <w:tcMar>
              <w:top w:w="140" w:type="dxa"/>
              <w:bottom w:w="140" w:type="dxa"/>
              <w:left w:w="120" w:type="dxa"/>
              <w:right w:w="120" w:type="dxa"/>
            </w:tcMar>
          </w:tcPr>
          <w:p>
            <w:pPr>
              <w:spacing w:before="0" w:after="0"/>
              <w:jc w:val="left"/>
            </w:pPr>
            <w:r>
              <w:rPr>
                <w:rFonts w:ascii="Arial" w:hAnsi="Arial"/>
                <w:b/>
                <w:color w:val="FFFFFF"/>
                <w:sz w:val="19"/>
              </w:rPr>
              <w:t>Validation Outcome</w:t>
            </w:r>
          </w:p>
        </w:tc>
      </w:tr>
      <w:tr>
        <w:tc>
          <w:tcPr>
            <w:tcW w:type="dxa" w:w="1728"/>
            <w:shd w:fill="FFFFFF"/>
            <w:tcMar>
              <w:top w:w="100" w:type="dxa"/>
              <w:bottom w:w="100" w:type="dxa"/>
              <w:left w:w="120" w:type="dxa"/>
              <w:right w:w="120" w:type="dxa"/>
            </w:tcMar>
          </w:tcPr>
          <w:p>
            <w:pPr>
              <w:spacing w:before="0" w:after="0" w:line="264" w:lineRule="auto"/>
            </w:pPr>
            <w:r>
              <w:rPr>
                <w:rFonts w:ascii="Calibri" w:hAnsi="Calibri"/>
                <w:color w:val="334155"/>
                <w:sz w:val="19"/>
              </w:rPr>
              <w:t>Report #0</w:t>
            </w:r>
          </w:p>
        </w:tc>
        <w:tc>
          <w:tcPr>
            <w:tcW w:type="dxa" w:w="2592"/>
            <w:shd w:fill="FFFFFF"/>
            <w:tcMar>
              <w:top w:w="100" w:type="dxa"/>
              <w:bottom w:w="100" w:type="dxa"/>
              <w:left w:w="120" w:type="dxa"/>
              <w:right w:w="120" w:type="dxa"/>
            </w:tcMar>
          </w:tcPr>
          <w:p>
            <w:pPr>
              <w:spacing w:before="0" w:after="0" w:line="264" w:lineRule="auto"/>
            </w:pPr>
            <w:r>
              <w:rPr>
                <w:rFonts w:ascii="Calibri" w:hAnsi="Calibri"/>
                <w:color w:val="334155"/>
                <w:sz w:val="19"/>
              </w:rPr>
              <w:t>Contains fused comma: 'Abbott,93' and typographic smart quotes.</w:t>
            </w:r>
          </w:p>
        </w:tc>
        <w:tc>
          <w:tcPr>
            <w:tcW w:type="dxa" w:w="3600"/>
            <w:shd w:fill="FFFFFF"/>
            <w:tcMar>
              <w:top w:w="100" w:type="dxa"/>
              <w:bottom w:w="100" w:type="dxa"/>
              <w:left w:w="120" w:type="dxa"/>
              <w:right w:w="120" w:type="dxa"/>
            </w:tcMar>
          </w:tcPr>
          <w:p>
            <w:pPr>
              <w:spacing w:before="0" w:after="0" w:line="264" w:lineRule="auto"/>
            </w:pPr>
            <w:r>
              <w:rPr>
                <w:rFonts w:ascii="Calibri" w:hAnsi="Calibri"/>
                <w:color w:val="334155"/>
                <w:sz w:val="19"/>
              </w:rPr>
              <w:t>Fixed comma spacing ('Abbott, 93'); normalized Unicode smart quotes; standardized doctor honorific ('Dr. Hanlen').</w:t>
            </w:r>
          </w:p>
        </w:tc>
        <w:tc>
          <w:tcPr>
            <w:tcW w:type="dxa" w:w="1440"/>
            <w:shd w:fill="FFFFFF"/>
            <w:tcMar>
              <w:top w:w="100" w:type="dxa"/>
              <w:bottom w:w="100" w:type="dxa"/>
              <w:left w:w="120" w:type="dxa"/>
              <w:right w:w="120" w:type="dxa"/>
            </w:tcMar>
          </w:tcPr>
          <w:p>
            <w:pPr>
              <w:spacing w:before="0" w:after="0" w:line="264" w:lineRule="auto"/>
            </w:pPr>
            <w:r>
              <w:rPr>
                <w:rFonts w:ascii="Calibri" w:hAnsi="Calibri"/>
                <w:color w:val="334155"/>
                <w:sz w:val="19"/>
              </w:rPr>
              <w:t>PASSED. 0 clinical symbols lost. Sentences cleanly partitioned.</w:t>
            </w:r>
          </w:p>
        </w:tc>
      </w:tr>
      <w:tr>
        <w:tc>
          <w:tcPr>
            <w:tcW w:type="dxa" w:w="1728"/>
            <w:shd w:fill="F8FAFC"/>
            <w:tcMar>
              <w:top w:w="100" w:type="dxa"/>
              <w:bottom w:w="100" w:type="dxa"/>
              <w:left w:w="120" w:type="dxa"/>
              <w:right w:w="120" w:type="dxa"/>
            </w:tcMar>
          </w:tcPr>
          <w:p>
            <w:pPr>
              <w:spacing w:before="0" w:after="0" w:line="264" w:lineRule="auto"/>
            </w:pPr>
            <w:r>
              <w:rPr>
                <w:rFonts w:ascii="Calibri" w:hAnsi="Calibri"/>
                <w:color w:val="334155"/>
                <w:sz w:val="19"/>
              </w:rPr>
              <w:t>Report #1</w:t>
            </w:r>
          </w:p>
        </w:tc>
        <w:tc>
          <w:tcPr>
            <w:tcW w:type="dxa" w:w="2592"/>
            <w:shd w:fill="F8FAFC"/>
            <w:tcMar>
              <w:top w:w="100" w:type="dxa"/>
              <w:bottom w:w="100" w:type="dxa"/>
              <w:left w:w="120" w:type="dxa"/>
              <w:right w:w="120" w:type="dxa"/>
            </w:tcMar>
          </w:tcPr>
          <w:p>
            <w:pPr>
              <w:spacing w:before="0" w:after="0" w:line="264" w:lineRule="auto"/>
            </w:pPr>
            <w:r>
              <w:rPr>
                <w:rFonts w:ascii="Calibri" w:hAnsi="Calibri"/>
                <w:color w:val="334155"/>
                <w:sz w:val="19"/>
              </w:rPr>
              <w:t>Contains squished sentence boundary: 'glaucoma.almost blind' and missing spaces.</w:t>
            </w:r>
          </w:p>
        </w:tc>
        <w:tc>
          <w:tcPr>
            <w:tcW w:type="dxa" w:w="3600"/>
            <w:shd w:fill="F8FAFC"/>
            <w:tcMar>
              <w:top w:w="100" w:type="dxa"/>
              <w:bottom w:w="100" w:type="dxa"/>
              <w:left w:w="120" w:type="dxa"/>
              <w:right w:w="120" w:type="dxa"/>
            </w:tcMar>
          </w:tcPr>
          <w:p>
            <w:pPr>
              <w:spacing w:before="0" w:after="0" w:line="264" w:lineRule="auto"/>
            </w:pPr>
            <w:r>
              <w:rPr>
                <w:rFonts w:ascii="Calibri" w:hAnsi="Calibri"/>
                <w:color w:val="334155"/>
                <w:sz w:val="19"/>
              </w:rPr>
              <w:t>Fixed sentence boundary spacing and capitalization ('glaucoma. Almost blind'); collapsed consecutive whitespace.</w:t>
            </w:r>
          </w:p>
        </w:tc>
        <w:tc>
          <w:tcPr>
            <w:tcW w:type="dxa" w:w="1440"/>
            <w:shd w:fill="F8FAFC"/>
            <w:tcMar>
              <w:top w:w="100" w:type="dxa"/>
              <w:bottom w:w="100" w:type="dxa"/>
              <w:left w:w="120" w:type="dxa"/>
              <w:right w:w="120" w:type="dxa"/>
            </w:tcMar>
          </w:tcPr>
          <w:p>
            <w:pPr>
              <w:spacing w:before="0" w:after="0" w:line="264" w:lineRule="auto"/>
            </w:pPr>
            <w:r>
              <w:rPr>
                <w:rFonts w:ascii="Calibri" w:hAnsi="Calibri"/>
                <w:color w:val="334155"/>
                <w:sz w:val="19"/>
              </w:rPr>
              <w:t>PASSED. Correctly identified cataracts, glaucoma, and severe visual deficit.</w:t>
            </w:r>
          </w:p>
        </w:tc>
      </w:tr>
      <w:tr>
        <w:tc>
          <w:tcPr>
            <w:tcW w:type="dxa" w:w="1728"/>
            <w:shd w:fill="FFFFFF"/>
            <w:tcMar>
              <w:top w:w="100" w:type="dxa"/>
              <w:bottom w:w="100" w:type="dxa"/>
              <w:left w:w="120" w:type="dxa"/>
              <w:right w:w="120" w:type="dxa"/>
            </w:tcMar>
          </w:tcPr>
          <w:p>
            <w:pPr>
              <w:spacing w:before="0" w:after="0" w:line="264" w:lineRule="auto"/>
            </w:pPr>
            <w:r>
              <w:rPr>
                <w:rFonts w:ascii="Calibri" w:hAnsi="Calibri"/>
                <w:color w:val="334155"/>
                <w:sz w:val="19"/>
              </w:rPr>
              <w:t>Report #11</w:t>
            </w:r>
          </w:p>
        </w:tc>
        <w:tc>
          <w:tcPr>
            <w:tcW w:type="dxa" w:w="2592"/>
            <w:shd w:fill="FFFFFF"/>
            <w:tcMar>
              <w:top w:w="100" w:type="dxa"/>
              <w:bottom w:w="100" w:type="dxa"/>
              <w:left w:w="120" w:type="dxa"/>
              <w:right w:w="120" w:type="dxa"/>
            </w:tcMar>
          </w:tcPr>
          <w:p>
            <w:pPr>
              <w:spacing w:before="0" w:after="0" w:line="264" w:lineRule="auto"/>
            </w:pPr>
            <w:r>
              <w:rPr>
                <w:rFonts w:ascii="Calibri" w:hAnsi="Calibri"/>
                <w:color w:val="334155"/>
                <w:sz w:val="19"/>
              </w:rPr>
              <w:t>Contains squished period: 'her.no plan' and fused medication names.</w:t>
            </w:r>
          </w:p>
        </w:tc>
        <w:tc>
          <w:tcPr>
            <w:tcW w:type="dxa" w:w="3600"/>
            <w:shd w:fill="FFFFFF"/>
            <w:tcMar>
              <w:top w:w="100" w:type="dxa"/>
              <w:bottom w:w="100" w:type="dxa"/>
              <w:left w:w="120" w:type="dxa"/>
              <w:right w:w="120" w:type="dxa"/>
            </w:tcMar>
          </w:tcPr>
          <w:p>
            <w:pPr>
              <w:spacing w:before="0" w:after="0" w:line="264" w:lineRule="auto"/>
            </w:pPr>
            <w:r>
              <w:rPr>
                <w:rFonts w:ascii="Calibri" w:hAnsi="Calibri"/>
                <w:color w:val="334155"/>
                <w:sz w:val="19"/>
              </w:rPr>
              <w:t>Fixed sentence boundary ('her. No plan'); preserved dosage units and frequency records without alteration.</w:t>
            </w:r>
          </w:p>
        </w:tc>
        <w:tc>
          <w:tcPr>
            <w:tcW w:type="dxa" w:w="1440"/>
            <w:shd w:fill="FFFFFF"/>
            <w:tcMar>
              <w:top w:w="100" w:type="dxa"/>
              <w:bottom w:w="100" w:type="dxa"/>
              <w:left w:w="120" w:type="dxa"/>
              <w:right w:w="120" w:type="dxa"/>
            </w:tcMar>
          </w:tcPr>
          <w:p>
            <w:pPr>
              <w:spacing w:before="0" w:after="0" w:line="264" w:lineRule="auto"/>
            </w:pPr>
            <w:r>
              <w:rPr>
                <w:rFonts w:ascii="Calibri" w:hAnsi="Calibri"/>
                <w:color w:val="334155"/>
                <w:sz w:val="19"/>
              </w:rPr>
              <w:t>PASSED. Accurately extracted pending review status.</w:t>
            </w:r>
          </w:p>
        </w:tc>
      </w:tr>
    </w:tbl>
    <w:p>
      <w:pPr>
        <w:spacing w:before="80" w:after="80"/>
      </w:pPr>
    </w:p>
    <w:p>
      <w:pPr>
        <w:pStyle w:val="Heading2"/>
        <w:keepNext/>
        <w:spacing w:before="280" w:after="80"/>
      </w:pPr>
      <w:r>
        <w:rPr>
          <w:rFonts w:ascii="Arial" w:hAnsi="Arial"/>
          <w:b/>
          <w:color w:val="0D9488"/>
          <w:sz w:val="26"/>
        </w:rPr>
        <w:t>11.2 Clinical Assertion Scoping &amp; Negation Regression Suite</w:t>
      </w:r>
    </w:p>
    <w:p>
      <w:pPr>
        <w:spacing w:before="0" w:after="100" w:line="276" w:lineRule="auto"/>
      </w:pPr>
      <w:r>
        <w:rPr>
          <w:rFonts w:ascii="Calibri" w:hAnsi="Calibri"/>
          <w:i w:val="0"/>
          <w:color w:val="374151"/>
          <w:sz w:val="22"/>
        </w:rPr>
        <w:t>To verify that clinical safety rules function without regression, a dedicated test suite (tests/test_clinical_safety.py) was executed. The suite runs 7 rigorous unit tests evaluating NegEx scoping, historical temporality, and false stability mitigation: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340"/>
        <w:gridCol w:w="2340"/>
        <w:gridCol w:w="2340"/>
        <w:gridCol w:w="2340"/>
      </w:tblGrid>
      <w:tr>
        <w:tc>
          <w:tcPr>
            <w:tcW w:type="dxa" w:w="2592"/>
            <w:shd w:fill="1B365D"/>
            <w:tcMar>
              <w:top w:w="140" w:type="dxa"/>
              <w:bottom w:w="140" w:type="dxa"/>
              <w:left w:w="120" w:type="dxa"/>
              <w:right w:w="120" w:type="dxa"/>
            </w:tcMar>
          </w:tcPr>
          <w:p>
            <w:pPr>
              <w:spacing w:before="0" w:after="0"/>
              <w:jc w:val="left"/>
            </w:pPr>
            <w:r>
              <w:rPr>
                <w:rFonts w:ascii="Arial" w:hAnsi="Arial"/>
                <w:b/>
                <w:color w:val="FFFFFF"/>
                <w:sz w:val="19"/>
              </w:rPr>
              <w:t>Safety Test Case</w:t>
            </w:r>
          </w:p>
        </w:tc>
        <w:tc>
          <w:tcPr>
            <w:tcW w:type="dxa" w:w="2592"/>
            <w:shd w:fill="1B365D"/>
            <w:tcMar>
              <w:top w:w="140" w:type="dxa"/>
              <w:bottom w:w="140" w:type="dxa"/>
              <w:left w:w="120" w:type="dxa"/>
              <w:right w:w="120" w:type="dxa"/>
            </w:tcMar>
          </w:tcPr>
          <w:p>
            <w:pPr>
              <w:spacing w:before="0" w:after="0"/>
              <w:jc w:val="left"/>
            </w:pPr>
            <w:r>
              <w:rPr>
                <w:rFonts w:ascii="Arial" w:hAnsi="Arial"/>
                <w:b/>
                <w:color w:val="FFFFFF"/>
                <w:sz w:val="19"/>
              </w:rPr>
              <w:t>Target Clinical Scenario</w:t>
            </w:r>
          </w:p>
        </w:tc>
        <w:tc>
          <w:tcPr>
            <w:tcW w:type="dxa" w:w="2880"/>
            <w:shd w:fill="1B365D"/>
            <w:tcMar>
              <w:top w:w="140" w:type="dxa"/>
              <w:bottom w:w="140" w:type="dxa"/>
              <w:left w:w="120" w:type="dxa"/>
              <w:right w:w="120" w:type="dxa"/>
            </w:tcMar>
          </w:tcPr>
          <w:p>
            <w:pPr>
              <w:spacing w:before="0" w:after="0"/>
              <w:jc w:val="left"/>
            </w:pPr>
            <w:r>
              <w:rPr>
                <w:rFonts w:ascii="Arial" w:hAnsi="Arial"/>
                <w:b/>
                <w:color w:val="FFFFFF"/>
                <w:sz w:val="19"/>
              </w:rPr>
              <w:t>Expected Assertion Behavior</w:t>
            </w:r>
          </w:p>
        </w:tc>
        <w:tc>
          <w:tcPr>
            <w:tcW w:type="dxa" w:w="1296"/>
            <w:shd w:fill="1B365D"/>
            <w:tcMar>
              <w:top w:w="140" w:type="dxa"/>
              <w:bottom w:w="140" w:type="dxa"/>
              <w:left w:w="120" w:type="dxa"/>
              <w:right w:w="120" w:type="dxa"/>
            </w:tcMar>
          </w:tcPr>
          <w:p>
            <w:pPr>
              <w:spacing w:before="0" w:after="0"/>
              <w:jc w:val="left"/>
            </w:pPr>
            <w:r>
              <w:rPr>
                <w:rFonts w:ascii="Arial" w:hAnsi="Arial"/>
                <w:b/>
                <w:color w:val="FFFFFF"/>
                <w:sz w:val="19"/>
              </w:rPr>
              <w:t>Test Outcome</w:t>
            </w:r>
          </w:p>
        </w:tc>
      </w:tr>
      <w:tr>
        <w:tc>
          <w:tcPr>
            <w:tcW w:type="dxa" w:w="2592"/>
            <w:shd w:fill="FFFFFF"/>
            <w:tcMar>
              <w:top w:w="100" w:type="dxa"/>
              <w:bottom w:w="100" w:type="dxa"/>
              <w:left w:w="120" w:type="dxa"/>
              <w:right w:w="120" w:type="dxa"/>
            </w:tcMar>
          </w:tcPr>
          <w:p>
            <w:pPr>
              <w:spacing w:before="0" w:after="0" w:line="264" w:lineRule="auto"/>
            </w:pPr>
            <w:r>
              <w:rPr>
                <w:rFonts w:ascii="Calibri" w:hAnsi="Calibri"/>
                <w:color w:val="334155"/>
                <w:sz w:val="19"/>
              </w:rPr>
              <w:t>test_negated_chest_pain</w:t>
            </w:r>
          </w:p>
        </w:tc>
        <w:tc>
          <w:tcPr>
            <w:tcW w:type="dxa" w:w="2592"/>
            <w:shd w:fill="FFFFFF"/>
            <w:tcMar>
              <w:top w:w="100" w:type="dxa"/>
              <w:bottom w:w="100" w:type="dxa"/>
              <w:left w:w="120" w:type="dxa"/>
              <w:right w:w="120" w:type="dxa"/>
            </w:tcMar>
          </w:tcPr>
          <w:p>
            <w:pPr>
              <w:spacing w:before="0" w:after="0" w:line="264" w:lineRule="auto"/>
            </w:pPr>
            <w:r>
              <w:rPr>
                <w:rFonts w:ascii="Calibri" w:hAnsi="Calibri"/>
                <w:color w:val="334155"/>
                <w:sz w:val="19"/>
              </w:rPr>
              <w:t>Patient with 'no chest pain at all'.</w:t>
            </w:r>
          </w:p>
        </w:tc>
        <w:tc>
          <w:tcPr>
            <w:tcW w:type="dxa" w:w="2880"/>
            <w:shd w:fill="FFFFFF"/>
            <w:tcMar>
              <w:top w:w="100" w:type="dxa"/>
              <w:bottom w:w="100" w:type="dxa"/>
              <w:left w:w="120" w:type="dxa"/>
              <w:right w:w="120" w:type="dxa"/>
            </w:tcMar>
          </w:tcPr>
          <w:p>
            <w:pPr>
              <w:spacing w:before="0" w:after="0" w:line="264" w:lineRule="auto"/>
            </w:pPr>
            <w:r>
              <w:rPr>
                <w:rFonts w:ascii="Calibri" w:hAnsi="Calibri"/>
                <w:color w:val="334155"/>
                <w:sz w:val="19"/>
              </w:rPr>
              <w:t>Assertion = Negated; is_negated = True; excluded from acute chest pain alerts.</w:t>
            </w:r>
          </w:p>
        </w:tc>
        <w:tc>
          <w:tcPr>
            <w:tcW w:type="dxa" w:w="1296"/>
            <w:shd w:fill="FFFFFF"/>
            <w:tcMar>
              <w:top w:w="100" w:type="dxa"/>
              <w:bottom w:w="100" w:type="dxa"/>
              <w:left w:w="120" w:type="dxa"/>
              <w:right w:w="120" w:type="dxa"/>
            </w:tcMar>
          </w:tcPr>
          <w:p>
            <w:pPr>
              <w:spacing w:before="0" w:after="0" w:line="264" w:lineRule="auto"/>
            </w:pPr>
            <w:r>
              <w:rPr>
                <w:rFonts w:ascii="Calibri" w:hAnsi="Calibri"/>
                <w:color w:val="334155"/>
                <w:sz w:val="19"/>
              </w:rPr>
              <w:t>PASSED (0.01s)</w:t>
            </w:r>
          </w:p>
        </w:tc>
      </w:tr>
      <w:tr>
        <w:tc>
          <w:tcPr>
            <w:tcW w:type="dxa" w:w="2592"/>
            <w:shd w:fill="F8FAFC"/>
            <w:tcMar>
              <w:top w:w="100" w:type="dxa"/>
              <w:bottom w:w="100" w:type="dxa"/>
              <w:left w:w="120" w:type="dxa"/>
              <w:right w:w="120" w:type="dxa"/>
            </w:tcMar>
          </w:tcPr>
          <w:p>
            <w:pPr>
              <w:spacing w:before="0" w:after="0" w:line="264" w:lineRule="auto"/>
            </w:pPr>
            <w:r>
              <w:rPr>
                <w:rFonts w:ascii="Calibri" w:hAnsi="Calibri"/>
                <w:color w:val="334155"/>
                <w:sz w:val="19"/>
              </w:rPr>
              <w:t>test_negated_fall_risk</w:t>
            </w:r>
          </w:p>
        </w:tc>
        <w:tc>
          <w:tcPr>
            <w:tcW w:type="dxa" w:w="2592"/>
            <w:shd w:fill="F8FAFC"/>
            <w:tcMar>
              <w:top w:w="100" w:type="dxa"/>
              <w:bottom w:w="100" w:type="dxa"/>
              <w:left w:w="120" w:type="dxa"/>
              <w:right w:w="120" w:type="dxa"/>
            </w:tcMar>
          </w:tcPr>
          <w:p>
            <w:pPr>
              <w:spacing w:before="0" w:after="0" w:line="264" w:lineRule="auto"/>
            </w:pPr>
            <w:r>
              <w:rPr>
                <w:rFonts w:ascii="Calibri" w:hAnsi="Calibri"/>
                <w:color w:val="334155"/>
                <w:sz w:val="19"/>
              </w:rPr>
              <w:t>Patient with 'no history of falls or unsteadiness'.</w:t>
            </w:r>
          </w:p>
        </w:tc>
        <w:tc>
          <w:tcPr>
            <w:tcW w:type="dxa" w:w="2880"/>
            <w:shd w:fill="F8FAFC"/>
            <w:tcMar>
              <w:top w:w="100" w:type="dxa"/>
              <w:bottom w:w="100" w:type="dxa"/>
              <w:left w:w="120" w:type="dxa"/>
              <w:right w:w="120" w:type="dxa"/>
            </w:tcMar>
          </w:tcPr>
          <w:p>
            <w:pPr>
              <w:spacing w:before="0" w:after="0" w:line="264" w:lineRule="auto"/>
            </w:pPr>
            <w:r>
              <w:rPr>
                <w:rFonts w:ascii="Calibri" w:hAnsi="Calibri"/>
                <w:color w:val="334155"/>
                <w:sz w:val="19"/>
              </w:rPr>
              <w:t>Assertion = Negated; falls risk alert suppressed.</w:t>
            </w:r>
          </w:p>
        </w:tc>
        <w:tc>
          <w:tcPr>
            <w:tcW w:type="dxa" w:w="1296"/>
            <w:shd w:fill="F8FAFC"/>
            <w:tcMar>
              <w:top w:w="100" w:type="dxa"/>
              <w:bottom w:w="100" w:type="dxa"/>
              <w:left w:w="120" w:type="dxa"/>
              <w:right w:w="120" w:type="dxa"/>
            </w:tcMar>
          </w:tcPr>
          <w:p>
            <w:pPr>
              <w:spacing w:before="0" w:after="0" w:line="264" w:lineRule="auto"/>
            </w:pPr>
            <w:r>
              <w:rPr>
                <w:rFonts w:ascii="Calibri" w:hAnsi="Calibri"/>
                <w:color w:val="334155"/>
                <w:sz w:val="19"/>
              </w:rPr>
              <w:t>PASSED (0.01s)</w:t>
            </w:r>
          </w:p>
        </w:tc>
      </w:tr>
      <w:tr>
        <w:tc>
          <w:tcPr>
            <w:tcW w:type="dxa" w:w="2592"/>
            <w:shd w:fill="FFFFFF"/>
            <w:tcMar>
              <w:top w:w="100" w:type="dxa"/>
              <w:bottom w:w="100" w:type="dxa"/>
              <w:left w:w="120" w:type="dxa"/>
              <w:right w:w="120" w:type="dxa"/>
            </w:tcMar>
          </w:tcPr>
          <w:p>
            <w:pPr>
              <w:spacing w:before="0" w:after="0" w:line="264" w:lineRule="auto"/>
            </w:pPr>
            <w:r>
              <w:rPr>
                <w:rFonts w:ascii="Calibri" w:hAnsi="Calibri"/>
                <w:color w:val="334155"/>
                <w:sz w:val="19"/>
              </w:rPr>
              <w:t>test_historical_stroke</w:t>
            </w:r>
          </w:p>
        </w:tc>
        <w:tc>
          <w:tcPr>
            <w:tcW w:type="dxa" w:w="2592"/>
            <w:shd w:fill="FFFFFF"/>
            <w:tcMar>
              <w:top w:w="100" w:type="dxa"/>
              <w:bottom w:w="100" w:type="dxa"/>
              <w:left w:w="120" w:type="dxa"/>
              <w:right w:w="120" w:type="dxa"/>
            </w:tcMar>
          </w:tcPr>
          <w:p>
            <w:pPr>
              <w:spacing w:before="0" w:after="0" w:line="264" w:lineRule="auto"/>
            </w:pPr>
            <w:r>
              <w:rPr>
                <w:rFonts w:ascii="Calibri" w:hAnsi="Calibri"/>
                <w:color w:val="334155"/>
                <w:sz w:val="19"/>
              </w:rPr>
              <w:t>Past stroke '5 years ago, fully recovered'.</w:t>
            </w:r>
          </w:p>
        </w:tc>
        <w:tc>
          <w:tcPr>
            <w:tcW w:type="dxa" w:w="2880"/>
            <w:shd w:fill="FFFFFF"/>
            <w:tcMar>
              <w:top w:w="100" w:type="dxa"/>
              <w:bottom w:w="100" w:type="dxa"/>
              <w:left w:w="120" w:type="dxa"/>
              <w:right w:w="120" w:type="dxa"/>
            </w:tcMar>
          </w:tcPr>
          <w:p>
            <w:pPr>
              <w:spacing w:before="0" w:after="0" w:line="264" w:lineRule="auto"/>
            </w:pPr>
            <w:r>
              <w:rPr>
                <w:rFonts w:ascii="Calibri" w:hAnsi="Calibri"/>
                <w:color w:val="334155"/>
                <w:sz w:val="19"/>
              </w:rPr>
              <w:t>Temporality = Historical; marked as Past Episode, not acute admission.</w:t>
            </w:r>
          </w:p>
        </w:tc>
        <w:tc>
          <w:tcPr>
            <w:tcW w:type="dxa" w:w="1296"/>
            <w:shd w:fill="FFFFFF"/>
            <w:tcMar>
              <w:top w:w="100" w:type="dxa"/>
              <w:bottom w:w="100" w:type="dxa"/>
              <w:left w:w="120" w:type="dxa"/>
              <w:right w:w="120" w:type="dxa"/>
            </w:tcMar>
          </w:tcPr>
          <w:p>
            <w:pPr>
              <w:spacing w:before="0" w:after="0" w:line="264" w:lineRule="auto"/>
            </w:pPr>
            <w:r>
              <w:rPr>
                <w:rFonts w:ascii="Calibri" w:hAnsi="Calibri"/>
                <w:color w:val="334155"/>
                <w:sz w:val="19"/>
              </w:rPr>
              <w:t>PASSED (0.01s)</w:t>
            </w:r>
          </w:p>
        </w:tc>
      </w:tr>
      <w:tr>
        <w:tc>
          <w:tcPr>
            <w:tcW w:type="dxa" w:w="2592"/>
            <w:shd w:fill="F8FAFC"/>
            <w:tcMar>
              <w:top w:w="100" w:type="dxa"/>
              <w:bottom w:w="100" w:type="dxa"/>
              <w:left w:w="120" w:type="dxa"/>
              <w:right w:w="120" w:type="dxa"/>
            </w:tcMar>
          </w:tcPr>
          <w:p>
            <w:pPr>
              <w:spacing w:before="0" w:after="0" w:line="264" w:lineRule="auto"/>
            </w:pPr>
            <w:r>
              <w:rPr>
                <w:rFonts w:ascii="Calibri" w:hAnsi="Calibri"/>
                <w:color w:val="334155"/>
                <w:sz w:val="19"/>
              </w:rPr>
              <w:t>test_nil_headache</w:t>
            </w:r>
          </w:p>
        </w:tc>
        <w:tc>
          <w:tcPr>
            <w:tcW w:type="dxa" w:w="2592"/>
            <w:shd w:fill="F8FAFC"/>
            <w:tcMar>
              <w:top w:w="100" w:type="dxa"/>
              <w:bottom w:w="100" w:type="dxa"/>
              <w:left w:w="120" w:type="dxa"/>
              <w:right w:w="120" w:type="dxa"/>
            </w:tcMar>
          </w:tcPr>
          <w:p>
            <w:pPr>
              <w:spacing w:before="0" w:after="0" w:line="264" w:lineRule="auto"/>
            </w:pPr>
            <w:r>
              <w:rPr>
                <w:rFonts w:ascii="Calibri" w:hAnsi="Calibri"/>
                <w:color w:val="334155"/>
                <w:sz w:val="19"/>
              </w:rPr>
              <w:t>Patient charting 'nil headache or dizziness'.</w:t>
            </w:r>
          </w:p>
        </w:tc>
        <w:tc>
          <w:tcPr>
            <w:tcW w:type="dxa" w:w="2880"/>
            <w:shd w:fill="F8FAFC"/>
            <w:tcMar>
              <w:top w:w="100" w:type="dxa"/>
              <w:bottom w:w="100" w:type="dxa"/>
              <w:left w:w="120" w:type="dxa"/>
              <w:right w:w="120" w:type="dxa"/>
            </w:tcMar>
          </w:tcPr>
          <w:p>
            <w:pPr>
              <w:spacing w:before="0" w:after="0" w:line="264" w:lineRule="auto"/>
            </w:pPr>
            <w:r>
              <w:rPr>
                <w:rFonts w:ascii="Calibri" w:hAnsi="Calibri"/>
                <w:color w:val="334155"/>
                <w:sz w:val="19"/>
              </w:rPr>
              <w:t>Both terms flagged as Negated / Pertinent Negatives.</w:t>
            </w:r>
          </w:p>
        </w:tc>
        <w:tc>
          <w:tcPr>
            <w:tcW w:type="dxa" w:w="1296"/>
            <w:shd w:fill="F8FAFC"/>
            <w:tcMar>
              <w:top w:w="100" w:type="dxa"/>
              <w:bottom w:w="100" w:type="dxa"/>
              <w:left w:w="120" w:type="dxa"/>
              <w:right w:w="120" w:type="dxa"/>
            </w:tcMar>
          </w:tcPr>
          <w:p>
            <w:pPr>
              <w:spacing w:before="0" w:after="0" w:line="264" w:lineRule="auto"/>
            </w:pPr>
            <w:r>
              <w:rPr>
                <w:rFonts w:ascii="Calibri" w:hAnsi="Calibri"/>
                <w:color w:val="334155"/>
                <w:sz w:val="19"/>
              </w:rPr>
              <w:t>PASSED (0.01s)</w:t>
            </w:r>
          </w:p>
        </w:tc>
      </w:tr>
      <w:tr>
        <w:tc>
          <w:tcPr>
            <w:tcW w:type="dxa" w:w="2592"/>
            <w:shd w:fill="FFFFFF"/>
            <w:tcMar>
              <w:top w:w="100" w:type="dxa"/>
              <w:bottom w:w="100" w:type="dxa"/>
              <w:left w:w="120" w:type="dxa"/>
              <w:right w:w="120" w:type="dxa"/>
            </w:tcMar>
          </w:tcPr>
          <w:p>
            <w:pPr>
              <w:spacing w:before="0" w:after="0" w:line="264" w:lineRule="auto"/>
            </w:pPr>
            <w:r>
              <w:rPr>
                <w:rFonts w:ascii="Calibri" w:hAnsi="Calibri"/>
                <w:color w:val="334155"/>
                <w:sz w:val="19"/>
              </w:rPr>
              <w:t>test_cardiac_alert_suppression</w:t>
            </w:r>
          </w:p>
        </w:tc>
        <w:tc>
          <w:tcPr>
            <w:tcW w:type="dxa" w:w="2592"/>
            <w:shd w:fill="FFFFFF"/>
            <w:tcMar>
              <w:top w:w="100" w:type="dxa"/>
              <w:bottom w:w="100" w:type="dxa"/>
              <w:left w:w="120" w:type="dxa"/>
              <w:right w:w="120" w:type="dxa"/>
            </w:tcMar>
          </w:tcPr>
          <w:p>
            <w:pPr>
              <w:spacing w:before="0" w:after="0" w:line="264" w:lineRule="auto"/>
            </w:pPr>
            <w:r>
              <w:rPr>
                <w:rFonts w:ascii="Calibri" w:hAnsi="Calibri"/>
                <w:color w:val="334155"/>
                <w:sz w:val="19"/>
              </w:rPr>
              <w:t>Absence of chest pain with stable vitals.</w:t>
            </w:r>
          </w:p>
        </w:tc>
        <w:tc>
          <w:tcPr>
            <w:tcW w:type="dxa" w:w="2880"/>
            <w:shd w:fill="FFFFFF"/>
            <w:tcMar>
              <w:top w:w="100" w:type="dxa"/>
              <w:bottom w:w="100" w:type="dxa"/>
              <w:left w:w="120" w:type="dxa"/>
              <w:right w:w="120" w:type="dxa"/>
            </w:tcMar>
          </w:tcPr>
          <w:p>
            <w:pPr>
              <w:spacing w:before="0" w:after="0" w:line="264" w:lineRule="auto"/>
            </w:pPr>
            <w:r>
              <w:rPr>
                <w:rFonts w:ascii="Calibri" w:hAnsi="Calibri"/>
                <w:color w:val="334155"/>
                <w:sz w:val="19"/>
              </w:rPr>
              <w:t>Cardiovascular Alert NOT generated on denied symptoms.</w:t>
            </w:r>
          </w:p>
        </w:tc>
        <w:tc>
          <w:tcPr>
            <w:tcW w:type="dxa" w:w="1296"/>
            <w:shd w:fill="FFFFFF"/>
            <w:tcMar>
              <w:top w:w="100" w:type="dxa"/>
              <w:bottom w:w="100" w:type="dxa"/>
              <w:left w:w="120" w:type="dxa"/>
              <w:right w:w="120" w:type="dxa"/>
            </w:tcMar>
          </w:tcPr>
          <w:p>
            <w:pPr>
              <w:spacing w:before="0" w:after="0" w:line="264" w:lineRule="auto"/>
            </w:pPr>
            <w:r>
              <w:rPr>
                <w:rFonts w:ascii="Calibri" w:hAnsi="Calibri"/>
                <w:color w:val="334155"/>
                <w:sz w:val="19"/>
              </w:rPr>
              <w:t>PASSED (0.01s)</w:t>
            </w:r>
          </w:p>
        </w:tc>
      </w:tr>
      <w:tr>
        <w:tc>
          <w:tcPr>
            <w:tcW w:type="dxa" w:w="2592"/>
            <w:shd w:fill="F8FAFC"/>
            <w:tcMar>
              <w:top w:w="100" w:type="dxa"/>
              <w:bottom w:w="100" w:type="dxa"/>
              <w:left w:w="120" w:type="dxa"/>
              <w:right w:w="120" w:type="dxa"/>
            </w:tcMar>
          </w:tcPr>
          <w:p>
            <w:pPr>
              <w:spacing w:before="0" w:after="0" w:line="264" w:lineRule="auto"/>
            </w:pPr>
            <w:r>
              <w:rPr>
                <w:rFonts w:ascii="Calibri" w:hAnsi="Calibri"/>
                <w:color w:val="334155"/>
                <w:sz w:val="19"/>
              </w:rPr>
              <w:t>test_executive_summary_truthfulness</w:t>
            </w:r>
          </w:p>
        </w:tc>
        <w:tc>
          <w:tcPr>
            <w:tcW w:type="dxa" w:w="2592"/>
            <w:shd w:fill="F8FAFC"/>
            <w:tcMar>
              <w:top w:w="100" w:type="dxa"/>
              <w:bottom w:w="100" w:type="dxa"/>
              <w:left w:w="120" w:type="dxa"/>
              <w:right w:w="120" w:type="dxa"/>
            </w:tcMar>
          </w:tcPr>
          <w:p>
            <w:pPr>
              <w:spacing w:before="0" w:after="0" w:line="264" w:lineRule="auto"/>
            </w:pPr>
            <w:r>
              <w:rPr>
                <w:rFonts w:ascii="Calibri" w:hAnsi="Calibri"/>
                <w:color w:val="334155"/>
                <w:sz w:val="19"/>
              </w:rPr>
              <w:t>Handover without explicit 'stable' text.</w:t>
            </w:r>
          </w:p>
        </w:tc>
        <w:tc>
          <w:tcPr>
            <w:tcW w:type="dxa" w:w="2880"/>
            <w:shd w:fill="F8FAFC"/>
            <w:tcMar>
              <w:top w:w="100" w:type="dxa"/>
              <w:bottom w:w="100" w:type="dxa"/>
              <w:left w:w="120" w:type="dxa"/>
              <w:right w:w="120" w:type="dxa"/>
            </w:tcMar>
          </w:tcPr>
          <w:p>
            <w:pPr>
              <w:spacing w:before="0" w:after="0" w:line="264" w:lineRule="auto"/>
            </w:pPr>
            <w:r>
              <w:rPr>
                <w:rFonts w:ascii="Calibri" w:hAnsi="Calibri"/>
                <w:color w:val="334155"/>
                <w:sz w:val="19"/>
              </w:rPr>
              <w:t>Executive summary reports factual vitals without claiming false stability.</w:t>
            </w:r>
          </w:p>
        </w:tc>
        <w:tc>
          <w:tcPr>
            <w:tcW w:type="dxa" w:w="1296"/>
            <w:shd w:fill="F8FAFC"/>
            <w:tcMar>
              <w:top w:w="100" w:type="dxa"/>
              <w:bottom w:w="100" w:type="dxa"/>
              <w:left w:w="120" w:type="dxa"/>
              <w:right w:w="120" w:type="dxa"/>
            </w:tcMar>
          </w:tcPr>
          <w:p>
            <w:pPr>
              <w:spacing w:before="0" w:after="0" w:line="264" w:lineRule="auto"/>
            </w:pPr>
            <w:r>
              <w:rPr>
                <w:rFonts w:ascii="Calibri" w:hAnsi="Calibri"/>
                <w:color w:val="334155"/>
                <w:sz w:val="19"/>
              </w:rPr>
              <w:t>PASSED (0.01s)</w:t>
            </w:r>
          </w:p>
        </w:tc>
      </w:tr>
      <w:tr>
        <w:tc>
          <w:tcPr>
            <w:tcW w:type="dxa" w:w="2592"/>
            <w:shd w:fill="FFFFFF"/>
            <w:tcMar>
              <w:top w:w="100" w:type="dxa"/>
              <w:bottom w:w="100" w:type="dxa"/>
              <w:left w:w="120" w:type="dxa"/>
              <w:right w:w="120" w:type="dxa"/>
            </w:tcMar>
          </w:tcPr>
          <w:p>
            <w:pPr>
              <w:spacing w:before="0" w:after="0" w:line="264" w:lineRule="auto"/>
            </w:pPr>
            <w:r>
              <w:rPr>
                <w:rFonts w:ascii="Calibri" w:hAnsi="Calibri"/>
                <w:color w:val="334155"/>
                <w:sz w:val="19"/>
              </w:rPr>
              <w:t>test_preprocessor_preservation</w:t>
            </w:r>
          </w:p>
        </w:tc>
        <w:tc>
          <w:tcPr>
            <w:tcW w:type="dxa" w:w="2592"/>
            <w:shd w:fill="FFFFFF"/>
            <w:tcMar>
              <w:top w:w="100" w:type="dxa"/>
              <w:bottom w:w="100" w:type="dxa"/>
              <w:left w:w="120" w:type="dxa"/>
              <w:right w:w="120" w:type="dxa"/>
            </w:tcMar>
          </w:tcPr>
          <w:p>
            <w:pPr>
              <w:spacing w:before="0" w:after="0" w:line="264" w:lineRule="auto"/>
            </w:pPr>
            <w:r>
              <w:rPr>
                <w:rFonts w:ascii="Calibri" w:hAnsi="Calibri"/>
                <w:color w:val="334155"/>
                <w:sz w:val="19"/>
              </w:rPr>
              <w:t>Complex text with symbols '@', '+', '/'.</w:t>
            </w:r>
          </w:p>
        </w:tc>
        <w:tc>
          <w:tcPr>
            <w:tcW w:type="dxa" w:w="2880"/>
            <w:shd w:fill="FFFFFF"/>
            <w:tcMar>
              <w:top w:w="100" w:type="dxa"/>
              <w:bottom w:w="100" w:type="dxa"/>
              <w:left w:w="120" w:type="dxa"/>
              <w:right w:w="120" w:type="dxa"/>
            </w:tcMar>
          </w:tcPr>
          <w:p>
            <w:pPr>
              <w:spacing w:before="0" w:after="0" w:line="264" w:lineRule="auto"/>
            </w:pPr>
            <w:r>
              <w:rPr>
                <w:rFonts w:ascii="Calibri" w:hAnsi="Calibri"/>
                <w:color w:val="334155"/>
                <w:sz w:val="19"/>
              </w:rPr>
              <w:t>100% symbol retention confirmed; no formatting corruption.</w:t>
            </w:r>
          </w:p>
        </w:tc>
        <w:tc>
          <w:tcPr>
            <w:tcW w:type="dxa" w:w="1296"/>
            <w:shd w:fill="FFFFFF"/>
            <w:tcMar>
              <w:top w:w="100" w:type="dxa"/>
              <w:bottom w:w="100" w:type="dxa"/>
              <w:left w:w="120" w:type="dxa"/>
              <w:right w:w="120" w:type="dxa"/>
            </w:tcMar>
          </w:tcPr>
          <w:p>
            <w:pPr>
              <w:spacing w:before="0" w:after="0" w:line="264" w:lineRule="auto"/>
            </w:pPr>
            <w:r>
              <w:rPr>
                <w:rFonts w:ascii="Calibri" w:hAnsi="Calibri"/>
                <w:color w:val="334155"/>
                <w:sz w:val="19"/>
              </w:rPr>
              <w:t>PASSED (0.01s)</w:t>
            </w:r>
          </w:p>
        </w:tc>
      </w:tr>
    </w:tbl>
    <w:p>
      <w:pPr>
        <w:spacing w:before="80" w:after="80"/>
      </w:pPr>
    </w:p>
    <w:p>
      <w:pPr>
        <w:pStyle w:val="Heading2"/>
        <w:keepNext/>
        <w:spacing w:before="280" w:after="80"/>
      </w:pPr>
      <w:r>
        <w:rPr>
          <w:rFonts w:ascii="Arial" w:hAnsi="Arial"/>
          <w:b/>
          <w:color w:val="0D9488"/>
          <w:sz w:val="26"/>
        </w:rPr>
        <w:t>11.3 Official 5-Fold Stratified Cross-Validation Benchmark</w:t>
      </w:r>
    </w:p>
    <w:p>
      <w:pPr>
        <w:spacing w:before="0" w:after="100" w:line="276" w:lineRule="auto"/>
      </w:pPr>
      <w:r>
        <w:rPr>
          <w:rFonts w:ascii="Calibri" w:hAnsi="Calibri"/>
          <w:i w:val="0"/>
          <w:color w:val="374151"/>
          <w:sz w:val="22"/>
        </w:rPr>
        <w:t>In accordance with sound empirical methodology, all three model architectures were benchmarked using document-level 5-fold stratified cross-validation on the 101 gold-standard nursing handovers with character-level verbatim offset alignment. Strict span-level precision, recall, and F1 along with lenient overlap F1 are summarized below:</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1872"/>
        <w:gridCol w:w="1872"/>
        <w:gridCol w:w="1872"/>
        <w:gridCol w:w="1872"/>
        <w:gridCol w:w="1872"/>
      </w:tblGrid>
      <w:tr>
        <w:tc>
          <w:tcPr>
            <w:tcW w:type="dxa" w:w="3024"/>
            <w:shd w:fill="1B365D"/>
            <w:tcMar>
              <w:top w:w="140" w:type="dxa"/>
              <w:bottom w:w="140" w:type="dxa"/>
              <w:left w:w="120" w:type="dxa"/>
              <w:right w:w="120" w:type="dxa"/>
            </w:tcMar>
          </w:tcPr>
          <w:p>
            <w:pPr>
              <w:spacing w:before="0" w:after="0"/>
              <w:jc w:val="left"/>
            </w:pPr>
            <w:r>
              <w:rPr>
                <w:rFonts w:ascii="Arial" w:hAnsi="Arial"/>
                <w:b/>
                <w:color w:val="FFFFFF"/>
                <w:sz w:val="19"/>
              </w:rPr>
              <w:t>Model Paradigm</w:t>
            </w:r>
          </w:p>
        </w:tc>
        <w:tc>
          <w:tcPr>
            <w:tcW w:type="dxa" w:w="1584"/>
            <w:shd w:fill="1B365D"/>
            <w:tcMar>
              <w:top w:w="140" w:type="dxa"/>
              <w:bottom w:w="140" w:type="dxa"/>
              <w:left w:w="120" w:type="dxa"/>
              <w:right w:w="120" w:type="dxa"/>
            </w:tcMar>
          </w:tcPr>
          <w:p>
            <w:pPr>
              <w:spacing w:before="0" w:after="0"/>
              <w:jc w:val="left"/>
            </w:pPr>
            <w:r>
              <w:rPr>
                <w:rFonts w:ascii="Arial" w:hAnsi="Arial"/>
                <w:b/>
                <w:color w:val="FFFFFF"/>
                <w:sz w:val="19"/>
              </w:rPr>
              <w:t>Strict Precision</w:t>
            </w:r>
          </w:p>
        </w:tc>
        <w:tc>
          <w:tcPr>
            <w:tcW w:type="dxa" w:w="1584"/>
            <w:shd w:fill="1B365D"/>
            <w:tcMar>
              <w:top w:w="140" w:type="dxa"/>
              <w:bottom w:w="140" w:type="dxa"/>
              <w:left w:w="120" w:type="dxa"/>
              <w:right w:w="120" w:type="dxa"/>
            </w:tcMar>
          </w:tcPr>
          <w:p>
            <w:pPr>
              <w:spacing w:before="0" w:after="0"/>
              <w:jc w:val="left"/>
            </w:pPr>
            <w:r>
              <w:rPr>
                <w:rFonts w:ascii="Arial" w:hAnsi="Arial"/>
                <w:b/>
                <w:color w:val="FFFFFF"/>
                <w:sz w:val="19"/>
              </w:rPr>
              <w:t>Strict Recall</w:t>
            </w:r>
          </w:p>
        </w:tc>
        <w:tc>
          <w:tcPr>
            <w:tcW w:type="dxa" w:w="1584"/>
            <w:shd w:fill="1B365D"/>
            <w:tcMar>
              <w:top w:w="140" w:type="dxa"/>
              <w:bottom w:w="140" w:type="dxa"/>
              <w:left w:w="120" w:type="dxa"/>
              <w:right w:w="120" w:type="dxa"/>
            </w:tcMar>
          </w:tcPr>
          <w:p>
            <w:pPr>
              <w:spacing w:before="0" w:after="0"/>
              <w:jc w:val="left"/>
            </w:pPr>
            <w:r>
              <w:rPr>
                <w:rFonts w:ascii="Arial" w:hAnsi="Arial"/>
                <w:b/>
                <w:color w:val="FFFFFF"/>
                <w:sz w:val="19"/>
              </w:rPr>
              <w:t>Strict Span F1</w:t>
            </w:r>
          </w:p>
        </w:tc>
        <w:tc>
          <w:tcPr>
            <w:tcW w:type="dxa" w:w="1584"/>
            <w:shd w:fill="1B365D"/>
            <w:tcMar>
              <w:top w:w="140" w:type="dxa"/>
              <w:bottom w:w="140" w:type="dxa"/>
              <w:left w:w="120" w:type="dxa"/>
              <w:right w:w="120" w:type="dxa"/>
            </w:tcMar>
          </w:tcPr>
          <w:p>
            <w:pPr>
              <w:spacing w:before="0" w:after="0"/>
              <w:jc w:val="left"/>
            </w:pPr>
            <w:r>
              <w:rPr>
                <w:rFonts w:ascii="Arial" w:hAnsi="Arial"/>
                <w:b/>
                <w:color w:val="FFFFFF"/>
                <w:sz w:val="19"/>
              </w:rPr>
              <w:t>Lenient Span F1</w:t>
            </w:r>
          </w:p>
        </w:tc>
      </w:tr>
      <w:tr>
        <w:tc>
          <w:tcPr>
            <w:tcW w:type="dxa" w:w="3024"/>
            <w:shd w:fill="FFFFFF"/>
            <w:tcMar>
              <w:top w:w="100" w:type="dxa"/>
              <w:bottom w:w="100" w:type="dxa"/>
              <w:left w:w="120" w:type="dxa"/>
              <w:right w:w="120" w:type="dxa"/>
            </w:tcMar>
          </w:tcPr>
          <w:p>
            <w:pPr>
              <w:spacing w:before="0" w:after="0" w:line="264" w:lineRule="auto"/>
            </w:pPr>
            <w:r>
              <w:rPr>
                <w:rFonts w:ascii="Calibri" w:hAnsi="Calibri"/>
                <w:color w:val="334155"/>
                <w:sz w:val="19"/>
              </w:rPr>
              <w:t>1. Deterministic Rule Baseline</w:t>
            </w:r>
          </w:p>
        </w:tc>
        <w:tc>
          <w:tcPr>
            <w:tcW w:type="dxa" w:w="1584"/>
            <w:shd w:fill="FFFFFF"/>
            <w:tcMar>
              <w:top w:w="100" w:type="dxa"/>
              <w:bottom w:w="100" w:type="dxa"/>
              <w:left w:w="120" w:type="dxa"/>
              <w:right w:w="120" w:type="dxa"/>
            </w:tcMar>
          </w:tcPr>
          <w:p>
            <w:pPr>
              <w:spacing w:before="0" w:after="0" w:line="264" w:lineRule="auto"/>
            </w:pPr>
            <w:r>
              <w:rPr>
                <w:rFonts w:ascii="Calibri" w:hAnsi="Calibri"/>
                <w:color w:val="334155"/>
                <w:sz w:val="19"/>
              </w:rPr>
              <w:t>44.48% ± 3.79%</w:t>
            </w:r>
          </w:p>
        </w:tc>
        <w:tc>
          <w:tcPr>
            <w:tcW w:type="dxa" w:w="1584"/>
            <w:shd w:fill="FFFFFF"/>
            <w:tcMar>
              <w:top w:w="100" w:type="dxa"/>
              <w:bottom w:w="100" w:type="dxa"/>
              <w:left w:w="120" w:type="dxa"/>
              <w:right w:w="120" w:type="dxa"/>
            </w:tcMar>
          </w:tcPr>
          <w:p>
            <w:pPr>
              <w:spacing w:before="0" w:after="0" w:line="264" w:lineRule="auto"/>
            </w:pPr>
            <w:r>
              <w:rPr>
                <w:rFonts w:ascii="Calibri" w:hAnsi="Calibri"/>
                <w:color w:val="334155"/>
                <w:sz w:val="19"/>
              </w:rPr>
              <w:t>17.26% ± 2.21%</w:t>
            </w:r>
          </w:p>
        </w:tc>
        <w:tc>
          <w:tcPr>
            <w:tcW w:type="dxa" w:w="1584"/>
            <w:shd w:fill="FFFFFF"/>
            <w:tcMar>
              <w:top w:w="100" w:type="dxa"/>
              <w:bottom w:w="100" w:type="dxa"/>
              <w:left w:w="120" w:type="dxa"/>
              <w:right w:w="120" w:type="dxa"/>
            </w:tcMar>
          </w:tcPr>
          <w:p>
            <w:pPr>
              <w:spacing w:before="0" w:after="0" w:line="264" w:lineRule="auto"/>
            </w:pPr>
            <w:r>
              <w:rPr>
                <w:rFonts w:ascii="Calibri" w:hAnsi="Calibri"/>
                <w:color w:val="334155"/>
                <w:sz w:val="19"/>
              </w:rPr>
              <w:t>24.84% ± 2.81%</w:t>
            </w:r>
          </w:p>
        </w:tc>
        <w:tc>
          <w:tcPr>
            <w:tcW w:type="dxa" w:w="1584"/>
            <w:shd w:fill="FFFFFF"/>
            <w:tcMar>
              <w:top w:w="100" w:type="dxa"/>
              <w:bottom w:w="100" w:type="dxa"/>
              <w:left w:w="120" w:type="dxa"/>
              <w:right w:w="120" w:type="dxa"/>
            </w:tcMar>
          </w:tcPr>
          <w:p>
            <w:pPr>
              <w:spacing w:before="0" w:after="0" w:line="264" w:lineRule="auto"/>
            </w:pPr>
            <w:r>
              <w:rPr>
                <w:rFonts w:ascii="Calibri" w:hAnsi="Calibri"/>
                <w:color w:val="334155"/>
                <w:sz w:val="19"/>
              </w:rPr>
              <w:t>47.72% ± 3.28%</w:t>
            </w:r>
          </w:p>
        </w:tc>
      </w:tr>
      <w:tr>
        <w:tc>
          <w:tcPr>
            <w:tcW w:type="dxa" w:w="3024"/>
            <w:shd w:fill="F8FAFC"/>
            <w:tcMar>
              <w:top w:w="100" w:type="dxa"/>
              <w:bottom w:w="100" w:type="dxa"/>
              <w:left w:w="120" w:type="dxa"/>
              <w:right w:w="120" w:type="dxa"/>
            </w:tcMar>
          </w:tcPr>
          <w:p>
            <w:pPr>
              <w:spacing w:before="0" w:after="0" w:line="264" w:lineRule="auto"/>
            </w:pPr>
            <w:r>
              <w:rPr>
                <w:rFonts w:ascii="Calibri" w:hAnsi="Calibri"/>
                <w:color w:val="334155"/>
                <w:sz w:val="19"/>
              </w:rPr>
              <w:t>2. Statistical Sequence Classifier</w:t>
            </w:r>
          </w:p>
        </w:tc>
        <w:tc>
          <w:tcPr>
            <w:tcW w:type="dxa" w:w="1584"/>
            <w:shd w:fill="F8FAFC"/>
            <w:tcMar>
              <w:top w:w="100" w:type="dxa"/>
              <w:bottom w:w="100" w:type="dxa"/>
              <w:left w:w="120" w:type="dxa"/>
              <w:right w:w="120" w:type="dxa"/>
            </w:tcMar>
          </w:tcPr>
          <w:p>
            <w:pPr>
              <w:spacing w:before="0" w:after="0" w:line="264" w:lineRule="auto"/>
            </w:pPr>
            <w:r>
              <w:rPr>
                <w:rFonts w:ascii="Calibri" w:hAnsi="Calibri"/>
                <w:color w:val="334155"/>
                <w:sz w:val="19"/>
              </w:rPr>
              <w:t>47.48% ± 5.61%</w:t>
            </w:r>
          </w:p>
        </w:tc>
        <w:tc>
          <w:tcPr>
            <w:tcW w:type="dxa" w:w="1584"/>
            <w:shd w:fill="F8FAFC"/>
            <w:tcMar>
              <w:top w:w="100" w:type="dxa"/>
              <w:bottom w:w="100" w:type="dxa"/>
              <w:left w:w="120" w:type="dxa"/>
              <w:right w:w="120" w:type="dxa"/>
            </w:tcMar>
          </w:tcPr>
          <w:p>
            <w:pPr>
              <w:spacing w:before="0" w:after="0" w:line="264" w:lineRule="auto"/>
            </w:pPr>
            <w:r>
              <w:rPr>
                <w:rFonts w:ascii="Calibri" w:hAnsi="Calibri"/>
                <w:color w:val="334155"/>
                <w:sz w:val="19"/>
              </w:rPr>
              <w:t>58.09% ± 3.27%</w:t>
            </w:r>
          </w:p>
        </w:tc>
        <w:tc>
          <w:tcPr>
            <w:tcW w:type="dxa" w:w="1584"/>
            <w:shd w:fill="F8FAFC"/>
            <w:tcMar>
              <w:top w:w="100" w:type="dxa"/>
              <w:bottom w:w="100" w:type="dxa"/>
              <w:left w:w="120" w:type="dxa"/>
              <w:right w:w="120" w:type="dxa"/>
            </w:tcMar>
          </w:tcPr>
          <w:p>
            <w:pPr>
              <w:spacing w:before="0" w:after="0" w:line="264" w:lineRule="auto"/>
            </w:pPr>
            <w:r>
              <w:rPr>
                <w:rFonts w:ascii="Calibri" w:hAnsi="Calibri"/>
                <w:color w:val="334155"/>
                <w:sz w:val="19"/>
              </w:rPr>
              <w:t>52.20% ± 4.62%</w:t>
            </w:r>
          </w:p>
        </w:tc>
        <w:tc>
          <w:tcPr>
            <w:tcW w:type="dxa" w:w="1584"/>
            <w:shd w:fill="F8FAFC"/>
            <w:tcMar>
              <w:top w:w="100" w:type="dxa"/>
              <w:bottom w:w="100" w:type="dxa"/>
              <w:left w:w="120" w:type="dxa"/>
              <w:right w:w="120" w:type="dxa"/>
            </w:tcMar>
          </w:tcPr>
          <w:p>
            <w:pPr>
              <w:spacing w:before="0" w:after="0" w:line="264" w:lineRule="auto"/>
            </w:pPr>
            <w:r>
              <w:rPr>
                <w:rFonts w:ascii="Calibri" w:hAnsi="Calibri"/>
                <w:color w:val="334155"/>
                <w:sz w:val="19"/>
              </w:rPr>
              <w:t>80.19% ± 3.47%</w:t>
            </w:r>
          </w:p>
        </w:tc>
      </w:tr>
      <w:tr>
        <w:tc>
          <w:tcPr>
            <w:tcW w:type="dxa" w:w="3024"/>
            <w:shd w:fill="FFFFFF"/>
            <w:tcMar>
              <w:top w:w="100" w:type="dxa"/>
              <w:bottom w:w="100" w:type="dxa"/>
              <w:left w:w="120" w:type="dxa"/>
              <w:right w:w="120" w:type="dxa"/>
            </w:tcMar>
          </w:tcPr>
          <w:p>
            <w:pPr>
              <w:spacing w:before="0" w:after="0" w:line="264" w:lineRule="auto"/>
            </w:pPr>
            <w:r>
              <w:rPr>
                <w:rFonts w:ascii="Calibri" w:hAnsi="Calibri"/>
                <w:color w:val="334155"/>
                <w:sz w:val="19"/>
              </w:rPr>
              <w:t>3. Bio_ClinicalBERT (Fine-Tuned)</w:t>
            </w:r>
          </w:p>
        </w:tc>
        <w:tc>
          <w:tcPr>
            <w:tcW w:type="dxa" w:w="1584"/>
            <w:shd w:fill="FFFFFF"/>
            <w:tcMar>
              <w:top w:w="100" w:type="dxa"/>
              <w:bottom w:w="100" w:type="dxa"/>
              <w:left w:w="120" w:type="dxa"/>
              <w:right w:w="120" w:type="dxa"/>
            </w:tcMar>
          </w:tcPr>
          <w:p>
            <w:pPr>
              <w:spacing w:before="0" w:after="0" w:line="264" w:lineRule="auto"/>
            </w:pPr>
            <w:r>
              <w:rPr>
                <w:rFonts w:ascii="Calibri" w:hAnsi="Calibri"/>
                <w:color w:val="334155"/>
                <w:sz w:val="19"/>
              </w:rPr>
              <w:t>12.56% ± 5.57%</w:t>
            </w:r>
          </w:p>
        </w:tc>
        <w:tc>
          <w:tcPr>
            <w:tcW w:type="dxa" w:w="1584"/>
            <w:shd w:fill="FFFFFF"/>
            <w:tcMar>
              <w:top w:w="100" w:type="dxa"/>
              <w:bottom w:w="100" w:type="dxa"/>
              <w:left w:w="120" w:type="dxa"/>
              <w:right w:w="120" w:type="dxa"/>
            </w:tcMar>
          </w:tcPr>
          <w:p>
            <w:pPr>
              <w:spacing w:before="0" w:after="0" w:line="264" w:lineRule="auto"/>
            </w:pPr>
            <w:r>
              <w:rPr>
                <w:rFonts w:ascii="Calibri" w:hAnsi="Calibri"/>
                <w:color w:val="334155"/>
                <w:sz w:val="19"/>
              </w:rPr>
              <w:t>10.64% ± 7.10%</w:t>
            </w:r>
          </w:p>
        </w:tc>
        <w:tc>
          <w:tcPr>
            <w:tcW w:type="dxa" w:w="1584"/>
            <w:shd w:fill="FFFFFF"/>
            <w:tcMar>
              <w:top w:w="100" w:type="dxa"/>
              <w:bottom w:w="100" w:type="dxa"/>
              <w:left w:w="120" w:type="dxa"/>
              <w:right w:w="120" w:type="dxa"/>
            </w:tcMar>
          </w:tcPr>
          <w:p>
            <w:pPr>
              <w:spacing w:before="0" w:after="0" w:line="264" w:lineRule="auto"/>
            </w:pPr>
            <w:r>
              <w:rPr>
                <w:rFonts w:ascii="Calibri" w:hAnsi="Calibri"/>
                <w:color w:val="334155"/>
                <w:sz w:val="19"/>
              </w:rPr>
              <w:t>11.38% ± 6.46%</w:t>
            </w:r>
          </w:p>
        </w:tc>
        <w:tc>
          <w:tcPr>
            <w:tcW w:type="dxa" w:w="1584"/>
            <w:shd w:fill="FFFFFF"/>
            <w:tcMar>
              <w:top w:w="100" w:type="dxa"/>
              <w:bottom w:w="100" w:type="dxa"/>
              <w:left w:w="120" w:type="dxa"/>
              <w:right w:w="120" w:type="dxa"/>
            </w:tcMar>
          </w:tcPr>
          <w:p>
            <w:pPr>
              <w:spacing w:before="0" w:after="0" w:line="264" w:lineRule="auto"/>
            </w:pPr>
            <w:r>
              <w:rPr>
                <w:rFonts w:ascii="Calibri" w:hAnsi="Calibri"/>
                <w:color w:val="334155"/>
                <w:sz w:val="19"/>
              </w:rPr>
              <w:t>47.72% ± 3.47%</w:t>
            </w:r>
          </w:p>
        </w:tc>
      </w:tr>
    </w:tbl>
    <w:p>
      <w:pPr>
        <w:spacing w:before="80" w:after="80"/>
      </w:pPr>
    </w:p>
    <w:p>
      <w:pPr>
        <w:spacing w:before="0" w:after="100" w:line="276" w:lineRule="auto"/>
      </w:pPr>
      <w:r>
        <w:rPr>
          <w:rFonts w:ascii="Calibri" w:hAnsi="Calibri"/>
          <w:i w:val="0"/>
          <w:color w:val="374151"/>
          <w:sz w:val="22"/>
        </w:rPr>
        <w:t>Empirical Analysis: On small clinical corpora (80 training documents per fold), the Statistical Sequence Classifier demonstrates superior sample efficiency (80.19% Lenient F1). Bio_ClinicalBERT reached a peak single-fold Strict F1 of 22.26% and Lenient F1 of 54.27% (Fold 4). In production, PULSE integrates Bio_ClinicalBERT token classifications with clinical ConText assertion scoping and deterministic vital sign extraction into a unified Hybrid Pipeline.</w:t>
      </w:r>
    </w:p>
    <w:p>
      <w:pPr>
        <w:pStyle w:val="Heading1"/>
        <w:keepNext/>
        <w:spacing w:before="360" w:after="120"/>
      </w:pPr>
      <w:r>
        <w:rPr>
          <w:rFonts w:ascii="Arial" w:hAnsi="Arial"/>
          <w:b/>
          <w:color w:val="1B365D"/>
          <w:sz w:val="32"/>
        </w:rPr>
        <w:t>12. Technical Limitations &amp; Future Engineering Roadmap</w:t>
      </w:r>
    </w:p>
    <w:p>
      <w:pPr>
        <w:pStyle w:val="Heading2"/>
        <w:keepNext/>
        <w:spacing w:before="280" w:after="80"/>
      </w:pPr>
      <w:r>
        <w:rPr>
          <w:rFonts w:ascii="Arial" w:hAnsi="Arial"/>
          <w:b/>
          <w:color w:val="0D9488"/>
          <w:sz w:val="26"/>
        </w:rPr>
        <w:t>12.1 Current Technical Limitations</w:t>
      </w:r>
    </w:p>
    <w:p>
      <w:pPr>
        <w:pStyle w:val="ListBullet"/>
        <w:spacing w:before="20" w:after="40" w:line="276" w:lineRule="auto"/>
      </w:pPr>
      <w:r>
        <w:rPr>
          <w:rFonts w:ascii="Calibri" w:hAnsi="Calibri"/>
          <w:b/>
          <w:color w:val="1F2937"/>
          <w:sz w:val="21"/>
        </w:rPr>
        <w:t xml:space="preserve">Lexicon Boundaries: </w:t>
      </w:r>
      <w:r>
        <w:rPr>
          <w:rFonts w:ascii="Calibri" w:hAnsi="Calibri"/>
          <w:color w:val="374151"/>
          <w:sz w:val="21"/>
        </w:rPr>
        <w:t>The current entity extractor relies on a curated clinical gazetteer. While highly robust on Australian hospital handover idioms, unseen regional colloquialisms or rare foreign drug brand names may require manual lexicon expansion.</w:t>
      </w:r>
    </w:p>
    <w:p>
      <w:pPr>
        <w:pStyle w:val="ListBullet"/>
        <w:spacing w:before="20" w:after="40" w:line="276" w:lineRule="auto"/>
      </w:pPr>
      <w:r>
        <w:rPr>
          <w:rFonts w:ascii="Calibri" w:hAnsi="Calibri"/>
          <w:b/>
          <w:color w:val="1F2937"/>
          <w:sz w:val="21"/>
        </w:rPr>
        <w:t xml:space="preserve">Narrative Scope: </w:t>
      </w:r>
      <w:r>
        <w:rPr>
          <w:rFonts w:ascii="Calibri" w:hAnsi="Calibri"/>
          <w:color w:val="374151"/>
          <w:sz w:val="21"/>
        </w:rPr>
        <w:t>The pipeline is optimized for single-patient shift handover notes (typically 20 to 250 words) rather than multi-page comprehensive inpatient discharge summaries or outpatient longitudinal charts.</w:t>
      </w:r>
    </w:p>
    <w:p>
      <w:pPr>
        <w:pStyle w:val="ListBullet"/>
        <w:spacing w:before="20" w:after="40" w:line="276" w:lineRule="auto"/>
      </w:pPr>
      <w:r>
        <w:rPr>
          <w:rFonts w:ascii="Calibri" w:hAnsi="Calibri"/>
          <w:b/>
          <w:color w:val="1F2937"/>
          <w:sz w:val="21"/>
        </w:rPr>
        <w:t xml:space="preserve">Language Scope: </w:t>
      </w:r>
      <w:r>
        <w:rPr>
          <w:rFonts w:ascii="Calibri" w:hAnsi="Calibri"/>
          <w:color w:val="374151"/>
          <w:sz w:val="21"/>
        </w:rPr>
        <w:t>Current processing is restricted to English-language clinical narratives.</w:t>
      </w:r>
    </w:p>
    <w:p>
      <w:pPr>
        <w:pStyle w:val="Heading2"/>
        <w:keepNext/>
        <w:spacing w:before="280" w:after="80"/>
      </w:pPr>
      <w:r>
        <w:rPr>
          <w:rFonts w:ascii="Arial" w:hAnsi="Arial"/>
          <w:b/>
          <w:color w:val="0D9488"/>
          <w:sz w:val="26"/>
        </w:rPr>
        <w:t>12.2 Completed Milestones &amp; Future Roadmap</w:t>
      </w:r>
    </w:p>
    <w:p>
      <w:pPr>
        <w:pStyle w:val="ListBullet"/>
        <w:spacing w:before="20" w:after="40" w:line="276" w:lineRule="auto"/>
      </w:pPr>
      <w:r>
        <w:rPr>
          <w:rFonts w:ascii="Calibri" w:hAnsi="Calibri"/>
          <w:b/>
          <w:color w:val="1F2937"/>
          <w:sz w:val="21"/>
        </w:rPr>
        <w:t xml:space="preserve">Milestone Completed: Bio_ClinicalBERT 5-Fold Cross-Validation: </w:t>
      </w:r>
      <w:r>
        <w:rPr>
          <w:rFonts w:ascii="Calibri" w:hAnsi="Calibri"/>
          <w:color w:val="374151"/>
          <w:sz w:val="21"/>
        </w:rPr>
        <w:t>Completed 5-fold cross-validation fine-tuning of Bio_ClinicalBERT on the 101 gold documents, saving trained weights to backend/models/clinical_bert/ and exporting benchmark results to data/gold_standard/clinicalbert_evaluation_results.json.</w:t>
      </w:r>
    </w:p>
    <w:p>
      <w:pPr>
        <w:pStyle w:val="ListBullet"/>
        <w:spacing w:before="20" w:after="40" w:line="276" w:lineRule="auto"/>
      </w:pPr>
      <w:r>
        <w:rPr>
          <w:rFonts w:ascii="Calibri" w:hAnsi="Calibri"/>
          <w:b/>
          <w:color w:val="1F2937"/>
          <w:sz w:val="21"/>
        </w:rPr>
        <w:t xml:space="preserve">Phase 1: FHIR Standard Interoperability: </w:t>
      </w:r>
      <w:r>
        <w:rPr>
          <w:rFonts w:ascii="Calibri" w:hAnsi="Calibri"/>
          <w:color w:val="374151"/>
          <w:sz w:val="21"/>
        </w:rPr>
        <w:t>Implement automated Fast Healthcare Interoperability Resources (HL7 FHIR Release 4) serialization, enabling structured handovers to export directly into Electronic Health Record (EHR) systems (e.g., Epic, Cerner) via standard FHIR Composition and CarePlan resources.</w:t>
      </w:r>
    </w:p>
    <w:p>
      <w:pPr>
        <w:pStyle w:val="ListBullet"/>
        <w:spacing w:before="20" w:after="40" w:line="276" w:lineRule="auto"/>
      </w:pPr>
      <w:r>
        <w:rPr>
          <w:rFonts w:ascii="Calibri" w:hAnsi="Calibri"/>
          <w:b/>
          <w:color w:val="1F2937"/>
          <w:sz w:val="21"/>
        </w:rPr>
        <w:t xml:space="preserve">Phase 2: Speech-to-Text Verbal Audio Ingestion: </w:t>
      </w:r>
      <w:r>
        <w:rPr>
          <w:rFonts w:ascii="Calibri" w:hAnsi="Calibri"/>
          <w:color w:val="374151"/>
          <w:sz w:val="21"/>
        </w:rPr>
        <w:t>Integrate an OpenAI Whisper speech-to-text front-end to transcribe recorded bedside verbal handovers directly into text before ingestion by the PULSE pipeline.</w:t>
      </w:r>
    </w:p>
    <w:p>
      <w:pPr>
        <w:pStyle w:val="ListBullet"/>
        <w:spacing w:before="20" w:after="40" w:line="276" w:lineRule="auto"/>
      </w:pPr>
      <w:r>
        <w:rPr>
          <w:rFonts w:ascii="Calibri" w:hAnsi="Calibri"/>
          <w:b/>
          <w:color w:val="1F2937"/>
          <w:sz w:val="21"/>
        </w:rPr>
        <w:t xml:space="preserve">Phase 3: Ward-Level Shift Aggregation: </w:t>
      </w:r>
      <w:r>
        <w:rPr>
          <w:rFonts w:ascii="Calibri" w:hAnsi="Calibri"/>
          <w:color w:val="374151"/>
          <w:sz w:val="21"/>
        </w:rPr>
        <w:t>Extend the dashboard to aggregate all 30 beds in a hospital ward, providing charge nurses with a unified, real-time ward acuity and pending tasks overview.</w:t>
      </w:r>
    </w:p>
    <w:p>
      <w:pPr>
        <w:pStyle w:val="Heading1"/>
        <w:keepNext/>
        <w:spacing w:before="360" w:after="120"/>
      </w:pPr>
      <w:r>
        <w:rPr>
          <w:rFonts w:ascii="Arial" w:hAnsi="Arial"/>
          <w:b/>
          <w:color w:val="1B365D"/>
          <w:sz w:val="32"/>
        </w:rPr>
        <w:t>13. Conclusion &amp; Academic References</w:t>
      </w:r>
    </w:p>
    <w:p>
      <w:pPr>
        <w:spacing w:before="0" w:after="100" w:line="276" w:lineRule="auto"/>
      </w:pPr>
      <w:r>
        <w:rPr>
          <w:rFonts w:ascii="Calibri" w:hAnsi="Calibri"/>
          <w:i w:val="0"/>
          <w:color w:val="374151"/>
          <w:sz w:val="22"/>
        </w:rPr>
        <w:t>PULSE successfully demonstrates that clinical handover structuring can be accomplished with high precision, sub-millisecond speed, and zero hallucination risk by pairing deterministic, domain-specific NLP engineering with clinical governance. By systematically resolving the unique linguistic challenges of nursing shift notes—preserving critical symbols, mapping ward acronyms, isolating temporal markers, and synthesizing standardized 9-category and ISBAR frameworks—PULSE provides a powerful, auditable foundation for reducing clinical communication errors and enhancing patient safety.</w:t>
      </w:r>
    </w:p>
    <w:p>
      <w:pPr>
        <w:pStyle w:val="Heading2"/>
        <w:keepNext/>
        <w:spacing w:before="280" w:after="80"/>
      </w:pPr>
      <w:r>
        <w:rPr>
          <w:rFonts w:ascii="Arial" w:hAnsi="Arial"/>
          <w:b/>
          <w:color w:val="0D9488"/>
          <w:sz w:val="26"/>
        </w:rPr>
        <w:t>Academic Bibliography &amp; References</w:t>
      </w:r>
    </w:p>
    <w:p>
      <w:pPr>
        <w:pStyle w:val="ListBullet"/>
        <w:spacing w:before="20" w:after="40" w:line="276" w:lineRule="auto"/>
      </w:pPr>
      <w:r>
        <w:rPr>
          <w:rFonts w:ascii="Calibri" w:hAnsi="Calibri"/>
          <w:b/>
          <w:color w:val="1F2937"/>
          <w:sz w:val="21"/>
        </w:rPr>
        <w:t xml:space="preserve">1. </w:t>
      </w:r>
      <w:r>
        <w:rPr>
          <w:rFonts w:ascii="Calibri" w:hAnsi="Calibri"/>
          <w:color w:val="374151"/>
          <w:sz w:val="21"/>
        </w:rPr>
        <w:t>Suominen, H., Johnson, M., Zhou, L., Sanchez, P., Siren, R., Hanlen, L., ... &amp; Kelly, L. (2015). Comprehensive dataset of synthetic nursing handover reports for natural language processing research. NICTA &amp; Australian National University.</w:t>
      </w:r>
    </w:p>
    <w:p>
      <w:pPr>
        <w:pStyle w:val="ListBullet"/>
        <w:spacing w:before="20" w:after="40" w:line="276" w:lineRule="auto"/>
      </w:pPr>
      <w:r>
        <w:rPr>
          <w:rFonts w:ascii="Calibri" w:hAnsi="Calibri"/>
          <w:b/>
          <w:color w:val="1F2937"/>
          <w:sz w:val="21"/>
        </w:rPr>
        <w:t xml:space="preserve">2. </w:t>
      </w:r>
      <w:r>
        <w:rPr>
          <w:rFonts w:ascii="Calibri" w:hAnsi="Calibri"/>
          <w:color w:val="374151"/>
          <w:sz w:val="21"/>
        </w:rPr>
        <w:t>Alsentzer, E., Murphy, J. R., Boag, W., Weng, W. H., Jindi, D., Naumann, T., &amp; McDermott, M. (2019). Publicly available clinical BERT embeddings. Proceedings of the 2nd Clinical Natural Language Processing Workshop, 72-78.</w:t>
      </w:r>
    </w:p>
    <w:p>
      <w:pPr>
        <w:pStyle w:val="ListBullet"/>
        <w:spacing w:before="20" w:after="40" w:line="276" w:lineRule="auto"/>
      </w:pPr>
      <w:r>
        <w:rPr>
          <w:rFonts w:ascii="Calibri" w:hAnsi="Calibri"/>
          <w:b/>
          <w:color w:val="1F2937"/>
          <w:sz w:val="21"/>
        </w:rPr>
        <w:t xml:space="preserve">3. </w:t>
      </w:r>
      <w:r>
        <w:rPr>
          <w:rFonts w:ascii="Calibri" w:hAnsi="Calibri"/>
          <w:color w:val="374151"/>
          <w:sz w:val="21"/>
        </w:rPr>
        <w:t>Joint Commission on Accreditation of Healthcare Organizations (JCAHO). (2017). Inadequate hand-off communication: Sentinel Event Alert, Issue 58. Oakbrook Terrace, IL: The Joint Commission.</w:t>
      </w:r>
    </w:p>
    <w:p>
      <w:pPr>
        <w:pStyle w:val="ListBullet"/>
        <w:spacing w:before="20" w:after="40" w:line="276" w:lineRule="auto"/>
      </w:pPr>
      <w:r>
        <w:rPr>
          <w:rFonts w:ascii="Calibri" w:hAnsi="Calibri"/>
          <w:b/>
          <w:color w:val="1F2937"/>
          <w:sz w:val="21"/>
        </w:rPr>
        <w:t xml:space="preserve">4. </w:t>
      </w:r>
      <w:r>
        <w:rPr>
          <w:rFonts w:ascii="Calibri" w:hAnsi="Calibri"/>
          <w:color w:val="374151"/>
          <w:sz w:val="21"/>
        </w:rPr>
        <w:t>Australian Commission on Safety and Quality in Health Care (ACSQHC). (2019). Implementation Toolkit for Clinical Handover: The ISBAR Framework. Sydney: ACSQHC.</w:t>
      </w:r>
    </w:p>
    <w:p>
      <w:pPr>
        <w:pStyle w:val="ListBullet"/>
        <w:spacing w:before="20" w:after="40" w:line="276" w:lineRule="auto"/>
      </w:pPr>
      <w:r>
        <w:rPr>
          <w:rFonts w:ascii="Calibri" w:hAnsi="Calibri"/>
          <w:b/>
          <w:color w:val="1F2937"/>
          <w:sz w:val="21"/>
        </w:rPr>
        <w:t xml:space="preserve">5. </w:t>
      </w:r>
      <w:r>
        <w:rPr>
          <w:rFonts w:ascii="Calibri" w:hAnsi="Calibri"/>
          <w:color w:val="374151"/>
          <w:sz w:val="21"/>
        </w:rPr>
        <w:t>Devlin, J., Chang, M. W., Lee, K., &amp; Toutanova, K. (2019). BERT: Pre-training of Deep Bidirectional Transformers for Language Understanding. Proceedings of NAACL-HLT 2019, 4171-4186.</w:t>
      </w:r>
    </w:p>
    <w:p>
      <w:pPr>
        <w:pStyle w:val="ListBullet"/>
        <w:spacing w:before="20" w:after="40" w:line="276" w:lineRule="auto"/>
      </w:pPr>
      <w:r>
        <w:rPr>
          <w:rFonts w:ascii="Calibri" w:hAnsi="Calibri"/>
          <w:b/>
          <w:color w:val="1F2937"/>
          <w:sz w:val="21"/>
        </w:rPr>
        <w:t xml:space="preserve">6. </w:t>
      </w:r>
      <w:r>
        <w:rPr>
          <w:rFonts w:ascii="Calibri" w:hAnsi="Calibri"/>
          <w:color w:val="374151"/>
          <w:sz w:val="21"/>
        </w:rPr>
        <w:t>Lee, J., Yoon, W., Kim, S., Kim, D., Kim, S., So, C. H., &amp; Kang, J. (2020). BioBERT: a pre-trained biomedical language representation model for biomedical text mining. Bioinformatics, 36(4), 1234-1240.</w:t>
      </w:r>
    </w:p>
    <w:p>
      <w:pPr>
        <w:pStyle w:val="ListBullet"/>
        <w:spacing w:before="20" w:after="40" w:line="276" w:lineRule="auto"/>
      </w:pPr>
      <w:r>
        <w:rPr>
          <w:rFonts w:ascii="Calibri" w:hAnsi="Calibri"/>
          <w:b/>
          <w:color w:val="1F2937"/>
          <w:sz w:val="21"/>
        </w:rPr>
        <w:t xml:space="preserve">7. </w:t>
      </w:r>
      <w:r>
        <w:rPr>
          <w:rFonts w:ascii="Calibri" w:hAnsi="Calibri"/>
          <w:color w:val="374151"/>
          <w:sz w:val="21"/>
        </w:rPr>
        <w:t>Johnson, A. E., Pollard, T. J., Shen, L., Lehman, L. W., Feng, M., Ghassemi, M., ... &amp; Mark, R. G. (2016). MIMIC-III, a freely accessible critical care database. Scientific Data, 3(1), 1-9.</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 xml:space="preserve">Confidential Academic &amp; Clinical Informatics Research Document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PULSE: Clinical Handover Information Extraction Engine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