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PaperTitle"/>
      </w:pPr>
      <w:r>
        <w:t xml:space="preserve">DepWeaver：以多來源融合、信心分級與對話式缺口補齊建構微服務相依圖</w:t>
      </w:r>
    </w:p>
    <w:p>
      <w:pPr>
        <w:pStyle w:val="PaperSubtitle"/>
      </w:pPr>
      <w:r>
        <w:t xml:space="preserve">DepWeaver: Multi-Source Fusion with Confidence Grading and Conversational Gap-Filling for Microservice Dependency Graph Construction</w:t>
      </w:r>
    </w:p>
    <w:p>
      <w:pPr>
        <w:pStyle w:val="Affiliation"/>
        <w:spacing w:after="120"/>
        <w:sectPr>
          <w:pgSz w:w="12240" w:h="15840"/>
          <w:pgMar w:top="1080" w:right="900" w:bottom="1440" w:left="900" w:header="720" w:footer="720" w:gutter="0"/>
          <w:cols w:space="360"/>
        </w:sectPr>
      </w:pPr>
    </w:p>
    <w:p>
      <w:pPr>
        <w:pStyle w:val="Abstract"/>
      </w:pPr>
      <w:r>
        <w:rPr>
          <w:i/>
        </w:rPr>
        <w:t xml:space="preserve">摘要—</w:t>
      </w:r>
      <w:r>
        <w:t xml:space="preserve">微服務系統的相依圖是部署排序、變更影響分析與測試規劃的基礎，但單一來源難以完整重建它：執行期觀測只看得到被觸發的呼叫，靜態分析處理不了動態分派，也處理不了尚未支援文法的語言，專案文件則可能過時或錯誤。把多個來源合在一起可以提高完整度，卻帶來新的問題：讀者分不出圖上哪一條關係是量測到的、哪一條只是有人提過，覆蓋率數字與 LLM 撰寫的報告也可能和圖互相矛盾。本文提出 DepWeaver，一個整合在 ChatOps 環境中的相依圖建構方法。它從服務網格的執行期觀測、tree-sitter 靜態分析與專案文件三個來源抽取關係，再融合成統一模型；模型中每條邊帶有逐條出處與三級信心等級（僅推測 &lt; 有使用證據 &lt; 量測到）。圖、覆蓋率與報告都由這個模型產生：相依關係清單由程式撰寫，不交給 LLM 重述；覆蓋率只計算量測機制能夠量測的關係；沒有量測的值明示為「未量測」。自動手段用盡時，才在對話中請操作者提供缺少的值，並確認對不上的服務名稱指的是哪個服務。在 21 個開源系統與 1 個私有系統上評估：靜態層對第三方 MicroDepGraph 參考邊集合的吻合率為 0.98（93/95）；作為假想敵，不給檔案的 LLM 直接畫圖 F1 為 0.70，給了檔案後為 0.90，但沒有出處、執行結果不穩定、名稱常對不上，而它贏過靜態層的地方正好指出規則的缺口。補上規則後，歸納用的 7 個系統 precision 全為 1.00、recall 0.99，但這些規則對 3 個未見過的 hold-out 系統一條邊都沒有改變；改從 hold-out 歸納、再以另外未見過的系統量測，才有部分轉移（其中一個系統的業務呼叫邊 recall 由 0.11 提高到 0.89；第四組的純 Kubernetes 系統 P 1.00、R 0.84 直接轉移）。靜態層的 recall 因此是寫法涵蓋率，不是靜態分析的極限。在真實部署的 Bank of Anthos 上，融合執行期觀測後業務呼叫覆蓋率 7/7、資料層 5/5；關閉 repo 範例來源再執行一次時，最後兩條業務邊由對話補齊；操作者回答 3 個名稱問題後，一個系統的吻合率由 24/26 提高到 26/26。</w:t>
      </w:r>
    </w:p>
    <w:p>
      <w:pPr>
        <w:pStyle w:val="Keywords"/>
      </w:pPr>
      <w:r>
        <w:rPr>
          <w:i/>
        </w:rPr>
        <w:t xml:space="preserve">Index Terms—</w:t>
      </w:r>
      <w:r>
        <w:t xml:space="preserve">微服務、架構重建、相依圖、靜態與動態分析、服務網格、出處追溯（provenance）、ChatOps、大型語言模型、human-in-the-loop</w:t>
      </w:r>
    </w:p>
    <w:p>
      <w:pPr>
        <w:pStyle w:val="Heading1"/>
      </w:pPr>
      <w:r>
        <w:t xml:space="preserve">緒論</w:t>
      </w:r>
    </w:p>
    <w:p>
      <w:pPr>
        <w:pStyle w:val="Heading2"/>
      </w:pPr>
      <w:r>
        <w:t xml:space="preserve">動機</w:t>
      </w:r>
    </w:p>
    <w:p>
      <w:pPr>
        <w:pStyle w:val="BodyText"/>
      </w:pPr>
      <w:r>
        <w:t xml:space="preserve">微服務系統常由數十到數百個獨立部署的服務組成，服務之間透過 HTTP、gRPC、訊息佇列與共用資料庫彼此相依。這張相依圖決定了部署順序、變更的影響範圍，以及需要補強的測試，但它通常沒有完整的紀錄：架構圖在發布後容易逐漸過時，程式碼散落在不同的 repo 與語言裡，真正執行的流量又只覆蓋其中一部分。</w:t>
      </w:r>
    </w:p>
    <w:p>
      <w:pPr>
        <w:pStyle w:val="BodyText"/>
      </w:pPr>
      <w:r>
        <w:t xml:space="preserve">自動重建相依圖的方法可依來源分成三類。動態方法從分散式追蹤、服務網格或網路流量看到的都是真的發生過的呼叫，但只看得到被觸發的路徑 [</w:t>
      </w:r>
      <w:hyperlink w:anchor="ref_almaruf2022" w:history="1">
        <w:r>
          <w:t xml:space="preserve">1</w:t>
        </w:r>
      </w:hyperlink>
      <w:r>
        <w:t xml:space="preserve">], [</w:t>
      </w:r>
      <w:hyperlink w:anchor="ref_tsubouchi2020" w:history="1">
        <w:r>
          <w:t xml:space="preserve">2</w:t>
        </w:r>
      </w:hyperlink>
      <w:r>
        <w:t xml:space="preserve">]。靜態方法讀取原始碼、設定檔與部署描述檔，涵蓋範圍較廣，但受限於語言文法、動態分派與「宣告了卻沒用到」的設定 [</w:t>
      </w:r>
      <w:hyperlink w:anchor="ref_bushong2022" w:history="1">
        <w:r>
          <w:t xml:space="preserve">3</w:t>
        </w:r>
      </w:hyperlink>
      <w:r>
        <w:t xml:space="preserve">], [</w:t>
      </w:r>
      <w:hyperlink w:anchor="ref_code2dfd2023" w:history="1">
        <w:r>
          <w:t xml:space="preserve">4</w:t>
        </w:r>
      </w:hyperlink>
      <w:r>
        <w:t xml:space="preserve">], [</w:t>
      </w:r>
      <w:hyperlink w:anchor="ref_rahman2019" w:history="1">
        <w:r>
          <w:t xml:space="preserve">5</w:t>
        </w:r>
      </w:hyperlink>
      <w:r>
        <w:t xml:space="preserve">]。文件或 LLM 方法能補充前兩者看不到的關係，但可靠度較低；例如讓 LLM agent 自行讀程式碼重建微服務架構，受測的兩個模型中較好的 GPT-4o 平均 F1 約 0.6 [</w:t>
      </w:r>
      <w:hyperlink w:anchor="ref_liljas2026" w:history="1">
        <w:r>
          <w:t xml:space="preserve">6</w:t>
        </w:r>
      </w:hyperlink>
      <w:r>
        <w:t xml:space="preserve">]。已有研究量化了單一來源的不足：靜態呼叫圖相對於實際執行的 recall 中位數約 0.88 [</w:t>
      </w:r>
      <w:hyperlink w:anchor="ref_sui2020" w:history="1">
        <w:r>
          <w:t xml:space="preserve">7</w:t>
        </w:r>
      </w:hyperlink>
      <w:r>
        <w:t xml:space="preserve">]；一份研究比較了 9 個靜態架構重建（architecture recovery）工具，表現最好的單一工具 F1 為 0.86，依特徵選出最佳組合（共四個工具）後 F1 達 0.91 [</w:t>
      </w:r>
      <w:hyperlink w:anchor="ref_schneider2025" w:history="1">
        <w:r>
          <w:t xml:space="preserve">8</w:t>
        </w:r>
      </w:hyperlink>
      <w:r>
        <w:t xml:space="preserve">]。</w:t>
      </w:r>
    </w:p>
    <w:p>
      <w:pPr>
        <w:pStyle w:val="BodyText"/>
      </w:pPr>
      <w:r>
        <w:t xml:space="preserve">這些結果顯示，有必要融合多個來源。但融合之後出現三個新問題，這是本文處理的問題：</w:t>
      </w:r>
    </w:p>
    <w:p>
      <w:pPr>
        <w:pStyle w:val="ListItem"/>
        <w:numPr>
          <w:ilvl w:val="0"/>
          <w:numId w:val="11"/>
        </w:numPr>
        <w:ind w:left="288" w:hanging="288"/>
      </w:pPr>
      <w:r>
        <w:rPr>
          <w:b/>
          <w:bCs/>
        </w:rPr>
        <w:t xml:space="preserve">等級被抹平。</w:t>
      </w:r>
      <w:r>
        <w:t xml:space="preserve">文件只提過一句的關係，和執行期量測到數千次的關係，在圖上的呈現方式相同，讀者無從判斷哪條可以據以決策。</w:t>
      </w:r>
    </w:p>
    <w:p>
      <w:pPr>
        <w:pStyle w:val="ListItem"/>
        <w:numPr>
          <w:ilvl w:val="0"/>
          <w:numId w:val="11"/>
        </w:numPr>
        <w:ind w:left="288" w:hanging="288"/>
      </w:pPr>
      <w:r>
        <w:rPr>
          <w:b/>
          <w:bCs/>
        </w:rPr>
        <w:t xml:space="preserve">產出物互相矛盾。</w:t>
      </w:r>
      <w:r>
        <w:t xml:space="preserve">圖、覆蓋率與 LLM 撰寫的報告各自從原始來源推導，報告把資料庫邊寫成「執行期是否觀測：未知」，圖卻畫實線；覆蓋率的分母混進無法量測的項目，使分數虛低或虛高。</w:t>
      </w:r>
    </w:p>
    <w:p>
      <w:pPr>
        <w:pStyle w:val="ListItem"/>
        <w:numPr>
          <w:ilvl w:val="0"/>
          <w:numId w:val="11"/>
        </w:numPr>
        <w:ind w:left="288" w:hanging="288"/>
      </w:pPr>
      <w:r>
        <w:rPr>
          <w:b/>
          <w:bCs/>
        </w:rPr>
        <w:t xml:space="preserve">有些缺口只有人知道答案。</w:t>
      </w:r>
      <w:r>
        <w:t xml:space="preserve">要觸發某條路徑，需要只有操作者知道的值（例如這個部署的密碼）；文件中的某個名稱指的是哪個服務，規則與 LLM 都只能推測。</w:t>
      </w:r>
    </w:p>
    <w:p>
      <w:pPr>
        <w:pStyle w:val="Heading2"/>
      </w:pPr>
      <w:r>
        <w:t xml:space="preserve">方法概要與貢獻</w:t>
      </w:r>
    </w:p>
    <w:p>
      <w:pPr>
        <w:pStyle w:val="BodyText"/>
      </w:pPr>
      <w:r>
        <w:t xml:space="preserve">DepWeaver 把相依圖的建構拆成「收集、融合、產出、補齊」四個階段，並遵守一條原則：能由程式從證據算出來的，就不交給 LLM；LLM 只處理規則未涵蓋的部分與報告的敘述。它以 ChatOps 的形式運作：操作者在 Discord 輸入一個斜線指令，工具在背景收集證據、產生流量、查詢量測指標，遇到只有人知道的事就在同一個對話中提問，最後貼回一張分層相依圖、覆蓋率與報告。本文的貢獻如下：</w:t>
      </w:r>
    </w:p>
    <w:p>
      <w:pPr>
        <w:pStyle w:val="ListItem"/>
        <w:numPr>
          <w:ilvl w:val="0"/>
          <w:numId w:val="12"/>
        </w:numPr>
        <w:ind w:left="288" w:hanging="288"/>
      </w:pPr>
      <w:r>
        <w:rPr>
          <w:b/>
          <w:bCs/>
        </w:rPr>
        <w:t xml:space="preserve">三個來源、三級信心等級的融合模型</w:t>
      </w:r>
      <w:r>
        <w:t xml:space="preserve">（第 III-B、III-C 節）：執行期觀測、靜態分析與文件以（來源，目標）為鍵合併；每條邊帶一個有序的信心等級與完整的出處（provenance）清單，合併時等級取最高、出處取聯集。</w:t>
      </w:r>
    </w:p>
    <w:p>
      <w:pPr>
        <w:pStyle w:val="ListItem"/>
        <w:numPr>
          <w:ilvl w:val="0"/>
          <w:numId w:val="12"/>
        </w:numPr>
        <w:ind w:left="288" w:hanging="288"/>
      </w:pPr>
      <w:r>
        <w:rPr>
          <w:b/>
          <w:bCs/>
        </w:rPr>
        <w:t xml:space="preserve">由同一模型產生、彼此一致的產出物</w:t>
      </w:r>
      <w:r>
        <w:t xml:space="preserve">（第 III-E 節）：列出相依關係的事實段落由程式產生後插入 LLM 撰寫的報告；覆蓋率的分母只計算量測機制能夠量測、且信心等級高於「僅推測」的關係，僅推測的邊的數量寫在分數旁邊；未量測的狀態以三值表示。</w:t>
      </w:r>
    </w:p>
    <w:p>
      <w:pPr>
        <w:pStyle w:val="ListItem"/>
        <w:numPr>
          <w:ilvl w:val="0"/>
          <w:numId w:val="12"/>
        </w:numPr>
        <w:ind w:left="288" w:hanging="288"/>
      </w:pPr>
      <w:r>
        <w:rPr>
          <w:b/>
          <w:bCs/>
        </w:rPr>
        <w:t xml:space="preserve">對話式缺口補齊：自動手段用盡後才詢問操作者</w:t>
      </w:r>
      <w:r>
        <w:t xml:space="preserve">（第 III-F 節）：流量參數依序從 repo 範例、錯誤回饋、詢問操作者取得；對不上的名稱不丟棄、不模糊比對，而是附排序過的候選請操作者確認，答案以 repo 為單位保存。</w:t>
      </w:r>
    </w:p>
    <w:p>
      <w:pPr>
        <w:pStyle w:val="ListItem"/>
        <w:numPr>
          <w:ilvl w:val="0"/>
          <w:numId w:val="12"/>
        </w:numPr>
        <w:ind w:left="288" w:hanging="288"/>
      </w:pPr>
      <w:r>
        <w:rPr>
          <w:b/>
          <w:bCs/>
        </w:rPr>
        <w:t xml:space="preserve">在 21 個開源系統與 1 個私有系統上的評估</w:t>
      </w:r>
      <w:r>
        <w:t xml:space="preserve">（第 IV 節）：包含一個純 LLM 直接畫圖的假想敵對照、一份非作者標註的第三方參考邊集合、逐條可複驗的作者參考邊集合、四輪「在一組系統上歸納規則、在下一組未見過的系統上量測轉移」的 hold-out 評估、每條規則在全部系統上的觸發次數、一個真實部署的執行期驗證，以及詢問操作者前後的對照。</w:t>
      </w:r>
    </w:p>
    <w:p>
      <w:pPr>
        <w:pStyle w:val="Heading2"/>
      </w:pPr>
      <w:r>
        <w:t xml:space="preserve">研究問題</w:t>
      </w:r>
    </w:p>
    <w:p>
      <w:pPr>
        <w:pStyle w:val="ListItem"/>
        <w:numPr>
          <w:ilvl w:val="0"/>
          <w:numId w:val="2"/>
        </w:numPr>
      </w:pPr>
      <w:r>
        <w:rPr>
          <w:b/>
          <w:bCs/>
        </w:rPr>
        <w:t xml:space="preserve">RQ0（假想敵）</w:t>
      </w:r>
      <w:r>
        <w:t xml:space="preserve">：不用 DepWeaver，直接讓 LLM 畫相依圖，在不給事實與給事實兩種條件下各能畫得多正確？它的輸出缺什麼？</w:t>
      </w:r>
    </w:p>
    <w:p>
      <w:pPr>
        <w:pStyle w:val="ListItem"/>
        <w:numPr>
          <w:ilvl w:val="0"/>
          <w:numId w:val="2"/>
        </w:numPr>
      </w:pPr>
      <w:r>
        <w:rPr>
          <w:b/>
          <w:bCs/>
        </w:rPr>
        <w:t xml:space="preserve">RQ1（靜態層的泛化）</w:t>
      </w:r>
      <w:r>
        <w:t xml:space="preserve">：只用靜態來源，DepWeaver 在沒有調校過的系統上能重建多少相依關係？錯誤來自哪些原因？</w:t>
      </w:r>
    </w:p>
    <w:p>
      <w:pPr>
        <w:pStyle w:val="ListItem"/>
        <w:numPr>
          <w:ilvl w:val="0"/>
          <w:numId w:val="2"/>
        </w:numPr>
      </w:pPr>
      <w:r>
        <w:rPr>
          <w:b/>
          <w:bCs/>
        </w:rPr>
        <w:t xml:space="preserve">RQ2（融合執行期觀測）</w:t>
      </w:r>
      <w:r>
        <w:t xml:space="preserve">：加入執行期觀測後，信心等級與覆蓋率如何變化？</w:t>
      </w:r>
    </w:p>
    <w:p>
      <w:pPr>
        <w:pStyle w:val="ListItem"/>
        <w:numPr>
          <w:ilvl w:val="0"/>
          <w:numId w:val="2"/>
        </w:numPr>
      </w:pPr>
      <w:r>
        <w:rPr>
          <w:b/>
          <w:bCs/>
        </w:rPr>
        <w:t xml:space="preserve">RQ3（對話式缺口補齊）</w:t>
      </w:r>
      <w:r>
        <w:t xml:space="preserve">：自動手段用盡之後詢問操作者，能補回多少相依關係？需要詢問多少問題？</w:t>
      </w:r>
    </w:p>
    <w:p>
      <w:pPr>
        <w:pStyle w:val="ListItem"/>
        <w:numPr>
          <w:ilvl w:val="0"/>
          <w:numId w:val="2"/>
        </w:numPr>
      </w:pPr>
      <w:r>
        <w:rPr>
          <w:b/>
          <w:bCs/>
        </w:rPr>
        <w:t xml:space="preserve">RQ4（產出物的一致性）</w:t>
      </w:r>
      <w:r>
        <w:t xml:space="preserve">：第 III-C、III-E 節的設計規則防止了哪些實際發生過的錯誤？</w:t>
      </w:r>
    </w:p>
    <w:p>
      <w:pPr>
        <w:pStyle w:val="Heading1"/>
      </w:pPr>
      <w:r>
        <w:t xml:space="preserve">背景與相關研究</w:t>
      </w:r>
    </w:p>
    <w:p>
      <w:pPr>
        <w:pStyle w:val="Heading2"/>
      </w:pPr>
      <w:r>
        <w:t xml:space="preserve">微服務架構重建</w:t>
      </w:r>
    </w:p>
    <w:p>
      <w:pPr>
        <w:pStyle w:val="BodyText"/>
      </w:pPr>
      <w:r>
        <w:t xml:space="preserve">靜態方法方面，Bushong 等人以靜態分析重建整個微服務系統的架構 [</w:t>
      </w:r>
      <w:hyperlink w:anchor="ref_bushong2022" w:history="1">
        <w:r>
          <w:t xml:space="preserve">3</w:t>
        </w:r>
      </w:hyperlink>
      <w:r>
        <w:t xml:space="preserve">]；Code2DFD 在原始碼與設定檔中尋找關鍵字作為證據，產生資料流圖 [</w:t>
      </w:r>
      <w:hyperlink w:anchor="ref_code2dfd2023" w:history="1">
        <w:r>
          <w:t xml:space="preserve">4</w:t>
        </w:r>
      </w:hyperlink>
      <w:r>
        <w:t xml:space="preserve">]；MicroDepGraph 從 docker-compose 中定義的相依關係與 Java 原始碼中的內部 API 呼叫取得相依關係 [</w:t>
      </w:r>
      <w:hyperlink w:anchor="ref_rahman2019" w:history="1">
        <w:r>
          <w:t xml:space="preserve">5</w:t>
        </w:r>
      </w:hyperlink>
      <w:r>
        <w:t xml:space="preserve">]。動態方法從系統已在收集的日誌、追蹤與指標重建執行期視圖 [</w:t>
      </w:r>
      <w:hyperlink w:anchor="ref_almaruf2022" w:history="1">
        <w:r>
          <w:t xml:space="preserve">1</w:t>
        </w:r>
      </w:hyperlink>
      <w:r>
        <w:t xml:space="preserve">]，相關的視覺化研究見 [</w:t>
      </w:r>
      <w:hyperlink w:anchor="ref_gortney2022" w:history="1">
        <w:r>
          <w:t xml:space="preserve">9</w:t>
        </w:r>
      </w:hyperlink>
      <w:r>
        <w:t xml:space="preserve">]；也有方法直接觀察 socket，取得行程之間的網路相依關係 [</w:t>
      </w:r>
      <w:hyperlink w:anchor="ref_tsubouchi2020" w:history="1">
        <w:r>
          <w:t xml:space="preserve">2</w:t>
        </w:r>
      </w:hyperlink>
      <w:r>
        <w:t xml:space="preserve">]。混合方法結合靜態來源與執行期資訊 [</w:t>
      </w:r>
      <w:hyperlink w:anchor="ref_mayer2018" w:history="1">
        <w:r>
          <w:t xml:space="preserve">10</w:t>
        </w:r>
      </w:hyperlink>
      <w:r>
        <w:t xml:space="preserve">], [</w:t>
      </w:r>
      <w:hyperlink w:anchor="ref_granchelli2017" w:history="1">
        <w:r>
          <w:t xml:space="preserve">11</w:t>
        </w:r>
      </w:hyperlink>
      <w:r>
        <w:t xml:space="preserve">]，例如 Soldani 等人以 Kubernetes manifest 取得節點、以 Kiali 先前產生的執行期圖取得邊 [</w:t>
      </w:r>
      <w:hyperlink w:anchor="ref_soldani2022" w:history="1">
        <w:r>
          <w:t xml:space="preserve">12</w:t>
        </w:r>
      </w:hyperlink>
      <w:r>
        <w:t xml:space="preserve">]；Mayer 與 Weinreich 的理由是有些關係只在執行期才看得到 [</w:t>
      </w:r>
      <w:hyperlink w:anchor="ref_mayer2018" w:history="1">
        <w:r>
          <w:t xml:space="preserve">10</w:t>
        </w:r>
      </w:hyperlink>
      <w:r>
        <w:t xml:space="preserve">]。</w:t>
      </w:r>
    </w:p>
    <w:p>
      <w:pPr>
        <w:pStyle w:val="BodyText"/>
      </w:pPr>
      <w:r>
        <w:t xml:space="preserve">既有的比較研究與文獻回顧顯示：37 個重建工具中 19 個純靜態、10 個純動態、只有 8 個結合兩者 [</w:t>
      </w:r>
      <w:hyperlink w:anchor="ref_bakhtin2023" w:history="1">
        <w:r>
          <w:t xml:space="preserve">13</w:t>
        </w:r>
      </w:hyperlink>
      <w:r>
        <w:t xml:space="preserve">]；依特徵挑選四個靜態工具組合起來，比表現最好的單一工具好 [</w:t>
      </w:r>
      <w:hyperlink w:anchor="ref_schneider2025" w:history="1">
        <w:r>
          <w:t xml:space="preserve">8</w:t>
        </w:r>
      </w:hyperlink>
      <w:r>
        <w:t xml:space="preserve">]；2026 年的文獻回顧把「可靠地融合異質證據」列為未解的問題 [</w:t>
      </w:r>
      <w:hyperlink w:anchor="ref_grinenko2026" w:history="1">
        <w:r>
          <w:t xml:space="preserve">14</w:t>
        </w:r>
      </w:hyperlink>
      <w:r>
        <w:t xml:space="preserve">]。在微服務之外，SARIF 依各來源的相關性與品質，融合相依關係、程式碼文字與目錄結構 [</w:t>
      </w:r>
      <w:hyperlink w:anchor="ref_sarif2023" w:history="1">
        <w:r>
          <w:t xml:space="preserve">15</w:t>
        </w:r>
      </w:hyperlink>
      <w:r>
        <w:t xml:space="preserve">]。本文的差別在於：上述融合方法多半只輸出邊的聯集或分群結果；DepWeaver 保留每條邊由哪個來源、以什麼信心等級支撐，並讓下游產出物依等級決定是否計分。</w:t>
      </w:r>
    </w:p>
    <w:p>
      <w:pPr>
        <w:pStyle w:val="Heading2"/>
      </w:pPr>
      <w:r>
        <w:t xml:space="preserve">服務相依圖的分析與測試</w:t>
      </w:r>
    </w:p>
    <w:p>
      <w:pPr>
        <w:pStyle w:val="BodyText"/>
      </w:pPr>
      <w:r>
        <w:t xml:space="preserve">Ma 等人提出以服務相依圖分析與測試微服務的 GMAT [</w:t>
      </w:r>
      <w:hyperlink w:anchor="ref_ma2018" w:history="1">
        <w:r>
          <w:t xml:space="preserve">16</w:t>
        </w:r>
      </w:hyperlink>
      <w:r>
        <w:t xml:space="preserve">]，之後加入服務與情境之間的邊以支援回歸測試的案例檢索 [</w:t>
      </w:r>
      <w:hyperlink w:anchor="ref_ma2019" w:history="1">
        <w:r>
          <w:t xml:space="preserve">17</w:t>
        </w:r>
      </w:hyperlink>
      <w:r>
        <w:t xml:space="preserve">]，並以版本為單位建構相依圖，在設計期標出設計問題、在執行期偵測異常 [</w:t>
      </w:r>
      <w:hyperlink w:anchor="ref_ma2019b" w:history="1">
        <w:r>
          <w:t xml:space="preserve">18</w:t>
        </w:r>
      </w:hyperlink>
      <w:r>
        <w:t xml:space="preserve">]；MicroViSim 針對 Kubernetes 上的微服務系統，從使用者定義的 YAML 設定產生服務相依圖與負載模擬 [</w:t>
      </w:r>
      <w:hyperlink w:anchor="ref_lin2025" w:history="1">
        <w:r>
          <w:t xml:space="preserve">19</w:t>
        </w:r>
      </w:hyperlink>
      <w:r>
        <w:t xml:space="preserve">]。這些工作以相依圖為輸入；本文處理的是如何從多個來源完整建構相依圖本身，並讓讀者知道每條邊有多可信。</w:t>
      </w:r>
    </w:p>
    <w:p>
      <w:pPr>
        <w:pStyle w:val="Heading2"/>
      </w:pPr>
      <w:r>
        <w:t xml:space="preserve">LLM 與架構重建</w:t>
      </w:r>
    </w:p>
    <w:p>
      <w:pPr>
        <w:pStyle w:val="BodyText"/>
      </w:pPr>
      <w:r>
        <w:t xml:space="preserve">Quadri 等人結合從程式碼建構的知識圖譜與 LLM 推理做架構重建 [</w:t>
      </w:r>
      <w:hyperlink w:anchor="ref_quadri2026" w:history="1">
        <w:r>
          <w:t xml:space="preserve">20</w:t>
        </w:r>
      </w:hyperlink>
      <w:r>
        <w:t xml:space="preserve">]。另一方面，讓 LLM agent 自行重建微服務架構時，受測的兩個模型中較好的 GPT-4o 平均 F1 約 0.6 [</w:t>
      </w:r>
      <w:hyperlink w:anchor="ref_liljas2026" w:history="1">
        <w:r>
          <w:t xml:space="preserve">6</w:t>
        </w:r>
      </w:hyperlink>
      <w:r>
        <w:t xml:space="preserve">]；第 IV-B 節在本文的參考邊集合上重做這個對照，並區分「不給檔案」與「給檔案」兩種條件。在生成端，Satyrn 先以分析程式算出事實再交給 LLM 撰寫，報告中正確陳述的比例超過 86%，直接讓 GPT-4 Code Interpreter 撰寫只有 57% [</w:t>
      </w:r>
      <w:hyperlink w:anchor="ref_satyrn2024" w:history="1">
        <w:r>
          <w:t xml:space="preserve">21</w:t>
        </w:r>
      </w:hyperlink>
      <w:r>
        <w:t xml:space="preserve">]；PAL 讓 LLM 寫程式、由直譯器計算答案 [</w:t>
      </w:r>
      <w:hyperlink w:anchor="ref_pal2023" w:history="1">
        <w:r>
          <w:t xml:space="preserve">22</w:t>
        </w:r>
      </w:hyperlink>
      <w:r>
        <w:t xml:space="preserve">]。DepWeaver 採取同樣的分工。</w:t>
      </w:r>
    </w:p>
    <w:p>
      <w:pPr>
        <w:pStyle w:val="Heading2"/>
      </w:pPr>
      <w:r>
        <w:t xml:space="preserve">Human-in-the-Loop 與 ChatOps</w:t>
      </w:r>
    </w:p>
    <w:p>
      <w:pPr>
        <w:pStyle w:val="BodyText"/>
      </w:pPr>
      <w:r>
        <w:t xml:space="preserve">Reflexion model 讓工程師定義高階模型與它到原始碼的對應，工具據此算出模型與程式碼一致和不一致之處 [</w:t>
      </w:r>
      <w:hyperlink w:anchor="ref_murphy1995" w:history="1">
        <w:r>
          <w:t xml:space="preserve">23</w:t>
        </w:r>
      </w:hyperlink>
      <w:r>
        <w:t xml:space="preserve">], [</w:t>
      </w:r>
      <w:hyperlink w:anchor="ref_murphy2001" w:history="1">
        <w:r>
          <w:t xml:space="preserve">24</w:t>
        </w:r>
      </w:hyperlink>
      <w:r>
        <w:t xml:space="preserve">]；文獻回顧也指出，混合式的重建工具鏈必須允許人工驗證與修正不完整的結果 [</w:t>
      </w:r>
      <w:hyperlink w:anchor="ref_grinenko2026" w:history="1">
        <w:r>
          <w:t xml:space="preserve">14</w:t>
        </w:r>
      </w:hyperlink>
      <w:r>
        <w:t xml:space="preserve">]。部分業界工具讓使用者事後撰寫改名、合併、拆分服務的規則，例如 Datadog 的 service remapping [</w:t>
      </w:r>
      <w:hyperlink w:anchor="ref_datadogremap" w:history="1">
        <w:r>
          <w:t xml:space="preserve">25</w:t>
        </w:r>
      </w:hyperlink>
      <w:r>
        <w:t xml:space="preserve">]；DepWeaver 則在分析進行中、在同一個對話裡提出具體問題。ChatOps 方面，MSABot [</w:t>
      </w:r>
      <w:hyperlink w:anchor="ref_msabot2020" w:history="1">
        <w:r>
          <w:t xml:space="preserve">26</w:t>
        </w:r>
      </w:hyperlink>
      <w:r>
        <w:t xml:space="preserve">] 與 MsdoBot [</w:t>
      </w:r>
      <w:hyperlink w:anchor="ref_msdobot2022" w:history="1">
        <w:r>
          <w:t xml:space="preserve">27</w:t>
        </w:r>
      </w:hyperlink>
      <w:r>
        <w:t xml:space="preserve">] 以聊天機器人支援微服務的開發與維運；ChatOps4Msa 以低程式碼的服務組合建構微服務 ChatOps [</w:t>
      </w:r>
      <w:hyperlink w:anchor="ref_wang2023" w:history="1">
        <w:r>
          <w:t xml:space="preserve">28</w:t>
        </w:r>
      </w:hyperlink>
      <w:r>
        <w:t xml:space="preserve">]，後續版本加入 LLM [</w:t>
      </w:r>
      <w:hyperlink w:anchor="ref_wang2024" w:history="1">
        <w:r>
          <w:t xml:space="preserve">29</w:t>
        </w:r>
      </w:hyperlink>
      <w:r>
        <w:t xml:space="preserve">]；PipelineBot 以 LLM 驅動的 ChatOps 自動化部署管線與監控 [</w:t>
      </w:r>
      <w:hyperlink w:anchor="ref_lai2025" w:history="1">
        <w:r>
          <w:t xml:space="preserve">30</w:t>
        </w:r>
      </w:hyperlink>
      <w:r>
        <w:t xml:space="preserve">]。DepWeaver 建在 ChatOps4Msa 之上，處理的是不同的問題：相依圖的建構，以及在建構中向操作者取得只有人知道的資訊。</w:t>
      </w:r>
    </w:p>
    <w:p>
      <w:pPr>
        <w:pStyle w:val="Heading2"/>
      </w:pPr>
      <w:r>
        <w:t xml:space="preserve">呈現不確定性</w:t>
      </w:r>
    </w:p>
    <w:p>
      <w:pPr>
        <w:pStyle w:val="BodyText"/>
      </w:pPr>
      <w:r>
        <w:t xml:space="preserve">Guo 等人以受控實驗比較在圖的邊上同時呈現主屬性與不確定性的視覺變數 [</w:t>
      </w:r>
      <w:hyperlink w:anchor="ref_guo2015" w:history="1">
        <w:r>
          <w:t xml:space="preserve">31</w:t>
        </w:r>
      </w:hyperlink>
      <w:r>
        <w:t xml:space="preserve">]；partial models 主張模型應能表達建模者的不確定性 [</w:t>
      </w:r>
      <w:hyperlink w:anchor="ref_famelis2012" w:history="1">
        <w:r>
          <w:t xml:space="preserve">32</w:t>
        </w:r>
      </w:hyperlink>
      <w:r>
        <w:t xml:space="preserve">]。部分業界服務圖會區分直接量測與推測的節點，例如 AWS X-Ray 以下游呼叫產生 inferred segment，等該服務自己送出資料時再取代它 [</w:t>
      </w:r>
      <w:hyperlink w:anchor="ref_xray" w:history="1">
        <w:r>
          <w:t xml:space="preserve">33</w:t>
        </w:r>
      </w:hyperlink>
      <w:r>
        <w:t xml:space="preserve">]。DepWeaver 把這個二分擴充成三級，並把等級帶進覆蓋率與報告。</w:t>
      </w:r>
    </w:p>
    <w:p>
      <w:pPr>
        <w:pStyle w:val="Heading1"/>
      </w:pPr>
      <w:r>
        <w:t xml:space="preserve">方法</w:t>
      </w:r>
    </w:p>
    <w:p>
      <w:pPr>
        <w:pStyle w:val="Heading2"/>
      </w:pPr>
      <w:r>
        <w:t xml:space="preserve">整體流程</w:t>
      </w:r>
    </w:p>
    <w:p>
      <w:pPr>
        <w:pStyle w:val="BodyText"/>
      </w:pPr>
      <w:r>
        <w:t xml:space="preserve">圖 1 是 DepWeaver 的流程。操作者以斜線指令給定 repo、namespace 與入口 URL；工具在背景執行收集管線，每個階段的結果寫入 JSON 檢查點。收集結束後，工具依確定性計算的覆蓋率，決定是否針對缺口再送一輪流量；需要只有人知道的資訊時暫停，並在對話中提問。收集期間會先合併一次，用來計算覆蓋率並找出要詢問的名稱；操作者按下 Generate report 後，再從檢查點建立統一模型（canonical model）並產生所有產出物。</w:t>
      </w:r>
    </w:p>
    <w:p>
      <w:pPr>
        <w:pStyle w:val="FigureImage"/>
      </w:pPr>
      <w:r>
        <w:drawing>
          <wp:inline distT="0" distB="0" distL="0" distR="0">
            <wp:extent cx="3017520" cy="2849431"/>
            <wp:docPr id="101" name="Picture 101" descr="DepWeaver 的流程。收集與產出以檢查點分開，缺口補齊與補送流量都可以多輪進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_arch.png"/>
                    <pic:cNvPicPr/>
                  </pic:nvPicPr>
                  <pic:blipFill>
                    <a:blip r:embed="rIdFig1"/>
                    <a:stretch>
                      <a:fillRect/>
                    </a:stretch>
                  </pic:blipFill>
                  <pic:spPr>
                    <a:xfrm>
                      <a:off x="0" y="0"/>
                      <a:ext cx="3017520" cy="2849431"/>
                    </a:xfrm>
                    <a:prstGeom prst="rect">
                      <a:avLst/>
                    </a:prstGeom>
                  </pic:spPr>
                </pic:pic>
              </a:graphicData>
            </a:graphic>
          </wp:inline>
        </w:drawing>
      </w:r>
    </w:p>
    <w:p>
      <w:pPr>
        <w:pStyle w:val="FigureCaption"/>
      </w:pPr>
      <w:r>
        <w:t xml:space="preserve">圖 1.　DepWeaver 的流程。收集與產出以檢查點分開，缺口補齊與補送流量都可以多輪進行</w:t>
      </w:r>
    </w:p>
    <w:p>
      <w:pPr>
        <w:pStyle w:val="BodyText"/>
      </w:pPr>
      <w:r>
        <w:t xml:space="preserve">兩個運作模式共用同一條流程。</w:t>
      </w:r>
      <w:r>
        <w:rPr>
          <w:b/>
          <w:bCs/>
        </w:rPr>
        <w:t xml:space="preserve">有叢集</w:t>
      </w:r>
      <w:r>
        <w:t xml:space="preserve">時，收集三個來源以及叢集的部署狀態；</w:t>
      </w:r>
      <w:r>
        <w:rPr>
          <w:b/>
          <w:bCs/>
        </w:rPr>
        <w:t xml:space="preserve">沒有叢集</w:t>
      </w:r>
      <w:r>
        <w:t xml:space="preserve">（namespace 為 none）時，需要叢集的步驟被跳過，只產出由靜態來源與文件構成的草圖（以下稱無叢集模式），並在每個受影響的產出物上註明「未量測」。</w:t>
      </w:r>
    </w:p>
    <w:p>
      <w:pPr>
        <w:pStyle w:val="Heading2"/>
      </w:pPr>
      <w:r>
        <w:t xml:space="preserve">三個來源</w:t>
      </w:r>
    </w:p>
    <w:p>
      <w:pPr>
        <w:pStyle w:val="BodyText"/>
      </w:pPr>
      <w:r>
        <w:rPr>
          <w:b/>
          <w:bCs/>
        </w:rPr>
        <w:t xml:space="preserve">執行期觀測。</w:t>
      </w:r>
      <w:r>
        <w:t xml:space="preserve">系統執行時，Istio 為每個服務部署一個 proxy（sidecar），服務之間的每一次呼叫都經過它；proxy 記下「誰呼叫了誰、幾次、成功與否」並寫入 Prometheus。DepWeaver 查詢三組計數：HTTP 與 gRPC 請求（istio_requests_total，以接收端回報為準）、服務網格內的 TCP 連線（istio_tcp_connections_opened_total；資料庫這類非 HTTP 的連線只在 TCP 層可見），以及目的地在網格外的 HTTP 與 TCP 流量（外部相依關係）。</w:t>
      </w:r>
    </w:p>
    <w:p>
      <w:pPr>
        <w:pStyle w:val="BodyText"/>
      </w:pPr>
      <w:r>
        <w:rPr>
          <w:b/>
          <w:bCs/>
        </w:rPr>
        <w:t xml:space="preserve">靜態分析。</w:t>
      </w:r>
      <w:r>
        <w:t xml:space="preserve">以 tree-sitter 解析 Java 與 Python 原始碼，用查詢檔比對 HTTP client、Feign、RestTemplate、訊息佇列，以及持久化 annotation 與模型宣告（JPA 的 @Entity 與 Repository、SQLAlchemy、Django ORM）；其他語言則改由 LLM 閱讀程式片段。設定檔（Spring 的 application.yml、Spring Cloud Config 的設定 repo）、部署描述檔（Kubernetes manifest、Docker Compose）與反向代理設定（nginx、Apache）由確定性解析器讀取位址與連線設定。每條抽取到的關係附「檔案：行號」。</w:t>
      </w:r>
    </w:p>
    <w:p>
      <w:pPr>
        <w:pStyle w:val="BodyText"/>
      </w:pPr>
      <w:r>
        <w:rPr>
          <w:b/>
          <w:bCs/>
        </w:rPr>
        <w:t xml:space="preserve">專案文件。</w:t>
      </w:r>
      <w:r>
        <w:t xml:space="preserve">透過 DeepWiki 對 repo 提出五個固定問題（服務職責、同步呼叫、非同步呼叫、外部相依關係、架構流程（入口、請求流程與相依樞紐）），再由 LLM 整理成結構化清單。有些呼叫只在罕見流程中發生，只有文件會提到；但文件也是最可能過時或錯誤的來源。</w:t>
      </w:r>
    </w:p>
    <w:p>
      <w:pPr>
        <w:pStyle w:val="Heading2"/>
      </w:pPr>
      <w:r>
        <w:t xml:space="preserve">信心等級、出處與合併</w:t>
      </w:r>
    </w:p>
    <w:p>
      <w:pPr>
        <w:pStyle w:val="BodyText"/>
      </w:pPr>
      <w:r>
        <w:rPr>
          <w:b/>
          <w:bCs/>
        </w:rPr>
        <w:t xml:space="preserve">信心等級。</w:t>
      </w:r>
      <w:r>
        <w:t xml:space="preserve">每條邊帶一個有序的三級信心等級（表 I），Graphviz 圖上以點線、虛線、實線呈現（圖 2）；Mermaid 沒有點線，僅推測的邊改以虛線加「?」標示。注意「有使用證據」（documented）指有程式碼或設定佐證，不是「文件提到」。等級與出處分開儲存：一條邊可以有多筆出處（程式碼的某一行、某個指標、文件的某一段），但只有一個等級。</w:t>
      </w:r>
    </w:p>
    <w:p>
      <w:pPr>
        <w:pStyle w:val="TableCaption"/>
      </w:pPr>
      <w:r>
        <w:t xml:space="preserve">表 I　三級信心等級（由低到高）</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150"/>
        <w:gridCol w:w="1700"/>
        <w:gridCol w:w="2190"/>
      </w:tblGrid>
      <w:tr>
        <w:trPr>
          <w:tblHeader/>
          <w:cantSplit/>
        </w:trPr>
        <w:tc>
          <w:tcPr>
            <w:tcW w:w="1150" w:type="dxa"/>
            <w:tcBorders>
              <w:bottom w:val="single" w:sz="4" w:space="0" w:color="000000"/>
            </w:tcBorders>
          </w:tcPr>
          <w:p>
            <w:pPr>
              <w:pStyle w:val="TableCell"/>
              <w:keepNext/>
              <w:ind w:firstLine="0"/>
              <w:jc w:val="left"/>
            </w:pPr>
            <w:r>
              <w:rPr>
                <w:b/>
                <w:bCs/>
              </w:rPr>
              <w:t xml:space="preserve">等級</w:t>
            </w:r>
          </w:p>
        </w:tc>
        <w:tc>
          <w:tcPr>
            <w:tcW w:w="1700" w:type="dxa"/>
            <w:tcBorders>
              <w:bottom w:val="single" w:sz="4" w:space="0" w:color="000000"/>
            </w:tcBorders>
          </w:tcPr>
          <w:p>
            <w:pPr>
              <w:pStyle w:val="TableCell"/>
              <w:keepNext/>
              <w:ind w:firstLine="0"/>
              <w:jc w:val="left"/>
            </w:pPr>
            <w:r>
              <w:rPr>
                <w:b/>
                <w:bCs/>
              </w:rPr>
              <w:t xml:space="preserve">條件</w:t>
            </w:r>
          </w:p>
        </w:tc>
        <w:tc>
          <w:tcPr>
            <w:tcW w:w="2190" w:type="dxa"/>
            <w:tcBorders>
              <w:bottom w:val="single" w:sz="4" w:space="0" w:color="000000"/>
            </w:tcBorders>
          </w:tcPr>
          <w:p>
            <w:pPr>
              <w:pStyle w:val="TableCell"/>
              <w:keepNext/>
              <w:ind w:firstLine="0"/>
              <w:jc w:val="left"/>
            </w:pPr>
            <w:r>
              <w:rPr>
                <w:b/>
                <w:bCs/>
              </w:rPr>
              <w:t xml:space="preserve">範例</w:t>
            </w:r>
          </w:p>
        </w:tc>
      </w:tr>
      <w:tr>
        <w:trPr>
          <w:cantSplit/>
        </w:trPr>
        <w:tc>
          <w:tcPr>
            <w:tcW w:w="1150" w:type="dxa"/>
          </w:tcPr>
          <w:p>
            <w:pPr>
              <w:pStyle w:val="TableCell"/>
              <w:keepNext/>
              <w:ind w:firstLine="0"/>
              <w:jc w:val="left"/>
            </w:pPr>
            <w:r>
              <w:t xml:space="preserve">僅推測（inferred）</w:t>
            </w:r>
          </w:p>
        </w:tc>
        <w:tc>
          <w:tcPr>
            <w:tcW w:w="1700" w:type="dxa"/>
          </w:tcPr>
          <w:p>
            <w:pPr>
              <w:pStyle w:val="TableCell"/>
              <w:keepNext/>
              <w:ind w:firstLine="0"/>
              <w:jc w:val="left"/>
            </w:pPr>
            <w:r>
              <w:t xml:space="preserve">只有文件敘述而無設定佐證、只有資料庫連線設定而無持久化程式碼、workload 本身環境變數中的服務位址，或由變數名推得</w:t>
            </w:r>
          </w:p>
        </w:tc>
        <w:tc>
          <w:tcPr>
            <w:tcW w:w="2190" w:type="dxa"/>
          </w:tcPr>
          <w:p>
            <w:pPr>
              <w:pStyle w:val="TableCell"/>
              <w:keepNext/>
              <w:ind w:firstLine="0"/>
              <w:jc w:val="left"/>
            </w:pPr>
            <w:r>
              <w:t xml:space="preserve">有 datasource URL 但沒有持久化程式碼</w:t>
            </w:r>
          </w:p>
        </w:tc>
      </w:tr>
      <w:tr>
        <w:trPr>
          <w:cantSplit/>
        </w:trPr>
        <w:tc>
          <w:tcPr>
            <w:tcW w:w="1150" w:type="dxa"/>
          </w:tcPr>
          <w:p>
            <w:pPr>
              <w:pStyle w:val="TableCell"/>
              <w:keepNext/>
              <w:ind w:firstLine="0"/>
              <w:jc w:val="left"/>
            </w:pPr>
            <w:r>
              <w:t xml:space="preserve">有使用證據（documented）</w:t>
            </w:r>
          </w:p>
        </w:tc>
        <w:tc>
          <w:tcPr>
            <w:tcW w:w="1700" w:type="dxa"/>
          </w:tcPr>
          <w:p>
            <w:pPr>
              <w:pStyle w:val="TableCell"/>
              <w:keepNext/>
              <w:ind w:firstLine="0"/>
              <w:jc w:val="left"/>
            </w:pPr>
            <w:r>
              <w:t xml:space="preserve">有會發出呼叫的程式碼，或設定檔中指向該服務的位址（workload 本身環境變數除外）；Compose 的 depends_on／links；文件中有設定佐證的關係；資料庫連線設定加上持久化程式碼</w:t>
            </w:r>
          </w:p>
        </w:tc>
        <w:tc>
          <w:tcPr>
            <w:tcW w:w="2190" w:type="dxa"/>
          </w:tcPr>
          <w:p>
            <w:pPr>
              <w:pStyle w:val="TableCell"/>
              <w:keepNext/>
              <w:ind w:firstLine="0"/>
              <w:jc w:val="left"/>
            </w:pPr>
            <w:r>
              <w:t xml:space="preserve">Feign client 位於 CustomersServiceClient.java:36</w:t>
            </w:r>
          </w:p>
        </w:tc>
      </w:tr>
      <w:tr>
        <w:trPr>
          <w:cantSplit/>
        </w:trPr>
        <w:tc>
          <w:tcPr>
            <w:tcW w:w="1150" w:type="dxa"/>
          </w:tcPr>
          <w:p>
            <w:pPr>
              <w:pStyle w:val="TableCell"/>
              <w:ind w:firstLine="0"/>
              <w:jc w:val="left"/>
            </w:pPr>
            <w:r>
              <w:t xml:space="preserve">量測到（observed）</w:t>
            </w:r>
          </w:p>
        </w:tc>
        <w:tc>
          <w:tcPr>
            <w:tcW w:w="1700" w:type="dxa"/>
          </w:tcPr>
          <w:p>
            <w:pPr>
              <w:pStyle w:val="TableCell"/>
              <w:ind w:firstLine="0"/>
              <w:jc w:val="left"/>
            </w:pPr>
            <w:r>
              <w:t xml:space="preserve">執行期觀測記錄到這條關係發生過</w:t>
            </w:r>
          </w:p>
        </w:tc>
        <w:tc>
          <w:tcPr>
            <w:tcW w:w="2190" w:type="dxa"/>
          </w:tcPr>
          <w:p>
            <w:pPr>
              <w:pStyle w:val="TableCell"/>
              <w:ind w:firstLine="0"/>
              <w:jc w:val="left"/>
            </w:pPr>
            <w:r>
              <w:t xml:space="preserve">istio_requests_total 記錄 ingress 到 api-gateway 共 121 次（petclinic，2026-07-29 執行期邊清單）</w:t>
            </w:r>
          </w:p>
        </w:tc>
      </w:tr>
    </w:tbl>
    <w:p>
      <w:pPr>
        <w:pStyle w:val="BodyText"/>
        <w:spacing w:after="80"/>
      </w:pPr>
    </w:p>
    <w:p>
      <w:pPr>
        <w:pStyle w:val="FigureImage"/>
      </w:pPr>
      <w:r>
        <w:drawing>
          <wp:inline distT="0" distB="0" distL="0" distR="0">
            <wp:extent cx="2926080" cy="1764382"/>
            <wp:docPr id="102" name="Picture 102" descr="三級信心等級在 Graphviz 圖上的呈現（示意）：點線（僅推測）、虛線（有使用證據）、實線（量測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_levels.png"/>
                    <pic:cNvPicPr/>
                  </pic:nvPicPr>
                  <pic:blipFill>
                    <a:blip r:embed="rIdFig2"/>
                    <a:stretch>
                      <a:fillRect/>
                    </a:stretch>
                  </pic:blipFill>
                  <pic:spPr>
                    <a:xfrm>
                      <a:off x="0" y="0"/>
                      <a:ext cx="2926080" cy="1764382"/>
                    </a:xfrm>
                    <a:prstGeom prst="rect">
                      <a:avLst/>
                    </a:prstGeom>
                  </pic:spPr>
                </pic:pic>
              </a:graphicData>
            </a:graphic>
          </wp:inline>
        </w:drawing>
      </w:r>
    </w:p>
    <w:p>
      <w:pPr>
        <w:pStyle w:val="FigureCaption"/>
      </w:pPr>
      <w:r>
        <w:t xml:space="preserve">圖 2.　三級信心等級在 Graphviz 圖上的呈現（示意）：點線（僅推測）、虛線（有使用證據）、實線（量測到）</w:t>
      </w:r>
    </w:p>
    <w:p>
      <w:pPr>
        <w:pStyle w:val="BodyText"/>
      </w:pPr>
      <w:r>
        <w:rPr>
          <w:b/>
          <w:bCs/>
        </w:rPr>
        <w:t xml:space="preserve">合併規則</w:t>
      </w:r>
      <w:r>
        <w:t xml:space="preserve">如演算法 1 所示：以（來源，目標）為鍵，等級取最高、出處取聯集。名稱對齊不在這一步進行：各合併器在呼叫 addEdge 之前先對齊名稱；正規化改名時，再透過同一個函式把邊合併回去。下游產出物只能沿用或降低等級，不能提高。我們選擇離散的三級而不是 0 到 1 的連續值，原因是不需要校準參數或加權公式，且可直接對應三種線型。代價是無法表達「兩個弱來源互相佐證」。</w:t>
      </w:r>
    </w:p>
    <w:p>
      <w:pPr>
        <w:pStyle w:val="AlgoTitle"/>
      </w:pPr>
      <w:r>
        <w:t xml:space="preserve">演算法 1：邊的合併（addEdge）</w:t>
      </w:r>
    </w:p>
    <w:p>
      <w:pPr>
        <w:pStyle w:val="AlgoLine"/>
      </w:pPr>
      <w:r>
        <w:t xml:space="preserve">輸入：模型 G，候選邊 e = (s, t, level, layers, refs, observed, count)；s、t 已由合併器對齊名稱</w:t>
      </w:r>
    </w:p>
    <w:p>
      <w:pPr>
        <w:pStyle w:val="AlgoLine"/>
      </w:pPr>
      <w:r>
        <w:t xml:space="preserve">1: if (s, t) ∉ G.edges then</w:t>
      </w:r>
    </w:p>
    <w:p>
      <w:pPr>
        <w:pStyle w:val="AlgoLine"/>
      </w:pPr>
      <w:r>
        <w:t xml:space="preserve">2:     G.edges[(s, t)] ← e; return</w:t>
      </w:r>
    </w:p>
    <w:p>
      <w:pPr>
        <w:pStyle w:val="AlgoLine"/>
      </w:pPr>
      <w:r>
        <w:t xml:space="preserve">3: end if</w:t>
      </w:r>
    </w:p>
    <w:p>
      <w:pPr>
        <w:pStyle w:val="AlgoLine"/>
      </w:pPr>
      <w:r>
        <w:t xml:space="preserve">4: old ← G.edges[(s, t)]</w:t>
      </w:r>
    </w:p>
    <w:p>
      <w:pPr>
        <w:pStyle w:val="AlgoLine"/>
      </w:pPr>
      <w:r>
        <w:t xml:space="preserve">5: old.level ← max(old.level, e.level)       // inferred &lt; documented &lt; observed</w:t>
      </w:r>
    </w:p>
    <w:p>
      <w:pPr>
        <w:pStyle w:val="AlgoLine"/>
      </w:pPr>
      <w:r>
        <w:t xml:space="preserve">6: old.layers ← old.layers ∪ e.layers         // runtime／code／doc</w:t>
      </w:r>
    </w:p>
    <w:p>
      <w:pPr>
        <w:pStyle w:val="AlgoLine"/>
      </w:pPr>
      <w:r>
        <w:t xml:space="preserve">7: old.refs ← old.refs ∪ e.refs               // 出處取聯集</w:t>
      </w:r>
    </w:p>
    <w:p>
      <w:pPr>
        <w:pStyle w:val="AlgoLine"/>
      </w:pPr>
      <w:r>
        <w:t xml:space="preserve">8: old.observed ← old.observed ∨ e.observed</w:t>
      </w:r>
    </w:p>
    <w:p>
      <w:pPr>
        <w:pStyle w:val="AlgoLast"/>
      </w:pPr>
      <w:r>
        <w:t xml:space="preserve">9: old.count ← max(old.count, e.count)       // 只有量測來源帶次數</w:t>
      </w:r>
    </w:p>
    <w:p>
      <w:pPr>
        <w:pStyle w:val="BodyText"/>
      </w:pPr>
      <w:r>
        <w:rPr>
          <w:b/>
          <w:bCs/>
        </w:rPr>
        <w:t xml:space="preserve">資料庫邊的升級條件。</w:t>
      </w:r>
      <w:r>
        <w:t xml:space="preserve">資料庫邊只有連線設定時是「僅推測」；同一個服務同時找到持久化程式碼，才升為「有使用證據」；在服務網格內量測到 TCP 連線後，才升為「量測到」。Spring Boot 以環境變數 SPRING_DATASOURCE_URL 隱式綁定資料來源，程式碼裡沒有讀取這個值的行，因此 DepWeaver 也讀取 Deployment 的 envFrom 與 configMapKeyRef，把注入的位址當成連線設定。</w:t>
      </w:r>
    </w:p>
    <w:p>
      <w:pPr>
        <w:pStyle w:val="BodyText"/>
      </w:pPr>
      <w:r>
        <w:rPr>
          <w:b/>
          <w:bCs/>
        </w:rPr>
        <w:t xml:space="preserve">合併順序。</w:t>
      </w:r>
      <w:r>
        <w:t xml:space="preserve">先以執行期觀測建立骨架；再依序疊加程式碼邊（先對齊節點，對不上的列入未對應清單）、文件邊（不新增服務節點，對不上的服務名稱改為詢問；但可新增資料庫、佇列與外部主機節點）、持久化證據，以及叢集的部署狀態。</w:t>
      </w:r>
    </w:p>
    <w:p>
      <w:pPr>
        <w:pStyle w:val="Heading2"/>
      </w:pPr>
      <w:r>
        <w:t xml:space="preserve">正規化、未對應的邊與分層</w:t>
      </w:r>
    </w:p>
    <w:p>
      <w:pPr>
        <w:pStyle w:val="BodyText"/>
      </w:pPr>
      <w:r>
        <w:t xml:space="preserve">合併後的圖帶有三類雜訊：框架函式庫被當成服務、同一服務的多種拼法（模組目錄名、部署名、文件中的名稱），以及控制平面元件。DepWeaver 以 56 條不含任何專案名稱的抽取與合併規則，加上框架函式庫與控制平面的名單處理；表 II 列出其中幾條代表性的規則；每條規則都是在第 IV-B 節的某個系統上逐條比對差異後歸納出來的，並有對應的單元測試（46 條全表見附錄；它們分四輪歸納，每一輪對未見過的系統轉移了多少，見第 IV-C 節）。</w:t>
      </w:r>
    </w:p>
    <w:p>
      <w:pPr>
        <w:pStyle w:val="TableCaption"/>
      </w:pPr>
      <w:r>
        <w:t xml:space="preserve">表 II　抽取與合併規則（節錄）</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2700"/>
        <w:gridCol w:w="2340"/>
      </w:tblGrid>
      <w:tr>
        <w:trPr>
          <w:tblHeader/>
          <w:cantSplit/>
        </w:trPr>
        <w:tc>
          <w:tcPr>
            <w:tcW w:w="2700" w:type="dxa"/>
            <w:tcBorders>
              <w:bottom w:val="single" w:sz="4" w:space="0" w:color="000000"/>
            </w:tcBorders>
          </w:tcPr>
          <w:p>
            <w:pPr>
              <w:pStyle w:val="TableCell"/>
              <w:keepNext/>
              <w:ind w:firstLine="0"/>
              <w:jc w:val="left"/>
            </w:pPr>
            <w:r>
              <w:rPr>
                <w:b/>
                <w:bCs/>
              </w:rPr>
              <w:t xml:space="preserve">規則</w:t>
            </w:r>
          </w:p>
        </w:tc>
        <w:tc>
          <w:tcPr>
            <w:tcW w:w="2340" w:type="dxa"/>
            <w:tcBorders>
              <w:bottom w:val="single" w:sz="4" w:space="0" w:color="000000"/>
            </w:tcBorders>
          </w:tcPr>
          <w:p>
            <w:pPr>
              <w:pStyle w:val="TableCell"/>
              <w:keepNext/>
              <w:ind w:firstLine="0"/>
              <w:jc w:val="left"/>
            </w:pPr>
            <w:r>
              <w:rPr>
                <w:b/>
                <w:bCs/>
              </w:rPr>
              <w:t xml:space="preserve">歸納出此規則的系統</w:t>
            </w:r>
          </w:p>
        </w:tc>
      </w:tr>
      <w:tr>
        <w:trPr>
          <w:cantSplit/>
        </w:trPr>
        <w:tc>
          <w:tcPr>
            <w:tcW w:w="2700" w:type="dxa"/>
          </w:tcPr>
          <w:p>
            <w:pPr>
              <w:pStyle w:val="TableCell"/>
              <w:keepNext/>
              <w:ind w:firstLine="0"/>
              <w:jc w:val="left"/>
            </w:pPr>
            <w:r>
              <w:t xml:space="preserve">無叢集時，以 Kubernetes workload 名稱作為服務名稱清單</w:t>
            </w:r>
          </w:p>
        </w:tc>
        <w:tc>
          <w:tcPr>
            <w:tcW w:w="2340" w:type="dxa"/>
          </w:tcPr>
          <w:p>
            <w:pPr>
              <w:pStyle w:val="TableCell"/>
              <w:keepNext/>
              <w:ind w:firstLine="0"/>
              <w:jc w:val="left"/>
            </w:pPr>
            <w:r>
              <w:t xml:space="preserve">ewolff、TeaStore、Online Boutique</w:t>
            </w:r>
          </w:p>
        </w:tc>
      </w:tr>
      <w:tr>
        <w:trPr>
          <w:cantSplit/>
        </w:trPr>
        <w:tc>
          <w:tcPr>
            <w:tcW w:w="2700" w:type="dxa"/>
          </w:tcPr>
          <w:p>
            <w:pPr>
              <w:pStyle w:val="TableCell"/>
              <w:keepNext/>
              <w:ind w:firstLine="0"/>
              <w:jc w:val="left"/>
            </w:pPr>
            <w:r>
              <w:t xml:space="preserve">模組目錄名與 workload 名稱完全相同，或以「-部署名」結尾時，視為同一服務</w:t>
            </w:r>
          </w:p>
        </w:tc>
        <w:tc>
          <w:tcPr>
            <w:tcW w:w="2340" w:type="dxa"/>
          </w:tcPr>
          <w:p>
            <w:pPr>
              <w:pStyle w:val="TableCell"/>
              <w:keepNext/>
              <w:ind w:firstLine="0"/>
              <w:jc w:val="left"/>
            </w:pPr>
            <w:r>
              <w:t xml:space="preserve">ewolff、TeaStore</w:t>
            </w:r>
          </w:p>
        </w:tc>
      </w:tr>
      <w:tr>
        <w:trPr>
          <w:cantSplit/>
        </w:trPr>
        <w:tc>
          <w:tcPr>
            <w:tcW w:w="2700" w:type="dxa"/>
          </w:tcPr>
          <w:p>
            <w:pPr>
              <w:pStyle w:val="TableCell"/>
              <w:keepNext/>
              <w:ind w:firstLine="0"/>
              <w:jc w:val="left"/>
            </w:pPr>
            <w:r>
              <w:t xml:space="preserve">佔位符依序查環境變數、屬性、預設值，最後才用變數名（標為僅推測）</w:t>
            </w:r>
          </w:p>
        </w:tc>
        <w:tc>
          <w:tcPr>
            <w:tcW w:w="2340" w:type="dxa"/>
          </w:tcPr>
          <w:p>
            <w:pPr>
              <w:pStyle w:val="TableCell"/>
              <w:keepNext/>
              <w:ind w:firstLine="0"/>
              <w:jc w:val="left"/>
            </w:pPr>
            <w:r>
              <w:t xml:space="preserve">piggymetrics、ewolff、robot-shop</w:t>
            </w:r>
          </w:p>
        </w:tc>
      </w:tr>
      <w:tr>
        <w:trPr>
          <w:cantSplit/>
        </w:trPr>
        <w:tc>
          <w:tcPr>
            <w:tcW w:w="2700" w:type="dxa"/>
          </w:tcPr>
          <w:p>
            <w:pPr>
              <w:pStyle w:val="TableCell"/>
              <w:keepNext/>
              <w:ind w:firstLine="0"/>
              <w:jc w:val="left"/>
            </w:pPr>
            <w:r>
              <w:t xml:space="preserve">單獨的主機名變數（如 DB_HOST）也視為呼叫目標</w:t>
            </w:r>
          </w:p>
        </w:tc>
        <w:tc>
          <w:tcPr>
            <w:tcW w:w="2340" w:type="dxa"/>
          </w:tcPr>
          <w:p>
            <w:pPr>
              <w:pStyle w:val="TableCell"/>
              <w:keepNext/>
              <w:ind w:firstLine="0"/>
              <w:jc w:val="left"/>
            </w:pPr>
            <w:r>
              <w:t xml:space="preserve">piggymetrics、TeaStore、robot-shop</w:t>
            </w:r>
          </w:p>
        </w:tc>
      </w:tr>
      <w:tr>
        <w:trPr>
          <w:cantSplit/>
        </w:trPr>
        <w:tc>
          <w:tcPr>
            <w:tcW w:w="2700" w:type="dxa"/>
          </w:tcPr>
          <w:p>
            <w:pPr>
              <w:pStyle w:val="TableCell"/>
              <w:keepNext/>
              <w:ind w:firstLine="0"/>
              <w:jc w:val="left"/>
            </w:pPr>
            <w:r>
              <w:t xml:space="preserve">反向代理設定視為入口的邊清單</w:t>
            </w:r>
          </w:p>
        </w:tc>
        <w:tc>
          <w:tcPr>
            <w:tcW w:w="2340" w:type="dxa"/>
          </w:tcPr>
          <w:p>
            <w:pPr>
              <w:pStyle w:val="TableCell"/>
              <w:keepNext/>
              <w:ind w:firstLine="0"/>
              <w:jc w:val="left"/>
            </w:pPr>
            <w:r>
              <w:t xml:space="preserve">ewolff、robot-shop</w:t>
            </w:r>
          </w:p>
        </w:tc>
      </w:tr>
      <w:tr>
        <w:trPr>
          <w:cantSplit/>
        </w:trPr>
        <w:tc>
          <w:tcPr>
            <w:tcW w:w="2700" w:type="dxa"/>
          </w:tcPr>
          <w:p>
            <w:pPr>
              <w:pStyle w:val="TableCell"/>
              <w:keepNext/>
              <w:ind w:firstLine="0"/>
              <w:jc w:val="left"/>
            </w:pPr>
            <w:r>
              <w:t xml:space="preserve">Compose 描述的是服務之間的連線設定，不是某個服務的設定；depends_on 的目標也建立節點</w:t>
            </w:r>
          </w:p>
        </w:tc>
        <w:tc>
          <w:tcPr>
            <w:tcW w:w="2340" w:type="dxa"/>
          </w:tcPr>
          <w:p>
            <w:pPr>
              <w:pStyle w:val="TableCell"/>
              <w:keepNext/>
              <w:ind w:firstLine="0"/>
              <w:jc w:val="left"/>
            </w:pPr>
            <w:r>
              <w:t xml:space="preserve">TeaStore、robot-shop、ecommerce</w:t>
            </w:r>
          </w:p>
        </w:tc>
      </w:tr>
      <w:tr>
        <w:trPr>
          <w:cantSplit/>
        </w:trPr>
        <w:tc>
          <w:tcPr>
            <w:tcW w:w="2700" w:type="dxa"/>
          </w:tcPr>
          <w:p>
            <w:pPr>
              <w:pStyle w:val="TableCell"/>
              <w:keepNext/>
              <w:ind w:firstLine="0"/>
              <w:jc w:val="left"/>
            </w:pPr>
            <w:r>
              <w:t xml:space="preserve">localhost 永遠不是節點；未被引用的常數不算呼叫</w:t>
            </w:r>
          </w:p>
        </w:tc>
        <w:tc>
          <w:tcPr>
            <w:tcW w:w="2340" w:type="dxa"/>
          </w:tcPr>
          <w:p>
            <w:pPr>
              <w:pStyle w:val="TableCell"/>
              <w:keepNext/>
              <w:ind w:firstLine="0"/>
              <w:jc w:val="left"/>
            </w:pPr>
            <w:r>
              <w:t xml:space="preserve">ecommerce</w:t>
            </w:r>
          </w:p>
        </w:tc>
      </w:tr>
      <w:tr>
        <w:trPr>
          <w:cantSplit/>
        </w:trPr>
        <w:tc>
          <w:tcPr>
            <w:tcW w:w="2700" w:type="dxa"/>
          </w:tcPr>
          <w:p>
            <w:pPr>
              <w:pStyle w:val="TableCell"/>
              <w:ind w:firstLine="0"/>
              <w:jc w:val="left"/>
            </w:pPr>
            <w:r>
              <w:t xml:space="preserve">workload 本身環境變數中的服務位址畫成僅推測</w:t>
            </w:r>
          </w:p>
        </w:tc>
        <w:tc>
          <w:tcPr>
            <w:tcW w:w="2340" w:type="dxa"/>
          </w:tcPr>
          <w:p>
            <w:pPr>
              <w:pStyle w:val="TableCell"/>
              <w:ind w:firstLine="0"/>
              <w:jc w:val="left"/>
            </w:pPr>
            <w:r>
              <w:t xml:space="preserve">Online Boutique、Bank of Anthos、TeaStore</w:t>
            </w:r>
          </w:p>
        </w:tc>
      </w:tr>
    </w:tbl>
    <w:p>
      <w:pPr>
        <w:pStyle w:val="BodyText"/>
        <w:spacing w:after="80"/>
      </w:pPr>
    </w:p>
    <w:p>
      <w:pPr>
        <w:pStyle w:val="BodyText"/>
      </w:pPr>
      <w:r>
        <w:rPr>
          <w:b/>
          <w:bCs/>
        </w:rPr>
        <w:t xml:space="preserve">未對應的邊交給 LLM。</w:t>
      </w:r>
      <w:r>
        <w:t xml:space="preserve">只有規則未涵蓋的少數程式碼邊會交給 LLM 判斷目標節點。LLM 回傳的來源必須是圖上已存在的服務；目標必須是既有節點，或明確標為外部主機、訊息佇列的新節點；不符合時丟棄，並記成待詢問的名稱（第 III-F 節）。</w:t>
      </w:r>
    </w:p>
    <w:p>
      <w:pPr>
        <w:pStyle w:val="BodyText"/>
      </w:pPr>
      <w:r>
        <w:rPr>
          <w:b/>
          <w:bCs/>
        </w:rPr>
        <w:t xml:space="preserve">分層。</w:t>
      </w:r>
      <w:r>
        <w:t xml:space="preserve">節點依序排成：入口層（gateway，或沒有被任何服務呼叫的服務）、依最長路徑深度排列的業務服務、資料層、外部主機、沒有任何邊的節點。使用最長路徑而非最短路徑，是因為一個既被入口直接呼叫、又在呼叫鏈末端被呼叫的服務應該排在鏈的下方，否則箭頭會往回指。以 Tarjan 演算法找出強連通元件，並把每個元件收縮成單一節點，同一個環的成員因此在同一層。在 train-ticket（51 條邊）上，分層後 51 條邊全部由上往下，沒有向上或同層的邊。</w:t>
      </w:r>
    </w:p>
    <w:p>
      <w:pPr>
        <w:pStyle w:val="Heading2"/>
      </w:pPr>
      <w:r>
        <w:t xml:space="preserve">讓產出物彼此一致</w:t>
      </w:r>
    </w:p>
    <w:p>
      <w:pPr>
        <w:pStyle w:val="BodyText"/>
      </w:pPr>
      <w:r>
        <w:rPr>
          <w:b/>
          <w:bCs/>
        </w:rPr>
        <w:t xml:space="preserve">一個模型、多個視圖。</w:t>
      </w:r>
      <w:r>
        <w:t xml:space="preserve">每次產出先建立一個統一模型，再由它產生所有產出物：Mermaid 與 Graphviz 圖、覆蓋率、報告的事實段落、問答用的存檔。衍生計算（覆蓋率、分層）只實作一次。模型可序列化；報告發出數天後在 Discord thread 追問時，讀回的是同一份模型，不重新查詢叢集。</w:t>
      </w:r>
    </w:p>
    <w:p>
      <w:pPr>
        <w:pStyle w:val="BodyText"/>
      </w:pPr>
      <w:r>
        <w:rPr>
          <w:b/>
          <w:bCs/>
        </w:rPr>
        <w:t xml:space="preserve">事實段落由程式產生。</w:t>
      </w:r>
      <w:r>
        <w:t xml:space="preserve">報告中列出相依關係的兩節（服務間的同步相依關係、基礎設施與資料層的相依關係）稱為事實段落，由程式從模型產生，措辭固定（例如資料庫邊寫「連線數」而非「請求數」，因為量測到的是前者），以 LLM 報告中第 6 節的標題為錨點插入；LLM 若自己也寫了這兩節，丟棄它的版本；找不到錨點時附在報告最後。「由操作者解析的名稱」一節也由程式產生，固定附在報告最後。其餘章節（收集狀態、元件、非同步通訊、未解項目與信心摘要）由 LLM 依各來源的原始紀錄與圖上的服務名稱撰寫。</w:t>
      </w:r>
    </w:p>
    <w:p>
      <w:pPr>
        <w:pStyle w:val="BodyText"/>
      </w:pPr>
      <w:r>
        <w:rPr>
          <w:b/>
          <w:bCs/>
        </w:rPr>
        <w:t xml:space="preserve">只計可量測關係的覆蓋率分母。</w:t>
      </w:r>
      <w:r>
        <w:t xml:space="preserve">覆蓋率回答「應該被觸發的業務呼叫，有多少已被量測到」。演算法 2 列出分母的條件：量測機制能夠量測（兩端都已部署；業務呼叫不涉及平台的控制平面；資料層的目標不是行程內（in-process）元件），而且信心等級高於「僅推測」。業務呼叫（服務之間的 HTTP 與 gRPC）與資料層（目標為資料庫）分開計算；僅推測的邊的數量寫在分數旁邊；這個數量多於計分的邊時，加上「計分基礎過小」的警告；未覆蓋的邊列成清單，直接成為下一輪流量的目標。</w:t>
      </w:r>
    </w:p>
    <w:p>
      <w:pPr>
        <w:pStyle w:val="AlgoTitle"/>
      </w:pPr>
      <w:r>
        <w:t xml:space="preserve">演算法 2：覆蓋率分母</w:t>
      </w:r>
    </w:p>
    <w:p>
      <w:pPr>
        <w:pStyle w:val="AlgoLine"/>
      </w:pPr>
      <w:r>
        <w:t xml:space="preserve">輸入：模型 G；輸出：計分集合 D_biz、D_db，僅推測邊數 M，未覆蓋集合 U</w:t>
      </w:r>
    </w:p>
    <w:p>
      <w:pPr>
        <w:pStyle w:val="AlgoLine"/>
      </w:pPr>
      <w:r>
        <w:t xml:space="preserve">0: D_biz ← ∅；D_db ← ∅</w:t>
      </w:r>
    </w:p>
    <w:p>
      <w:pPr>
        <w:pStyle w:val="AlgoLine"/>
      </w:pPr>
      <w:r>
        <w:t xml:space="preserve">1: M ← 所有 level = inferred 的邊的數量</w:t>
      </w:r>
    </w:p>
    <w:p>
      <w:pPr>
        <w:pStyle w:val="AlgoLine"/>
      </w:pPr>
      <w:r>
        <w:t xml:space="preserve">2: for each e = (s, t) in G.edges do</w:t>
      </w:r>
    </w:p>
    <w:p>
      <w:pPr>
        <w:pStyle w:val="AlgoLine"/>
      </w:pPr>
      <w:r>
        <w:t xml:space="preserve">3:     if e.level = inferred then continue</w:t>
      </w:r>
    </w:p>
    <w:p>
      <w:pPr>
        <w:pStyle w:val="AlgoLine"/>
      </w:pPr>
      <w:r>
        <w:t xml:space="preserve">4:     if e 為服務間 HTTP／gRPC and deployed(s), deployed(t) and not controlPlane(s, t) then</w:t>
      </w:r>
    </w:p>
    <w:p>
      <w:pPr>
        <w:pStyle w:val="AlgoLine"/>
      </w:pPr>
      <w:r>
        <w:t xml:space="preserve">5:         D_biz ← D_biz ∪ {e}</w:t>
      </w:r>
    </w:p>
    <w:p>
      <w:pPr>
        <w:pStyle w:val="AlgoLine"/>
      </w:pPr>
      <w:r>
        <w:t xml:space="preserve">6:     else if kind(t) = db and deployed(s), deployed(t) and not inProcess(t) then</w:t>
      </w:r>
    </w:p>
    <w:p>
      <w:pPr>
        <w:pStyle w:val="AlgoLine"/>
      </w:pPr>
      <w:r>
        <w:t xml:space="preserve">7:         D_db ← D_db ∪ {e}</w:t>
      </w:r>
    </w:p>
    <w:p>
      <w:pPr>
        <w:pStyle w:val="AlgoLine"/>
      </w:pPr>
      <w:r>
        <w:t xml:space="preserve">8: end for</w:t>
      </w:r>
    </w:p>
    <w:p>
      <w:pPr>
        <w:pStyle w:val="AlgoLine"/>
      </w:pPr>
      <w:r>
        <w:t xml:space="preserve">9: U ← {e ∈ D_biz ∪ D_db : ¬e.observed}</w:t>
      </w:r>
    </w:p>
    <w:p>
      <w:pPr>
        <w:pStyle w:val="AlgoLine"/>
      </w:pPr>
      <w:r>
        <w:t xml:space="preserve">10: 報告 業務 |{e ∈ D_biz : e.observed}| / |D_biz|、資料層同理，附 M 與 U</w:t>
      </w:r>
    </w:p>
    <w:p>
      <w:pPr>
        <w:pStyle w:val="AlgoLast"/>
      </w:pPr>
      <w:r>
        <w:t xml:space="preserve">11: if M &gt; |D_biz| + |D_db| then 附加「計分基礎過小」警告</w:t>
      </w:r>
    </w:p>
    <w:p>
      <w:pPr>
        <w:pStyle w:val="BodyText"/>
      </w:pPr>
      <w:r>
        <w:rPr>
          <w:b/>
          <w:bCs/>
        </w:rPr>
        <w:t xml:space="preserve">未量測不是零。</w:t>
      </w:r>
      <w:r>
        <w:t xml:space="preserve">部署狀態以可為 null 的布林值表示，預設「未知」，只有取得叢集資料後才設為否。沒有連上叢集時，報告的覆蓋率寫「not measured」，交給問答 LLM 的字串是 NOT MEASURED，兩處都不寫成 0%。抽取步驟失敗時記錄失敗與原因，不回傳空清單。</w:t>
      </w:r>
    </w:p>
    <w:p>
      <w:pPr>
        <w:pStyle w:val="Heading2"/>
      </w:pPr>
      <w:r>
        <w:t xml:space="preserve">對話式缺口補齊：最後才詢問操作者</w:t>
      </w:r>
    </w:p>
    <w:p>
      <w:pPr>
        <w:pStyle w:val="BodyText"/>
      </w:pPr>
      <w:r>
        <w:rPr>
          <w:b/>
          <w:bCs/>
        </w:rPr>
        <w:t xml:space="preserve">流量參數。</w:t>
      </w:r>
      <w:r>
        <w:t xml:space="preserve">要讓執行期觀測看到一條呼叫，必須實際觸發它，而有些呼叫需要語意正確的輸入。DepWeaver 依序嘗試四層（表 III）。</w:t>
      </w:r>
    </w:p>
    <w:p>
      <w:pPr>
        <w:pStyle w:val="TableCaption"/>
      </w:pPr>
      <w:r>
        <w:t xml:space="preserve">表 III　流量參數的四層缺口補齊方式</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500"/>
        <w:gridCol w:w="2400"/>
        <w:gridCol w:w="2140"/>
      </w:tblGrid>
      <w:tr>
        <w:trPr>
          <w:tblHeader/>
          <w:cantSplit/>
        </w:trPr>
        <w:tc>
          <w:tcPr>
            <w:tcW w:w="500" w:type="dxa"/>
            <w:tcBorders>
              <w:bottom w:val="single" w:sz="4" w:space="0" w:color="000000"/>
            </w:tcBorders>
          </w:tcPr>
          <w:p>
            <w:pPr>
              <w:pStyle w:val="TableCell"/>
              <w:keepNext/>
              <w:ind w:firstLine="0"/>
              <w:jc w:val="left"/>
            </w:pPr>
            <w:r>
              <w:rPr>
                <w:b/>
                <w:bCs/>
              </w:rPr>
              <w:t xml:space="preserve">層</w:t>
            </w:r>
          </w:p>
        </w:tc>
        <w:tc>
          <w:tcPr>
            <w:tcW w:w="2400" w:type="dxa"/>
            <w:tcBorders>
              <w:bottom w:val="single" w:sz="4" w:space="0" w:color="000000"/>
            </w:tcBorders>
          </w:tcPr>
          <w:p>
            <w:pPr>
              <w:pStyle w:val="TableCell"/>
              <w:keepNext/>
              <w:ind w:firstLine="0"/>
              <w:jc w:val="left"/>
            </w:pPr>
            <w:r>
              <w:rPr>
                <w:b/>
                <w:bCs/>
              </w:rPr>
              <w:t xml:space="preserve">做法</w:t>
            </w:r>
          </w:p>
        </w:tc>
        <w:tc>
          <w:tcPr>
            <w:tcW w:w="2140" w:type="dxa"/>
            <w:tcBorders>
              <w:bottom w:val="single" w:sz="4" w:space="0" w:color="000000"/>
            </w:tcBorders>
          </w:tcPr>
          <w:p>
            <w:pPr>
              <w:pStyle w:val="TableCell"/>
              <w:keepNext/>
              <w:ind w:firstLine="0"/>
              <w:jc w:val="left"/>
            </w:pPr>
            <w:r>
              <w:rPr>
                <w:b/>
                <w:bCs/>
              </w:rPr>
              <w:t xml:space="preserve">範例</w:t>
            </w:r>
          </w:p>
        </w:tc>
      </w:tr>
      <w:tr>
        <w:trPr>
          <w:cantSplit/>
        </w:trPr>
        <w:tc>
          <w:tcPr>
            <w:tcW w:w="500" w:type="dxa"/>
          </w:tcPr>
          <w:p>
            <w:pPr>
              <w:pStyle w:val="TableCell"/>
              <w:keepNext/>
              <w:ind w:firstLine="0"/>
              <w:jc w:val="left"/>
            </w:pPr>
            <w:r>
              <w:t xml:space="preserve">1</w:t>
            </w:r>
          </w:p>
        </w:tc>
        <w:tc>
          <w:tcPr>
            <w:tcW w:w="2400" w:type="dxa"/>
          </w:tcPr>
          <w:p>
            <w:pPr>
              <w:pStyle w:val="TableCell"/>
              <w:keepNext/>
              <w:ind w:firstLine="0"/>
              <w:jc w:val="left"/>
            </w:pPr>
            <w:r>
              <w:t xml:space="preserve">從 repo 擷取範例請求（負載產生器、端對端測試、OpenAPI 與 Postman 範例）</w:t>
            </w:r>
          </w:p>
        </w:tc>
        <w:tc>
          <w:tcPr>
            <w:tcW w:w="2140" w:type="dxa"/>
          </w:tcPr>
          <w:p>
            <w:pPr>
              <w:pStyle w:val="TableCell"/>
              <w:keepNext/>
              <w:ind w:firstLine="0"/>
              <w:jc w:val="left"/>
            </w:pPr>
            <w:r>
              <w:t xml:space="preserve">Bank of Anthos 的 loadgenerator 提供存款欄位</w:t>
            </w:r>
          </w:p>
        </w:tc>
      </w:tr>
      <w:tr>
        <w:trPr>
          <w:cantSplit/>
        </w:trPr>
        <w:tc>
          <w:tcPr>
            <w:tcW w:w="500" w:type="dxa"/>
          </w:tcPr>
          <w:p>
            <w:pPr>
              <w:pStyle w:val="TableCell"/>
              <w:keepNext/>
              <w:ind w:firstLine="0"/>
              <w:jc w:val="left"/>
            </w:pPr>
            <w:r>
              <w:t xml:space="preserve">2</w:t>
            </w:r>
          </w:p>
        </w:tc>
        <w:tc>
          <w:tcPr>
            <w:tcW w:w="2400" w:type="dxa"/>
          </w:tcPr>
          <w:p>
            <w:pPr>
              <w:pStyle w:val="TableCell"/>
              <w:keepNext/>
              <w:ind w:firstLine="0"/>
              <w:jc w:val="left"/>
            </w:pPr>
            <w:r>
              <w:t xml:space="preserve">把 4xx 回應交回 LLM 修正請求</w:t>
            </w:r>
          </w:p>
        </w:tc>
        <w:tc>
          <w:tcPr>
            <w:tcW w:w="2140" w:type="dxa"/>
          </w:tcPr>
          <w:p>
            <w:pPr>
              <w:pStyle w:val="TableCell"/>
              <w:keepNext/>
              <w:ind w:firstLine="0"/>
              <w:jc w:val="left"/>
            </w:pPr>
            <w:r>
              <w:t xml:space="preserve">缺欄位、格式錯誤</w:t>
            </w:r>
          </w:p>
        </w:tc>
      </w:tr>
      <w:tr>
        <w:trPr>
          <w:cantSplit/>
        </w:trPr>
        <w:tc>
          <w:tcPr>
            <w:tcW w:w="500" w:type="dxa"/>
          </w:tcPr>
          <w:p>
            <w:pPr>
              <w:pStyle w:val="TableCell"/>
              <w:keepNext/>
              <w:ind w:firstLine="0"/>
              <w:jc w:val="left"/>
            </w:pPr>
            <w:r>
              <w:t xml:space="preserve">3</w:t>
            </w:r>
          </w:p>
        </w:tc>
        <w:tc>
          <w:tcPr>
            <w:tcW w:w="2400" w:type="dxa"/>
          </w:tcPr>
          <w:p>
            <w:pPr>
              <w:pStyle w:val="TableCell"/>
              <w:keepNext/>
              <w:ind w:firstLine="0"/>
              <w:jc w:val="left"/>
            </w:pPr>
            <w:r>
              <w:t xml:space="preserve">在 Discord 詢問操作者</w:t>
            </w:r>
          </w:p>
        </w:tc>
        <w:tc>
          <w:tcPr>
            <w:tcW w:w="2140" w:type="dxa"/>
          </w:tcPr>
          <w:p>
            <w:pPr>
              <w:pStyle w:val="TableCell"/>
              <w:keepNext/>
              <w:ind w:firstLine="0"/>
              <w:jc w:val="left"/>
            </w:pPr>
            <w:r>
              <w:t xml:space="preserve">部署的密碼、一個存在的收款帳號</w:t>
            </w:r>
          </w:p>
        </w:tc>
      </w:tr>
      <w:tr>
        <w:trPr>
          <w:cantSplit/>
        </w:trPr>
        <w:tc>
          <w:tcPr>
            <w:tcW w:w="500" w:type="dxa"/>
          </w:tcPr>
          <w:p>
            <w:pPr>
              <w:pStyle w:val="TableCell"/>
              <w:ind w:firstLine="0"/>
              <w:jc w:val="left"/>
            </w:pPr>
            <w:r>
              <w:t xml:space="preserve">4</w:t>
            </w:r>
          </w:p>
        </w:tc>
        <w:tc>
          <w:tcPr>
            <w:tcW w:w="2400" w:type="dxa"/>
          </w:tcPr>
          <w:p>
            <w:pPr>
              <w:pStyle w:val="TableCell"/>
              <w:ind w:firstLine="0"/>
              <w:jc w:val="left"/>
            </w:pPr>
            <w:r>
              <w:t xml:space="preserve">操作者也無法提供：標記為無法觸發，不送出請求，在流量報告中列為缺口（仍留在覆蓋率分母中）</w:t>
            </w:r>
          </w:p>
        </w:tc>
        <w:tc>
          <w:tcPr>
            <w:tcW w:w="2140" w:type="dxa"/>
          </w:tcPr>
          <w:p>
            <w:pPr>
              <w:pStyle w:val="TableCell"/>
              <w:ind w:firstLine="0"/>
              <w:jc w:val="left"/>
            </w:pPr>
            <w:r>
              <w:t xml:space="preserve">—</w:t>
            </w:r>
          </w:p>
        </w:tc>
      </w:tr>
    </w:tbl>
    <w:p>
      <w:pPr>
        <w:pStyle w:val="BodyText"/>
        <w:spacing w:after="80"/>
      </w:pPr>
    </w:p>
    <w:p>
      <w:pPr>
        <w:pStyle w:val="BodyText"/>
      </w:pPr>
      <w:r>
        <w:t xml:space="preserve">第 3 層的問題宣告在 Postman collection 中（空值變數加上說明）。沒有回答的值不綁定，需要它的請求暫不送出並標記為等待，不由 LLM 自行產生值。憑證必須整組詢問（只問帳號不問密碼時，產生器會自行編造密碼）；值不進入 prompt（LLM 只看到變數名）；密碼類欄位以遮罩顯示。答案存入檢查點後，自動針對缺口重送流量。流量產生器的 prompt 另外規定：操作回傳 200 但預期的相依邊沒有出現時，視為被拒絕，因為有些伺服器端渲染的應用拒絕表單時也回傳 200。</w:t>
      </w:r>
    </w:p>
    <w:p>
      <w:pPr>
        <w:pStyle w:val="BodyText"/>
      </w:pPr>
      <w:r>
        <w:rPr>
          <w:b/>
          <w:bCs/>
        </w:rPr>
        <w:t xml:space="preserve">名稱對不上。</w:t>
      </w:r>
      <w:r>
        <w:t xml:space="preserve">需要詢問的名稱有四種來源：文件中的服務名稱經所有對齊規則仍無對應；程式碼殘餘邊的目標或所在模組目錄，經規則與 LLM 都無法對應（短名稱同時符合多個節點時，也是先交給 LLM）；名稱命中函式庫名單，卻有來自程式碼或部署層的邊；兩個服務名稱只差三字以上的前後綴，可能是同一服務。DepWeaver 把這些名稱各記成一個問題，不直接丟棄。候選依三個訊號排序（去除 service、api、client 等通用詞後的包含關係、共用字詞、編輯距離），排序只用於呈現，不做決定。操作者在表單中回答候選編號、任一拼法的服務識別字、new（新節點）或 ignore。答案以確定性規則解析，無法解析時保留問題，不加以猜測。若在表單中填入圖上不存在的節點，視為無法解析並保留問題；保存的舊答案若指向這次圖上不存在的節點，則不建立新節點、略過該名稱，避免系統改名後舊答案憑空產生節點。答案以 repo 為單位保存，不隨檢查點過期而清除，下一次分析同一個 repo 只詢問新出現的名稱；答錯可用斜線指令清除。報告多一節「由操作者解析的名稱」，由程式產生。</w:t>
      </w:r>
    </w:p>
    <w:p>
      <w:pPr>
        <w:pStyle w:val="BodyText"/>
      </w:pPr>
      <w:r>
        <w:rPr>
          <w:b/>
          <w:bCs/>
        </w:rPr>
        <w:t xml:space="preserve">檢查點。</w:t>
      </w:r>
      <w:r>
        <w:t xml:space="preserve">收集、缺口補齊與產出之間以 JSON 檢查點分開：收集結果寫入後暫停，並貼出按鈕（Apply ServiceEntries、Resolve names、Provide values、Generate report、Pause &amp; supplement；暫停後以 Resume 繼續）；操作者回答後，由新的一輪讀回檢查點繼續。一次分析因此可以跨越數小時與多次對話，而不需要長時間持有執行緒。</w:t>
      </w:r>
    </w:p>
    <w:p>
      <w:pPr>
        <w:pStyle w:val="Heading2"/>
      </w:pPr>
      <w:r>
        <w:t xml:space="preserve">實作</w:t>
      </w:r>
    </w:p>
    <w:p>
      <w:pPr>
        <w:pStyle w:val="BodyText"/>
      </w:pPr>
      <w:r>
        <w:t xml:space="preserve">DepWeaver 是 ChatOps4Msa [</w:t>
      </w:r>
      <w:hyperlink w:anchor="ref_wang2024" w:history="1">
        <w:r>
          <w:t xml:space="preserve">29</w:t>
        </w:r>
      </w:hyperlink>
      <w:r>
        <w:t xml:space="preserve">] 的一個 capability（Spring Boot 3.0、Java 17）：步驟宣告在 YAML 管線中，由既有的 orchestrator 依序呼叫；叢集操作透過 Kubernetes MCP server；LLM 使用 OpenAI 相容 API（實驗中為 gpt-4.1-mini，temperature 0）。測試套件共有 280 個測試案例（2026-10-20 執行）：270 個離線通過，9 個因需要外部環境或 API 金鑰而略過，1 個因需要連線至 MCP server 而失敗。原始碼、參考邊集合、15 份分析存檔（含 RQ2 五次執行期分析與 RQ3 五次實際執行的完整模型、覆蓋率訊息與報告）與重現指令將以匿名 artifact 提供。</w:t>
      </w:r>
    </w:p>
    <w:p>
      <w:pPr>
        <w:pStyle w:val="Heading1"/>
      </w:pPr>
      <w:r>
        <w:t xml:space="preserve">評估</w:t>
      </w:r>
    </w:p>
    <w:p>
      <w:pPr>
        <w:pStyle w:val="Heading2"/>
      </w:pPr>
      <w:r>
        <w:t xml:space="preserve">受測系統</w:t>
      </w:r>
    </w:p>
    <w:p>
      <w:pPr>
        <w:pStyle w:val="BodyText"/>
      </w:pPr>
      <w:r>
        <w:t xml:space="preserve">表 IV 列出受測系統。RQ0 與 RQ1 刻意挑選結構特性不同的新系統：非 Spring 的 Jakarta EE、以 enum 常數指定呼叫目標、再經自行實作的 registry 取得實例位址，五種語言混合、Helm 範本、以反向代理為入口。另有三組在規則歸納前就選定、只用來量測規則轉移的 hold-out 系統（B、C、D），以及一個私有系統（AICS，13 個 repo 的 polyrepo，不可能在 LLM 的訓練資料裡）。</w:t>
      </w:r>
    </w:p>
    <w:p>
      <w:pPr>
        <w:pStyle w:val="TableCaption"/>
      </w:pPr>
      <w:r>
        <w:t xml:space="preserve">表 IV　受測系統</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700"/>
        <w:gridCol w:w="1300"/>
        <w:gridCol w:w="1000"/>
        <w:gridCol w:w="1040"/>
      </w:tblGrid>
      <w:tr>
        <w:trPr>
          <w:tblHeader/>
          <w:cantSplit/>
        </w:trPr>
        <w:tc>
          <w:tcPr>
            <w:tcW w:w="1700" w:type="dxa"/>
            <w:tcBorders>
              <w:bottom w:val="single" w:sz="4" w:space="0" w:color="000000"/>
            </w:tcBorders>
          </w:tcPr>
          <w:p>
            <w:pPr>
              <w:pStyle w:val="TableCell"/>
              <w:keepNext/>
              <w:ind w:firstLine="0"/>
              <w:jc w:val="left"/>
            </w:pPr>
            <w:r>
              <w:rPr>
                <w:b/>
                <w:bCs/>
              </w:rPr>
              <w:t xml:space="preserve">系統</w:t>
            </w:r>
          </w:p>
        </w:tc>
        <w:tc>
          <w:tcPr>
            <w:tcW w:w="1300" w:type="dxa"/>
            <w:tcBorders>
              <w:bottom w:val="single" w:sz="4" w:space="0" w:color="000000"/>
            </w:tcBorders>
          </w:tcPr>
          <w:p>
            <w:pPr>
              <w:pStyle w:val="TableCell"/>
              <w:keepNext/>
              <w:ind w:firstLine="0"/>
              <w:jc w:val="left"/>
            </w:pPr>
            <w:r>
              <w:rPr>
                <w:b/>
                <w:bCs/>
              </w:rPr>
              <w:t xml:space="preserve">語言</w:t>
            </w:r>
          </w:p>
        </w:tc>
        <w:tc>
          <w:tcPr>
            <w:tcW w:w="1000" w:type="dxa"/>
            <w:tcBorders>
              <w:bottom w:val="single" w:sz="4" w:space="0" w:color="000000"/>
            </w:tcBorders>
          </w:tcPr>
          <w:p>
            <w:pPr>
              <w:pStyle w:val="TableCell"/>
              <w:keepNext/>
              <w:ind w:firstLine="0"/>
              <w:jc w:val="left"/>
            </w:pPr>
            <w:r>
              <w:rPr>
                <w:b/>
                <w:bCs/>
              </w:rPr>
              <w:t xml:space="preserve">部署描述檔</w:t>
            </w:r>
          </w:p>
        </w:tc>
        <w:tc>
          <w:tcPr>
            <w:tcW w:w="1040" w:type="dxa"/>
            <w:tcBorders>
              <w:bottom w:val="single" w:sz="4" w:space="0" w:color="000000"/>
            </w:tcBorders>
          </w:tcPr>
          <w:p>
            <w:pPr>
              <w:pStyle w:val="TableCell"/>
              <w:keepNext/>
              <w:ind w:firstLine="0"/>
              <w:jc w:val="left"/>
            </w:pPr>
            <w:r>
              <w:rPr>
                <w:b/>
                <w:bCs/>
              </w:rPr>
              <w:t xml:space="preserve">用於</w:t>
            </w:r>
          </w:p>
        </w:tc>
      </w:tr>
      <w:tr>
        <w:trPr>
          <w:cantSplit/>
        </w:trPr>
        <w:tc>
          <w:tcPr>
            <w:tcW w:w="1700" w:type="dxa"/>
          </w:tcPr>
          <w:p>
            <w:pPr>
              <w:pStyle w:val="TableCell"/>
              <w:keepNext/>
              <w:ind w:firstLine="0"/>
              <w:jc w:val="left"/>
            </w:pPr>
            <w:r>
              <w:t xml:space="preserve">Bank of Anthos</w:t>
            </w:r>
          </w:p>
        </w:tc>
        <w:tc>
          <w:tcPr>
            <w:tcW w:w="1300" w:type="dxa"/>
          </w:tcPr>
          <w:p>
            <w:pPr>
              <w:pStyle w:val="TableCell"/>
              <w:keepNext/>
              <w:ind w:firstLine="0"/>
              <w:jc w:val="left"/>
            </w:pPr>
            <w:r>
              <w:t xml:space="preserve">Java、Python</w:t>
            </w:r>
          </w:p>
        </w:tc>
        <w:tc>
          <w:tcPr>
            <w:tcW w:w="1000" w:type="dxa"/>
          </w:tcPr>
          <w:p>
            <w:pPr>
              <w:pStyle w:val="TableCell"/>
              <w:keepNext/>
              <w:ind w:firstLine="0"/>
              <w:jc w:val="left"/>
            </w:pPr>
            <w:r>
              <w:t xml:space="preserve">Kubernetes</w:t>
            </w:r>
          </w:p>
        </w:tc>
        <w:tc>
          <w:tcPr>
            <w:tcW w:w="1040" w:type="dxa"/>
          </w:tcPr>
          <w:p>
            <w:pPr>
              <w:pStyle w:val="TableCell"/>
              <w:keepNext/>
              <w:ind w:firstLine="0"/>
              <w:jc w:val="left"/>
            </w:pPr>
            <w:r>
              <w:t xml:space="preserve">RQ0–RQ4</w:t>
            </w:r>
          </w:p>
        </w:tc>
      </w:tr>
      <w:tr>
        <w:trPr>
          <w:cantSplit/>
        </w:trPr>
        <w:tc>
          <w:tcPr>
            <w:tcW w:w="1700" w:type="dxa"/>
          </w:tcPr>
          <w:p>
            <w:pPr>
              <w:pStyle w:val="TableCell"/>
              <w:keepNext/>
              <w:ind w:firstLine="0"/>
              <w:jc w:val="left"/>
            </w:pPr>
            <w:r>
              <w:t xml:space="preserve">spring-petclinic</w:t>
            </w:r>
          </w:p>
        </w:tc>
        <w:tc>
          <w:tcPr>
            <w:tcW w:w="1300" w:type="dxa"/>
          </w:tcPr>
          <w:p>
            <w:pPr>
              <w:pStyle w:val="TableCell"/>
              <w:keepNext/>
              <w:ind w:firstLine="0"/>
              <w:jc w:val="left"/>
            </w:pPr>
            <w:r>
              <w:t xml:space="preserve">Java</w:t>
            </w:r>
          </w:p>
        </w:tc>
        <w:tc>
          <w:tcPr>
            <w:tcW w:w="1000" w:type="dxa"/>
          </w:tcPr>
          <w:p>
            <w:pPr>
              <w:pStyle w:val="TableCell"/>
              <w:keepNext/>
              <w:ind w:firstLine="0"/>
              <w:jc w:val="left"/>
            </w:pPr>
            <w:r>
              <w:t xml:space="preserve">Compose（RQ1）、Kubernetes（RQ4）</w:t>
            </w:r>
          </w:p>
        </w:tc>
        <w:tc>
          <w:tcPr>
            <w:tcW w:w="1040" w:type="dxa"/>
          </w:tcPr>
          <w:p>
            <w:pPr>
              <w:pStyle w:val="TableCell"/>
              <w:keepNext/>
              <w:ind w:firstLine="0"/>
              <w:jc w:val="left"/>
            </w:pPr>
            <w:r>
              <w:t xml:space="preserve">RQ1、RQ4</w:t>
            </w:r>
          </w:p>
        </w:tc>
      </w:tr>
      <w:tr>
        <w:trPr>
          <w:cantSplit/>
        </w:trPr>
        <w:tc>
          <w:tcPr>
            <w:tcW w:w="1700" w:type="dxa"/>
          </w:tcPr>
          <w:p>
            <w:pPr>
              <w:pStyle w:val="TableCell"/>
              <w:keepNext/>
              <w:ind w:firstLine="0"/>
              <w:jc w:val="left"/>
            </w:pPr>
            <w:r>
              <w:t xml:space="preserve">ewolff/microservice-kubernetes</w:t>
            </w:r>
          </w:p>
        </w:tc>
        <w:tc>
          <w:tcPr>
            <w:tcW w:w="1300" w:type="dxa"/>
          </w:tcPr>
          <w:p>
            <w:pPr>
              <w:pStyle w:val="TableCell"/>
              <w:keepNext/>
              <w:ind w:firstLine="0"/>
              <w:jc w:val="left"/>
            </w:pPr>
            <w:r>
              <w:t xml:space="preserve">Java</w:t>
            </w:r>
          </w:p>
        </w:tc>
        <w:tc>
          <w:tcPr>
            <w:tcW w:w="1000" w:type="dxa"/>
          </w:tcPr>
          <w:p>
            <w:pPr>
              <w:pStyle w:val="TableCell"/>
              <w:keepNext/>
              <w:ind w:firstLine="0"/>
              <w:jc w:val="left"/>
            </w:pPr>
            <w:r>
              <w:t xml:space="preserve">Kubernetes</w:t>
            </w:r>
          </w:p>
        </w:tc>
        <w:tc>
          <w:tcPr>
            <w:tcW w:w="1040" w:type="dxa"/>
          </w:tcPr>
          <w:p>
            <w:pPr>
              <w:pStyle w:val="TableCell"/>
              <w:keepNext/>
              <w:ind w:firstLine="0"/>
              <w:jc w:val="left"/>
            </w:pPr>
            <w:r>
              <w:t xml:space="preserve">RQ0、RQ1</w:t>
            </w:r>
          </w:p>
        </w:tc>
      </w:tr>
      <w:tr>
        <w:trPr>
          <w:cantSplit/>
        </w:trPr>
        <w:tc>
          <w:tcPr>
            <w:tcW w:w="1700" w:type="dxa"/>
          </w:tcPr>
          <w:p>
            <w:pPr>
              <w:pStyle w:val="TableCell"/>
              <w:keepNext/>
              <w:ind w:firstLine="0"/>
              <w:jc w:val="left"/>
            </w:pPr>
            <w:r>
              <w:t xml:space="preserve">ecommerce-microservice</w:t>
            </w:r>
          </w:p>
        </w:tc>
        <w:tc>
          <w:tcPr>
            <w:tcW w:w="1300" w:type="dxa"/>
          </w:tcPr>
          <w:p>
            <w:pPr>
              <w:pStyle w:val="TableCell"/>
              <w:keepNext/>
              <w:ind w:firstLine="0"/>
              <w:jc w:val="left"/>
            </w:pPr>
            <w:r>
              <w:t xml:space="preserve">Java</w:t>
            </w:r>
          </w:p>
        </w:tc>
        <w:tc>
          <w:tcPr>
            <w:tcW w:w="1000" w:type="dxa"/>
          </w:tcPr>
          <w:p>
            <w:pPr>
              <w:pStyle w:val="TableCell"/>
              <w:keepNext/>
              <w:ind w:firstLine="0"/>
              <w:jc w:val="left"/>
            </w:pPr>
            <w:r>
              <w:t xml:space="preserve">Compose</w:t>
            </w:r>
          </w:p>
        </w:tc>
        <w:tc>
          <w:tcPr>
            <w:tcW w:w="1040" w:type="dxa"/>
          </w:tcPr>
          <w:p>
            <w:pPr>
              <w:pStyle w:val="TableCell"/>
              <w:keepNext/>
              <w:ind w:firstLine="0"/>
              <w:jc w:val="left"/>
            </w:pPr>
            <w:r>
              <w:t xml:space="preserve">RQ0、RQ1</w:t>
            </w:r>
          </w:p>
        </w:tc>
      </w:tr>
      <w:tr>
        <w:trPr>
          <w:cantSplit/>
        </w:trPr>
        <w:tc>
          <w:tcPr>
            <w:tcW w:w="1700" w:type="dxa"/>
          </w:tcPr>
          <w:p>
            <w:pPr>
              <w:pStyle w:val="TableCell"/>
              <w:keepNext/>
              <w:ind w:firstLine="0"/>
              <w:jc w:val="left"/>
            </w:pPr>
            <w:r>
              <w:t xml:space="preserve">piggymetrics</w:t>
            </w:r>
          </w:p>
        </w:tc>
        <w:tc>
          <w:tcPr>
            <w:tcW w:w="1300" w:type="dxa"/>
          </w:tcPr>
          <w:p>
            <w:pPr>
              <w:pStyle w:val="TableCell"/>
              <w:keepNext/>
              <w:ind w:firstLine="0"/>
              <w:jc w:val="left"/>
            </w:pPr>
            <w:r>
              <w:t xml:space="preserve">Java</w:t>
            </w:r>
          </w:p>
        </w:tc>
        <w:tc>
          <w:tcPr>
            <w:tcW w:w="1000" w:type="dxa"/>
          </w:tcPr>
          <w:p>
            <w:pPr>
              <w:pStyle w:val="TableCell"/>
              <w:keepNext/>
              <w:ind w:firstLine="0"/>
              <w:jc w:val="left"/>
            </w:pPr>
            <w:r>
              <w:t xml:space="preserve">Compose</w:t>
            </w:r>
          </w:p>
        </w:tc>
        <w:tc>
          <w:tcPr>
            <w:tcW w:w="1040" w:type="dxa"/>
          </w:tcPr>
          <w:p>
            <w:pPr>
              <w:pStyle w:val="TableCell"/>
              <w:keepNext/>
              <w:ind w:firstLine="0"/>
              <w:jc w:val="left"/>
            </w:pPr>
            <w:r>
              <w:t xml:space="preserve">RQ0、RQ1</w:t>
            </w:r>
          </w:p>
        </w:tc>
      </w:tr>
      <w:tr>
        <w:trPr>
          <w:cantSplit/>
        </w:trPr>
        <w:tc>
          <w:tcPr>
            <w:tcW w:w="1700" w:type="dxa"/>
          </w:tcPr>
          <w:p>
            <w:pPr>
              <w:pStyle w:val="TableCell"/>
              <w:keepNext/>
              <w:ind w:firstLine="0"/>
              <w:jc w:val="left"/>
            </w:pPr>
            <w:r>
              <w:t xml:space="preserve">TeaStore</w:t>
            </w:r>
          </w:p>
        </w:tc>
        <w:tc>
          <w:tcPr>
            <w:tcW w:w="1300" w:type="dxa"/>
          </w:tcPr>
          <w:p>
            <w:pPr>
              <w:pStyle w:val="TableCell"/>
              <w:keepNext/>
              <w:ind w:firstLine="0"/>
              <w:jc w:val="left"/>
            </w:pPr>
            <w:r>
              <w:t xml:space="preserve">Java（Jakarta EE）</w:t>
            </w:r>
          </w:p>
        </w:tc>
        <w:tc>
          <w:tcPr>
            <w:tcW w:w="1000" w:type="dxa"/>
          </w:tcPr>
          <w:p>
            <w:pPr>
              <w:pStyle w:val="TableCell"/>
              <w:keepNext/>
              <w:ind w:firstLine="0"/>
              <w:jc w:val="left"/>
            </w:pPr>
            <w:r>
              <w:t xml:space="preserve">Kubernetes</w:t>
            </w:r>
          </w:p>
        </w:tc>
        <w:tc>
          <w:tcPr>
            <w:tcW w:w="1040" w:type="dxa"/>
          </w:tcPr>
          <w:p>
            <w:pPr>
              <w:pStyle w:val="TableCell"/>
              <w:keepNext/>
              <w:ind w:firstLine="0"/>
              <w:jc w:val="left"/>
            </w:pPr>
            <w:r>
              <w:t xml:space="preserve">RQ0、RQ1</w:t>
            </w:r>
          </w:p>
        </w:tc>
      </w:tr>
      <w:tr>
        <w:trPr>
          <w:cantSplit/>
        </w:trPr>
        <w:tc>
          <w:tcPr>
            <w:tcW w:w="1700" w:type="dxa"/>
          </w:tcPr>
          <w:p>
            <w:pPr>
              <w:pStyle w:val="TableCell"/>
              <w:keepNext/>
              <w:ind w:firstLine="0"/>
              <w:jc w:val="left"/>
            </w:pPr>
            <w:r>
              <w:t xml:space="preserve">Online Boutique</w:t>
            </w:r>
          </w:p>
        </w:tc>
        <w:tc>
          <w:tcPr>
            <w:tcW w:w="1300" w:type="dxa"/>
          </w:tcPr>
          <w:p>
            <w:pPr>
              <w:pStyle w:val="TableCell"/>
              <w:keepNext/>
              <w:ind w:firstLine="0"/>
              <w:jc w:val="left"/>
            </w:pPr>
            <w:r>
              <w:t xml:space="preserve">Go、C#、Node、Python、Java</w:t>
            </w:r>
          </w:p>
        </w:tc>
        <w:tc>
          <w:tcPr>
            <w:tcW w:w="1000" w:type="dxa"/>
          </w:tcPr>
          <w:p>
            <w:pPr>
              <w:pStyle w:val="TableCell"/>
              <w:keepNext/>
              <w:ind w:firstLine="0"/>
              <w:jc w:val="left"/>
            </w:pPr>
            <w:r>
              <w:t xml:space="preserve">Kubernetes</w:t>
            </w:r>
          </w:p>
        </w:tc>
        <w:tc>
          <w:tcPr>
            <w:tcW w:w="1040" w:type="dxa"/>
          </w:tcPr>
          <w:p>
            <w:pPr>
              <w:pStyle w:val="TableCell"/>
              <w:keepNext/>
              <w:ind w:firstLine="0"/>
              <w:jc w:val="left"/>
            </w:pPr>
            <w:r>
              <w:t xml:space="preserve">RQ0、RQ1</w:t>
            </w:r>
          </w:p>
        </w:tc>
      </w:tr>
      <w:tr>
        <w:trPr>
          <w:cantSplit/>
        </w:trPr>
        <w:tc>
          <w:tcPr>
            <w:tcW w:w="1700" w:type="dxa"/>
          </w:tcPr>
          <w:p>
            <w:pPr>
              <w:pStyle w:val="TableCell"/>
              <w:keepNext/>
              <w:ind w:firstLine="0"/>
              <w:jc w:val="left"/>
            </w:pPr>
            <w:r>
              <w:t xml:space="preserve">robot-shop</w:t>
            </w:r>
          </w:p>
        </w:tc>
        <w:tc>
          <w:tcPr>
            <w:tcW w:w="1300" w:type="dxa"/>
          </w:tcPr>
          <w:p>
            <w:pPr>
              <w:pStyle w:val="TableCell"/>
              <w:keepNext/>
              <w:ind w:firstLine="0"/>
              <w:jc w:val="left"/>
            </w:pPr>
            <w:r>
              <w:t xml:space="preserve">Node、PHP、Go、Python、Java</w:t>
            </w:r>
          </w:p>
        </w:tc>
        <w:tc>
          <w:tcPr>
            <w:tcW w:w="1000" w:type="dxa"/>
          </w:tcPr>
          <w:p>
            <w:pPr>
              <w:pStyle w:val="TableCell"/>
              <w:keepNext/>
              <w:ind w:firstLine="0"/>
              <w:jc w:val="left"/>
            </w:pPr>
            <w:r>
              <w:t xml:space="preserve">Helm、Compose</w:t>
            </w:r>
          </w:p>
        </w:tc>
        <w:tc>
          <w:tcPr>
            <w:tcW w:w="1040" w:type="dxa"/>
          </w:tcPr>
          <w:p>
            <w:pPr>
              <w:pStyle w:val="TableCell"/>
              <w:keepNext/>
              <w:ind w:firstLine="0"/>
              <w:jc w:val="left"/>
            </w:pPr>
            <w:r>
              <w:t xml:space="preserve">RQ0、RQ1</w:t>
            </w:r>
          </w:p>
        </w:tc>
      </w:tr>
      <w:tr>
        <w:trPr>
          <w:cantSplit/>
        </w:trPr>
        <w:tc>
          <w:tcPr>
            <w:tcW w:w="1700" w:type="dxa"/>
          </w:tcPr>
          <w:p>
            <w:pPr>
              <w:pStyle w:val="TableCell"/>
              <w:keepNext/>
              <w:ind w:firstLine="0"/>
              <w:jc w:val="left"/>
            </w:pPr>
            <w:r>
              <w:t xml:space="preserve">MicroDepGraph 中其餘 5 個系統</w:t>
            </w:r>
          </w:p>
        </w:tc>
        <w:tc>
          <w:tcPr>
            <w:tcW w:w="1300" w:type="dxa"/>
          </w:tcPr>
          <w:p>
            <w:pPr>
              <w:pStyle w:val="TableCell"/>
              <w:keepNext/>
              <w:ind w:firstLine="0"/>
              <w:jc w:val="left"/>
            </w:pPr>
            <w:r>
              <w:t xml:space="preserve">Java</w:t>
            </w:r>
          </w:p>
        </w:tc>
        <w:tc>
          <w:tcPr>
            <w:tcW w:w="1000" w:type="dxa"/>
          </w:tcPr>
          <w:p>
            <w:pPr>
              <w:pStyle w:val="TableCell"/>
              <w:keepNext/>
              <w:ind w:firstLine="0"/>
              <w:jc w:val="left"/>
            </w:pPr>
            <w:r>
              <w:t xml:space="preserve">Compose</w:t>
            </w:r>
          </w:p>
        </w:tc>
        <w:tc>
          <w:tcPr>
            <w:tcW w:w="1040" w:type="dxa"/>
          </w:tcPr>
          <w:p>
            <w:pPr>
              <w:pStyle w:val="TableCell"/>
              <w:keepNext/>
              <w:ind w:firstLine="0"/>
              <w:jc w:val="left"/>
            </w:pPr>
            <w:r>
              <w:t xml:space="preserve">RQ1；其中 spring-cloud-microservice 也用於 RQ3、RQ4</w:t>
            </w:r>
          </w:p>
        </w:tc>
      </w:tr>
      <w:tr>
        <w:trPr>
          <w:cantSplit/>
        </w:trPr>
        <w:tc>
          <w:tcPr>
            <w:tcW w:w="1700" w:type="dxa"/>
          </w:tcPr>
          <w:p>
            <w:pPr>
              <w:pStyle w:val="TableCell"/>
              <w:keepNext/>
              <w:ind w:firstLine="0"/>
              <w:jc w:val="left"/>
            </w:pPr>
            <w:r>
              <w:t xml:space="preserve">train-ticket</w:t>
            </w:r>
          </w:p>
        </w:tc>
        <w:tc>
          <w:tcPr>
            <w:tcW w:w="1300" w:type="dxa"/>
          </w:tcPr>
          <w:p>
            <w:pPr>
              <w:pStyle w:val="TableCell"/>
              <w:keepNext/>
              <w:ind w:firstLine="0"/>
              <w:jc w:val="left"/>
            </w:pPr>
            <w:r>
              <w:t xml:space="preserve">Java</w:t>
            </w:r>
          </w:p>
        </w:tc>
        <w:tc>
          <w:tcPr>
            <w:tcW w:w="1000" w:type="dxa"/>
          </w:tcPr>
          <w:p>
            <w:pPr>
              <w:pStyle w:val="TableCell"/>
              <w:keepNext/>
              <w:ind w:firstLine="0"/>
              <w:jc w:val="left"/>
            </w:pPr>
            <w:r>
              <w:t xml:space="preserve">Kubernetes</w:t>
            </w:r>
          </w:p>
        </w:tc>
        <w:tc>
          <w:tcPr>
            <w:tcW w:w="1040" w:type="dxa"/>
          </w:tcPr>
          <w:p>
            <w:pPr>
              <w:pStyle w:val="TableCell"/>
              <w:keepNext/>
              <w:ind w:firstLine="0"/>
              <w:jc w:val="left"/>
            </w:pPr>
            <w:r>
              <w:t xml:space="preserve">分層、回歸測試</w:t>
            </w:r>
          </w:p>
        </w:tc>
      </w:tr>
      <w:tr>
        <w:trPr>
          <w:cantSplit/>
        </w:trPr>
        <w:tc>
          <w:tcPr>
            <w:tcW w:w="1700" w:type="dxa"/>
          </w:tcPr>
          <w:p>
            <w:pPr>
              <w:pStyle w:val="TableCell"/>
              <w:keepNext/>
              <w:ind w:firstLine="0"/>
              <w:jc w:val="left"/>
            </w:pPr>
            <w:r>
              <w:t xml:space="preserve">opentelemetry-demo</w:t>
            </w:r>
          </w:p>
        </w:tc>
        <w:tc>
          <w:tcPr>
            <w:tcW w:w="1300" w:type="dxa"/>
          </w:tcPr>
          <w:p>
            <w:pPr>
              <w:pStyle w:val="TableCell"/>
              <w:keepNext/>
              <w:ind w:firstLine="0"/>
              <w:jc w:val="left"/>
            </w:pPr>
            <w:r>
              <w:t xml:space="preserve">Go、.NET、Node、Rust、Ruby、PHP、Kotlin、Java、Python、C++</w:t>
            </w:r>
          </w:p>
        </w:tc>
        <w:tc>
          <w:tcPr>
            <w:tcW w:w="1000" w:type="dxa"/>
          </w:tcPr>
          <w:p>
            <w:pPr>
              <w:pStyle w:val="TableCell"/>
              <w:keepNext/>
              <w:ind w:firstLine="0"/>
              <w:jc w:val="left"/>
            </w:pPr>
            <w:r>
              <w:t xml:space="preserve">Compose</w:t>
            </w:r>
          </w:p>
        </w:tc>
        <w:tc>
          <w:tcPr>
            <w:tcW w:w="1040" w:type="dxa"/>
          </w:tcPr>
          <w:p>
            <w:pPr>
              <w:pStyle w:val="TableCell"/>
              <w:keepNext/>
              <w:ind w:firstLine="0"/>
              <w:jc w:val="left"/>
            </w:pPr>
            <w:r>
              <w:t xml:space="preserve">RQ1 hold-out B</w:t>
            </w:r>
          </w:p>
        </w:tc>
      </w:tr>
      <w:tr>
        <w:trPr>
          <w:cantSplit/>
        </w:trPr>
        <w:tc>
          <w:tcPr>
            <w:tcW w:w="1700" w:type="dxa"/>
          </w:tcPr>
          <w:p>
            <w:pPr>
              <w:pStyle w:val="TableCell"/>
              <w:keepNext/>
              <w:ind w:firstLine="0"/>
              <w:jc w:val="left"/>
            </w:pPr>
            <w:r>
              <w:t xml:space="preserve">mall-swarm</w:t>
            </w:r>
          </w:p>
        </w:tc>
        <w:tc>
          <w:tcPr>
            <w:tcW w:w="1300" w:type="dxa"/>
          </w:tcPr>
          <w:p>
            <w:pPr>
              <w:pStyle w:val="TableCell"/>
              <w:keepNext/>
              <w:ind w:firstLine="0"/>
              <w:jc w:val="left"/>
            </w:pPr>
            <w:r>
              <w:t xml:space="preserve">Java（Spring Cloud Alibaba）</w:t>
            </w:r>
          </w:p>
        </w:tc>
        <w:tc>
          <w:tcPr>
            <w:tcW w:w="1000" w:type="dxa"/>
          </w:tcPr>
          <w:p>
            <w:pPr>
              <w:pStyle w:val="TableCell"/>
              <w:keepNext/>
              <w:ind w:firstLine="0"/>
              <w:jc w:val="left"/>
            </w:pPr>
            <w:r>
              <w:t xml:space="preserve">Compose、Kubernetes</w:t>
            </w:r>
          </w:p>
        </w:tc>
        <w:tc>
          <w:tcPr>
            <w:tcW w:w="1040" w:type="dxa"/>
          </w:tcPr>
          <w:p>
            <w:pPr>
              <w:pStyle w:val="TableCell"/>
              <w:keepNext/>
              <w:ind w:firstLine="0"/>
              <w:jc w:val="left"/>
            </w:pPr>
            <w:r>
              <w:t xml:space="preserve">RQ1 hold-out B</w:t>
            </w:r>
          </w:p>
        </w:tc>
      </w:tr>
      <w:tr>
        <w:trPr>
          <w:cantSplit/>
        </w:trPr>
        <w:tc>
          <w:tcPr>
            <w:tcW w:w="1700" w:type="dxa"/>
          </w:tcPr>
          <w:p>
            <w:pPr>
              <w:pStyle w:val="TableCell"/>
              <w:keepNext/>
              <w:ind w:firstLine="0"/>
              <w:jc w:val="left"/>
            </w:pPr>
            <w:r>
              <w:t xml:space="preserve">DeathStarBench hotelReservation</w:t>
            </w:r>
          </w:p>
        </w:tc>
        <w:tc>
          <w:tcPr>
            <w:tcW w:w="1300" w:type="dxa"/>
          </w:tcPr>
          <w:p>
            <w:pPr>
              <w:pStyle w:val="TableCell"/>
              <w:keepNext/>
              <w:ind w:firstLine="0"/>
              <w:jc w:val="left"/>
            </w:pPr>
            <w:r>
              <w:t xml:space="preserve">Go</w:t>
            </w:r>
          </w:p>
        </w:tc>
        <w:tc>
          <w:tcPr>
            <w:tcW w:w="1000" w:type="dxa"/>
          </w:tcPr>
          <w:p>
            <w:pPr>
              <w:pStyle w:val="TableCell"/>
              <w:keepNext/>
              <w:ind w:firstLine="0"/>
              <w:jc w:val="left"/>
            </w:pPr>
            <w:r>
              <w:t xml:space="preserve">Kubernetes、Compose、Helm</w:t>
            </w:r>
          </w:p>
        </w:tc>
        <w:tc>
          <w:tcPr>
            <w:tcW w:w="1040" w:type="dxa"/>
          </w:tcPr>
          <w:p>
            <w:pPr>
              <w:pStyle w:val="TableCell"/>
              <w:keepNext/>
              <w:ind w:firstLine="0"/>
              <w:jc w:val="left"/>
            </w:pPr>
            <w:r>
              <w:t xml:space="preserve">RQ1 hold-out B</w:t>
            </w:r>
          </w:p>
        </w:tc>
      </w:tr>
      <w:tr>
        <w:trPr>
          <w:cantSplit/>
        </w:trPr>
        <w:tc>
          <w:tcPr>
            <w:tcW w:w="1700" w:type="dxa"/>
          </w:tcPr>
          <w:p>
            <w:pPr>
              <w:pStyle w:val="TableCell"/>
              <w:keepNext/>
              <w:ind w:firstLine="0"/>
              <w:jc w:val="left"/>
            </w:pPr>
            <w:r>
              <w:t xml:space="preserve">yas</w:t>
            </w:r>
          </w:p>
        </w:tc>
        <w:tc>
          <w:tcPr>
            <w:tcW w:w="1300" w:type="dxa"/>
          </w:tcPr>
          <w:p>
            <w:pPr>
              <w:pStyle w:val="TableCell"/>
              <w:keepNext/>
              <w:ind w:firstLine="0"/>
              <w:jc w:val="left"/>
            </w:pPr>
            <w:r>
              <w:t xml:space="preserve">Java（Spring Boot 3）、TypeScript</w:t>
            </w:r>
          </w:p>
        </w:tc>
        <w:tc>
          <w:tcPr>
            <w:tcW w:w="1000" w:type="dxa"/>
          </w:tcPr>
          <w:p>
            <w:pPr>
              <w:pStyle w:val="TableCell"/>
              <w:keepNext/>
              <w:ind w:firstLine="0"/>
              <w:jc w:val="left"/>
            </w:pPr>
            <w:r>
              <w:t xml:space="preserve">Compose、Helm</w:t>
            </w:r>
          </w:p>
        </w:tc>
        <w:tc>
          <w:tcPr>
            <w:tcW w:w="1040" w:type="dxa"/>
          </w:tcPr>
          <w:p>
            <w:pPr>
              <w:pStyle w:val="TableCell"/>
              <w:keepNext/>
              <w:ind w:firstLine="0"/>
              <w:jc w:val="left"/>
            </w:pPr>
            <w:r>
              <w:t xml:space="preserve">RQ1 hold-out C</w:t>
            </w:r>
          </w:p>
        </w:tc>
      </w:tr>
      <w:tr>
        <w:trPr>
          <w:cantSplit/>
        </w:trPr>
        <w:tc>
          <w:tcPr>
            <w:tcW w:w="1700" w:type="dxa"/>
          </w:tcPr>
          <w:p>
            <w:pPr>
              <w:pStyle w:val="TableCell"/>
              <w:keepNext/>
              <w:ind w:firstLine="0"/>
              <w:jc w:val="left"/>
            </w:pPr>
            <w:r>
              <w:t xml:space="preserve">run-aspnetcore-microservices</w:t>
            </w:r>
          </w:p>
        </w:tc>
        <w:tc>
          <w:tcPr>
            <w:tcW w:w="1300" w:type="dxa"/>
          </w:tcPr>
          <w:p>
            <w:pPr>
              <w:pStyle w:val="TableCell"/>
              <w:keepNext/>
              <w:ind w:firstLine="0"/>
              <w:jc w:val="left"/>
            </w:pPr>
            <w:r>
              <w:t xml:space="preserve">C#（.NET 8）</w:t>
            </w:r>
          </w:p>
        </w:tc>
        <w:tc>
          <w:tcPr>
            <w:tcW w:w="1000" w:type="dxa"/>
          </w:tcPr>
          <w:p>
            <w:pPr>
              <w:pStyle w:val="TableCell"/>
              <w:keepNext/>
              <w:ind w:firstLine="0"/>
              <w:jc w:val="left"/>
            </w:pPr>
            <w:r>
              <w:t xml:space="preserve">Compose</w:t>
            </w:r>
          </w:p>
        </w:tc>
        <w:tc>
          <w:tcPr>
            <w:tcW w:w="1040" w:type="dxa"/>
          </w:tcPr>
          <w:p>
            <w:pPr>
              <w:pStyle w:val="TableCell"/>
              <w:keepNext/>
              <w:ind w:firstLine="0"/>
              <w:jc w:val="left"/>
            </w:pPr>
            <w:r>
              <w:t xml:space="preserve">RQ1 hold-out C</w:t>
            </w:r>
          </w:p>
        </w:tc>
      </w:tr>
      <w:tr>
        <w:trPr>
          <w:cantSplit/>
        </w:trPr>
        <w:tc>
          <w:tcPr>
            <w:tcW w:w="1700" w:type="dxa"/>
          </w:tcPr>
          <w:p>
            <w:pPr>
              <w:pStyle w:val="TableCell"/>
              <w:keepNext/>
              <w:ind w:firstLine="0"/>
              <w:jc w:val="left"/>
            </w:pPr>
            <w:r>
              <w:t xml:space="preserve">kiali travels</w:t>
            </w:r>
          </w:p>
        </w:tc>
        <w:tc>
          <w:tcPr>
            <w:tcW w:w="1300" w:type="dxa"/>
          </w:tcPr>
          <w:p>
            <w:pPr>
              <w:pStyle w:val="TableCell"/>
              <w:keepNext/>
              <w:ind w:firstLine="0"/>
              <w:jc w:val="left"/>
            </w:pPr>
            <w:r>
              <w:t xml:space="preserve">Go</w:t>
            </w:r>
          </w:p>
        </w:tc>
        <w:tc>
          <w:tcPr>
            <w:tcW w:w="1000" w:type="dxa"/>
          </w:tcPr>
          <w:p>
            <w:pPr>
              <w:pStyle w:val="TableCell"/>
              <w:keepNext/>
              <w:ind w:firstLine="0"/>
              <w:jc w:val="left"/>
            </w:pPr>
            <w:r>
              <w:t xml:space="preserve">Kubernetes（3 個 namespace）、Istio</w:t>
            </w:r>
          </w:p>
        </w:tc>
        <w:tc>
          <w:tcPr>
            <w:tcW w:w="1040" w:type="dxa"/>
          </w:tcPr>
          <w:p>
            <w:pPr>
              <w:pStyle w:val="TableCell"/>
              <w:keepNext/>
              <w:ind w:firstLine="0"/>
              <w:jc w:val="left"/>
            </w:pPr>
            <w:r>
              <w:t xml:space="preserve">RQ1 hold-out D</w:t>
            </w:r>
          </w:p>
        </w:tc>
      </w:tr>
      <w:tr>
        <w:trPr>
          <w:cantSplit/>
        </w:trPr>
        <w:tc>
          <w:tcPr>
            <w:tcW w:w="1700" w:type="dxa"/>
          </w:tcPr>
          <w:p>
            <w:pPr>
              <w:pStyle w:val="TableCell"/>
              <w:keepNext/>
              <w:ind w:firstLine="0"/>
              <w:jc w:val="left"/>
            </w:pPr>
            <w:r>
              <w:t xml:space="preserve">skywalking-showcase</w:t>
            </w:r>
          </w:p>
        </w:tc>
        <w:tc>
          <w:tcPr>
            <w:tcW w:w="1300" w:type="dxa"/>
          </w:tcPr>
          <w:p>
            <w:pPr>
              <w:pStyle w:val="TableCell"/>
              <w:keepNext/>
              <w:ind w:firstLine="0"/>
              <w:jc w:val="left"/>
            </w:pPr>
            <w:r>
              <w:t xml:space="preserve">Java、Python、Go、Node</w:t>
            </w:r>
          </w:p>
        </w:tc>
        <w:tc>
          <w:tcPr>
            <w:tcW w:w="1000" w:type="dxa"/>
          </w:tcPr>
          <w:p>
            <w:pPr>
              <w:pStyle w:val="TableCell"/>
              <w:keepNext/>
              <w:ind w:firstLine="0"/>
              <w:jc w:val="left"/>
            </w:pPr>
            <w:r>
              <w:t xml:space="preserve">Helm、Compose（20 份）</w:t>
            </w:r>
          </w:p>
        </w:tc>
        <w:tc>
          <w:tcPr>
            <w:tcW w:w="1040" w:type="dxa"/>
          </w:tcPr>
          <w:p>
            <w:pPr>
              <w:pStyle w:val="TableCell"/>
              <w:keepNext/>
              <w:ind w:firstLine="0"/>
              <w:jc w:val="left"/>
            </w:pPr>
            <w:r>
              <w:t xml:space="preserve">RQ1 hold-out D</w:t>
            </w:r>
          </w:p>
        </w:tc>
      </w:tr>
      <w:tr>
        <w:trPr>
          <w:cantSplit/>
        </w:trPr>
        <w:tc>
          <w:tcPr>
            <w:tcW w:w="1700" w:type="dxa"/>
          </w:tcPr>
          <w:p>
            <w:pPr>
              <w:pStyle w:val="TableCell"/>
              <w:ind w:firstLine="0"/>
              <w:jc w:val="left"/>
            </w:pPr>
            <w:r>
              <w:t xml:space="preserve">AICS（私有）</w:t>
            </w:r>
          </w:p>
        </w:tc>
        <w:tc>
          <w:tcPr>
            <w:tcW w:w="1300" w:type="dxa"/>
          </w:tcPr>
          <w:p>
            <w:pPr>
              <w:pStyle w:val="TableCell"/>
              <w:ind w:firstLine="0"/>
              <w:jc w:val="left"/>
            </w:pPr>
            <w:r>
              <w:t xml:space="preserve">Python（FastAPI）</w:t>
            </w:r>
          </w:p>
        </w:tc>
        <w:tc>
          <w:tcPr>
            <w:tcW w:w="1000" w:type="dxa"/>
          </w:tcPr>
          <w:p>
            <w:pPr>
              <w:pStyle w:val="TableCell"/>
              <w:ind w:firstLine="0"/>
              <w:jc w:val="left"/>
            </w:pPr>
            <w:r>
              <w:t xml:space="preserve">Kubernetes、Istio</w:t>
            </w:r>
          </w:p>
        </w:tc>
        <w:tc>
          <w:tcPr>
            <w:tcW w:w="1040" w:type="dxa"/>
          </w:tcPr>
          <w:p>
            <w:pPr>
              <w:pStyle w:val="TableCell"/>
              <w:ind w:firstLine="0"/>
              <w:jc w:val="left"/>
            </w:pPr>
            <w:r>
              <w:t xml:space="preserve">RQ1（第 19 至 22 條規則的歸納來源）</w:t>
            </w:r>
          </w:p>
        </w:tc>
      </w:tr>
    </w:tbl>
    <w:p>
      <w:pPr>
        <w:pStyle w:val="BodyText"/>
        <w:spacing w:after="80"/>
      </w:pPr>
    </w:p>
    <w:p>
      <w:pPr>
        <w:pStyle w:val="BodyText"/>
      </w:pPr>
      <w:r>
        <w:rPr>
          <w:b/>
          <w:bCs/>
        </w:rPr>
        <w:t xml:space="preserve">模型與參數。</w:t>
      </w:r>
      <w:r>
        <w:t xml:space="preserve">所有涉及 LLM 的步驟都用同一個模型：OpenAI gpt-4.1-mini（Chat Completions API），temperature 0、n=1。DepWeaver 自身以它整理文件、閱讀無文法語言的程式片段與撰寫報告的敘述章節。RQ0 不用 system prompt，另加 JSON mode（response_format=json_object）與 max_tokens 12,000（第一批 9 次呼叫未設上限，其中 2 次達到模型預設上限 32,768，見 RQ0），每格 3 次執行，輸入預算為部署描述檔與設定檔 300 KB、原始碼 500 KB、單檔 20 KB，共 63 次呼叫、326 萬 prompt token。RQ2 的問答對照使用同一模型；檢索為 BM25 與 text-embedding-3-small 向量檢索以 RRF 融合、top-k 16、段落總字數 24,000；語意路由門檻 T=0.58、M=0.04、H=0.85。prompt 模板、每次呼叫的原始回應與重現腳本隨 artifact 提供。</w:t>
      </w:r>
    </w:p>
    <w:p>
      <w:pPr>
        <w:pStyle w:val="Heading2"/>
      </w:pPr>
      <w:r>
        <w:t xml:space="preserve">RQ0：假想敵——不用工具，LLM 能直接畫出圖嗎</w:t>
      </w:r>
    </w:p>
    <w:p>
      <w:pPr>
        <w:pStyle w:val="BodyText"/>
      </w:pPr>
      <w:r>
        <w:rPr>
          <w:b/>
          <w:bCs/>
        </w:rPr>
        <w:t xml:space="preserve">設定。</w:t>
      </w:r>
      <w:r>
        <w:t xml:space="preserve">對表 VII 的 7 個系統（有作者參考邊集合的那 7 個），讓 gpt-4.1-mini（temperature 0、JSON 輸出）直接輸出相依邊，與同一份參考邊集合比對，計分規則與 RQ1 相同。三組：（a）</w:t>
      </w:r>
      <w:r>
        <w:rPr>
          <w:b/>
          <w:bCs/>
        </w:rPr>
        <w:t xml:space="preserve">零檔案</w:t>
      </w:r>
      <w:r>
        <w:t xml:space="preserve">：只給 repo 網址與元件清單，模型靠記憶作答；（b）</w:t>
      </w:r>
      <w:r>
        <w:rPr>
          <w:b/>
          <w:bCs/>
        </w:rPr>
        <w:t xml:space="preserve">給檔案</w:t>
      </w:r>
      <w:r>
        <w:t xml:space="preserve">：元件清單加上預算內的部署描述檔、設定檔與原始碼（描述檔 300 KB、原始碼 500 KB、單檔 20 KB；7 個系統中 6 個的原始碼全部給完，TeaStore 給了 162/174 個原始碼檔，Bank of Anthos 的描述檔截在 300 KB）；（c）</w:t>
      </w:r>
      <w:r>
        <w:rPr>
          <w:b/>
          <w:bCs/>
        </w:rPr>
        <w:t xml:space="preserve">給檔案、不給名稱</w:t>
      </w:r>
      <w:r>
        <w:t xml:space="preserve">：同（b），但元件名稱由模型自行決定。元件清單取自參考邊集合，是刻意偏袒 LLM 的設計：它不必猜有哪些節點，只要畫邊。每組每系統執行 3 次，報告平均；表中數字以更正後的參考邊集合重算（第 IV-C 節）。輸出中「X → X」的自迴圈邊（給檔案組 45 條錯誤的邊中有 32 條）顯然是照抄元件清單，表 V 另列一行濾除後的數字。</w:t>
      </w:r>
    </w:p>
    <w:p>
      <w:pPr>
        <w:pStyle w:val="TableCaption"/>
      </w:pPr>
      <w:r>
        <w:t xml:space="preserve">表 V　純 LLM 直接抽相依圖 vs DepWeaver 靜態層（7 個系統、每格 3 次執行的 macro 平均）</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250"/>
        <w:gridCol w:w="1050"/>
        <w:gridCol w:w="420"/>
        <w:gridCol w:w="420"/>
        <w:gridCol w:w="420"/>
        <w:gridCol w:w="1480"/>
      </w:tblGrid>
      <w:tr>
        <w:trPr>
          <w:tblHeader/>
          <w:cantSplit/>
        </w:trPr>
        <w:tc>
          <w:tcPr>
            <w:tcW w:w="1250" w:type="dxa"/>
            <w:tcBorders>
              <w:bottom w:val="single" w:sz="4" w:space="0" w:color="000000"/>
            </w:tcBorders>
          </w:tcPr>
          <w:p>
            <w:pPr>
              <w:pStyle w:val="TableCell"/>
              <w:keepNext/>
              <w:ind w:firstLine="0"/>
              <w:jc w:val="left"/>
            </w:pPr>
            <w:r>
              <w:rPr>
                <w:b/>
                <w:bCs/>
              </w:rPr>
              <w:t xml:space="preserve">組別</w:t>
            </w:r>
          </w:p>
        </w:tc>
        <w:tc>
          <w:tcPr>
            <w:tcW w:w="1050" w:type="dxa"/>
            <w:tcBorders>
              <w:bottom w:val="single" w:sz="4" w:space="0" w:color="000000"/>
            </w:tcBorders>
          </w:tcPr>
          <w:p>
            <w:pPr>
              <w:pStyle w:val="TableCell"/>
              <w:keepNext/>
              <w:ind w:firstLine="0"/>
              <w:jc w:val="left"/>
            </w:pPr>
            <w:r>
              <w:rPr>
                <w:b/>
                <w:bCs/>
              </w:rPr>
              <w:t xml:space="preserve">給 LLM 什麼</w:t>
            </w:r>
          </w:p>
        </w:tc>
        <w:tc>
          <w:tcPr>
            <w:tcW w:w="420" w:type="dxa"/>
            <w:tcBorders>
              <w:bottom w:val="single" w:sz="4" w:space="0" w:color="000000"/>
            </w:tcBorders>
          </w:tcPr>
          <w:p>
            <w:pPr>
              <w:pStyle w:val="TableCell"/>
              <w:keepNext/>
              <w:ind w:firstLine="0"/>
              <w:jc w:val="left"/>
            </w:pPr>
            <w:r>
              <w:rPr>
                <w:b/>
                <w:bCs/>
              </w:rPr>
              <w:t xml:space="preserve">P</w:t>
            </w:r>
          </w:p>
        </w:tc>
        <w:tc>
          <w:tcPr>
            <w:tcW w:w="420" w:type="dxa"/>
            <w:tcBorders>
              <w:bottom w:val="single" w:sz="4" w:space="0" w:color="000000"/>
            </w:tcBorders>
          </w:tcPr>
          <w:p>
            <w:pPr>
              <w:pStyle w:val="TableCell"/>
              <w:keepNext/>
              <w:ind w:firstLine="0"/>
              <w:jc w:val="left"/>
            </w:pPr>
            <w:r>
              <w:rPr>
                <w:b/>
                <w:bCs/>
              </w:rPr>
              <w:t xml:space="preserve">R</w:t>
            </w:r>
          </w:p>
        </w:tc>
        <w:tc>
          <w:tcPr>
            <w:tcW w:w="420" w:type="dxa"/>
            <w:tcBorders>
              <w:bottom w:val="single" w:sz="4" w:space="0" w:color="000000"/>
            </w:tcBorders>
          </w:tcPr>
          <w:p>
            <w:pPr>
              <w:pStyle w:val="TableCell"/>
              <w:keepNext/>
              <w:ind w:firstLine="0"/>
              <w:jc w:val="left"/>
            </w:pPr>
            <w:r>
              <w:rPr>
                <w:b/>
                <w:bCs/>
              </w:rPr>
              <w:t xml:space="preserve">F1</w:t>
            </w:r>
          </w:p>
        </w:tc>
        <w:tc>
          <w:tcPr>
            <w:tcW w:w="1480" w:type="dxa"/>
            <w:tcBorders>
              <w:bottom w:val="single" w:sz="4" w:space="0" w:color="000000"/>
            </w:tcBorders>
          </w:tcPr>
          <w:p>
            <w:pPr>
              <w:pStyle w:val="TableCell"/>
              <w:keepNext/>
              <w:ind w:firstLine="0"/>
              <w:jc w:val="left"/>
            </w:pPr>
            <w:r>
              <w:rPr>
                <w:b/>
                <w:bCs/>
              </w:rPr>
              <w:t xml:space="preserve">備註</w:t>
            </w:r>
          </w:p>
        </w:tc>
      </w:tr>
      <w:tr>
        <w:trPr>
          <w:cantSplit/>
        </w:trPr>
        <w:tc>
          <w:tcPr>
            <w:tcW w:w="1250" w:type="dxa"/>
          </w:tcPr>
          <w:p>
            <w:pPr>
              <w:pStyle w:val="TableCell"/>
              <w:keepNext/>
              <w:ind w:firstLine="0"/>
              <w:jc w:val="left"/>
            </w:pPr>
            <w:r>
              <w:t xml:space="preserve">零檔案</w:t>
            </w:r>
          </w:p>
        </w:tc>
        <w:tc>
          <w:tcPr>
            <w:tcW w:w="1050" w:type="dxa"/>
          </w:tcPr>
          <w:p>
            <w:pPr>
              <w:pStyle w:val="TableCell"/>
              <w:keepNext/>
              <w:ind w:firstLine="0"/>
              <w:jc w:val="left"/>
            </w:pPr>
            <w:r>
              <w:t xml:space="preserve">repo 網址＋元件清單</w:t>
            </w:r>
          </w:p>
        </w:tc>
        <w:tc>
          <w:tcPr>
            <w:tcW w:w="420" w:type="dxa"/>
          </w:tcPr>
          <w:p>
            <w:pPr>
              <w:pStyle w:val="TableCell"/>
              <w:keepNext/>
              <w:ind w:firstLine="0"/>
              <w:jc w:val="left"/>
            </w:pPr>
            <w:r>
              <w:t xml:space="preserve">0.76</w:t>
            </w:r>
          </w:p>
        </w:tc>
        <w:tc>
          <w:tcPr>
            <w:tcW w:w="420" w:type="dxa"/>
          </w:tcPr>
          <w:p>
            <w:pPr>
              <w:pStyle w:val="TableCell"/>
              <w:keepNext/>
              <w:ind w:firstLine="0"/>
              <w:jc w:val="left"/>
            </w:pPr>
            <w:r>
              <w:t xml:space="preserve">0.68</w:t>
            </w:r>
          </w:p>
        </w:tc>
        <w:tc>
          <w:tcPr>
            <w:tcW w:w="420" w:type="dxa"/>
          </w:tcPr>
          <w:p>
            <w:pPr>
              <w:pStyle w:val="TableCell"/>
              <w:keepNext/>
              <w:ind w:firstLine="0"/>
              <w:jc w:val="left"/>
            </w:pPr>
            <w:r>
              <w:t xml:space="preserve">0.70</w:t>
            </w:r>
          </w:p>
        </w:tc>
        <w:tc>
          <w:tcPr>
            <w:tcW w:w="1480" w:type="dxa"/>
          </w:tcPr>
          <w:p>
            <w:pPr>
              <w:pStyle w:val="TableCell"/>
              <w:keepNext/>
              <w:ind w:firstLine="0"/>
              <w:jc w:val="left"/>
            </w:pPr>
            <w:r>
              <w:t xml:space="preserve">7 個系統全部有遺漏的邊，其中 6 個另有錯誤的邊</w:t>
            </w:r>
          </w:p>
        </w:tc>
      </w:tr>
      <w:tr>
        <w:trPr>
          <w:cantSplit/>
        </w:trPr>
        <w:tc>
          <w:tcPr>
            <w:tcW w:w="1250" w:type="dxa"/>
          </w:tcPr>
          <w:p>
            <w:pPr>
              <w:pStyle w:val="TableCell"/>
              <w:keepNext/>
              <w:ind w:firstLine="0"/>
              <w:jc w:val="left"/>
            </w:pPr>
            <w:r>
              <w:t xml:space="preserve">給檔案</w:t>
            </w:r>
          </w:p>
        </w:tc>
        <w:tc>
          <w:tcPr>
            <w:tcW w:w="1050" w:type="dxa"/>
          </w:tcPr>
          <w:p>
            <w:pPr>
              <w:pStyle w:val="TableCell"/>
              <w:keepNext/>
              <w:ind w:firstLine="0"/>
              <w:jc w:val="left"/>
            </w:pPr>
            <w:r>
              <w:t xml:space="preserve">元件清單＋預算內檔案</w:t>
            </w:r>
          </w:p>
        </w:tc>
        <w:tc>
          <w:tcPr>
            <w:tcW w:w="420" w:type="dxa"/>
          </w:tcPr>
          <w:p>
            <w:pPr>
              <w:pStyle w:val="TableCell"/>
              <w:keepNext/>
              <w:ind w:firstLine="0"/>
              <w:jc w:val="left"/>
            </w:pPr>
            <w:r>
              <w:t xml:space="preserve">0.91</w:t>
            </w:r>
          </w:p>
        </w:tc>
        <w:tc>
          <w:tcPr>
            <w:tcW w:w="420" w:type="dxa"/>
          </w:tcPr>
          <w:p>
            <w:pPr>
              <w:pStyle w:val="TableCell"/>
              <w:keepNext/>
              <w:ind w:firstLine="0"/>
              <w:jc w:val="left"/>
            </w:pPr>
            <w:r>
              <w:t xml:space="preserve">0.91</w:t>
            </w:r>
          </w:p>
        </w:tc>
        <w:tc>
          <w:tcPr>
            <w:tcW w:w="420" w:type="dxa"/>
          </w:tcPr>
          <w:p>
            <w:pPr>
              <w:pStyle w:val="TableCell"/>
              <w:keepNext/>
              <w:ind w:firstLine="0"/>
              <w:jc w:val="left"/>
            </w:pPr>
            <w:r>
              <w:t xml:space="preserve">0.90</w:t>
            </w:r>
          </w:p>
        </w:tc>
        <w:tc>
          <w:tcPr>
            <w:tcW w:w="1480" w:type="dxa"/>
          </w:tcPr>
          <w:p>
            <w:pPr>
              <w:pStyle w:val="TableCell"/>
              <w:keepNext/>
              <w:ind w:firstLine="0"/>
              <w:jc w:val="left"/>
            </w:pPr>
            <w:r>
              <w:t xml:space="preserve">原始輸出</w:t>
            </w:r>
          </w:p>
        </w:tc>
      </w:tr>
      <w:tr>
        <w:trPr>
          <w:cantSplit/>
        </w:trPr>
        <w:tc>
          <w:tcPr>
            <w:tcW w:w="1250" w:type="dxa"/>
          </w:tcPr>
          <w:p>
            <w:pPr>
              <w:pStyle w:val="TableCell"/>
              <w:keepNext/>
              <w:ind w:firstLine="0"/>
              <w:jc w:val="left"/>
            </w:pPr>
            <w:r>
              <w:t xml:space="preserve">給檔案（濾除自迴圈）</w:t>
            </w:r>
          </w:p>
        </w:tc>
        <w:tc>
          <w:tcPr>
            <w:tcW w:w="1050" w:type="dxa"/>
          </w:tcPr>
          <w:p>
            <w:pPr>
              <w:pStyle w:val="TableCell"/>
              <w:keepNext/>
              <w:ind w:firstLine="0"/>
              <w:jc w:val="left"/>
            </w:pPr>
            <w:r>
              <w:t xml:space="preserve">同上</w:t>
            </w:r>
          </w:p>
        </w:tc>
        <w:tc>
          <w:tcPr>
            <w:tcW w:w="420" w:type="dxa"/>
          </w:tcPr>
          <w:p>
            <w:pPr>
              <w:pStyle w:val="TableCell"/>
              <w:keepNext/>
              <w:ind w:firstLine="0"/>
              <w:jc w:val="left"/>
            </w:pPr>
            <w:r>
              <w:t xml:space="preserve">0.96</w:t>
            </w:r>
          </w:p>
        </w:tc>
        <w:tc>
          <w:tcPr>
            <w:tcW w:w="420" w:type="dxa"/>
          </w:tcPr>
          <w:p>
            <w:pPr>
              <w:pStyle w:val="TableCell"/>
              <w:keepNext/>
              <w:ind w:firstLine="0"/>
              <w:jc w:val="left"/>
            </w:pPr>
            <w:r>
              <w:t xml:space="preserve">0.91</w:t>
            </w:r>
          </w:p>
        </w:tc>
        <w:tc>
          <w:tcPr>
            <w:tcW w:w="420" w:type="dxa"/>
          </w:tcPr>
          <w:p>
            <w:pPr>
              <w:pStyle w:val="TableCell"/>
              <w:keepNext/>
              <w:ind w:firstLine="0"/>
              <w:jc w:val="left"/>
            </w:pPr>
            <w:r>
              <w:t xml:space="preserve">0.93</w:t>
            </w:r>
          </w:p>
        </w:tc>
        <w:tc>
          <w:tcPr>
            <w:tcW w:w="1480" w:type="dxa"/>
          </w:tcPr>
          <w:p>
            <w:pPr>
              <w:pStyle w:val="TableCell"/>
              <w:keepNext/>
              <w:ind w:firstLine="0"/>
              <w:jc w:val="left"/>
            </w:pPr>
            <w:r>
              <w:t xml:space="preserve">只拿掉「X → X」的邊；它們都是錯的邊，所以只影響 P</w:t>
            </w:r>
          </w:p>
        </w:tc>
      </w:tr>
      <w:tr>
        <w:trPr>
          <w:cantSplit/>
        </w:trPr>
        <w:tc>
          <w:tcPr>
            <w:tcW w:w="1250" w:type="dxa"/>
          </w:tcPr>
          <w:p>
            <w:pPr>
              <w:pStyle w:val="TableCell"/>
              <w:keepNext/>
              <w:ind w:firstLine="0"/>
              <w:jc w:val="left"/>
            </w:pPr>
            <w:r>
              <w:t xml:space="preserve">給檔案、不給名稱（嚴格對名）</w:t>
            </w:r>
          </w:p>
        </w:tc>
        <w:tc>
          <w:tcPr>
            <w:tcW w:w="1050" w:type="dxa"/>
          </w:tcPr>
          <w:p>
            <w:pPr>
              <w:pStyle w:val="TableCell"/>
              <w:keepNext/>
              <w:ind w:firstLine="0"/>
              <w:jc w:val="left"/>
            </w:pPr>
            <w:r>
              <w:t xml:space="preserve">預算內檔案</w:t>
            </w:r>
          </w:p>
        </w:tc>
        <w:tc>
          <w:tcPr>
            <w:tcW w:w="420" w:type="dxa"/>
          </w:tcPr>
          <w:p>
            <w:pPr>
              <w:pStyle w:val="TableCell"/>
              <w:keepNext/>
              <w:ind w:firstLine="0"/>
              <w:jc w:val="left"/>
            </w:pPr>
            <w:r>
              <w:t xml:space="preserve">0.78</w:t>
            </w:r>
          </w:p>
        </w:tc>
        <w:tc>
          <w:tcPr>
            <w:tcW w:w="420" w:type="dxa"/>
          </w:tcPr>
          <w:p>
            <w:pPr>
              <w:pStyle w:val="TableCell"/>
              <w:keepNext/>
              <w:ind w:firstLine="0"/>
              <w:jc w:val="left"/>
            </w:pPr>
            <w:r>
              <w:t xml:space="preserve">0.77</w:t>
            </w:r>
          </w:p>
        </w:tc>
        <w:tc>
          <w:tcPr>
            <w:tcW w:w="420" w:type="dxa"/>
          </w:tcPr>
          <w:p>
            <w:pPr>
              <w:pStyle w:val="TableCell"/>
              <w:keepNext/>
              <w:ind w:firstLine="0"/>
              <w:jc w:val="left"/>
            </w:pPr>
            <w:r>
              <w:t xml:space="preserve">0.77</w:t>
            </w:r>
          </w:p>
        </w:tc>
        <w:tc>
          <w:tcPr>
            <w:tcW w:w="1480" w:type="dxa"/>
          </w:tcPr>
          <w:p>
            <w:pPr>
              <w:pStyle w:val="TableCell"/>
              <w:keepNext/>
              <w:ind w:firstLine="0"/>
              <w:jc w:val="left"/>
            </w:pPr>
            <w:r>
              <w:t xml:space="preserve">名稱要和參考邊集合完全相同；85 個名稱對不上</w:t>
            </w:r>
          </w:p>
        </w:tc>
      </w:tr>
      <w:tr>
        <w:trPr>
          <w:cantSplit/>
        </w:trPr>
        <w:tc>
          <w:tcPr>
            <w:tcW w:w="1250" w:type="dxa"/>
          </w:tcPr>
          <w:p>
            <w:pPr>
              <w:pStyle w:val="TableCell"/>
              <w:keepNext/>
              <w:ind w:firstLine="0"/>
              <w:jc w:val="left"/>
            </w:pPr>
            <w:r>
              <w:t xml:space="preserve">給檔案、不給名稱（寬鬆對名）</w:t>
            </w:r>
          </w:p>
        </w:tc>
        <w:tc>
          <w:tcPr>
            <w:tcW w:w="1050" w:type="dxa"/>
          </w:tcPr>
          <w:p>
            <w:pPr>
              <w:pStyle w:val="TableCell"/>
              <w:keepNext/>
              <w:ind w:firstLine="0"/>
              <w:jc w:val="left"/>
            </w:pPr>
            <w:r>
              <w:t xml:space="preserve">同上</w:t>
            </w:r>
          </w:p>
        </w:tc>
        <w:tc>
          <w:tcPr>
            <w:tcW w:w="420" w:type="dxa"/>
          </w:tcPr>
          <w:p>
            <w:pPr>
              <w:pStyle w:val="TableCell"/>
              <w:keepNext/>
              <w:ind w:firstLine="0"/>
              <w:jc w:val="left"/>
            </w:pPr>
            <w:r>
              <w:t xml:space="preserve">0.97</w:t>
            </w:r>
          </w:p>
        </w:tc>
        <w:tc>
          <w:tcPr>
            <w:tcW w:w="420" w:type="dxa"/>
          </w:tcPr>
          <w:p>
            <w:pPr>
              <w:pStyle w:val="TableCell"/>
              <w:keepNext/>
              <w:ind w:firstLine="0"/>
              <w:jc w:val="left"/>
            </w:pPr>
            <w:r>
              <w:t xml:space="preserve">0.95</w:t>
            </w:r>
          </w:p>
        </w:tc>
        <w:tc>
          <w:tcPr>
            <w:tcW w:w="420" w:type="dxa"/>
          </w:tcPr>
          <w:p>
            <w:pPr>
              <w:pStyle w:val="TableCell"/>
              <w:keepNext/>
              <w:ind w:firstLine="0"/>
              <w:jc w:val="left"/>
            </w:pPr>
            <w:r>
              <w:t xml:space="preserve">0.96</w:t>
            </w:r>
          </w:p>
        </w:tc>
        <w:tc>
          <w:tcPr>
            <w:tcW w:w="1480" w:type="dxa"/>
          </w:tcPr>
          <w:p>
            <w:pPr>
              <w:pStyle w:val="TableCell"/>
              <w:keepNext/>
              <w:ind w:firstLine="0"/>
              <w:jc w:val="left"/>
            </w:pPr>
            <w:r>
              <w:t xml:space="preserve">去掉 -container 字尾，或前後綴唯一吻合就算對上</w:t>
            </w:r>
          </w:p>
        </w:tc>
      </w:tr>
      <w:tr>
        <w:trPr>
          <w:cantSplit/>
        </w:trPr>
        <w:tc>
          <w:tcPr>
            <w:tcW w:w="1250" w:type="dxa"/>
          </w:tcPr>
          <w:p>
            <w:pPr>
              <w:pStyle w:val="TableCell"/>
              <w:keepNext/>
              <w:ind w:firstLine="0"/>
              <w:jc w:val="left"/>
            </w:pPr>
            <w:r>
              <w:t xml:space="preserve">DepWeaver 靜態層（執行 RQ0 當時，14 條規則）</w:t>
            </w:r>
          </w:p>
        </w:tc>
        <w:tc>
          <w:tcPr>
            <w:tcW w:w="1050" w:type="dxa"/>
          </w:tcPr>
          <w:p>
            <w:pPr>
              <w:pStyle w:val="TableCell"/>
              <w:keepNext/>
              <w:ind w:firstLine="0"/>
              <w:jc w:val="left"/>
            </w:pPr>
            <w:r>
              <w:t xml:space="preserve">不呼叫 LLM</w:t>
            </w:r>
          </w:p>
        </w:tc>
        <w:tc>
          <w:tcPr>
            <w:tcW w:w="420" w:type="dxa"/>
          </w:tcPr>
          <w:p>
            <w:pPr>
              <w:pStyle w:val="TableCell"/>
              <w:keepNext/>
              <w:ind w:firstLine="0"/>
              <w:jc w:val="left"/>
            </w:pPr>
            <w:r>
              <w:t xml:space="preserve">0.97</w:t>
            </w:r>
          </w:p>
        </w:tc>
        <w:tc>
          <w:tcPr>
            <w:tcW w:w="420" w:type="dxa"/>
          </w:tcPr>
          <w:p>
            <w:pPr>
              <w:pStyle w:val="TableCell"/>
              <w:keepNext/>
              <w:ind w:firstLine="0"/>
              <w:jc w:val="left"/>
            </w:pPr>
            <w:r>
              <w:t xml:space="preserve">0.84</w:t>
            </w:r>
          </w:p>
        </w:tc>
        <w:tc>
          <w:tcPr>
            <w:tcW w:w="420" w:type="dxa"/>
          </w:tcPr>
          <w:p>
            <w:pPr>
              <w:pStyle w:val="TableCell"/>
              <w:keepNext/>
              <w:ind w:firstLine="0"/>
              <w:jc w:val="left"/>
            </w:pPr>
            <w:r>
              <w:t xml:space="preserve">0.88</w:t>
            </w:r>
          </w:p>
        </w:tc>
        <w:tc>
          <w:tcPr>
            <w:tcW w:w="1480" w:type="dxa"/>
          </w:tcPr>
          <w:p>
            <w:pPr>
              <w:pStyle w:val="TableCell"/>
              <w:keepNext/>
              <w:ind w:firstLine="0"/>
              <w:jc w:val="left"/>
            </w:pPr>
            <w:r>
              <w:t xml:space="preserve">表 VII「修正前」的 7 列平均；每條邊附出處</w:t>
            </w:r>
          </w:p>
        </w:tc>
      </w:tr>
      <w:tr>
        <w:trPr>
          <w:cantSplit/>
        </w:trPr>
        <w:tc>
          <w:tcPr>
            <w:tcW w:w="1250" w:type="dxa"/>
          </w:tcPr>
          <w:p>
            <w:pPr>
              <w:pStyle w:val="TableCell"/>
              <w:keepNext/>
              <w:ind w:firstLine="0"/>
              <w:jc w:val="left"/>
            </w:pPr>
            <w:r>
              <w:t xml:space="preserve">DepWeaver 靜態層（依錯誤分析補規則後，23 條）</w:t>
            </w:r>
          </w:p>
        </w:tc>
        <w:tc>
          <w:tcPr>
            <w:tcW w:w="1050" w:type="dxa"/>
          </w:tcPr>
          <w:p>
            <w:pPr>
              <w:pStyle w:val="TableCell"/>
              <w:keepNext/>
              <w:ind w:firstLine="0"/>
              <w:jc w:val="left"/>
            </w:pPr>
            <w:r>
              <w:t xml:space="preserve">不呼叫 LLM</w:t>
            </w:r>
          </w:p>
        </w:tc>
        <w:tc>
          <w:tcPr>
            <w:tcW w:w="420" w:type="dxa"/>
          </w:tcPr>
          <w:p>
            <w:pPr>
              <w:pStyle w:val="TableCell"/>
              <w:keepNext/>
              <w:ind w:firstLine="0"/>
              <w:jc w:val="left"/>
            </w:pPr>
            <w:r>
              <w:t xml:space="preserve">1.00</w:t>
            </w:r>
          </w:p>
        </w:tc>
        <w:tc>
          <w:tcPr>
            <w:tcW w:w="420" w:type="dxa"/>
          </w:tcPr>
          <w:p>
            <w:pPr>
              <w:pStyle w:val="TableCell"/>
              <w:keepNext/>
              <w:ind w:firstLine="0"/>
              <w:jc w:val="left"/>
            </w:pPr>
            <w:r>
              <w:t xml:space="preserve">0.99</w:t>
            </w:r>
          </w:p>
        </w:tc>
        <w:tc>
          <w:tcPr>
            <w:tcW w:w="420" w:type="dxa"/>
          </w:tcPr>
          <w:p>
            <w:pPr>
              <w:pStyle w:val="TableCell"/>
              <w:keepNext/>
              <w:ind w:firstLine="0"/>
              <w:jc w:val="left"/>
            </w:pPr>
            <w:r>
              <w:t xml:space="preserve">0.99</w:t>
            </w:r>
          </w:p>
        </w:tc>
        <w:tc>
          <w:tcPr>
            <w:tcW w:w="1480" w:type="dxa"/>
          </w:tcPr>
          <w:p>
            <w:pPr>
              <w:pStyle w:val="TableCell"/>
              <w:keepNext/>
              <w:ind w:firstLine="0"/>
              <w:jc w:val="left"/>
            </w:pPr>
            <w:r>
              <w:t xml:space="preserve">表 VII「修正後」；規則在這 7 個系統上歸納，不是 hold-out 數字（hold-out 見表 VIII）</w:t>
            </w:r>
          </w:p>
        </w:tc>
      </w:tr>
      <w:tr>
        <w:trPr>
          <w:cantSplit/>
        </w:trPr>
        <w:tc>
          <w:tcPr>
            <w:tcW w:w="1250" w:type="dxa"/>
          </w:tcPr>
          <w:p>
            <w:pPr>
              <w:pStyle w:val="TableCell"/>
              <w:keepNext/>
              <w:ind w:firstLine="0"/>
              <w:jc w:val="left"/>
            </w:pPr>
            <w:r>
              <w:t xml:space="preserve">hold-out 5 系統：零檔案</w:t>
            </w:r>
          </w:p>
        </w:tc>
        <w:tc>
          <w:tcPr>
            <w:tcW w:w="1050" w:type="dxa"/>
          </w:tcPr>
          <w:p>
            <w:pPr>
              <w:pStyle w:val="TableCell"/>
              <w:keepNext/>
              <w:ind w:firstLine="0"/>
              <w:jc w:val="left"/>
            </w:pPr>
            <w:r>
              <w:t xml:space="preserve">repo 網址＋元件清單</w:t>
            </w:r>
          </w:p>
        </w:tc>
        <w:tc>
          <w:tcPr>
            <w:tcW w:w="420" w:type="dxa"/>
          </w:tcPr>
          <w:p>
            <w:pPr>
              <w:pStyle w:val="TableCell"/>
              <w:keepNext/>
              <w:ind w:firstLine="0"/>
              <w:jc w:val="left"/>
            </w:pPr>
            <w:r>
              <w:t xml:space="preserve">0.51</w:t>
            </w:r>
          </w:p>
        </w:tc>
        <w:tc>
          <w:tcPr>
            <w:tcW w:w="420" w:type="dxa"/>
          </w:tcPr>
          <w:p>
            <w:pPr>
              <w:pStyle w:val="TableCell"/>
              <w:keepNext/>
              <w:ind w:firstLine="0"/>
              <w:jc w:val="left"/>
            </w:pPr>
            <w:r>
              <w:t xml:space="preserve">0.61</w:t>
            </w:r>
          </w:p>
        </w:tc>
        <w:tc>
          <w:tcPr>
            <w:tcW w:w="420" w:type="dxa"/>
          </w:tcPr>
          <w:p>
            <w:pPr>
              <w:pStyle w:val="TableCell"/>
              <w:keepNext/>
              <w:ind w:firstLine="0"/>
              <w:jc w:val="left"/>
            </w:pPr>
            <w:r>
              <w:t xml:space="preserve">0.55</w:t>
            </w:r>
          </w:p>
        </w:tc>
        <w:tc>
          <w:tcPr>
            <w:tcW w:w="1480" w:type="dxa"/>
          </w:tcPr>
          <w:p>
            <w:pPr>
              <w:pStyle w:val="TableCell"/>
              <w:keepNext/>
              <w:ind w:firstLine="0"/>
              <w:jc w:val="left"/>
            </w:pPr>
            <w:r>
              <w:t xml:space="preserve">越冷門越差：yas 0.37／0.29、opentelemetry-demo 0.35／0.37</w:t>
            </w:r>
          </w:p>
        </w:tc>
      </w:tr>
      <w:tr>
        <w:trPr>
          <w:cantSplit/>
        </w:trPr>
        <w:tc>
          <w:tcPr>
            <w:tcW w:w="1250" w:type="dxa"/>
          </w:tcPr>
          <w:p>
            <w:pPr>
              <w:pStyle w:val="TableCell"/>
              <w:keepNext/>
              <w:ind w:firstLine="0"/>
              <w:jc w:val="left"/>
            </w:pPr>
            <w:r>
              <w:t xml:space="preserve">hold-out 5 系統：給檔案</w:t>
            </w:r>
          </w:p>
        </w:tc>
        <w:tc>
          <w:tcPr>
            <w:tcW w:w="1050" w:type="dxa"/>
          </w:tcPr>
          <w:p>
            <w:pPr>
              <w:pStyle w:val="TableCell"/>
              <w:keepNext/>
              <w:ind w:firstLine="0"/>
              <w:jc w:val="left"/>
            </w:pPr>
            <w:r>
              <w:t xml:space="preserve">元件清單＋預算內檔案</w:t>
            </w:r>
          </w:p>
        </w:tc>
        <w:tc>
          <w:tcPr>
            <w:tcW w:w="420" w:type="dxa"/>
          </w:tcPr>
          <w:p>
            <w:pPr>
              <w:pStyle w:val="TableCell"/>
              <w:keepNext/>
              <w:ind w:firstLine="0"/>
              <w:jc w:val="left"/>
            </w:pPr>
            <w:r>
              <w:t xml:space="preserve">0.79</w:t>
            </w:r>
          </w:p>
        </w:tc>
        <w:tc>
          <w:tcPr>
            <w:tcW w:w="420" w:type="dxa"/>
          </w:tcPr>
          <w:p>
            <w:pPr>
              <w:pStyle w:val="TableCell"/>
              <w:keepNext/>
              <w:ind w:firstLine="0"/>
              <w:jc w:val="left"/>
            </w:pPr>
            <w:r>
              <w:t xml:space="preserve">0.88</w:t>
            </w:r>
          </w:p>
        </w:tc>
        <w:tc>
          <w:tcPr>
            <w:tcW w:w="420" w:type="dxa"/>
          </w:tcPr>
          <w:p>
            <w:pPr>
              <w:pStyle w:val="TableCell"/>
              <w:keepNext/>
              <w:ind w:firstLine="0"/>
              <w:jc w:val="left"/>
            </w:pPr>
            <w:r>
              <w:t xml:space="preserve">0.83</w:t>
            </w:r>
          </w:p>
        </w:tc>
        <w:tc>
          <w:tcPr>
            <w:tcW w:w="1480" w:type="dxa"/>
          </w:tcPr>
          <w:p>
            <w:pPr>
              <w:pStyle w:val="TableCell"/>
              <w:keepNext/>
              <w:ind w:firstLine="0"/>
              <w:jc w:val="left"/>
            </w:pPr>
            <w:r>
              <w:t xml:space="preserve">2 次輸出陷入迴圈（mall-swarm、yas）</w:t>
            </w:r>
          </w:p>
        </w:tc>
      </w:tr>
      <w:tr>
        <w:trPr>
          <w:cantSplit/>
        </w:trPr>
        <w:tc>
          <w:tcPr>
            <w:tcW w:w="1250" w:type="dxa"/>
          </w:tcPr>
          <w:p>
            <w:pPr>
              <w:pStyle w:val="TableCell"/>
              <w:keepNext/>
              <w:ind w:firstLine="0"/>
              <w:jc w:val="left"/>
            </w:pPr>
            <w:r>
              <w:t xml:space="preserve">hold-out 5 系統：給檔案、不給名稱（嚴格對名）</w:t>
            </w:r>
          </w:p>
        </w:tc>
        <w:tc>
          <w:tcPr>
            <w:tcW w:w="1050" w:type="dxa"/>
          </w:tcPr>
          <w:p>
            <w:pPr>
              <w:pStyle w:val="TableCell"/>
              <w:keepNext/>
              <w:ind w:firstLine="0"/>
              <w:jc w:val="left"/>
            </w:pPr>
            <w:r>
              <w:t xml:space="preserve">預算內檔案</w:t>
            </w:r>
          </w:p>
        </w:tc>
        <w:tc>
          <w:tcPr>
            <w:tcW w:w="420" w:type="dxa"/>
          </w:tcPr>
          <w:p>
            <w:pPr>
              <w:pStyle w:val="TableCell"/>
              <w:keepNext/>
              <w:ind w:firstLine="0"/>
              <w:jc w:val="left"/>
            </w:pPr>
            <w:r>
              <w:t xml:space="preserve">0.89</w:t>
            </w:r>
          </w:p>
        </w:tc>
        <w:tc>
          <w:tcPr>
            <w:tcW w:w="420" w:type="dxa"/>
          </w:tcPr>
          <w:p>
            <w:pPr>
              <w:pStyle w:val="TableCell"/>
              <w:keepNext/>
              <w:ind w:firstLine="0"/>
              <w:jc w:val="left"/>
            </w:pPr>
            <w:r>
              <w:t xml:space="preserve">0.86</w:t>
            </w:r>
          </w:p>
        </w:tc>
        <w:tc>
          <w:tcPr>
            <w:tcW w:w="420" w:type="dxa"/>
          </w:tcPr>
          <w:p>
            <w:pPr>
              <w:pStyle w:val="TableCell"/>
              <w:keepNext/>
              <w:ind w:firstLine="0"/>
              <w:jc w:val="left"/>
            </w:pPr>
            <w:r>
              <w:t xml:space="preserve">0.87</w:t>
            </w:r>
          </w:p>
        </w:tc>
        <w:tc>
          <w:tcPr>
            <w:tcW w:w="1480" w:type="dxa"/>
          </w:tcPr>
          <w:p>
            <w:pPr>
              <w:pStyle w:val="TableCell"/>
              <w:keepNext/>
              <w:ind w:firstLine="0"/>
              <w:jc w:val="left"/>
            </w:pPr>
            <w:r>
              <w:t xml:space="preserve">這 5 個系統的名稱多半就是 Compose 服務名，對名問題比 7 個歸納用系統小</w:t>
            </w:r>
          </w:p>
        </w:tc>
      </w:tr>
      <w:tr>
        <w:trPr>
          <w:cantSplit/>
        </w:trPr>
        <w:tc>
          <w:tcPr>
            <w:tcW w:w="1250" w:type="dxa"/>
          </w:tcPr>
          <w:p>
            <w:pPr>
              <w:pStyle w:val="TableCell"/>
              <w:keepNext/>
              <w:ind w:firstLine="0"/>
              <w:jc w:val="left"/>
            </w:pPr>
            <w:r>
              <w:t xml:space="preserve">hold-out 5 系統：DepWeaver 靜態層（第三輪後，46 條）</w:t>
            </w:r>
          </w:p>
        </w:tc>
        <w:tc>
          <w:tcPr>
            <w:tcW w:w="1050" w:type="dxa"/>
          </w:tcPr>
          <w:p>
            <w:pPr>
              <w:pStyle w:val="TableCell"/>
              <w:keepNext/>
              <w:ind w:firstLine="0"/>
              <w:jc w:val="left"/>
            </w:pPr>
            <w:r>
              <w:t xml:space="preserve">不呼叫 LLM</w:t>
            </w:r>
          </w:p>
        </w:tc>
        <w:tc>
          <w:tcPr>
            <w:tcW w:w="420" w:type="dxa"/>
          </w:tcPr>
          <w:p>
            <w:pPr>
              <w:pStyle w:val="TableCell"/>
              <w:keepNext/>
              <w:ind w:firstLine="0"/>
              <w:jc w:val="left"/>
            </w:pPr>
            <w:r>
              <w:t xml:space="preserve">0.96</w:t>
            </w:r>
          </w:p>
        </w:tc>
        <w:tc>
          <w:tcPr>
            <w:tcW w:w="420" w:type="dxa"/>
          </w:tcPr>
          <w:p>
            <w:pPr>
              <w:pStyle w:val="TableCell"/>
              <w:keepNext/>
              <w:ind w:firstLine="0"/>
              <w:jc w:val="left"/>
            </w:pPr>
            <w:r>
              <w:t xml:space="preserve">0.93</w:t>
            </w:r>
          </w:p>
        </w:tc>
        <w:tc>
          <w:tcPr>
            <w:tcW w:w="420" w:type="dxa"/>
          </w:tcPr>
          <w:p>
            <w:pPr>
              <w:pStyle w:val="TableCell"/>
              <w:keepNext/>
              <w:ind w:firstLine="0"/>
              <w:jc w:val="left"/>
            </w:pPr>
            <w:r>
              <w:t xml:space="preserve">0.94</w:t>
            </w:r>
          </w:p>
        </w:tc>
        <w:tc>
          <w:tcPr>
            <w:tcW w:w="1480" w:type="dxa"/>
          </w:tcPr>
          <w:p>
            <w:pPr>
              <w:pStyle w:val="TableCell"/>
              <w:keepNext/>
              <w:ind w:firstLine="0"/>
              <w:jc w:val="left"/>
            </w:pPr>
            <w:r>
              <w:t xml:space="preserve">表 VIII；對這 5 個系統而言不是 hold-out 數字</w:t>
            </w:r>
          </w:p>
        </w:tc>
      </w:tr>
      <w:tr>
        <w:trPr>
          <w:cantSplit/>
        </w:trPr>
        <w:tc>
          <w:tcPr>
            <w:tcW w:w="1250" w:type="dxa"/>
          </w:tcPr>
          <w:p>
            <w:pPr>
              <w:pStyle w:val="TableCell"/>
              <w:keepNext/>
              <w:ind w:firstLine="0"/>
              <w:jc w:val="left"/>
            </w:pPr>
            <w:r>
              <w:t xml:space="preserve">私有系統 AICS：零檔案</w:t>
            </w:r>
          </w:p>
        </w:tc>
        <w:tc>
          <w:tcPr>
            <w:tcW w:w="1050" w:type="dxa"/>
          </w:tcPr>
          <w:p>
            <w:pPr>
              <w:pStyle w:val="TableCell"/>
              <w:keepNext/>
              <w:ind w:firstLine="0"/>
              <w:jc w:val="left"/>
            </w:pPr>
            <w:r>
              <w:t xml:space="preserve">repo 網址＋元件清單</w:t>
            </w:r>
          </w:p>
        </w:tc>
        <w:tc>
          <w:tcPr>
            <w:tcW w:w="420" w:type="dxa"/>
          </w:tcPr>
          <w:p>
            <w:pPr>
              <w:pStyle w:val="TableCell"/>
              <w:keepNext/>
              <w:ind w:firstLine="0"/>
              <w:jc w:val="left"/>
            </w:pPr>
            <w:r>
              <w:t xml:space="preserve">0.52</w:t>
            </w:r>
          </w:p>
        </w:tc>
        <w:tc>
          <w:tcPr>
            <w:tcW w:w="420" w:type="dxa"/>
          </w:tcPr>
          <w:p>
            <w:pPr>
              <w:pStyle w:val="TableCell"/>
              <w:keepNext/>
              <w:ind w:firstLine="0"/>
              <w:jc w:val="left"/>
            </w:pPr>
            <w:r>
              <w:t xml:space="preserve">0.35</w:t>
            </w:r>
          </w:p>
        </w:tc>
        <w:tc>
          <w:tcPr>
            <w:tcW w:w="420" w:type="dxa"/>
          </w:tcPr>
          <w:p>
            <w:pPr>
              <w:pStyle w:val="TableCell"/>
              <w:keepNext/>
              <w:ind w:firstLine="0"/>
              <w:jc w:val="left"/>
            </w:pPr>
            <w:r>
              <w:t xml:space="preserve">0.42</w:t>
            </w:r>
          </w:p>
        </w:tc>
        <w:tc>
          <w:tcPr>
            <w:tcW w:w="1480" w:type="dxa"/>
          </w:tcPr>
          <w:p>
            <w:pPr>
              <w:pStyle w:val="TableCell"/>
              <w:keepNext/>
              <w:ind w:firstLine="0"/>
              <w:jc w:val="left"/>
            </w:pPr>
            <w:r>
              <w:t xml:space="preserve">畫對的幾乎都是從名稱就猜得到的邊（X-service → X-service-mongo、爬蟲 → 外部 API）；服務到服務的邊 P 0.21、R 0.20</w:t>
            </w:r>
          </w:p>
        </w:tc>
      </w:tr>
      <w:tr>
        <w:trPr>
          <w:cantSplit/>
        </w:trPr>
        <w:tc>
          <w:tcPr>
            <w:tcW w:w="1250" w:type="dxa"/>
          </w:tcPr>
          <w:p>
            <w:pPr>
              <w:pStyle w:val="TableCell"/>
              <w:keepNext/>
              <w:ind w:firstLine="0"/>
              <w:jc w:val="left"/>
            </w:pPr>
            <w:r>
              <w:t xml:space="preserve">私有系統 AICS：給檔案</w:t>
            </w:r>
          </w:p>
        </w:tc>
        <w:tc>
          <w:tcPr>
            <w:tcW w:w="1050" w:type="dxa"/>
          </w:tcPr>
          <w:p>
            <w:pPr>
              <w:pStyle w:val="TableCell"/>
              <w:keepNext/>
              <w:ind w:firstLine="0"/>
              <w:jc w:val="left"/>
            </w:pPr>
            <w:r>
              <w:t xml:space="preserve">元件清單＋預算內檔案</w:t>
            </w:r>
          </w:p>
        </w:tc>
        <w:tc>
          <w:tcPr>
            <w:tcW w:w="420" w:type="dxa"/>
          </w:tcPr>
          <w:p>
            <w:pPr>
              <w:pStyle w:val="TableCell"/>
              <w:keepNext/>
              <w:ind w:firstLine="0"/>
              <w:jc w:val="left"/>
            </w:pPr>
            <w:r>
              <w:t xml:space="preserve">0.65</w:t>
            </w:r>
          </w:p>
        </w:tc>
        <w:tc>
          <w:tcPr>
            <w:tcW w:w="420" w:type="dxa"/>
          </w:tcPr>
          <w:p>
            <w:pPr>
              <w:pStyle w:val="TableCell"/>
              <w:keepNext/>
              <w:ind w:firstLine="0"/>
              <w:jc w:val="left"/>
            </w:pPr>
            <w:r>
              <w:t xml:space="preserve">0.56</w:t>
            </w:r>
          </w:p>
        </w:tc>
        <w:tc>
          <w:tcPr>
            <w:tcW w:w="420" w:type="dxa"/>
          </w:tcPr>
          <w:p>
            <w:pPr>
              <w:pStyle w:val="TableCell"/>
              <w:keepNext/>
              <w:ind w:firstLine="0"/>
              <w:jc w:val="left"/>
            </w:pPr>
            <w:r>
              <w:t xml:space="preserve">0.60</w:t>
            </w:r>
          </w:p>
        </w:tc>
        <w:tc>
          <w:tcPr>
            <w:tcW w:w="1480" w:type="dxa"/>
          </w:tcPr>
          <w:p>
            <w:pPr>
              <w:pStyle w:val="TableCell"/>
              <w:keepNext/>
              <w:ind w:firstLine="0"/>
              <w:jc w:val="left"/>
            </w:pPr>
            <w:r>
              <w:t xml:space="preserve">1 次輸出陷入迴圈（原始 565 條）；入口路由 6 條三次全漏</w:t>
            </w:r>
          </w:p>
        </w:tc>
      </w:tr>
      <w:tr>
        <w:trPr>
          <w:cantSplit/>
        </w:trPr>
        <w:tc>
          <w:tcPr>
            <w:tcW w:w="1250" w:type="dxa"/>
          </w:tcPr>
          <w:p>
            <w:pPr>
              <w:pStyle w:val="TableCell"/>
              <w:keepNext/>
              <w:ind w:firstLine="0"/>
              <w:jc w:val="left"/>
            </w:pPr>
            <w:r>
              <w:t xml:space="preserve">私有系統 AICS：給檔案、不給名稱（嚴格對名）</w:t>
            </w:r>
          </w:p>
        </w:tc>
        <w:tc>
          <w:tcPr>
            <w:tcW w:w="1050" w:type="dxa"/>
          </w:tcPr>
          <w:p>
            <w:pPr>
              <w:pStyle w:val="TableCell"/>
              <w:keepNext/>
              <w:ind w:firstLine="0"/>
              <w:jc w:val="left"/>
            </w:pPr>
            <w:r>
              <w:t xml:space="preserve">預算內檔案</w:t>
            </w:r>
          </w:p>
        </w:tc>
        <w:tc>
          <w:tcPr>
            <w:tcW w:w="420" w:type="dxa"/>
          </w:tcPr>
          <w:p>
            <w:pPr>
              <w:pStyle w:val="TableCell"/>
              <w:keepNext/>
              <w:ind w:firstLine="0"/>
              <w:jc w:val="left"/>
            </w:pPr>
            <w:r>
              <w:t xml:space="preserve">0.57</w:t>
            </w:r>
          </w:p>
        </w:tc>
        <w:tc>
          <w:tcPr>
            <w:tcW w:w="420" w:type="dxa"/>
          </w:tcPr>
          <w:p>
            <w:pPr>
              <w:pStyle w:val="TableCell"/>
              <w:keepNext/>
              <w:ind w:firstLine="0"/>
              <w:jc w:val="left"/>
            </w:pPr>
            <w:r>
              <w:t xml:space="preserve">0.39</w:t>
            </w:r>
          </w:p>
        </w:tc>
        <w:tc>
          <w:tcPr>
            <w:tcW w:w="420" w:type="dxa"/>
          </w:tcPr>
          <w:p>
            <w:pPr>
              <w:pStyle w:val="TableCell"/>
              <w:keepNext/>
              <w:ind w:firstLine="0"/>
              <w:jc w:val="left"/>
            </w:pPr>
            <w:r>
              <w:t xml:space="preserve">0.46</w:t>
            </w:r>
          </w:p>
        </w:tc>
        <w:tc>
          <w:tcPr>
            <w:tcW w:w="1480" w:type="dxa"/>
          </w:tcPr>
          <w:p>
            <w:pPr>
              <w:pStyle w:val="TableCell"/>
              <w:keepNext/>
              <w:ind w:firstLine="0"/>
              <w:jc w:val="left"/>
            </w:pPr>
            <w:r>
              <w:t xml:space="preserve">polyrepo，名稱沒有單一來源</w:t>
            </w:r>
          </w:p>
        </w:tc>
      </w:tr>
      <w:tr>
        <w:trPr>
          <w:cantSplit/>
        </w:trPr>
        <w:tc>
          <w:tcPr>
            <w:tcW w:w="1250" w:type="dxa"/>
          </w:tcPr>
          <w:p>
            <w:pPr>
              <w:pStyle w:val="TableCell"/>
              <w:ind w:firstLine="0"/>
              <w:jc w:val="left"/>
            </w:pPr>
            <w:r>
              <w:t xml:space="preserve">私有系統 AICS：DepWeaver 靜態層（第三輪後，46 條）</w:t>
            </w:r>
          </w:p>
        </w:tc>
        <w:tc>
          <w:tcPr>
            <w:tcW w:w="1050" w:type="dxa"/>
          </w:tcPr>
          <w:p>
            <w:pPr>
              <w:pStyle w:val="TableCell"/>
              <w:ind w:firstLine="0"/>
              <w:jc w:val="left"/>
            </w:pPr>
            <w:r>
              <w:t xml:space="preserve">不呼叫 LLM</w:t>
            </w:r>
          </w:p>
        </w:tc>
        <w:tc>
          <w:tcPr>
            <w:tcW w:w="420" w:type="dxa"/>
          </w:tcPr>
          <w:p>
            <w:pPr>
              <w:pStyle w:val="TableCell"/>
              <w:ind w:firstLine="0"/>
              <w:jc w:val="left"/>
            </w:pPr>
            <w:r>
              <w:t xml:space="preserve">0.89</w:t>
            </w:r>
          </w:p>
        </w:tc>
        <w:tc>
          <w:tcPr>
            <w:tcW w:w="420" w:type="dxa"/>
          </w:tcPr>
          <w:p>
            <w:pPr>
              <w:pStyle w:val="TableCell"/>
              <w:ind w:firstLine="0"/>
              <w:jc w:val="left"/>
            </w:pPr>
            <w:r>
              <w:t xml:space="preserve">0.63</w:t>
            </w:r>
          </w:p>
        </w:tc>
        <w:tc>
          <w:tcPr>
            <w:tcW w:w="420" w:type="dxa"/>
          </w:tcPr>
          <w:p>
            <w:pPr>
              <w:pStyle w:val="TableCell"/>
              <w:ind w:firstLine="0"/>
              <w:jc w:val="left"/>
            </w:pPr>
            <w:r>
              <w:t xml:space="preserve">0.74</w:t>
            </w:r>
          </w:p>
        </w:tc>
        <w:tc>
          <w:tcPr>
            <w:tcW w:w="1480" w:type="dxa"/>
          </w:tcPr>
          <w:p>
            <w:pPr>
              <w:pStyle w:val="TableCell"/>
              <w:ind w:firstLine="0"/>
              <w:jc w:val="left"/>
            </w:pPr>
            <w:r>
              <w:t xml:space="preserve">第 19 至 22 條在此歸納；第四輪加入入口路由後為 0.90、0.76；其餘遺漏多是叢集外元件與經 SDK 的外部服務</w:t>
            </w:r>
          </w:p>
        </w:tc>
      </w:tr>
    </w:tbl>
    <w:p>
      <w:pPr>
        <w:pStyle w:val="BodyText"/>
        <w:spacing w:after="80"/>
      </w:pPr>
    </w:p>
    <w:p>
      <w:pPr>
        <w:pStyle w:val="BodyText"/>
      </w:pPr>
      <w:r>
        <w:rPr>
          <w:b/>
          <w:bCs/>
        </w:rPr>
        <w:t xml:space="preserve">結果。</w:t>
      </w:r>
      <w:r>
        <w:t xml:space="preserve">第一，不給事實時，LLM 畫不出正確的圖：零檔案組平均後沒有一個系統的 P 與 R 同時為 1.00。錯誤的型態有三種：套用別的系統的架構（robot-shop 把負載產生器畫成呼叫 6 個服務；TeaStore 把「全部裝在一個 pod」的部署變體畫成呼叫者）、資料庫接錯（Bank of Anthos 把 ledgerwriter 接到 accounts-db）、方向相反（piggymetrics 4 條）。這 7 個系統都公開在 GitHub 上、很可能在訓練資料裡，對私有系統這一組只會更差。第二，給了檔案之後，LLM 與當時的靜態層各有勝負：在靜態層 recall 較低的三個系統上它都較好（TeaStore 以 enum 常數指定目標的業務呼叫邊，LLM 3 次平均 recall 0.67（三次分別是 1.00、1.00、0.00），靜態層 0/7；ecommerce 只寫了 localhost 預設值的控制平面邊，0.81 對 0.28；robot-shop 的業務呼叫邊，1.00 對 0.40），但在 piggymetrics 較差（recall 0.71 對 1.00；3 次都遺漏的 7 條是 gateway 到 4 個服務、notification 與 statistics 到 auth-service 的業務呼叫邊，以及 turbine 到 rabbitmq）。第三，LLM 的輸出有三個分數看不出來的問題，而且都在這 63 次執行中出現：（i）沒有一條邊附出處，無法像 RQ1 那樣逐條查證；（ii）temperature 0 下同一個 prompt 三次結果不同（TeaStore 給檔案組 recall 0.46–1.00），Bank of Anthos 不給名稱組有兩次陷入迴圈，同樣 12 條邊重複輸出 1,417 次直到輸出上限；（iii）名稱由模型決定時，ecommerce 三次都用 Compose 的 container_name（user-service-container）而不是服務名，嚴格對名下 F1 為 0.00、寬鬆對名下為 0.96。分數的差距幾乎全部是名稱問題，而這正是第 III-F 節請操作者確認的問題。第四，事後逐條追查 LLM 贏過靜態層的那三個系統，靜態層輸的地方沒有一處是靜態分析的極限，都是規則缺口（第 IV-C 節的錯誤分析）；假想敵因此同時是找規則缺口的方法。第五，在 5 個 hold-out 系統上重複同一組對照（表 V 下半，45 次呼叫）：零檔案組 F1 只有 0.55，而且知名度越低越差（yas 0.37／0.29）；給檔案組 0.83，低於 7 個歸納用系統的 0.90，因為 yas 的 17 個模組加 Helm 與 Compose 超過預算、三次都只畫到一半（0.58／0.50）。LLM 唯一明顯勝過靜態層的是 hotelReservation（1.00 對 0.71）：它讀得懂 Go 程式碼裡的 Consul 名稱 srv-search 指的是 search，正是第 IV-C 節所說靜態層真正的邊界。第六，在不可能出現在訓練資料裡的私有系統 AICS 上（13 個 repo 的 polyrepo，Python），零檔案組 F1 0.42，而且畫對的幾乎都是從元件清單的名稱就猜得到的邊（服務到自己的資料庫、爬蟲到外部 API），服務到服務的呼叫 P 0.21、R 0.20：這是「不基於事實畫不出來」最直接的證據。給檔案組 0.60，仍低於靜態層的 0.74；三次都漏掉全部 6 條入口路由（Istio VirtualService）。</w:t>
      </w:r>
    </w:p>
    <w:p>
      <w:pPr>
        <w:pStyle w:val="BodyText"/>
      </w:pPr>
      <w:r>
        <w:rPr>
          <w:b/>
          <w:bCs/>
        </w:rPr>
        <w:t xml:space="preserve">RQ0 小結。</w:t>
      </w:r>
      <w:r>
        <w:t xml:space="preserve">假想敵的答案分兩半：不基於事實的 LLM 畫不出正確的圖；基於事實的 LLM 畫得出來，但給的是一張沒有出處、每次不同、名稱未必對得上的圖。DepWeaver 的貢獻因此不在 P 與 R 本身，而在出處、確定性與名稱確認。反過來，LLM 在 enum 常數指定的目標、隱含預設值與尚未支援文法的語言上的表現，說明它適合作為管線中的一個來源（第 III-B 節已對無文法的語言這樣做），其輸出應進入同一套等級與出處框架（第 V-B 節）。</w:t>
      </w:r>
    </w:p>
    <w:p>
      <w:pPr>
        <w:pStyle w:val="Heading2"/>
      </w:pPr>
      <w:r>
        <w:t xml:space="preserve">RQ1：靜態層的泛化</w:t>
      </w:r>
    </w:p>
    <w:p>
      <w:pPr>
        <w:pStyle w:val="BodyText"/>
      </w:pPr>
      <w:r>
        <w:rPr>
          <w:b/>
          <w:bCs/>
        </w:rPr>
        <w:t xml:space="preserve">參考邊集合一：第三方。</w:t>
      </w:r>
      <w:r>
        <w:t xml:space="preserve">MicroDepGraph 資料集 [</w:t>
      </w:r>
      <w:hyperlink w:anchor="ref_rahman2019" w:history="1">
        <w:r>
          <w:t xml:space="preserve">5</w:t>
        </w:r>
      </w:hyperlink>
      <w:r>
        <w:t xml:space="preserve">] 發表了 20 個開源微服務系統的相依圖，邊來自 docker-compose 中定義的相依關係與 Java 原始碼中的內部 API 呼叫。其中 7 個的 repo 可以直接以靜態層分析，以 Java／Spring 為主（含多語言的 robot-shop）。資料集的相依圖檔提交於 2019-08-19（repo 之後只改過 README），我們把每個 repo checkout 到那一天之前的最後一個 commit，只執行靜態層（不接叢集、不接文件、不呼叫 LLM）；LakesideMutual 的公開歷史始於 2021-02-26（較早的歷史已被壓縮），只能用它最早的 commit。由於兩邊對「相依關係」的定義不同（資料集沒有外部主機，也沒有涵蓋所有程式碼層呼叫，例如 Feign client），這裡報告吻合率（agreement，即資料集的邊中有多少被工具畫出），而非 precision。結果見表 VI。</w:t>
      </w:r>
    </w:p>
    <w:p>
      <w:pPr>
        <w:pStyle w:val="TableCaption"/>
      </w:pPr>
      <w:r>
        <w:t xml:space="preserve">表 VI　對第三方參考邊集合（MicroDepGraph）的吻合率</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2400"/>
        <w:gridCol w:w="900"/>
        <w:gridCol w:w="900"/>
        <w:gridCol w:w="840"/>
      </w:tblGrid>
      <w:tr>
        <w:trPr>
          <w:tblHeader/>
          <w:cantSplit/>
        </w:trPr>
        <w:tc>
          <w:tcPr>
            <w:tcW w:w="2400" w:type="dxa"/>
            <w:tcBorders>
              <w:bottom w:val="single" w:sz="4" w:space="0" w:color="000000"/>
            </w:tcBorders>
          </w:tcPr>
          <w:p>
            <w:pPr>
              <w:pStyle w:val="TableCell"/>
              <w:keepNext/>
              <w:ind w:firstLine="0"/>
              <w:jc w:val="left"/>
            </w:pPr>
            <w:r>
              <w:rPr>
                <w:b/>
                <w:bCs/>
              </w:rPr>
              <w:t xml:space="preserve">系統</w:t>
            </w:r>
          </w:p>
        </w:tc>
        <w:tc>
          <w:tcPr>
            <w:tcW w:w="900" w:type="dxa"/>
            <w:tcBorders>
              <w:bottom w:val="single" w:sz="4" w:space="0" w:color="000000"/>
            </w:tcBorders>
          </w:tcPr>
          <w:p>
            <w:pPr>
              <w:pStyle w:val="TableCell"/>
              <w:keepNext/>
              <w:ind w:firstLine="0"/>
              <w:jc w:val="left"/>
            </w:pPr>
            <w:r>
              <w:rPr>
                <w:b/>
                <w:bCs/>
              </w:rPr>
              <w:t xml:space="preserve">資料集邊數</w:t>
            </w:r>
          </w:p>
        </w:tc>
        <w:tc>
          <w:tcPr>
            <w:tcW w:w="900" w:type="dxa"/>
            <w:tcBorders>
              <w:bottom w:val="single" w:sz="4" w:space="0" w:color="000000"/>
            </w:tcBorders>
          </w:tcPr>
          <w:p>
            <w:pPr>
              <w:pStyle w:val="TableCell"/>
              <w:keepNext/>
              <w:ind w:firstLine="0"/>
              <w:jc w:val="left"/>
            </w:pPr>
            <w:r>
              <w:rPr>
                <w:b/>
                <w:bCs/>
              </w:rPr>
              <w:t xml:space="preserve">工具畫出</w:t>
            </w:r>
          </w:p>
        </w:tc>
        <w:tc>
          <w:tcPr>
            <w:tcW w:w="840" w:type="dxa"/>
            <w:tcBorders>
              <w:bottom w:val="single" w:sz="4" w:space="0" w:color="000000"/>
            </w:tcBorders>
          </w:tcPr>
          <w:p>
            <w:pPr>
              <w:pStyle w:val="TableCell"/>
              <w:keepNext/>
              <w:ind w:firstLine="0"/>
              <w:jc w:val="left"/>
            </w:pPr>
            <w:r>
              <w:rPr>
                <w:b/>
                <w:bCs/>
              </w:rPr>
              <w:t xml:space="preserve">吻合率</w:t>
            </w:r>
          </w:p>
        </w:tc>
      </w:tr>
      <w:tr>
        <w:trPr>
          <w:cantSplit/>
        </w:trPr>
        <w:tc>
          <w:tcPr>
            <w:tcW w:w="2400" w:type="dxa"/>
          </w:tcPr>
          <w:p>
            <w:pPr>
              <w:pStyle w:val="TableCell"/>
              <w:keepNext/>
              <w:ind w:firstLine="0"/>
              <w:jc w:val="left"/>
            </w:pPr>
            <w:r>
              <w:t xml:space="preserve">spring-petclinic</w:t>
            </w:r>
          </w:p>
        </w:tc>
        <w:tc>
          <w:tcPr>
            <w:tcW w:w="900" w:type="dxa"/>
          </w:tcPr>
          <w:p>
            <w:pPr>
              <w:pStyle w:val="TableCell"/>
              <w:keepNext/>
              <w:ind w:firstLine="0"/>
              <w:jc w:val="left"/>
            </w:pPr>
            <w:r>
              <w:t xml:space="preserve">13</w:t>
            </w:r>
          </w:p>
        </w:tc>
        <w:tc>
          <w:tcPr>
            <w:tcW w:w="900" w:type="dxa"/>
          </w:tcPr>
          <w:p>
            <w:pPr>
              <w:pStyle w:val="TableCell"/>
              <w:keepNext/>
              <w:ind w:firstLine="0"/>
              <w:jc w:val="left"/>
            </w:pPr>
            <w:r>
              <w:t xml:space="preserve">13</w:t>
            </w:r>
          </w:p>
        </w:tc>
        <w:tc>
          <w:tcPr>
            <w:tcW w:w="840" w:type="dxa"/>
          </w:tcPr>
          <w:p>
            <w:pPr>
              <w:pStyle w:val="TableCell"/>
              <w:keepNext/>
              <w:ind w:firstLine="0"/>
              <w:jc w:val="left"/>
            </w:pPr>
            <w:r>
              <w:t xml:space="preserve">1.00</w:t>
            </w:r>
          </w:p>
        </w:tc>
      </w:tr>
      <w:tr>
        <w:trPr>
          <w:cantSplit/>
        </w:trPr>
        <w:tc>
          <w:tcPr>
            <w:tcW w:w="2400" w:type="dxa"/>
          </w:tcPr>
          <w:p>
            <w:pPr>
              <w:pStyle w:val="TableCell"/>
              <w:keepNext/>
              <w:ind w:firstLine="0"/>
              <w:jc w:val="left"/>
            </w:pPr>
            <w:r>
              <w:t xml:space="preserve">microservices-book</w:t>
            </w:r>
          </w:p>
        </w:tc>
        <w:tc>
          <w:tcPr>
            <w:tcW w:w="900" w:type="dxa"/>
          </w:tcPr>
          <w:p>
            <w:pPr>
              <w:pStyle w:val="TableCell"/>
              <w:keepNext/>
              <w:ind w:firstLine="0"/>
              <w:jc w:val="left"/>
            </w:pPr>
            <w:r>
              <w:t xml:space="preserve">5</w:t>
            </w:r>
          </w:p>
        </w:tc>
        <w:tc>
          <w:tcPr>
            <w:tcW w:w="900" w:type="dxa"/>
          </w:tcPr>
          <w:p>
            <w:pPr>
              <w:pStyle w:val="TableCell"/>
              <w:keepNext/>
              <w:ind w:firstLine="0"/>
              <w:jc w:val="left"/>
            </w:pPr>
            <w:r>
              <w:t xml:space="preserve">5</w:t>
            </w:r>
          </w:p>
        </w:tc>
        <w:tc>
          <w:tcPr>
            <w:tcW w:w="840" w:type="dxa"/>
          </w:tcPr>
          <w:p>
            <w:pPr>
              <w:pStyle w:val="TableCell"/>
              <w:keepNext/>
              <w:ind w:firstLine="0"/>
              <w:jc w:val="left"/>
            </w:pPr>
            <w:r>
              <w:t xml:space="preserve">1.00</w:t>
            </w:r>
          </w:p>
        </w:tc>
      </w:tr>
      <w:tr>
        <w:trPr>
          <w:cantSplit/>
        </w:trPr>
        <w:tc>
          <w:tcPr>
            <w:tcW w:w="2400" w:type="dxa"/>
          </w:tcPr>
          <w:p>
            <w:pPr>
              <w:pStyle w:val="TableCell"/>
              <w:keepNext/>
              <w:ind w:firstLine="0"/>
              <w:jc w:val="left"/>
            </w:pPr>
            <w:r>
              <w:t xml:space="preserve">tap-and-eat</w:t>
            </w:r>
          </w:p>
        </w:tc>
        <w:tc>
          <w:tcPr>
            <w:tcW w:w="900" w:type="dxa"/>
          </w:tcPr>
          <w:p>
            <w:pPr>
              <w:pStyle w:val="TableCell"/>
              <w:keepNext/>
              <w:ind w:firstLine="0"/>
              <w:jc w:val="left"/>
            </w:pPr>
            <w:r>
              <w:t xml:space="preserve">4</w:t>
            </w:r>
          </w:p>
        </w:tc>
        <w:tc>
          <w:tcPr>
            <w:tcW w:w="900" w:type="dxa"/>
          </w:tcPr>
          <w:p>
            <w:pPr>
              <w:pStyle w:val="TableCell"/>
              <w:keepNext/>
              <w:ind w:firstLine="0"/>
              <w:jc w:val="left"/>
            </w:pPr>
            <w:r>
              <w:t xml:space="preserve">4</w:t>
            </w:r>
          </w:p>
        </w:tc>
        <w:tc>
          <w:tcPr>
            <w:tcW w:w="840" w:type="dxa"/>
          </w:tcPr>
          <w:p>
            <w:pPr>
              <w:pStyle w:val="TableCell"/>
              <w:keepNext/>
              <w:ind w:firstLine="0"/>
              <w:jc w:val="left"/>
            </w:pPr>
            <w:r>
              <w:t xml:space="preserve">1.00</w:t>
            </w:r>
          </w:p>
        </w:tc>
      </w:tr>
      <w:tr>
        <w:trPr>
          <w:cantSplit/>
        </w:trPr>
        <w:tc>
          <w:tcPr>
            <w:tcW w:w="2400" w:type="dxa"/>
          </w:tcPr>
          <w:p>
            <w:pPr>
              <w:pStyle w:val="TableCell"/>
              <w:keepNext/>
              <w:ind w:firstLine="0"/>
              <w:jc w:val="left"/>
            </w:pPr>
            <w:r>
              <w:t xml:space="preserve">spring-cloud-netflix</w:t>
            </w:r>
          </w:p>
        </w:tc>
        <w:tc>
          <w:tcPr>
            <w:tcW w:w="900" w:type="dxa"/>
          </w:tcPr>
          <w:p>
            <w:pPr>
              <w:pStyle w:val="TableCell"/>
              <w:keepNext/>
              <w:ind w:firstLine="0"/>
              <w:jc w:val="left"/>
            </w:pPr>
            <w:r>
              <w:t xml:space="preserve">26</w:t>
            </w:r>
          </w:p>
        </w:tc>
        <w:tc>
          <w:tcPr>
            <w:tcW w:w="900" w:type="dxa"/>
          </w:tcPr>
          <w:p>
            <w:pPr>
              <w:pStyle w:val="TableCell"/>
              <w:keepNext/>
              <w:ind w:firstLine="0"/>
              <w:jc w:val="left"/>
            </w:pPr>
            <w:r>
              <w:t xml:space="preserve">26</w:t>
            </w:r>
          </w:p>
        </w:tc>
        <w:tc>
          <w:tcPr>
            <w:tcW w:w="840" w:type="dxa"/>
          </w:tcPr>
          <w:p>
            <w:pPr>
              <w:pStyle w:val="TableCell"/>
              <w:keepNext/>
              <w:ind w:firstLine="0"/>
              <w:jc w:val="left"/>
            </w:pPr>
            <w:r>
              <w:t xml:space="preserve">1.00</w:t>
            </w:r>
          </w:p>
        </w:tc>
      </w:tr>
      <w:tr>
        <w:trPr>
          <w:cantSplit/>
        </w:trPr>
        <w:tc>
          <w:tcPr>
            <w:tcW w:w="2400" w:type="dxa"/>
          </w:tcPr>
          <w:p>
            <w:pPr>
              <w:pStyle w:val="TableCell"/>
              <w:keepNext/>
              <w:ind w:firstLine="0"/>
              <w:jc w:val="left"/>
            </w:pPr>
            <w:r>
              <w:t xml:space="preserve">spring-cloud-microservice</w:t>
            </w:r>
          </w:p>
        </w:tc>
        <w:tc>
          <w:tcPr>
            <w:tcW w:w="900" w:type="dxa"/>
          </w:tcPr>
          <w:p>
            <w:pPr>
              <w:pStyle w:val="TableCell"/>
              <w:keepNext/>
              <w:ind w:firstLine="0"/>
              <w:jc w:val="left"/>
            </w:pPr>
            <w:r>
              <w:t xml:space="preserve">26</w:t>
            </w:r>
          </w:p>
        </w:tc>
        <w:tc>
          <w:tcPr>
            <w:tcW w:w="900" w:type="dxa"/>
          </w:tcPr>
          <w:p>
            <w:pPr>
              <w:pStyle w:val="TableCell"/>
              <w:keepNext/>
              <w:ind w:firstLine="0"/>
              <w:jc w:val="left"/>
            </w:pPr>
            <w:r>
              <w:t xml:space="preserve">24</w:t>
            </w:r>
          </w:p>
        </w:tc>
        <w:tc>
          <w:tcPr>
            <w:tcW w:w="840" w:type="dxa"/>
          </w:tcPr>
          <w:p>
            <w:pPr>
              <w:pStyle w:val="TableCell"/>
              <w:keepNext/>
              <w:ind w:firstLine="0"/>
              <w:jc w:val="left"/>
            </w:pPr>
            <w:r>
              <w:t xml:space="preserve">0.92</w:t>
            </w:r>
          </w:p>
        </w:tc>
      </w:tr>
      <w:tr>
        <w:trPr>
          <w:cantSplit/>
        </w:trPr>
        <w:tc>
          <w:tcPr>
            <w:tcW w:w="2400" w:type="dxa"/>
          </w:tcPr>
          <w:p>
            <w:pPr>
              <w:pStyle w:val="TableCell"/>
              <w:keepNext/>
              <w:ind w:firstLine="0"/>
              <w:jc w:val="left"/>
            </w:pPr>
            <w:r>
              <w:t xml:space="preserve">LakesideMutual</w:t>
            </w:r>
          </w:p>
        </w:tc>
        <w:tc>
          <w:tcPr>
            <w:tcW w:w="900" w:type="dxa"/>
          </w:tcPr>
          <w:p>
            <w:pPr>
              <w:pStyle w:val="TableCell"/>
              <w:keepNext/>
              <w:ind w:firstLine="0"/>
              <w:jc w:val="left"/>
            </w:pPr>
            <w:r>
              <w:t xml:space="preserve">9</w:t>
            </w:r>
          </w:p>
        </w:tc>
        <w:tc>
          <w:tcPr>
            <w:tcW w:w="900" w:type="dxa"/>
          </w:tcPr>
          <w:p>
            <w:pPr>
              <w:pStyle w:val="TableCell"/>
              <w:keepNext/>
              <w:ind w:firstLine="0"/>
              <w:jc w:val="left"/>
            </w:pPr>
            <w:r>
              <w:t xml:space="preserve">9</w:t>
            </w:r>
          </w:p>
        </w:tc>
        <w:tc>
          <w:tcPr>
            <w:tcW w:w="840" w:type="dxa"/>
          </w:tcPr>
          <w:p>
            <w:pPr>
              <w:pStyle w:val="TableCell"/>
              <w:keepNext/>
              <w:ind w:firstLine="0"/>
              <w:jc w:val="left"/>
            </w:pPr>
            <w:r>
              <w:t xml:space="preserve">1.00</w:t>
            </w:r>
          </w:p>
        </w:tc>
      </w:tr>
      <w:tr>
        <w:trPr>
          <w:cantSplit/>
        </w:trPr>
        <w:tc>
          <w:tcPr>
            <w:tcW w:w="2400" w:type="dxa"/>
          </w:tcPr>
          <w:p>
            <w:pPr>
              <w:pStyle w:val="TableCell"/>
              <w:keepNext/>
              <w:ind w:firstLine="0"/>
              <w:jc w:val="left"/>
            </w:pPr>
            <w:r>
              <w:t xml:space="preserve">robot-shop</w:t>
            </w:r>
          </w:p>
        </w:tc>
        <w:tc>
          <w:tcPr>
            <w:tcW w:w="900" w:type="dxa"/>
          </w:tcPr>
          <w:p>
            <w:pPr>
              <w:pStyle w:val="TableCell"/>
              <w:keepNext/>
              <w:ind w:firstLine="0"/>
              <w:jc w:val="left"/>
            </w:pPr>
            <w:r>
              <w:t xml:space="preserve">12</w:t>
            </w:r>
          </w:p>
        </w:tc>
        <w:tc>
          <w:tcPr>
            <w:tcW w:w="900" w:type="dxa"/>
          </w:tcPr>
          <w:p>
            <w:pPr>
              <w:pStyle w:val="TableCell"/>
              <w:keepNext/>
              <w:ind w:firstLine="0"/>
              <w:jc w:val="left"/>
            </w:pPr>
            <w:r>
              <w:t xml:space="preserve">12</w:t>
            </w:r>
          </w:p>
        </w:tc>
        <w:tc>
          <w:tcPr>
            <w:tcW w:w="840" w:type="dxa"/>
          </w:tcPr>
          <w:p>
            <w:pPr>
              <w:pStyle w:val="TableCell"/>
              <w:keepNext/>
              <w:ind w:firstLine="0"/>
              <w:jc w:val="left"/>
            </w:pPr>
            <w:r>
              <w:t xml:space="preserve">1.00</w:t>
            </w:r>
          </w:p>
        </w:tc>
      </w:tr>
      <w:tr>
        <w:trPr>
          <w:cantSplit/>
        </w:trPr>
        <w:tc>
          <w:tcPr>
            <w:tcW w:w="2400" w:type="dxa"/>
          </w:tcPr>
          <w:p>
            <w:pPr>
              <w:pStyle w:val="TableCell"/>
              <w:ind w:firstLine="0"/>
              <w:jc w:val="left"/>
            </w:pPr>
            <w:r>
              <w:t xml:space="preserve">合計</w:t>
            </w:r>
          </w:p>
        </w:tc>
        <w:tc>
          <w:tcPr>
            <w:tcW w:w="900" w:type="dxa"/>
          </w:tcPr>
          <w:p>
            <w:pPr>
              <w:pStyle w:val="TableCell"/>
              <w:ind w:firstLine="0"/>
              <w:jc w:val="left"/>
            </w:pPr>
            <w:r>
              <w:t xml:space="preserve">95</w:t>
            </w:r>
          </w:p>
        </w:tc>
        <w:tc>
          <w:tcPr>
            <w:tcW w:w="900" w:type="dxa"/>
          </w:tcPr>
          <w:p>
            <w:pPr>
              <w:pStyle w:val="TableCell"/>
              <w:ind w:firstLine="0"/>
              <w:jc w:val="left"/>
            </w:pPr>
            <w:r>
              <w:t xml:space="preserve">93</w:t>
            </w:r>
          </w:p>
        </w:tc>
        <w:tc>
          <w:tcPr>
            <w:tcW w:w="840" w:type="dxa"/>
          </w:tcPr>
          <w:p>
            <w:pPr>
              <w:pStyle w:val="TableCell"/>
              <w:ind w:firstLine="0"/>
              <w:jc w:val="left"/>
            </w:pPr>
            <w:r>
              <w:t xml:space="preserve">0.98</w:t>
            </w:r>
          </w:p>
        </w:tc>
      </w:tr>
    </w:tbl>
    <w:p>
      <w:pPr>
        <w:pStyle w:val="BodyText"/>
        <w:spacing w:after="80"/>
      </w:pPr>
    </w:p>
    <w:p>
      <w:pPr>
        <w:pStyle w:val="BodyText"/>
      </w:pPr>
      <w:r>
        <w:t xml:space="preserve">遺漏的 2 條都在 spring-cloud-microservice：Compose 的 hystrix 服務（Hystrix dashboard）名稱命中函式庫名單，整個節點在正規化時被刪除，這 2 條在 RQ3 由詢問操作者補回。（在先前以 2021-02-26 對齊的版本中，spring-petclinic 另漏 2 條，原因是 hystrix-dashboard 模組在資料集擷取後被移除；改以正確的日期對齊後這 2 條回來了。）工具另外畫了 32 條資料集沒有的邊（外部主機、程式碼層的 Feign 呼叫、反向代理路由、服務註冊與管理元件）；由於無法以第三方來源判定對錯，這些只列出、不計分。</w:t>
      </w:r>
    </w:p>
    <w:p>
      <w:pPr>
        <w:pStyle w:val="BodyText"/>
      </w:pPr>
      <w:r>
        <w:rPr>
          <w:b/>
          <w:bCs/>
        </w:rPr>
        <w:t xml:space="preserve">參考邊集合二：作者整理、逐條可複驗。</w:t>
      </w:r>
      <w:r>
        <w:t xml:space="preserve">對表 VII 的 7 個系統，作者整理一份參考邊集合（reference edge set），每條邊附第三方可以打開的檔案路徑，並附行號或設定鍵，並以一個自動測試檢查所有檔案出處都存在且內容相符（114 筆；2026-10-26 對各 repo 的固定 commit 重跑）；查核中發現原集合有 2 條邊沒有證據（見錯誤分析），已刪除。另由一個未接觸參考邊集合與工具輸出的 LLM 獨立標註，作為第二位標註者；逐條判定 40 條「只有標註者有」的邊後，沒有一條是作者漏標（17 條為命名差異、5 條為部署變體、18 條為標註者錯誤，其中 3 條方向相反）。結果見表 VII。</w:t>
      </w:r>
    </w:p>
    <w:p>
      <w:pPr>
        <w:pStyle w:val="TableCaption"/>
      </w:pPr>
      <w:r>
        <w:t xml:space="preserve">表 VII　對作者參考邊集合的 precision 與 recall</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450"/>
        <w:gridCol w:w="440"/>
        <w:gridCol w:w="440"/>
        <w:gridCol w:w="440"/>
        <w:gridCol w:w="440"/>
        <w:gridCol w:w="420"/>
        <w:gridCol w:w="420"/>
        <w:gridCol w:w="495"/>
        <w:gridCol w:w="495"/>
      </w:tblGrid>
      <w:tr>
        <w:trPr>
          <w:tblHeader/>
          <w:cantSplit/>
        </w:trPr>
        <w:tc>
          <w:tcPr>
            <w:tcW w:w="1450" w:type="dxa"/>
            <w:tcBorders>
              <w:bottom w:val="single" w:sz="4" w:space="0" w:color="000000"/>
            </w:tcBorders>
          </w:tcPr>
          <w:p>
            <w:pPr>
              <w:pStyle w:val="TableCell"/>
              <w:keepNext/>
              <w:ind w:firstLine="0"/>
              <w:jc w:val="left"/>
            </w:pPr>
            <w:r>
              <w:rPr>
                <w:b/>
                <w:bCs/>
              </w:rPr>
              <w:t xml:space="preserve">系統</w:t>
            </w:r>
          </w:p>
        </w:tc>
        <w:tc>
          <w:tcPr>
            <w:tcW w:w="440" w:type="dxa"/>
            <w:tcBorders>
              <w:bottom w:val="single" w:sz="4" w:space="0" w:color="000000"/>
            </w:tcBorders>
          </w:tcPr>
          <w:p>
            <w:pPr>
              <w:pStyle w:val="TableCell"/>
              <w:keepNext/>
              <w:ind w:firstLine="0"/>
              <w:jc w:val="left"/>
            </w:pPr>
            <w:r>
              <w:rPr>
                <w:b/>
                <w:bCs/>
              </w:rPr>
              <w:t xml:space="preserve">畫出</w:t>
            </w:r>
          </w:p>
        </w:tc>
        <w:tc>
          <w:tcPr>
            <w:tcW w:w="440" w:type="dxa"/>
            <w:tcBorders>
              <w:bottom w:val="single" w:sz="4" w:space="0" w:color="000000"/>
            </w:tcBorders>
          </w:tcPr>
          <w:p>
            <w:pPr>
              <w:pStyle w:val="TableCell"/>
              <w:keepNext/>
              <w:ind w:firstLine="0"/>
              <w:jc w:val="left"/>
            </w:pPr>
            <w:r>
              <w:rPr>
                <w:b/>
                <w:bCs/>
              </w:rPr>
              <w:t xml:space="preserve">正確</w:t>
            </w:r>
          </w:p>
        </w:tc>
        <w:tc>
          <w:tcPr>
            <w:tcW w:w="440" w:type="dxa"/>
            <w:tcBorders>
              <w:bottom w:val="single" w:sz="4" w:space="0" w:color="000000"/>
            </w:tcBorders>
          </w:tcPr>
          <w:p>
            <w:pPr>
              <w:pStyle w:val="TableCell"/>
              <w:keepNext/>
              <w:ind w:firstLine="0"/>
              <w:jc w:val="left"/>
            </w:pPr>
            <w:r>
              <w:rPr>
                <w:b/>
                <w:bCs/>
              </w:rPr>
              <w:t xml:space="preserve">錯誤</w:t>
            </w:r>
          </w:p>
        </w:tc>
        <w:tc>
          <w:tcPr>
            <w:tcW w:w="440" w:type="dxa"/>
            <w:tcBorders>
              <w:bottom w:val="single" w:sz="4" w:space="0" w:color="000000"/>
            </w:tcBorders>
          </w:tcPr>
          <w:p>
            <w:pPr>
              <w:pStyle w:val="TableCell"/>
              <w:keepNext/>
              <w:ind w:firstLine="0"/>
              <w:jc w:val="left"/>
            </w:pPr>
            <w:r>
              <w:rPr>
                <w:b/>
                <w:bCs/>
              </w:rPr>
              <w:t xml:space="preserve">遺漏</w:t>
            </w:r>
          </w:p>
        </w:tc>
        <w:tc>
          <w:tcPr>
            <w:tcW w:w="420" w:type="dxa"/>
            <w:tcBorders>
              <w:bottom w:val="single" w:sz="4" w:space="0" w:color="000000"/>
            </w:tcBorders>
          </w:tcPr>
          <w:p>
            <w:pPr>
              <w:pStyle w:val="TableCell"/>
              <w:keepNext/>
              <w:ind w:firstLine="0"/>
              <w:jc w:val="left"/>
            </w:pPr>
            <w:r>
              <w:rPr>
                <w:b/>
                <w:bCs/>
              </w:rPr>
              <w:t xml:space="preserve">P</w:t>
            </w:r>
          </w:p>
        </w:tc>
        <w:tc>
          <w:tcPr>
            <w:tcW w:w="420" w:type="dxa"/>
            <w:tcBorders>
              <w:bottom w:val="single" w:sz="4" w:space="0" w:color="000000"/>
            </w:tcBorders>
          </w:tcPr>
          <w:p>
            <w:pPr>
              <w:pStyle w:val="TableCell"/>
              <w:keepNext/>
              <w:ind w:firstLine="0"/>
              <w:jc w:val="left"/>
            </w:pPr>
            <w:r>
              <w:rPr>
                <w:b/>
                <w:bCs/>
              </w:rPr>
              <w:t xml:space="preserve">R</w:t>
            </w:r>
          </w:p>
        </w:tc>
        <w:tc>
          <w:tcPr>
            <w:tcW w:w="495" w:type="dxa"/>
            <w:tcBorders>
              <w:bottom w:val="single" w:sz="4" w:space="0" w:color="000000"/>
            </w:tcBorders>
          </w:tcPr>
          <w:p>
            <w:pPr>
              <w:pStyle w:val="TableCell"/>
              <w:keepNext/>
              <w:ind w:firstLine="0"/>
              <w:jc w:val="left"/>
            </w:pPr>
            <w:r>
              <w:rPr>
                <w:b/>
                <w:bCs/>
              </w:rPr>
              <w:t xml:space="preserve">修正後 P</w:t>
            </w:r>
          </w:p>
        </w:tc>
        <w:tc>
          <w:tcPr>
            <w:tcW w:w="495" w:type="dxa"/>
            <w:tcBorders>
              <w:bottom w:val="single" w:sz="4" w:space="0" w:color="000000"/>
            </w:tcBorders>
          </w:tcPr>
          <w:p>
            <w:pPr>
              <w:pStyle w:val="TableCell"/>
              <w:keepNext/>
              <w:ind w:firstLine="0"/>
              <w:jc w:val="left"/>
            </w:pPr>
            <w:r>
              <w:rPr>
                <w:b/>
                <w:bCs/>
              </w:rPr>
              <w:t xml:space="preserve">修正後 R</w:t>
            </w:r>
          </w:p>
        </w:tc>
      </w:tr>
      <w:tr>
        <w:trPr>
          <w:cantSplit/>
        </w:trPr>
        <w:tc>
          <w:tcPr>
            <w:tcW w:w="1450" w:type="dxa"/>
          </w:tcPr>
          <w:p>
            <w:pPr>
              <w:pStyle w:val="TableCell"/>
              <w:keepNext/>
              <w:ind w:firstLine="0"/>
              <w:jc w:val="left"/>
            </w:pPr>
            <w:r>
              <w:t xml:space="preserve">Bank of Anthos</w:t>
            </w:r>
          </w:p>
        </w:tc>
        <w:tc>
          <w:tcPr>
            <w:tcW w:w="440" w:type="dxa"/>
          </w:tcPr>
          <w:p>
            <w:pPr>
              <w:pStyle w:val="TableCell"/>
              <w:keepNext/>
              <w:ind w:firstLine="0"/>
              <w:jc w:val="left"/>
            </w:pPr>
            <w:r>
              <w:t xml:space="preserve">12</w:t>
            </w:r>
          </w:p>
        </w:tc>
        <w:tc>
          <w:tcPr>
            <w:tcW w:w="440" w:type="dxa"/>
          </w:tcPr>
          <w:p>
            <w:pPr>
              <w:pStyle w:val="TableCell"/>
              <w:keepNext/>
              <w:ind w:firstLine="0"/>
              <w:jc w:val="left"/>
            </w:pPr>
            <w:r>
              <w:t xml:space="preserve">12</w:t>
            </w:r>
          </w:p>
        </w:tc>
        <w:tc>
          <w:tcPr>
            <w:tcW w:w="440" w:type="dxa"/>
          </w:tcPr>
          <w:p>
            <w:pPr>
              <w:pStyle w:val="TableCell"/>
              <w:keepNext/>
              <w:ind w:firstLine="0"/>
              <w:jc w:val="left"/>
            </w:pPr>
            <w:r>
              <w:t xml:space="preserve">0</w:t>
            </w:r>
          </w:p>
        </w:tc>
        <w:tc>
          <w:tcPr>
            <w:tcW w:w="440" w:type="dxa"/>
          </w:tcPr>
          <w:p>
            <w:pPr>
              <w:pStyle w:val="TableCell"/>
              <w:keepNext/>
              <w:ind w:firstLine="0"/>
              <w:jc w:val="left"/>
            </w:pPr>
            <w:r>
              <w:t xml:space="preserve">0</w:t>
            </w:r>
          </w:p>
        </w:tc>
        <w:tc>
          <w:tcPr>
            <w:tcW w:w="420" w:type="dxa"/>
          </w:tcPr>
          <w:p>
            <w:pPr>
              <w:pStyle w:val="TableCell"/>
              <w:keepNext/>
              <w:ind w:firstLine="0"/>
              <w:jc w:val="left"/>
            </w:pPr>
            <w:r>
              <w:t xml:space="preserve">1.00</w:t>
            </w:r>
          </w:p>
        </w:tc>
        <w:tc>
          <w:tcPr>
            <w:tcW w:w="420"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r>
      <w:tr>
        <w:trPr>
          <w:cantSplit/>
        </w:trPr>
        <w:tc>
          <w:tcPr>
            <w:tcW w:w="1450" w:type="dxa"/>
          </w:tcPr>
          <w:p>
            <w:pPr>
              <w:pStyle w:val="TableCell"/>
              <w:keepNext/>
              <w:ind w:firstLine="0"/>
              <w:jc w:val="left"/>
            </w:pPr>
            <w:r>
              <w:t xml:space="preserve">ecommerce</w:t>
            </w:r>
          </w:p>
        </w:tc>
        <w:tc>
          <w:tcPr>
            <w:tcW w:w="440" w:type="dxa"/>
          </w:tcPr>
          <w:p>
            <w:pPr>
              <w:pStyle w:val="TableCell"/>
              <w:keepNext/>
              <w:ind w:firstLine="0"/>
              <w:jc w:val="left"/>
            </w:pPr>
            <w:r>
              <w:t xml:space="preserve">20</w:t>
            </w:r>
          </w:p>
        </w:tc>
        <w:tc>
          <w:tcPr>
            <w:tcW w:w="440" w:type="dxa"/>
          </w:tcPr>
          <w:p>
            <w:pPr>
              <w:pStyle w:val="TableCell"/>
              <w:keepNext/>
              <w:ind w:firstLine="0"/>
              <w:jc w:val="left"/>
            </w:pPr>
            <w:r>
              <w:t xml:space="preserve">20</w:t>
            </w:r>
          </w:p>
        </w:tc>
        <w:tc>
          <w:tcPr>
            <w:tcW w:w="440" w:type="dxa"/>
          </w:tcPr>
          <w:p>
            <w:pPr>
              <w:pStyle w:val="TableCell"/>
              <w:keepNext/>
              <w:ind w:firstLine="0"/>
              <w:jc w:val="left"/>
            </w:pPr>
            <w:r>
              <w:t xml:space="preserve">0</w:t>
            </w:r>
          </w:p>
        </w:tc>
        <w:tc>
          <w:tcPr>
            <w:tcW w:w="440" w:type="dxa"/>
          </w:tcPr>
          <w:p>
            <w:pPr>
              <w:pStyle w:val="TableCell"/>
              <w:keepNext/>
              <w:ind w:firstLine="0"/>
              <w:jc w:val="left"/>
            </w:pPr>
            <w:r>
              <w:t xml:space="preserve">17</w:t>
            </w:r>
          </w:p>
        </w:tc>
        <w:tc>
          <w:tcPr>
            <w:tcW w:w="420" w:type="dxa"/>
          </w:tcPr>
          <w:p>
            <w:pPr>
              <w:pStyle w:val="TableCell"/>
              <w:keepNext/>
              <w:ind w:firstLine="0"/>
              <w:jc w:val="left"/>
            </w:pPr>
            <w:r>
              <w:t xml:space="preserve">1.00</w:t>
            </w:r>
          </w:p>
        </w:tc>
        <w:tc>
          <w:tcPr>
            <w:tcW w:w="420" w:type="dxa"/>
          </w:tcPr>
          <w:p>
            <w:pPr>
              <w:pStyle w:val="TableCell"/>
              <w:keepNext/>
              <w:ind w:firstLine="0"/>
              <w:jc w:val="left"/>
            </w:pPr>
            <w:r>
              <w:t xml:space="preserve">0.54</w:t>
            </w:r>
          </w:p>
        </w:tc>
        <w:tc>
          <w:tcPr>
            <w:tcW w:w="495"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r>
      <w:tr>
        <w:trPr>
          <w:cantSplit/>
        </w:trPr>
        <w:tc>
          <w:tcPr>
            <w:tcW w:w="1450" w:type="dxa"/>
          </w:tcPr>
          <w:p>
            <w:pPr>
              <w:pStyle w:val="TableCell"/>
              <w:keepNext/>
              <w:ind w:firstLine="0"/>
              <w:jc w:val="left"/>
            </w:pPr>
            <w:r>
              <w:t xml:space="preserve">ewolff-k8s</w:t>
            </w:r>
          </w:p>
        </w:tc>
        <w:tc>
          <w:tcPr>
            <w:tcW w:w="440" w:type="dxa"/>
          </w:tcPr>
          <w:p>
            <w:pPr>
              <w:pStyle w:val="TableCell"/>
              <w:keepNext/>
              <w:ind w:firstLine="0"/>
              <w:jc w:val="left"/>
            </w:pPr>
            <w:r>
              <w:t xml:space="preserve">5</w:t>
            </w:r>
          </w:p>
        </w:tc>
        <w:tc>
          <w:tcPr>
            <w:tcW w:w="440" w:type="dxa"/>
          </w:tcPr>
          <w:p>
            <w:pPr>
              <w:pStyle w:val="TableCell"/>
              <w:keepNext/>
              <w:ind w:firstLine="0"/>
              <w:jc w:val="left"/>
            </w:pPr>
            <w:r>
              <w:t xml:space="preserve">5</w:t>
            </w:r>
          </w:p>
        </w:tc>
        <w:tc>
          <w:tcPr>
            <w:tcW w:w="440" w:type="dxa"/>
          </w:tcPr>
          <w:p>
            <w:pPr>
              <w:pStyle w:val="TableCell"/>
              <w:keepNext/>
              <w:ind w:firstLine="0"/>
              <w:jc w:val="left"/>
            </w:pPr>
            <w:r>
              <w:t xml:space="preserve">0</w:t>
            </w:r>
          </w:p>
        </w:tc>
        <w:tc>
          <w:tcPr>
            <w:tcW w:w="440" w:type="dxa"/>
          </w:tcPr>
          <w:p>
            <w:pPr>
              <w:pStyle w:val="TableCell"/>
              <w:keepNext/>
              <w:ind w:firstLine="0"/>
              <w:jc w:val="left"/>
            </w:pPr>
            <w:r>
              <w:t xml:space="preserve">0</w:t>
            </w:r>
          </w:p>
        </w:tc>
        <w:tc>
          <w:tcPr>
            <w:tcW w:w="420" w:type="dxa"/>
          </w:tcPr>
          <w:p>
            <w:pPr>
              <w:pStyle w:val="TableCell"/>
              <w:keepNext/>
              <w:ind w:firstLine="0"/>
              <w:jc w:val="left"/>
            </w:pPr>
            <w:r>
              <w:t xml:space="preserve">1.00</w:t>
            </w:r>
          </w:p>
        </w:tc>
        <w:tc>
          <w:tcPr>
            <w:tcW w:w="420"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r>
      <w:tr>
        <w:trPr>
          <w:cantSplit/>
        </w:trPr>
        <w:tc>
          <w:tcPr>
            <w:tcW w:w="1450" w:type="dxa"/>
          </w:tcPr>
          <w:p>
            <w:pPr>
              <w:pStyle w:val="TableCell"/>
              <w:keepNext/>
              <w:ind w:firstLine="0"/>
              <w:jc w:val="left"/>
            </w:pPr>
            <w:r>
              <w:t xml:space="preserve">Online Boutique</w:t>
            </w:r>
          </w:p>
        </w:tc>
        <w:tc>
          <w:tcPr>
            <w:tcW w:w="440" w:type="dxa"/>
          </w:tcPr>
          <w:p>
            <w:pPr>
              <w:pStyle w:val="TableCell"/>
              <w:keepNext/>
              <w:ind w:firstLine="0"/>
              <w:jc w:val="left"/>
            </w:pPr>
            <w:r>
              <w:t xml:space="preserve">17</w:t>
            </w:r>
          </w:p>
        </w:tc>
        <w:tc>
          <w:tcPr>
            <w:tcW w:w="440" w:type="dxa"/>
          </w:tcPr>
          <w:p>
            <w:pPr>
              <w:pStyle w:val="TableCell"/>
              <w:keepNext/>
              <w:ind w:firstLine="0"/>
              <w:jc w:val="left"/>
            </w:pPr>
            <w:r>
              <w:t xml:space="preserve">17</w:t>
            </w:r>
          </w:p>
        </w:tc>
        <w:tc>
          <w:tcPr>
            <w:tcW w:w="440" w:type="dxa"/>
          </w:tcPr>
          <w:p>
            <w:pPr>
              <w:pStyle w:val="TableCell"/>
              <w:keepNext/>
              <w:ind w:firstLine="0"/>
              <w:jc w:val="left"/>
            </w:pPr>
            <w:r>
              <w:t xml:space="preserve">0</w:t>
            </w:r>
          </w:p>
        </w:tc>
        <w:tc>
          <w:tcPr>
            <w:tcW w:w="440" w:type="dxa"/>
          </w:tcPr>
          <w:p>
            <w:pPr>
              <w:pStyle w:val="TableCell"/>
              <w:keepNext/>
              <w:ind w:firstLine="0"/>
              <w:jc w:val="left"/>
            </w:pPr>
            <w:r>
              <w:t xml:space="preserve">0</w:t>
            </w:r>
          </w:p>
        </w:tc>
        <w:tc>
          <w:tcPr>
            <w:tcW w:w="420" w:type="dxa"/>
          </w:tcPr>
          <w:p>
            <w:pPr>
              <w:pStyle w:val="TableCell"/>
              <w:keepNext/>
              <w:ind w:firstLine="0"/>
              <w:jc w:val="left"/>
            </w:pPr>
            <w:r>
              <w:t xml:space="preserve">1.00</w:t>
            </w:r>
          </w:p>
        </w:tc>
        <w:tc>
          <w:tcPr>
            <w:tcW w:w="420"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r>
      <w:tr>
        <w:trPr>
          <w:cantSplit/>
        </w:trPr>
        <w:tc>
          <w:tcPr>
            <w:tcW w:w="1450" w:type="dxa"/>
          </w:tcPr>
          <w:p>
            <w:pPr>
              <w:pStyle w:val="TableCell"/>
              <w:keepNext/>
              <w:ind w:firstLine="0"/>
              <w:jc w:val="left"/>
            </w:pPr>
            <w:r>
              <w:t xml:space="preserve">piggymetrics</w:t>
            </w:r>
          </w:p>
        </w:tc>
        <w:tc>
          <w:tcPr>
            <w:tcW w:w="440" w:type="dxa"/>
          </w:tcPr>
          <w:p>
            <w:pPr>
              <w:pStyle w:val="TableCell"/>
              <w:keepNext/>
              <w:ind w:firstLine="0"/>
              <w:jc w:val="left"/>
            </w:pPr>
            <w:r>
              <w:t xml:space="preserve">41</w:t>
            </w:r>
          </w:p>
        </w:tc>
        <w:tc>
          <w:tcPr>
            <w:tcW w:w="440" w:type="dxa"/>
          </w:tcPr>
          <w:p>
            <w:pPr>
              <w:pStyle w:val="TableCell"/>
              <w:keepNext/>
              <w:ind w:firstLine="0"/>
              <w:jc w:val="left"/>
            </w:pPr>
            <w:r>
              <w:t xml:space="preserve">33</w:t>
            </w:r>
          </w:p>
        </w:tc>
        <w:tc>
          <w:tcPr>
            <w:tcW w:w="440" w:type="dxa"/>
          </w:tcPr>
          <w:p>
            <w:pPr>
              <w:pStyle w:val="TableCell"/>
              <w:keepNext/>
              <w:ind w:firstLine="0"/>
              <w:jc w:val="left"/>
            </w:pPr>
            <w:r>
              <w:t xml:space="preserve">8</w:t>
            </w:r>
          </w:p>
        </w:tc>
        <w:tc>
          <w:tcPr>
            <w:tcW w:w="440" w:type="dxa"/>
          </w:tcPr>
          <w:p>
            <w:pPr>
              <w:pStyle w:val="TableCell"/>
              <w:keepNext/>
              <w:ind w:firstLine="0"/>
              <w:jc w:val="left"/>
            </w:pPr>
            <w:r>
              <w:t xml:space="preserve">0</w:t>
            </w:r>
          </w:p>
        </w:tc>
        <w:tc>
          <w:tcPr>
            <w:tcW w:w="420" w:type="dxa"/>
          </w:tcPr>
          <w:p>
            <w:pPr>
              <w:pStyle w:val="TableCell"/>
              <w:keepNext/>
              <w:ind w:firstLine="0"/>
              <w:jc w:val="left"/>
            </w:pPr>
            <w:r>
              <w:t xml:space="preserve">0.80</w:t>
            </w:r>
          </w:p>
        </w:tc>
        <w:tc>
          <w:tcPr>
            <w:tcW w:w="420"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c>
          <w:tcPr>
            <w:tcW w:w="495" w:type="dxa"/>
          </w:tcPr>
          <w:p>
            <w:pPr>
              <w:pStyle w:val="TableCell"/>
              <w:keepNext/>
              <w:ind w:firstLine="0"/>
              <w:jc w:val="left"/>
            </w:pPr>
            <w:r>
              <w:t xml:space="preserve">1.00</w:t>
            </w:r>
          </w:p>
        </w:tc>
      </w:tr>
      <w:tr>
        <w:trPr>
          <w:cantSplit/>
        </w:trPr>
        <w:tc>
          <w:tcPr>
            <w:tcW w:w="1450" w:type="dxa"/>
          </w:tcPr>
          <w:p>
            <w:pPr>
              <w:pStyle w:val="TableCell"/>
              <w:keepNext/>
              <w:ind w:firstLine="0"/>
              <w:jc w:val="left"/>
            </w:pPr>
            <w:r>
              <w:t xml:space="preserve">robot-shop</w:t>
            </w:r>
          </w:p>
        </w:tc>
        <w:tc>
          <w:tcPr>
            <w:tcW w:w="440" w:type="dxa"/>
          </w:tcPr>
          <w:p>
            <w:pPr>
              <w:pStyle w:val="TableCell"/>
              <w:keepNext/>
              <w:ind w:firstLine="0"/>
              <w:jc w:val="left"/>
            </w:pPr>
            <w:r>
              <w:t xml:space="preserve">18</w:t>
            </w:r>
          </w:p>
        </w:tc>
        <w:tc>
          <w:tcPr>
            <w:tcW w:w="440" w:type="dxa"/>
          </w:tcPr>
          <w:p>
            <w:pPr>
              <w:pStyle w:val="TableCell"/>
              <w:keepNext/>
              <w:ind w:firstLine="0"/>
              <w:jc w:val="left"/>
            </w:pPr>
            <w:r>
              <w:t xml:space="preserve">18</w:t>
            </w:r>
          </w:p>
        </w:tc>
        <w:tc>
          <w:tcPr>
            <w:tcW w:w="440" w:type="dxa"/>
          </w:tcPr>
          <w:p>
            <w:pPr>
              <w:pStyle w:val="TableCell"/>
              <w:keepNext/>
              <w:ind w:firstLine="0"/>
              <w:jc w:val="left"/>
            </w:pPr>
            <w:r>
              <w:t xml:space="preserve">0</w:t>
            </w:r>
          </w:p>
        </w:tc>
        <w:tc>
          <w:tcPr>
            <w:tcW w:w="440" w:type="dxa"/>
          </w:tcPr>
          <w:p>
            <w:pPr>
              <w:pStyle w:val="TableCell"/>
              <w:keepNext/>
              <w:ind w:firstLine="0"/>
              <w:jc w:val="left"/>
            </w:pPr>
            <w:r>
              <w:t xml:space="preserve">3</w:t>
            </w:r>
          </w:p>
        </w:tc>
        <w:tc>
          <w:tcPr>
            <w:tcW w:w="420" w:type="dxa"/>
          </w:tcPr>
          <w:p>
            <w:pPr>
              <w:pStyle w:val="TableCell"/>
              <w:keepNext/>
              <w:ind w:firstLine="0"/>
              <w:jc w:val="left"/>
            </w:pPr>
            <w:r>
              <w:t xml:space="preserve">1.00</w:t>
            </w:r>
          </w:p>
        </w:tc>
        <w:tc>
          <w:tcPr>
            <w:tcW w:w="420" w:type="dxa"/>
          </w:tcPr>
          <w:p>
            <w:pPr>
              <w:pStyle w:val="TableCell"/>
              <w:keepNext/>
              <w:ind w:firstLine="0"/>
              <w:jc w:val="left"/>
            </w:pPr>
            <w:r>
              <w:t xml:space="preserve">0.86</w:t>
            </w:r>
          </w:p>
        </w:tc>
        <w:tc>
          <w:tcPr>
            <w:tcW w:w="495" w:type="dxa"/>
          </w:tcPr>
          <w:p>
            <w:pPr>
              <w:pStyle w:val="TableCell"/>
              <w:keepNext/>
              <w:ind w:firstLine="0"/>
              <w:jc w:val="left"/>
            </w:pPr>
            <w:r>
              <w:t xml:space="preserve">1.00</w:t>
            </w:r>
          </w:p>
        </w:tc>
        <w:tc>
          <w:tcPr>
            <w:tcW w:w="495" w:type="dxa"/>
          </w:tcPr>
          <w:p>
            <w:pPr>
              <w:pStyle w:val="TableCell"/>
              <w:keepNext/>
              <w:ind w:firstLine="0"/>
              <w:jc w:val="left"/>
            </w:pPr>
            <w:r>
              <w:t xml:space="preserve">0.90</w:t>
            </w:r>
          </w:p>
        </w:tc>
      </w:tr>
      <w:tr>
        <w:trPr>
          <w:cantSplit/>
        </w:trPr>
        <w:tc>
          <w:tcPr>
            <w:tcW w:w="1450" w:type="dxa"/>
          </w:tcPr>
          <w:p>
            <w:pPr>
              <w:pStyle w:val="TableCell"/>
              <w:ind w:firstLine="0"/>
              <w:jc w:val="left"/>
            </w:pPr>
            <w:r>
              <w:t xml:space="preserve">TeaStore</w:t>
            </w:r>
          </w:p>
        </w:tc>
        <w:tc>
          <w:tcPr>
            <w:tcW w:w="440" w:type="dxa"/>
          </w:tcPr>
          <w:p>
            <w:pPr>
              <w:pStyle w:val="TableCell"/>
              <w:ind w:firstLine="0"/>
              <w:jc w:val="left"/>
            </w:pPr>
            <w:r>
              <w:t xml:space="preserve">6</w:t>
            </w:r>
          </w:p>
        </w:tc>
        <w:tc>
          <w:tcPr>
            <w:tcW w:w="440" w:type="dxa"/>
          </w:tcPr>
          <w:p>
            <w:pPr>
              <w:pStyle w:val="TableCell"/>
              <w:ind w:firstLine="0"/>
              <w:jc w:val="left"/>
            </w:pPr>
            <w:r>
              <w:t xml:space="preserve">6</w:t>
            </w:r>
          </w:p>
        </w:tc>
        <w:tc>
          <w:tcPr>
            <w:tcW w:w="440" w:type="dxa"/>
          </w:tcPr>
          <w:p>
            <w:pPr>
              <w:pStyle w:val="TableCell"/>
              <w:ind w:firstLine="0"/>
              <w:jc w:val="left"/>
            </w:pPr>
            <w:r>
              <w:t xml:space="preserve">0</w:t>
            </w:r>
          </w:p>
        </w:tc>
        <w:tc>
          <w:tcPr>
            <w:tcW w:w="440" w:type="dxa"/>
          </w:tcPr>
          <w:p>
            <w:pPr>
              <w:pStyle w:val="TableCell"/>
              <w:ind w:firstLine="0"/>
              <w:jc w:val="left"/>
            </w:pPr>
            <w:r>
              <w:t xml:space="preserve">7</w:t>
            </w:r>
          </w:p>
        </w:tc>
        <w:tc>
          <w:tcPr>
            <w:tcW w:w="420" w:type="dxa"/>
          </w:tcPr>
          <w:p>
            <w:pPr>
              <w:pStyle w:val="TableCell"/>
              <w:ind w:firstLine="0"/>
              <w:jc w:val="left"/>
            </w:pPr>
            <w:r>
              <w:t xml:space="preserve">1.00</w:t>
            </w:r>
          </w:p>
        </w:tc>
        <w:tc>
          <w:tcPr>
            <w:tcW w:w="420" w:type="dxa"/>
          </w:tcPr>
          <w:p>
            <w:pPr>
              <w:pStyle w:val="TableCell"/>
              <w:ind w:firstLine="0"/>
              <w:jc w:val="left"/>
            </w:pPr>
            <w:r>
              <w:t xml:space="preserve">0.46</w:t>
            </w:r>
          </w:p>
        </w:tc>
        <w:tc>
          <w:tcPr>
            <w:tcW w:w="495" w:type="dxa"/>
          </w:tcPr>
          <w:p>
            <w:pPr>
              <w:pStyle w:val="TableCell"/>
              <w:ind w:firstLine="0"/>
              <w:jc w:val="left"/>
            </w:pPr>
            <w:r>
              <w:t xml:space="preserve">1.00</w:t>
            </w:r>
          </w:p>
        </w:tc>
        <w:tc>
          <w:tcPr>
            <w:tcW w:w="495" w:type="dxa"/>
          </w:tcPr>
          <w:p>
            <w:pPr>
              <w:pStyle w:val="TableCell"/>
              <w:ind w:firstLine="0"/>
              <w:jc w:val="left"/>
            </w:pPr>
            <w:r>
              <w:t xml:space="preserve">1.00</w:t>
            </w:r>
          </w:p>
        </w:tc>
      </w:tr>
    </w:tbl>
    <w:p>
      <w:pPr>
        <w:pStyle w:val="BodyText"/>
        <w:spacing w:after="80"/>
      </w:pPr>
    </w:p>
    <w:p>
      <w:pPr>
        <w:pStyle w:val="BodyText"/>
      </w:pPr>
      <w:r>
        <w:t xml:space="preserve">「修正前」是執行 RQ0 時的 14 條規則；「修正後」是依下文錯誤分析補上第 15 至 23 條之後。修正後只有 robot-shop 仍有遺漏（Node 與 PHP 各 1 條）。</w:t>
      </w:r>
    </w:p>
    <w:p>
      <w:pPr>
        <w:pStyle w:val="BodyText"/>
      </w:pPr>
      <w:r>
        <w:rPr>
          <w:b/>
          <w:bCs/>
        </w:rPr>
        <w:t xml:space="preserve">錯誤分析（修正前）。</w:t>
      </w:r>
      <w:r>
        <w:t xml:space="preserve">每一個非 1.00 的數字都能追溯到具體原因；而且逐條追查後，先前歸因於「靜態分析的極限」的三處，都是規則缺口。ecommerce 遺漏的 17 條全是控制平面：8 條到設定中心，repo 只寫了 optional:configserver:http://localhost:9296，而 cloud-config 的 server.port 正是 9296；9 條到服務註冊中心，repo 內外都沒有任何 eureka.client 設定，只有 Eureka client starter 與 @EnableEurekaClient，位址是 Spring Cloud 的隱含預設 localhost:8761。工具依「localhost 不是節點」丟掉它們，沒有編造，業務呼叫邊 P、R 皆 1.00（原參考邊集合另有 service-discovery → cloud-config 一條，查核時發現 service-discovery 沒有 config client 依賴，已刪除）。piggymetrics 的 8 條錯誤的邊來自同一個原因：共用 application.yml 中的 OAuth、RabbitMQ 與 Eureka 設定被攤到每一個 config client，實際上只有宣告了對應函式庫的服務會使用；其中 monitoring → registry 原本列在參考邊集合中，查核 monitoring 的建置檔沒有 Eureka client 後，改列為錯誤的邊並自參考邊集合刪除。TeaStore 遺漏的 7 條業務呼叫邊，呼叫都以 Service.PERSISTENCE 這類 enum 常數指定目標；但這不是動態分派：常數的字串值 tools.descartes.teastore.persistence 就是模組名，registry 在執行期只決定實例的位址，不決定目標是誰，靜態上可以解析。robot-shop 遺漏的 3 條中，2 條位於尚未支援文法的 Node 與 PHP 程式碼；第 3 條 shipping → cart 是 Java 的 String.format 加上 getenv("CART_ENDPOINT", "cart")，預設值與 Dockerfile 的 ENV 都可以靜態取得，同樣的寫法在 Python 已經會處理。</w:t>
      </w:r>
    </w:p>
    <w:p>
      <w:pPr>
        <w:pStyle w:val="BodyText"/>
      </w:pPr>
      <w:r>
        <w:rPr>
          <w:b/>
          <w:bCs/>
        </w:rPr>
        <w:t xml:space="preserve">規則的來源。</w:t>
      </w:r>
      <w:r>
        <w:t xml:space="preserve">第一輪（修改前）6 個新系統全部有問題：TeaStore 整張圖縮減為 3 個節點（模組名以「.」分隔，被當成 DNS 後綴切掉）；ecommerce 近半的邊來自常數檔（56 條中的 25 條，其中 19 條的常數沒有被引用），另有 Feign contextId 造成的偽節點；piggymetrics 的資料層全部遺漏（設定位於 Config repo）。逐條比對第一輪的差異，歸納出 10 條規則；修改後 Bank of Anthos 既有圖的邊逐條不變，train-ticket 的既有邊全部保留。第三方對照又歸納出 3 條（第 11–13 條）；追查 Online Boutique 為什麼 recall 只有 2/16（約 0.13；參考邊集合後來補上一條，現為 17 條）時，再歸納出第 14 條「workload 本身環境變數中的服務位址畫成僅推測」，使其 recall 提高到 1.00。原本歸因於「語言尚未支援文法」的損失，大半是部署描述檔已經寫明、但工具沒有畫出的宣告。</w:t>
      </w:r>
    </w:p>
    <w:p>
      <w:pPr>
        <w:pStyle w:val="BodyText"/>
      </w:pPr>
      <w:r>
        <w:rPr>
          <w:b/>
          <w:bCs/>
        </w:rPr>
        <w:t xml:space="preserve">第二輪：由錯誤分析補規則，並以 hold-out 量測轉移。</w:t>
      </w:r>
      <w:r>
        <w:t xml:space="preserve">依上述錯誤分析再歸納 9 條（第 15 至 23 條）：localhost:PORT 讀回唯一宣告該 port 的模組、Eureka 的隱含預設、字串值等於模組名的常數、String.format 與 getenv 的預設值，以及在私有系統 AICS 上逼出的 5 條（Deployment 的版本字尾、環境變數依讀取者的範圍解析、函式庫模組不是節點、Python 的宣告不等於使用、共用設定只在有對應函式庫的 client 生效）。修正後 7 個系統 precision 全為 1.00，recall 除 robot-shop（0.90）外皆 1.00（表 VII「修正後」）；Bank of Anthos 與 train-ticket 逐邊不變，第三方吻合率維持 93/95；AICS 由 P 0.42、R 0.10 提高到 0.89、0.63。但這些數字不是 hold-out：規則就是在這些系統上歸納的。為了量測規則對未見過系統的轉移，我們在歸納前另外選定 3 個不在任何歸納集合中的系統（表 IV 的 hold-out B），先寫好參考邊集合並記錄修正前的分數，再以修正後的工具重跑：</w:t>
      </w:r>
      <w:r>
        <w:rPr>
          <w:b/>
          <w:bCs/>
        </w:rPr>
        <w:t xml:space="preserve">三個系統的邊一條都沒有改變</w:t>
      </w:r>
      <w:r>
        <w:t xml:space="preserve">（表 VIII）。第 15 至 23 條描述的是 Spring Cloud 與 Python 的慣例，hold-out B 的錯與漏來自另一批寫法：Compose 只寫鍵名、值在 .env 的環境變數轉發；links 與 external_links 的別名；OpenAPI 中繼資料的 URL 被當成呼叫；Spring Cloud Alibaba 的 server-addr；Envoy 設定；Kotlin。</w:t>
      </w:r>
    </w:p>
    <w:p>
      <w:pPr>
        <w:pStyle w:val="BodyText"/>
      </w:pPr>
      <w:r>
        <w:rPr>
          <w:b/>
          <w:bCs/>
        </w:rPr>
        <w:t xml:space="preserve">第三輪：從 hold-out B 歸納，以 hold-out C 量測。</w:t>
      </w:r>
      <w:r>
        <w:t xml:space="preserve">依 hold-out B 的差異再歸納 12 條（第 24 至 35 條），hold-out B 由 P 0.73、R 0.70 提高到 0.99、0.89（hotelReservation 的 9 條遺漏是 Go 經 Consul 以 srv-* 名稱解析、程式碼與部署描述檔都沒有主機字串，維持不畫）；7 個歸納用系統逐邊不變，train-ticket 少了一條 Swagger termsOfServiceUrl 造成的假外部邊。這一輪的轉移以再另外選定的 2 個系統量測（hold-out C）：yas 由 P 0.58、R 0.58 提高到 0.68、0.81，業務呼叫邊 recall 由 0.11 提高到 0.89，轉移的是 Compose 環境變數轉發那一條規則；run-aspnetcore-microservices 維持 0.00、0.00，因為它暴露的是另一個缺陷：Compose 服務名含「.」（catalog.api）被當成 DNS 後綴截斷。依 hold-out C 再歸納 11 條（第 36 至 46 條）後，hold-out C 為 1.00／1.00 與 0.83／0.96，hold-out B 不變；但這兩個數字已不是 hold-out 數字。</w:t>
      </w:r>
    </w:p>
    <w:p>
      <w:pPr>
        <w:pStyle w:val="BodyText"/>
      </w:pPr>
      <w:r>
        <w:rPr>
          <w:b/>
          <w:bCs/>
        </w:rPr>
        <w:t xml:space="preserve">第四輪：以 hold-out D 量測第三輪，再以機制而非規則補缺口。</w:t>
      </w:r>
      <w:r>
        <w:t xml:space="preserve">第三輪規則以另外選定的 2 個系統量測（hold-out D）：kiali 的 travels（純 Kubernetes、三個 namespace、Istio、Go）P 1.00、R 0.84，第三輪完全轉移；Apache skywalking-showcase P 0.08、R 0.25，暴露四個前面各組沒有的部署形狀：只有 Helm template 的 Kubernetes 描述（整份被 YAML 解析例外吞掉）、Compose 用 image: 而非 build: 指名模組、Compose 的 network aliases，以及真正的目標寫在 command: 裡的 depends_on。這一輪我們刻意不再以「多一種寫法、多一條規則」補缺口，而是補通用機制：以 tree-sitter 文法取代 JavaScript、TypeScript、Go、PHP 的缺口與 Kotlin、C# 的正規表示式（6 個文法在 Linux x86-64 上實測可載入）；把「變數追到字面值」由 Python 專用的實作改為跨語言的單一解析器；以 values.yaml 的預設值渲染 Helm template；把 image 名稱、network aliases 併入既有的別名機制；把 command: 與容器 args 當成位址來源；同名而分屬不同 namespace 的資源保持為不同節點；一個值列出多個位址時逐一建邊；以 Istio VirtualService 與 APISIX 路由檔作為入口來源（共 10 條，第 47 至 56 條；另擴充第 2、5、25、36、42、44 條）。結果：歸納用的 7 個系統 recall 由 0.99 提高到 1.00（robot-shop 的 Node 與 PHP 兩條由文法補上）、precision 維持 1.00；hold-out D 由 0.44／0.67 提高到 0.71／1.00；AICS 由 0.89／0.63 提高到 0.90／0.76；hold-out B、C 逐邊不變；第三方吻合率維持 93/95。為了統一入口邊的標註方式，Online Boutique、Bank of Anthos 與 robot-shop 的參考邊集合各補上一條 istio-ingressgateway 的邊（repo 中都有綁定 Gateway 的 VirtualService），train-ticket 的固定邊數因 gateway 的 38 條入口路由由 120 變為 158，其餘逐邊不變。hotelReservation 的 9 條 Consul srv-* 呼叫現在由 Go 文法讀到，列為待確認的名稱而不畫：註冊中心的名稱對應到哪個服務，是規則不該猜、應交給操作者的問題（第 III-F 節）。</w:t>
      </w:r>
    </w:p>
    <w:p>
      <w:pPr>
        <w:pStyle w:val="TableCaption"/>
      </w:pPr>
      <w:r>
        <w:t xml:space="preserve">表 VIII　規則對未見過系統的轉移。每一欄是一輪規則加入後的分數；粗體格是真正的 hold-out 量測（規則在上一組系統上歸納，這一組在歸納前就選定、沒有看過）</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500"/>
        <w:gridCol w:w="400"/>
        <w:gridCol w:w="628"/>
        <w:gridCol w:w="628"/>
        <w:gridCol w:w="628"/>
        <w:gridCol w:w="628"/>
        <w:gridCol w:w="628"/>
      </w:tblGrid>
      <w:tr>
        <w:trPr>
          <w:tblHeader/>
          <w:cantSplit/>
        </w:trPr>
        <w:tc>
          <w:tcPr>
            <w:tcW w:w="1500" w:type="dxa"/>
            <w:tcBorders>
              <w:bottom w:val="single" w:sz="4" w:space="0" w:color="000000"/>
            </w:tcBorders>
          </w:tcPr>
          <w:p>
            <w:pPr>
              <w:pStyle w:val="TableCell"/>
              <w:keepNext/>
              <w:ind w:firstLine="0"/>
              <w:jc w:val="left"/>
            </w:pPr>
            <w:r>
              <w:rPr>
                <w:b/>
                <w:bCs/>
              </w:rPr>
              <w:t xml:space="preserve">系統</w:t>
            </w:r>
          </w:p>
        </w:tc>
        <w:tc>
          <w:tcPr>
            <w:tcW w:w="400" w:type="dxa"/>
            <w:tcBorders>
              <w:bottom w:val="single" w:sz="4" w:space="0" w:color="000000"/>
            </w:tcBorders>
          </w:tcPr>
          <w:p>
            <w:pPr>
              <w:pStyle w:val="TableCell"/>
              <w:keepNext/>
              <w:ind w:firstLine="0"/>
              <w:jc w:val="left"/>
            </w:pPr>
            <w:r>
              <w:rPr>
                <w:b/>
                <w:bCs/>
              </w:rPr>
              <w:t xml:space="preserve">指標</w:t>
            </w:r>
          </w:p>
        </w:tc>
        <w:tc>
          <w:tcPr>
            <w:tcW w:w="628" w:type="dxa"/>
            <w:tcBorders>
              <w:bottom w:val="single" w:sz="4" w:space="0" w:color="000000"/>
            </w:tcBorders>
          </w:tcPr>
          <w:p>
            <w:pPr>
              <w:pStyle w:val="TableCell"/>
              <w:keepNext/>
              <w:ind w:firstLine="0"/>
              <w:jc w:val="left"/>
            </w:pPr>
            <w:r>
              <w:rPr>
                <w:b/>
                <w:bCs/>
              </w:rPr>
              <w:t xml:space="preserve">14 條</w:t>
            </w:r>
          </w:p>
        </w:tc>
        <w:tc>
          <w:tcPr>
            <w:tcW w:w="628" w:type="dxa"/>
            <w:tcBorders>
              <w:bottom w:val="single" w:sz="4" w:space="0" w:color="000000"/>
            </w:tcBorders>
          </w:tcPr>
          <w:p>
            <w:pPr>
              <w:pStyle w:val="TableCell"/>
              <w:keepNext/>
              <w:ind w:firstLine="0"/>
              <w:jc w:val="left"/>
            </w:pPr>
            <w:r>
              <w:rPr>
                <w:b/>
                <w:bCs/>
              </w:rPr>
              <w:t xml:space="preserve">15–23 後</w:t>
            </w:r>
          </w:p>
        </w:tc>
        <w:tc>
          <w:tcPr>
            <w:tcW w:w="628" w:type="dxa"/>
            <w:tcBorders>
              <w:bottom w:val="single" w:sz="4" w:space="0" w:color="000000"/>
            </w:tcBorders>
          </w:tcPr>
          <w:p>
            <w:pPr>
              <w:pStyle w:val="TableCell"/>
              <w:keepNext/>
              <w:ind w:firstLine="0"/>
              <w:jc w:val="left"/>
            </w:pPr>
            <w:r>
              <w:rPr>
                <w:b/>
                <w:bCs/>
              </w:rPr>
              <w:t xml:space="preserve">24–35 後</w:t>
            </w:r>
          </w:p>
        </w:tc>
        <w:tc>
          <w:tcPr>
            <w:tcW w:w="628" w:type="dxa"/>
            <w:tcBorders>
              <w:bottom w:val="single" w:sz="4" w:space="0" w:color="000000"/>
            </w:tcBorders>
          </w:tcPr>
          <w:p>
            <w:pPr>
              <w:pStyle w:val="TableCell"/>
              <w:keepNext/>
              <w:ind w:firstLine="0"/>
              <w:jc w:val="left"/>
            </w:pPr>
            <w:r>
              <w:rPr>
                <w:b/>
                <w:bCs/>
              </w:rPr>
              <w:t xml:space="preserve">36–46 後</w:t>
            </w:r>
          </w:p>
        </w:tc>
        <w:tc>
          <w:tcPr>
            <w:tcW w:w="628" w:type="dxa"/>
            <w:tcBorders>
              <w:bottom w:val="single" w:sz="4" w:space="0" w:color="000000"/>
            </w:tcBorders>
          </w:tcPr>
          <w:p>
            <w:pPr>
              <w:pStyle w:val="TableCell"/>
              <w:keepNext/>
              <w:ind w:firstLine="0"/>
              <w:jc w:val="left"/>
            </w:pPr>
            <w:r>
              <w:rPr>
                <w:b/>
                <w:bCs/>
              </w:rPr>
              <w:t xml:space="preserve">47–56 後</w:t>
            </w:r>
          </w:p>
        </w:tc>
      </w:tr>
      <w:tr>
        <w:trPr>
          <w:cantSplit/>
        </w:trPr>
        <w:tc>
          <w:tcPr>
            <w:tcW w:w="1500" w:type="dxa"/>
          </w:tcPr>
          <w:p>
            <w:pPr>
              <w:pStyle w:val="TableCell"/>
              <w:keepNext/>
              <w:ind w:firstLine="0"/>
              <w:jc w:val="left"/>
            </w:pPr>
            <w:r>
              <w:t xml:space="preserve">opentelemetry-demo（B）</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0.79</w:t>
            </w:r>
          </w:p>
        </w:tc>
        <w:tc>
          <w:tcPr>
            <w:tcW w:w="628" w:type="dxa"/>
          </w:tcPr>
          <w:p>
            <w:pPr>
              <w:pStyle w:val="TableCell"/>
              <w:keepNext/>
              <w:ind w:firstLine="0"/>
              <w:jc w:val="left"/>
            </w:pPr>
            <w:r>
              <w:rPr>
                <w:b/>
                <w:bCs/>
              </w:rPr>
              <w:t xml:space="preserve">0.79</w:t>
            </w:r>
          </w:p>
        </w:tc>
        <w:tc>
          <w:tcPr>
            <w:tcW w:w="628" w:type="dxa"/>
          </w:tcPr>
          <w:p>
            <w:pPr>
              <w:pStyle w:val="TableCell"/>
              <w:keepNext/>
              <w:ind w:firstLine="0"/>
              <w:jc w:val="left"/>
            </w:pPr>
            <w:r>
              <w:t xml:space="preserve">0.97</w:t>
            </w:r>
          </w:p>
        </w:tc>
        <w:tc>
          <w:tcPr>
            <w:tcW w:w="628" w:type="dxa"/>
          </w:tcPr>
          <w:p>
            <w:pPr>
              <w:pStyle w:val="TableCell"/>
              <w:keepNext/>
              <w:ind w:firstLine="0"/>
              <w:jc w:val="left"/>
            </w:pPr>
            <w:r>
              <w:t xml:space="preserve">0.97</w:t>
            </w:r>
          </w:p>
        </w:tc>
        <w:tc>
          <w:tcPr>
            <w:tcW w:w="628" w:type="dxa"/>
          </w:tcPr>
          <w:p>
            <w:pPr>
              <w:pStyle w:val="TableCell"/>
              <w:keepNext/>
              <w:ind w:firstLine="0"/>
              <w:jc w:val="left"/>
            </w:pPr>
            <w:r>
              <w:t xml:space="preserve">0.97</w:t>
            </w:r>
          </w:p>
        </w:tc>
      </w:tr>
      <w:tr>
        <w:trPr>
          <w:cantSplit/>
        </w:trPr>
        <w:tc>
          <w:tcPr>
            <w:tcW w:w="1500" w:type="dxa"/>
          </w:tcPr>
          <w:p>
            <w:pPr>
              <w:pStyle w:val="TableCell"/>
              <w:keepNext/>
              <w:ind w:firstLine="0"/>
              <w:jc w:val="left"/>
            </w:pPr>
          </w:p>
        </w:tc>
        <w:tc>
          <w:tcPr>
            <w:tcW w:w="400" w:type="dxa"/>
          </w:tcPr>
          <w:p>
            <w:pPr>
              <w:pStyle w:val="TableCell"/>
              <w:keepNext/>
              <w:ind w:firstLine="0"/>
              <w:jc w:val="left"/>
            </w:pPr>
            <w:r>
              <w:t xml:space="preserve">R</w:t>
            </w:r>
          </w:p>
        </w:tc>
        <w:tc>
          <w:tcPr>
            <w:tcW w:w="628" w:type="dxa"/>
          </w:tcPr>
          <w:p>
            <w:pPr>
              <w:pStyle w:val="TableCell"/>
              <w:keepNext/>
              <w:ind w:firstLine="0"/>
              <w:jc w:val="left"/>
            </w:pPr>
            <w:r>
              <w:t xml:space="preserve">0.82</w:t>
            </w:r>
          </w:p>
        </w:tc>
        <w:tc>
          <w:tcPr>
            <w:tcW w:w="628" w:type="dxa"/>
          </w:tcPr>
          <w:p>
            <w:pPr>
              <w:pStyle w:val="TableCell"/>
              <w:keepNext/>
              <w:ind w:firstLine="0"/>
              <w:jc w:val="left"/>
            </w:pPr>
            <w:r>
              <w:rPr>
                <w:b/>
                <w:bCs/>
              </w:rPr>
              <w:t xml:space="preserve">0.82</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r>
      <w:tr>
        <w:trPr>
          <w:cantSplit/>
        </w:trPr>
        <w:tc>
          <w:tcPr>
            <w:tcW w:w="1500" w:type="dxa"/>
          </w:tcPr>
          <w:p>
            <w:pPr>
              <w:pStyle w:val="TableCell"/>
              <w:keepNext/>
              <w:ind w:firstLine="0"/>
              <w:jc w:val="left"/>
            </w:pPr>
            <w:r>
              <w:t xml:space="preserve">mall-swarm（B）</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0.43</w:t>
            </w:r>
          </w:p>
        </w:tc>
        <w:tc>
          <w:tcPr>
            <w:tcW w:w="628" w:type="dxa"/>
          </w:tcPr>
          <w:p>
            <w:pPr>
              <w:pStyle w:val="TableCell"/>
              <w:keepNext/>
              <w:ind w:firstLine="0"/>
              <w:jc w:val="left"/>
            </w:pPr>
            <w:r>
              <w:rPr>
                <w:b/>
                <w:bCs/>
              </w:rPr>
              <w:t xml:space="preserve">0.43</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r>
      <w:tr>
        <w:trPr>
          <w:cantSplit/>
        </w:trPr>
        <w:tc>
          <w:tcPr>
            <w:tcW w:w="1500" w:type="dxa"/>
          </w:tcPr>
          <w:p>
            <w:pPr>
              <w:pStyle w:val="TableCell"/>
              <w:keepNext/>
              <w:ind w:firstLine="0"/>
              <w:jc w:val="left"/>
            </w:pPr>
          </w:p>
        </w:tc>
        <w:tc>
          <w:tcPr>
            <w:tcW w:w="400" w:type="dxa"/>
          </w:tcPr>
          <w:p>
            <w:pPr>
              <w:pStyle w:val="TableCell"/>
              <w:keepNext/>
              <w:ind w:firstLine="0"/>
              <w:jc w:val="left"/>
            </w:pPr>
            <w:r>
              <w:t xml:space="preserve">R</w:t>
            </w:r>
          </w:p>
        </w:tc>
        <w:tc>
          <w:tcPr>
            <w:tcW w:w="628" w:type="dxa"/>
          </w:tcPr>
          <w:p>
            <w:pPr>
              <w:pStyle w:val="TableCell"/>
              <w:keepNext/>
              <w:ind w:firstLine="0"/>
              <w:jc w:val="left"/>
            </w:pPr>
            <w:r>
              <w:t xml:space="preserve">0.50</w:t>
            </w:r>
          </w:p>
        </w:tc>
        <w:tc>
          <w:tcPr>
            <w:tcW w:w="628" w:type="dxa"/>
          </w:tcPr>
          <w:p>
            <w:pPr>
              <w:pStyle w:val="TableCell"/>
              <w:keepNext/>
              <w:ind w:firstLine="0"/>
              <w:jc w:val="left"/>
            </w:pPr>
            <w:r>
              <w:rPr>
                <w:b/>
                <w:bCs/>
              </w:rPr>
              <w:t xml:space="preserve">0.50</w:t>
            </w:r>
          </w:p>
        </w:tc>
        <w:tc>
          <w:tcPr>
            <w:tcW w:w="628" w:type="dxa"/>
          </w:tcPr>
          <w:p>
            <w:pPr>
              <w:pStyle w:val="TableCell"/>
              <w:keepNext/>
              <w:ind w:firstLine="0"/>
              <w:jc w:val="left"/>
            </w:pPr>
            <w:r>
              <w:t xml:space="preserve">0.96</w:t>
            </w:r>
          </w:p>
        </w:tc>
        <w:tc>
          <w:tcPr>
            <w:tcW w:w="628" w:type="dxa"/>
          </w:tcPr>
          <w:p>
            <w:pPr>
              <w:pStyle w:val="TableCell"/>
              <w:keepNext/>
              <w:ind w:firstLine="0"/>
              <w:jc w:val="left"/>
            </w:pPr>
            <w:r>
              <w:t xml:space="preserve">0.96</w:t>
            </w:r>
          </w:p>
        </w:tc>
        <w:tc>
          <w:tcPr>
            <w:tcW w:w="628" w:type="dxa"/>
          </w:tcPr>
          <w:p>
            <w:pPr>
              <w:pStyle w:val="TableCell"/>
              <w:keepNext/>
              <w:ind w:firstLine="0"/>
              <w:jc w:val="left"/>
            </w:pPr>
            <w:r>
              <w:t xml:space="preserve">0.96</w:t>
            </w:r>
          </w:p>
        </w:tc>
      </w:tr>
      <w:tr>
        <w:trPr>
          <w:cantSplit/>
        </w:trPr>
        <w:tc>
          <w:tcPr>
            <w:tcW w:w="1500" w:type="dxa"/>
          </w:tcPr>
          <w:p>
            <w:pPr>
              <w:pStyle w:val="TableCell"/>
              <w:keepNext/>
              <w:ind w:firstLine="0"/>
              <w:jc w:val="left"/>
            </w:pPr>
            <w:r>
              <w:t xml:space="preserve">hotelReservation（B）</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1.00</w:t>
            </w:r>
          </w:p>
        </w:tc>
        <w:tc>
          <w:tcPr>
            <w:tcW w:w="628" w:type="dxa"/>
          </w:tcPr>
          <w:p>
            <w:pPr>
              <w:pStyle w:val="TableCell"/>
              <w:keepNext/>
              <w:ind w:firstLine="0"/>
              <w:jc w:val="left"/>
            </w:pPr>
            <w:r>
              <w:rPr>
                <w:b/>
                <w:bCs/>
              </w:rPr>
              <w:t xml:space="preserve">1.00</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r>
      <w:tr>
        <w:trPr>
          <w:cantSplit/>
        </w:trPr>
        <w:tc>
          <w:tcPr>
            <w:tcW w:w="1500" w:type="dxa"/>
          </w:tcPr>
          <w:p>
            <w:pPr>
              <w:pStyle w:val="TableCell"/>
              <w:keepNext/>
              <w:ind w:firstLine="0"/>
              <w:jc w:val="left"/>
            </w:pPr>
          </w:p>
        </w:tc>
        <w:tc>
          <w:tcPr>
            <w:tcW w:w="400" w:type="dxa"/>
          </w:tcPr>
          <w:p>
            <w:pPr>
              <w:pStyle w:val="TableCell"/>
              <w:keepNext/>
              <w:ind w:firstLine="0"/>
              <w:jc w:val="left"/>
            </w:pPr>
            <w:r>
              <w:t xml:space="preserve">R</w:t>
            </w:r>
          </w:p>
        </w:tc>
        <w:tc>
          <w:tcPr>
            <w:tcW w:w="628" w:type="dxa"/>
          </w:tcPr>
          <w:p>
            <w:pPr>
              <w:pStyle w:val="TableCell"/>
              <w:keepNext/>
              <w:ind w:firstLine="0"/>
              <w:jc w:val="left"/>
            </w:pPr>
            <w:r>
              <w:t xml:space="preserve">0.71</w:t>
            </w:r>
          </w:p>
        </w:tc>
        <w:tc>
          <w:tcPr>
            <w:tcW w:w="628" w:type="dxa"/>
          </w:tcPr>
          <w:p>
            <w:pPr>
              <w:pStyle w:val="TableCell"/>
              <w:keepNext/>
              <w:ind w:firstLine="0"/>
              <w:jc w:val="left"/>
            </w:pPr>
            <w:r>
              <w:rPr>
                <w:b/>
                <w:bCs/>
              </w:rPr>
              <w:t xml:space="preserve">0.71</w:t>
            </w:r>
          </w:p>
        </w:tc>
        <w:tc>
          <w:tcPr>
            <w:tcW w:w="628" w:type="dxa"/>
          </w:tcPr>
          <w:p>
            <w:pPr>
              <w:pStyle w:val="TableCell"/>
              <w:keepNext/>
              <w:ind w:firstLine="0"/>
              <w:jc w:val="left"/>
            </w:pPr>
            <w:r>
              <w:t xml:space="preserve">0.71</w:t>
            </w:r>
          </w:p>
        </w:tc>
        <w:tc>
          <w:tcPr>
            <w:tcW w:w="628" w:type="dxa"/>
          </w:tcPr>
          <w:p>
            <w:pPr>
              <w:pStyle w:val="TableCell"/>
              <w:keepNext/>
              <w:ind w:firstLine="0"/>
              <w:jc w:val="left"/>
            </w:pPr>
            <w:r>
              <w:t xml:space="preserve">0.71</w:t>
            </w:r>
          </w:p>
        </w:tc>
        <w:tc>
          <w:tcPr>
            <w:tcW w:w="628" w:type="dxa"/>
          </w:tcPr>
          <w:p>
            <w:pPr>
              <w:pStyle w:val="TableCell"/>
              <w:keepNext/>
              <w:ind w:firstLine="0"/>
              <w:jc w:val="left"/>
            </w:pPr>
            <w:r>
              <w:t xml:space="preserve">0.71</w:t>
            </w:r>
          </w:p>
        </w:tc>
      </w:tr>
      <w:tr>
        <w:trPr>
          <w:cantSplit/>
        </w:trPr>
        <w:tc>
          <w:tcPr>
            <w:tcW w:w="1500" w:type="dxa"/>
          </w:tcPr>
          <w:p>
            <w:pPr>
              <w:pStyle w:val="TableCell"/>
              <w:keepNext/>
              <w:ind w:firstLine="0"/>
              <w:jc w:val="left"/>
            </w:pPr>
            <w:r>
              <w:t xml:space="preserve">yas（C）</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0.58</w:t>
            </w:r>
          </w:p>
        </w:tc>
        <w:tc>
          <w:tcPr>
            <w:tcW w:w="628" w:type="dxa"/>
          </w:tcPr>
          <w:p>
            <w:pPr>
              <w:pStyle w:val="TableCell"/>
              <w:keepNext/>
              <w:ind w:firstLine="0"/>
              <w:jc w:val="left"/>
            </w:pPr>
            <w:r>
              <w:rPr>
                <w:b/>
                <w:bCs/>
              </w:rPr>
              <w:t xml:space="preserve">0.68</w:t>
            </w:r>
          </w:p>
        </w:tc>
        <w:tc>
          <w:tcPr>
            <w:tcW w:w="628" w:type="dxa"/>
          </w:tcPr>
          <w:p>
            <w:pPr>
              <w:pStyle w:val="TableCell"/>
              <w:keepNext/>
              <w:ind w:firstLine="0"/>
              <w:jc w:val="left"/>
            </w:pPr>
            <w:r>
              <w:t xml:space="preserve">0.83</w:t>
            </w:r>
          </w:p>
        </w:tc>
        <w:tc>
          <w:tcPr>
            <w:tcW w:w="628" w:type="dxa"/>
          </w:tcPr>
          <w:p>
            <w:pPr>
              <w:pStyle w:val="TableCell"/>
              <w:keepNext/>
              <w:ind w:firstLine="0"/>
              <w:jc w:val="left"/>
            </w:pPr>
            <w:r>
              <w:t xml:space="preserve">0.83</w:t>
            </w:r>
          </w:p>
        </w:tc>
      </w:tr>
      <w:tr>
        <w:trPr>
          <w:cantSplit/>
        </w:trPr>
        <w:tc>
          <w:tcPr>
            <w:tcW w:w="1500" w:type="dxa"/>
          </w:tcPr>
          <w:p>
            <w:pPr>
              <w:pStyle w:val="TableCell"/>
              <w:keepNext/>
              <w:ind w:firstLine="0"/>
              <w:jc w:val="left"/>
            </w:pPr>
          </w:p>
        </w:tc>
        <w:tc>
          <w:tcPr>
            <w:tcW w:w="400" w:type="dxa"/>
          </w:tcPr>
          <w:p>
            <w:pPr>
              <w:pStyle w:val="TableCell"/>
              <w:keepNext/>
              <w:ind w:firstLine="0"/>
              <w:jc w:val="left"/>
            </w:pPr>
            <w:r>
              <w:t xml:space="preserve">R</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0.58</w:t>
            </w:r>
          </w:p>
        </w:tc>
        <w:tc>
          <w:tcPr>
            <w:tcW w:w="628" w:type="dxa"/>
          </w:tcPr>
          <w:p>
            <w:pPr>
              <w:pStyle w:val="TableCell"/>
              <w:keepNext/>
              <w:ind w:firstLine="0"/>
              <w:jc w:val="left"/>
            </w:pPr>
            <w:r>
              <w:rPr>
                <w:b/>
                <w:bCs/>
              </w:rPr>
              <w:t xml:space="preserve">0.81</w:t>
            </w:r>
          </w:p>
        </w:tc>
        <w:tc>
          <w:tcPr>
            <w:tcW w:w="628" w:type="dxa"/>
          </w:tcPr>
          <w:p>
            <w:pPr>
              <w:pStyle w:val="TableCell"/>
              <w:keepNext/>
              <w:ind w:firstLine="0"/>
              <w:jc w:val="left"/>
            </w:pPr>
            <w:r>
              <w:t xml:space="preserve">0.96</w:t>
            </w:r>
          </w:p>
        </w:tc>
        <w:tc>
          <w:tcPr>
            <w:tcW w:w="628" w:type="dxa"/>
          </w:tcPr>
          <w:p>
            <w:pPr>
              <w:pStyle w:val="TableCell"/>
              <w:keepNext/>
              <w:ind w:firstLine="0"/>
              <w:jc w:val="left"/>
            </w:pPr>
            <w:r>
              <w:t xml:space="preserve">0.96</w:t>
            </w:r>
          </w:p>
        </w:tc>
      </w:tr>
      <w:tr>
        <w:trPr>
          <w:cantSplit/>
        </w:trPr>
        <w:tc>
          <w:tcPr>
            <w:tcW w:w="1500" w:type="dxa"/>
          </w:tcPr>
          <w:p>
            <w:pPr>
              <w:pStyle w:val="TableCell"/>
              <w:keepNext/>
              <w:ind w:firstLine="0"/>
              <w:jc w:val="left"/>
            </w:pPr>
            <w:r>
              <w:t xml:space="preserve">run-aspnetcore-microservices（C）</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0.00</w:t>
            </w:r>
          </w:p>
        </w:tc>
        <w:tc>
          <w:tcPr>
            <w:tcW w:w="628" w:type="dxa"/>
          </w:tcPr>
          <w:p>
            <w:pPr>
              <w:pStyle w:val="TableCell"/>
              <w:keepNext/>
              <w:ind w:firstLine="0"/>
              <w:jc w:val="left"/>
            </w:pPr>
            <w:r>
              <w:rPr>
                <w:b/>
                <w:bCs/>
              </w:rPr>
              <w:t xml:space="preserve">0.00</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r>
      <w:tr>
        <w:trPr>
          <w:cantSplit/>
        </w:trPr>
        <w:tc>
          <w:tcPr>
            <w:tcW w:w="1500" w:type="dxa"/>
          </w:tcPr>
          <w:p>
            <w:pPr>
              <w:pStyle w:val="TableCell"/>
              <w:keepNext/>
              <w:ind w:firstLine="0"/>
              <w:jc w:val="left"/>
            </w:pPr>
          </w:p>
        </w:tc>
        <w:tc>
          <w:tcPr>
            <w:tcW w:w="400" w:type="dxa"/>
          </w:tcPr>
          <w:p>
            <w:pPr>
              <w:pStyle w:val="TableCell"/>
              <w:keepNext/>
              <w:ind w:firstLine="0"/>
              <w:jc w:val="left"/>
            </w:pPr>
            <w:r>
              <w:t xml:space="preserve">R</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0.00</w:t>
            </w:r>
          </w:p>
        </w:tc>
        <w:tc>
          <w:tcPr>
            <w:tcW w:w="628" w:type="dxa"/>
          </w:tcPr>
          <w:p>
            <w:pPr>
              <w:pStyle w:val="TableCell"/>
              <w:keepNext/>
              <w:ind w:firstLine="0"/>
              <w:jc w:val="left"/>
            </w:pPr>
            <w:r>
              <w:rPr>
                <w:b/>
                <w:bCs/>
              </w:rPr>
              <w:t xml:space="preserve">0.00</w:t>
            </w:r>
          </w:p>
        </w:tc>
        <w:tc>
          <w:tcPr>
            <w:tcW w:w="628" w:type="dxa"/>
          </w:tcPr>
          <w:p>
            <w:pPr>
              <w:pStyle w:val="TableCell"/>
              <w:keepNext/>
              <w:ind w:firstLine="0"/>
              <w:jc w:val="left"/>
            </w:pPr>
            <w:r>
              <w:t xml:space="preserve">1.00</w:t>
            </w:r>
          </w:p>
        </w:tc>
        <w:tc>
          <w:tcPr>
            <w:tcW w:w="628" w:type="dxa"/>
          </w:tcPr>
          <w:p>
            <w:pPr>
              <w:pStyle w:val="TableCell"/>
              <w:keepNext/>
              <w:ind w:firstLine="0"/>
              <w:jc w:val="left"/>
            </w:pPr>
            <w:r>
              <w:t xml:space="preserve">1.00</w:t>
            </w:r>
          </w:p>
        </w:tc>
      </w:tr>
      <w:tr>
        <w:trPr>
          <w:cantSplit/>
        </w:trPr>
        <w:tc>
          <w:tcPr>
            <w:tcW w:w="1500" w:type="dxa"/>
          </w:tcPr>
          <w:p>
            <w:pPr>
              <w:pStyle w:val="TableCell"/>
              <w:keepNext/>
              <w:ind w:firstLine="0"/>
              <w:jc w:val="left"/>
            </w:pPr>
            <w:r>
              <w:t xml:space="preserve">travels（D）</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w:t>
            </w:r>
          </w:p>
        </w:tc>
        <w:tc>
          <w:tcPr>
            <w:tcW w:w="628" w:type="dxa"/>
          </w:tcPr>
          <w:p>
            <w:pPr>
              <w:pStyle w:val="TableCell"/>
              <w:keepNext/>
              <w:ind w:firstLine="0"/>
              <w:jc w:val="left"/>
            </w:pPr>
            <w:r>
              <w:rPr>
                <w:b/>
                <w:bCs/>
              </w:rPr>
              <w:t xml:space="preserve">1.00</w:t>
            </w:r>
          </w:p>
        </w:tc>
        <w:tc>
          <w:tcPr>
            <w:tcW w:w="628" w:type="dxa"/>
          </w:tcPr>
          <w:p>
            <w:pPr>
              <w:pStyle w:val="TableCell"/>
              <w:keepNext/>
              <w:ind w:firstLine="0"/>
              <w:jc w:val="left"/>
            </w:pPr>
            <w:r>
              <w:t xml:space="preserve">0.95</w:t>
            </w:r>
          </w:p>
        </w:tc>
      </w:tr>
      <w:tr>
        <w:trPr>
          <w:cantSplit/>
        </w:trPr>
        <w:tc>
          <w:tcPr>
            <w:tcW w:w="1500" w:type="dxa"/>
          </w:tcPr>
          <w:p>
            <w:pPr>
              <w:pStyle w:val="TableCell"/>
              <w:keepNext/>
              <w:ind w:firstLine="0"/>
              <w:jc w:val="left"/>
            </w:pPr>
          </w:p>
        </w:tc>
        <w:tc>
          <w:tcPr>
            <w:tcW w:w="400" w:type="dxa"/>
          </w:tcPr>
          <w:p>
            <w:pPr>
              <w:pStyle w:val="TableCell"/>
              <w:keepNext/>
              <w:ind w:firstLine="0"/>
              <w:jc w:val="left"/>
            </w:pPr>
            <w:r>
              <w:t xml:space="preserve">R</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w:t>
            </w:r>
          </w:p>
        </w:tc>
        <w:tc>
          <w:tcPr>
            <w:tcW w:w="628" w:type="dxa"/>
          </w:tcPr>
          <w:p>
            <w:pPr>
              <w:pStyle w:val="TableCell"/>
              <w:keepNext/>
              <w:ind w:firstLine="0"/>
              <w:jc w:val="left"/>
            </w:pPr>
            <w:r>
              <w:rPr>
                <w:b/>
                <w:bCs/>
              </w:rPr>
              <w:t xml:space="preserve">0.84</w:t>
            </w:r>
          </w:p>
        </w:tc>
        <w:tc>
          <w:tcPr>
            <w:tcW w:w="628" w:type="dxa"/>
          </w:tcPr>
          <w:p>
            <w:pPr>
              <w:pStyle w:val="TableCell"/>
              <w:keepNext/>
              <w:ind w:firstLine="0"/>
              <w:jc w:val="left"/>
            </w:pPr>
            <w:r>
              <w:t xml:space="preserve">1.00</w:t>
            </w:r>
          </w:p>
        </w:tc>
      </w:tr>
      <w:tr>
        <w:trPr>
          <w:cantSplit/>
        </w:trPr>
        <w:tc>
          <w:tcPr>
            <w:tcW w:w="1500" w:type="dxa"/>
          </w:tcPr>
          <w:p>
            <w:pPr>
              <w:pStyle w:val="TableCell"/>
              <w:keepNext/>
              <w:ind w:firstLine="0"/>
              <w:jc w:val="left"/>
            </w:pPr>
            <w:r>
              <w:t xml:space="preserve">skywalking-showcase（D）</w:t>
            </w:r>
          </w:p>
        </w:tc>
        <w:tc>
          <w:tcPr>
            <w:tcW w:w="400" w:type="dxa"/>
          </w:tcPr>
          <w:p>
            <w:pPr>
              <w:pStyle w:val="TableCell"/>
              <w:keepNext/>
              <w:ind w:firstLine="0"/>
              <w:jc w:val="left"/>
            </w:pPr>
            <w:r>
              <w:t xml:space="preserve">P</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w:t>
            </w:r>
          </w:p>
        </w:tc>
        <w:tc>
          <w:tcPr>
            <w:tcW w:w="628" w:type="dxa"/>
          </w:tcPr>
          <w:p>
            <w:pPr>
              <w:pStyle w:val="TableCell"/>
              <w:keepNext/>
              <w:ind w:firstLine="0"/>
              <w:jc w:val="left"/>
            </w:pPr>
            <w:r>
              <w:t xml:space="preserve">—</w:t>
            </w:r>
          </w:p>
        </w:tc>
        <w:tc>
          <w:tcPr>
            <w:tcW w:w="628" w:type="dxa"/>
          </w:tcPr>
          <w:p>
            <w:pPr>
              <w:pStyle w:val="TableCell"/>
              <w:keepNext/>
              <w:ind w:firstLine="0"/>
              <w:jc w:val="left"/>
            </w:pPr>
            <w:r>
              <w:rPr>
                <w:b/>
                <w:bCs/>
              </w:rPr>
              <w:t xml:space="preserve">0.08</w:t>
            </w:r>
          </w:p>
        </w:tc>
        <w:tc>
          <w:tcPr>
            <w:tcW w:w="628" w:type="dxa"/>
          </w:tcPr>
          <w:p>
            <w:pPr>
              <w:pStyle w:val="TableCell"/>
              <w:keepNext/>
              <w:ind w:firstLine="0"/>
              <w:jc w:val="left"/>
            </w:pPr>
            <w:r>
              <w:t xml:space="preserve">0.44</w:t>
            </w:r>
          </w:p>
        </w:tc>
      </w:tr>
      <w:tr>
        <w:trPr>
          <w:cantSplit/>
        </w:trPr>
        <w:tc>
          <w:tcPr>
            <w:tcW w:w="1500" w:type="dxa"/>
          </w:tcPr>
          <w:p>
            <w:pPr>
              <w:pStyle w:val="TableCell"/>
              <w:ind w:firstLine="0"/>
              <w:jc w:val="left"/>
            </w:pPr>
          </w:p>
        </w:tc>
        <w:tc>
          <w:tcPr>
            <w:tcW w:w="400" w:type="dxa"/>
          </w:tcPr>
          <w:p>
            <w:pPr>
              <w:pStyle w:val="TableCell"/>
              <w:ind w:firstLine="0"/>
              <w:jc w:val="left"/>
            </w:pPr>
            <w:r>
              <w:t xml:space="preserve">R</w:t>
            </w:r>
          </w:p>
        </w:tc>
        <w:tc>
          <w:tcPr>
            <w:tcW w:w="628" w:type="dxa"/>
          </w:tcPr>
          <w:p>
            <w:pPr>
              <w:pStyle w:val="TableCell"/>
              <w:ind w:firstLine="0"/>
              <w:jc w:val="left"/>
            </w:pPr>
            <w:r>
              <w:t xml:space="preserve">—</w:t>
            </w:r>
          </w:p>
        </w:tc>
        <w:tc>
          <w:tcPr>
            <w:tcW w:w="628" w:type="dxa"/>
          </w:tcPr>
          <w:p>
            <w:pPr>
              <w:pStyle w:val="TableCell"/>
              <w:ind w:firstLine="0"/>
              <w:jc w:val="left"/>
            </w:pPr>
            <w:r>
              <w:t xml:space="preserve">—</w:t>
            </w:r>
          </w:p>
        </w:tc>
        <w:tc>
          <w:tcPr>
            <w:tcW w:w="628" w:type="dxa"/>
          </w:tcPr>
          <w:p>
            <w:pPr>
              <w:pStyle w:val="TableCell"/>
              <w:ind w:firstLine="0"/>
              <w:jc w:val="left"/>
            </w:pPr>
            <w:r>
              <w:t xml:space="preserve">—</w:t>
            </w:r>
          </w:p>
        </w:tc>
        <w:tc>
          <w:tcPr>
            <w:tcW w:w="628" w:type="dxa"/>
          </w:tcPr>
          <w:p>
            <w:pPr>
              <w:pStyle w:val="TableCell"/>
              <w:ind w:firstLine="0"/>
              <w:jc w:val="left"/>
            </w:pPr>
            <w:r>
              <w:rPr>
                <w:b/>
                <w:bCs/>
              </w:rPr>
              <w:t xml:space="preserve">0.25</w:t>
            </w:r>
          </w:p>
        </w:tc>
        <w:tc>
          <w:tcPr>
            <w:tcW w:w="628" w:type="dxa"/>
          </w:tcPr>
          <w:p>
            <w:pPr>
              <w:pStyle w:val="TableCell"/>
              <w:ind w:firstLine="0"/>
              <w:jc w:val="left"/>
            </w:pPr>
            <w:r>
              <w:t xml:space="preserve">1.00</w:t>
            </w:r>
          </w:p>
        </w:tc>
      </w:tr>
    </w:tbl>
    <w:p>
      <w:pPr>
        <w:pStyle w:val="BodyText"/>
        <w:spacing w:after="80"/>
      </w:pPr>
    </w:p>
    <w:p>
      <w:pPr>
        <w:pStyle w:val="BodyText"/>
      </w:pPr>
      <w:r>
        <w:t xml:space="preserve">四輪的觀察一致：每一組未見過的系統都可能暴露工具沒學過的寫法，但轉移隨輪次增加（第一輪零轉移、第二輪部分轉移、第三輪在 travels 上完全轉移）；修正後，先前各組的分數都不退步。所以靜態層的 recall 不是靜態分析的極限，而是寫法涵蓋率；對一個未見過的系統，應預期 recall 落在各組 hold-out 修正前的水準（0.25 至 0.84），precision 的損失則集中在少數可以通用修正的錯誤類型（中繼資料 URL、別名、測試 fixture、名稱截斷、不可讀的描述檔）。這些規則是不是只是在窮舉寫法？我們以觸發追蹤量測每條規則在全部系統上實際改變結果的次數（附錄表 X 的「系統數」欄）：56 條中 23 條在 5 個以上的系統觸發、21 條在 2 至 4 個系統觸發（每條都包含至少一個非歸納系統）、11 條只在歸納它的系統觸發（其中多數綁定在語料中只出現一次的技術，如 Envoy、YARP、nginx 變數），1 條從未觸發。也就是說，多數規則描述的是跨系統的慣例，而不是單一系統的特例。</w:t>
      </w:r>
    </w:p>
    <w:p>
      <w:pPr>
        <w:pStyle w:val="BodyText"/>
      </w:pPr>
      <w:r>
        <w:rPr>
          <w:b/>
          <w:bCs/>
        </w:rPr>
        <w:t xml:space="preserve">RQ1 小結。</w:t>
      </w:r>
      <w:r>
        <w:t xml:space="preserve">靜態層的 precision 高：歸納用的 7 個系統修正後 P、R 全為 1.00，第三方吻合率 0.98，hold-out B 修正後 0.99。recall 取決於寫法涵蓋率；四輪 hold-out 顯示新系統會暴露新寫法，但轉移隨輪次增加，而且 56 條規則中多數在多個系統觸發。真正需要執行期觀測或操作者補足的邊界剩下兩類：沒有文法的語言（本文語料中只剩 Rust 與 Ruby），以及目標只以 registry 名稱存在、程式碼與部署描述檔都沒有主機字串的呼叫（hotelReservation 的 9 條 Consul srv-*，靜態層讀得到名稱但不猜對應）。</w:t>
      </w:r>
    </w:p>
    <w:p>
      <w:pPr>
        <w:pStyle w:val="Heading2"/>
      </w:pPr>
      <w:r>
        <w:t xml:space="preserve">RQ2：融合執行期觀測</w:t>
      </w:r>
    </w:p>
    <w:p>
      <w:pPr>
        <w:pStyle w:val="BodyText"/>
      </w:pPr>
      <w:r>
        <w:rPr>
          <w:b/>
          <w:bCs/>
        </w:rPr>
        <w:t xml:space="preserve">實驗設定。</w:t>
      </w:r>
      <w:r>
        <w:t xml:space="preserve">Bank of Anthos 部署於 k3s 與 Istio 的叢集，含真實的 PostgreSQL 資料庫（accounts-db、ledger-db）。DepWeaver 以完整流程執行：收集、產生流量、查詢量測指標、缺口補齊、產出。圖 3 是產出的分層相依圖。</w:t>
      </w:r>
    </w:p>
    <w:p>
      <w:pPr>
        <w:pStyle w:val="FigureImage"/>
      </w:pPr>
      <w:r>
        <w:drawing>
          <wp:inline distT="0" distB="0" distL="0" distR="0">
            <wp:extent cx="3108960" cy="2341814"/>
            <wp:docPr id="103" name="Picture 103" descr="Bank of Anthos 的分層相依圖（DepWeaver 輸出，版本標籤省略）。postgresql 是一個沒有任何邊的泛稱節點（其來源未能確定），不列入計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_boa.png"/>
                    <pic:cNvPicPr/>
                  </pic:nvPicPr>
                  <pic:blipFill>
                    <a:blip r:embed="rIdFig3"/>
                    <a:stretch>
                      <a:fillRect/>
                    </a:stretch>
                  </pic:blipFill>
                  <pic:spPr>
                    <a:xfrm>
                      <a:off x="0" y="0"/>
                      <a:ext cx="3108960" cy="2341814"/>
                    </a:xfrm>
                    <a:prstGeom prst="rect">
                      <a:avLst/>
                    </a:prstGeom>
                  </pic:spPr>
                </pic:pic>
              </a:graphicData>
            </a:graphic>
          </wp:inline>
        </w:drawing>
      </w:r>
    </w:p>
    <w:p>
      <w:pPr>
        <w:pStyle w:val="FigureCaption"/>
      </w:pPr>
      <w:r>
        <w:t xml:space="preserve">圖 3.　Bank of Anthos 的分層相依圖（DepWeaver 輸出，版本標籤省略）。postgresql 是一個沒有任何邊的泛稱節點（其來源未能確定），不列入計分</w:t>
      </w:r>
    </w:p>
    <w:p>
      <w:pPr>
        <w:pStyle w:val="BodyText"/>
      </w:pPr>
      <w:r>
        <w:rPr>
          <w:b/>
          <w:bCs/>
        </w:rPr>
        <w:t xml:space="preserve">結果。</w:t>
      </w:r>
      <w:r>
        <w:t xml:space="preserve">業務呼叫覆蓋率 7/7，資料層 5/5。在加入 TCP 查詢之前，資料庫邊沒有任何執行期證據：Istio 只對 HTTP 與 gRPC 產生請求指標，資料庫連線是不透明的 TCP；加入服務網格內的 TCP 連線查詢後，資料庫邊才有執行期證據。</w:t>
      </w:r>
    </w:p>
    <w:p>
      <w:pPr>
        <w:pStyle w:val="BodyText"/>
      </w:pPr>
      <w:r>
        <w:rPr>
          <w:b/>
          <w:bCs/>
        </w:rPr>
        <w:t xml:space="preserve">同一條邊的三種狀態。</w:t>
      </w:r>
      <w:r>
        <w:t xml:space="preserve">表 VIII 是 transactionhistory 到 ledger-db 這條邊在三次實驗中的狀態。</w:t>
      </w:r>
    </w:p>
    <w:p>
      <w:pPr>
        <w:pStyle w:val="TableCaption"/>
      </w:pPr>
      <w:r>
        <w:t xml:space="preserve">表 IX　transactionhistory → ledger-db 在三次實驗中的狀態</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1300"/>
        <w:gridCol w:w="1650"/>
        <w:gridCol w:w="2090"/>
      </w:tblGrid>
      <w:tr>
        <w:trPr>
          <w:tblHeader/>
          <w:cantSplit/>
        </w:trPr>
        <w:tc>
          <w:tcPr>
            <w:tcW w:w="1300" w:type="dxa"/>
            <w:tcBorders>
              <w:bottom w:val="single" w:sz="4" w:space="0" w:color="000000"/>
            </w:tcBorders>
          </w:tcPr>
          <w:p>
            <w:pPr>
              <w:pStyle w:val="TableCell"/>
              <w:keepNext/>
              <w:ind w:firstLine="0"/>
              <w:jc w:val="left"/>
            </w:pPr>
            <w:r>
              <w:rPr>
                <w:b/>
                <w:bCs/>
              </w:rPr>
              <w:t xml:space="preserve">實驗</w:t>
            </w:r>
          </w:p>
        </w:tc>
        <w:tc>
          <w:tcPr>
            <w:tcW w:w="1650" w:type="dxa"/>
            <w:tcBorders>
              <w:bottom w:val="single" w:sz="4" w:space="0" w:color="000000"/>
            </w:tcBorders>
          </w:tcPr>
          <w:p>
            <w:pPr>
              <w:pStyle w:val="TableCell"/>
              <w:keepNext/>
              <w:ind w:firstLine="0"/>
              <w:jc w:val="left"/>
            </w:pPr>
            <w:r>
              <w:rPr>
                <w:b/>
                <w:bCs/>
              </w:rPr>
              <w:t xml:space="preserve">模型中的狀態</w:t>
            </w:r>
          </w:p>
        </w:tc>
        <w:tc>
          <w:tcPr>
            <w:tcW w:w="2090" w:type="dxa"/>
            <w:tcBorders>
              <w:bottom w:val="single" w:sz="4" w:space="0" w:color="000000"/>
            </w:tcBorders>
          </w:tcPr>
          <w:p>
            <w:pPr>
              <w:pStyle w:val="TableCell"/>
              <w:keepNext/>
              <w:ind w:firstLine="0"/>
              <w:jc w:val="left"/>
            </w:pPr>
            <w:r>
              <w:rPr>
                <w:b/>
                <w:bCs/>
              </w:rPr>
              <w:t xml:space="preserve">原因</w:t>
            </w:r>
          </w:p>
        </w:tc>
      </w:tr>
      <w:tr>
        <w:trPr>
          <w:cantSplit/>
        </w:trPr>
        <w:tc>
          <w:tcPr>
            <w:tcW w:w="1300" w:type="dxa"/>
          </w:tcPr>
          <w:p>
            <w:pPr>
              <w:pStyle w:val="TableCell"/>
              <w:keepNext/>
              <w:ind w:firstLine="0"/>
              <w:jc w:val="left"/>
            </w:pPr>
            <w:r>
              <w:t xml:space="preserve">靜態（修正前）</w:t>
            </w:r>
          </w:p>
        </w:tc>
        <w:tc>
          <w:tcPr>
            <w:tcW w:w="1650" w:type="dxa"/>
          </w:tcPr>
          <w:p>
            <w:pPr>
              <w:pStyle w:val="TableCell"/>
              <w:keepNext/>
              <w:ind w:firstLine="0"/>
              <w:jc w:val="left"/>
            </w:pPr>
            <w:r>
              <w:t xml:space="preserve">不存在</w:t>
            </w:r>
          </w:p>
        </w:tc>
        <w:tc>
          <w:tcPr>
            <w:tcW w:w="2090" w:type="dxa"/>
          </w:tcPr>
          <w:p>
            <w:pPr>
              <w:pStyle w:val="TableCell"/>
              <w:keepNext/>
              <w:ind w:firstLine="0"/>
              <w:jc w:val="left"/>
            </w:pPr>
            <w:r>
              <w:t xml:space="preserve">資料來源由環境變數隱式綁定，程式碼中沒有讀取的行</w:t>
            </w:r>
          </w:p>
        </w:tc>
      </w:tr>
      <w:tr>
        <w:trPr>
          <w:cantSplit/>
        </w:trPr>
        <w:tc>
          <w:tcPr>
            <w:tcW w:w="1300" w:type="dxa"/>
          </w:tcPr>
          <w:p>
            <w:pPr>
              <w:pStyle w:val="TableCell"/>
              <w:keepNext/>
              <w:ind w:firstLine="0"/>
              <w:jc w:val="left"/>
            </w:pPr>
            <w:r>
              <w:t xml:space="preserve">靜態（修正後）</w:t>
            </w:r>
          </w:p>
        </w:tc>
        <w:tc>
          <w:tcPr>
            <w:tcW w:w="1650" w:type="dxa"/>
          </w:tcPr>
          <w:p>
            <w:pPr>
              <w:pStyle w:val="TableCell"/>
              <w:keepNext/>
              <w:ind w:firstLine="0"/>
              <w:jc w:val="left"/>
            </w:pPr>
            <w:r>
              <w:t xml:space="preserve">虛線：有使用證據，未在執行期量測到</w:t>
            </w:r>
          </w:p>
        </w:tc>
        <w:tc>
          <w:tcPr>
            <w:tcW w:w="2090" w:type="dxa"/>
          </w:tcPr>
          <w:p>
            <w:pPr>
              <w:pStyle w:val="TableCell"/>
              <w:keepNext/>
              <w:ind w:firstLine="0"/>
              <w:jc w:val="left"/>
            </w:pPr>
            <w:r>
              <w:t xml:space="preserve">從 Deployment 的 envFrom 讀到注入的位址，加上 JPA 持久化 annotation</w:t>
            </w:r>
          </w:p>
        </w:tc>
      </w:tr>
      <w:tr>
        <w:trPr>
          <w:cantSplit/>
        </w:trPr>
        <w:tc>
          <w:tcPr>
            <w:tcW w:w="1300" w:type="dxa"/>
          </w:tcPr>
          <w:p>
            <w:pPr>
              <w:pStyle w:val="TableCell"/>
              <w:ind w:firstLine="0"/>
              <w:jc w:val="left"/>
            </w:pPr>
            <w:r>
              <w:t xml:space="preserve">執行期</w:t>
            </w:r>
          </w:p>
        </w:tc>
        <w:tc>
          <w:tcPr>
            <w:tcW w:w="1650" w:type="dxa"/>
          </w:tcPr>
          <w:p>
            <w:pPr>
              <w:pStyle w:val="TableCell"/>
              <w:ind w:firstLine="0"/>
              <w:jc w:val="left"/>
            </w:pPr>
            <w:r>
              <w:t xml:space="preserve">實線：量測到 5,191 次連線</w:t>
            </w:r>
          </w:p>
        </w:tc>
        <w:tc>
          <w:tcPr>
            <w:tcW w:w="2090" w:type="dxa"/>
          </w:tcPr>
          <w:p>
            <w:pPr>
              <w:pStyle w:val="TableCell"/>
              <w:ind w:firstLine="0"/>
              <w:jc w:val="left"/>
            </w:pPr>
            <w:r>
              <w:t xml:space="preserve">服務網格內的 TCP 查詢</w:t>
            </w:r>
          </w:p>
        </w:tc>
      </w:tr>
    </w:tbl>
    <w:p>
      <w:pPr>
        <w:pStyle w:val="BodyText"/>
        <w:spacing w:after="80"/>
      </w:pPr>
    </w:p>
    <w:p>
      <w:pPr>
        <w:pStyle w:val="BodyText"/>
      </w:pPr>
      <w:r>
        <w:rPr>
          <w:b/>
          <w:bCs/>
        </w:rPr>
        <w:t xml:space="preserve">等級影響下游的回答。</w:t>
      </w:r>
      <w:r>
        <w:t xml:space="preserve">我們以同一組 10 個問題、同一個模型（gpt-4.1-mini），在三次實驗的存檔上問答，比較三組：只給報告、報告加檢索、給圖查詢結果（DepWeaver）。在修正前靜態存檔上，圖遺漏了上述那條邊，三組都依圖回答沒有這條關係，與事實不符；在執行期存檔上，三組都答對，DepWeaver 組的回答是「量測到」；在修正後靜態存檔上也都答對，DepWeaver 組的回答是「宣告且有使用證據，但未在執行期量測到」。由於標準答案由同一張圖的查詢產生，這組對照衡量的是回答與圖一致的程度，而非與事實一致的程度。結果顯示，問答的正確性受限於圖的正確性，而圖的錯誤會原樣傳到回答裡。</w:t>
      </w:r>
    </w:p>
    <w:p>
      <w:pPr>
        <w:pStyle w:val="Heading2"/>
      </w:pPr>
      <w:r>
        <w:t xml:space="preserve">RQ3：對話式缺口補齊</w:t>
      </w:r>
    </w:p>
    <w:p>
      <w:pPr>
        <w:pStyle w:val="BodyText"/>
      </w:pPr>
      <w:r>
        <w:rPr>
          <w:b/>
          <w:bCs/>
        </w:rPr>
        <w:t xml:space="preserve">流量參數（Bank of Anthos）。</w:t>
      </w:r>
      <w:r>
        <w:t xml:space="preserve">為了確認第 3 層確實是最後手段，我們關閉第 1 層再執行一次。工具自動觸發到 5/7 後無法繼續推進：剩下兩條（包含 ledgerwriter 到 balancereader）需要一筆實際寫入成功的轉帳，也就是需要這個部署的密碼，以及另一位使用者的收款帳號。工具在 Discord 詢問這兩個值，操作者回答後自動重跑，覆蓋率到 6/7；第一次提供的收款帳號是匯款人自己的帳號，轉帳不會觸發餘額檢查；產生器當時無法重問，只能把該邊宣告為無法觸發。修改 prompt、允許以新的變數名重問之後，換成他人帳號，覆蓋率到 7/7。這次執行（2026-08-26）的依據是當時對話中的覆蓋率訊息與操作者紀錄，分析存檔沒有保留下來；RQ2 的五次執行期分析與 RQ3 的名稱實驗則都有完整存檔（第 III-G 節）。</w:t>
      </w:r>
    </w:p>
    <w:p>
      <w:pPr>
        <w:pStyle w:val="BodyText"/>
      </w:pPr>
      <w:r>
        <w:rPr>
          <w:b/>
          <w:bCs/>
        </w:rPr>
        <w:t xml:space="preserve">名稱（spring-cloud-microservice-examples）。</w:t>
      </w:r>
      <w:r>
        <w:t xml:space="preserve">RQ1 的第三方對照中，這個系統遺漏了 hystrix 到 discovery 與 hystrix 到 gateway 兩條邊。根因是 Compose 的 hystrix 服務（Hystrix dashboard）名稱命中函式庫名單，整個節點在正規化時被刪除。改為「名稱命中函式庫名單、卻有來自程式碼或部署層的邊時提問」之後，工具提出 3 個問題，回答後吻合率由 24/26 提高到 26/26，其他 6 個系統的結果逐條不變。</w:t>
      </w:r>
    </w:p>
    <w:p>
      <w:pPr>
        <w:pStyle w:val="BodyText"/>
      </w:pPr>
      <w:r>
        <w:rPr>
          <w:b/>
          <w:bCs/>
        </w:rPr>
        <w:t xml:space="preserve">在 Discord 上的五次實際執行。</w:t>
      </w:r>
      <w:r>
        <w:t xml:space="preserve">同一個系統在實際的 Discord 環境中執行了五次，每一次都暴露介面或規則的問題並修正：表單只接受候選時，加入完整的詞彙表；同一服務的模組名與部署名重複出現時，改問「是否為同一個」；文件把 repo 名稱當成元件時，直接丟棄不問。從第二次起，圖穩定在 26/26；從第三次起，先前保存的答案開始生效：先前答過的 11 個名稱不再詢問，只詢問新出現的 5 個；第四、五次分別詢問 4 個（其中 2 個由程式錯誤造成）與 2 個。五次中有四次留下完整存檔，報告末節累計套用的操作者答案依序為 8、11、16、20 個，與上述詢問次數相符。我們也觀察到 DeepWiki 每次的用詞不同，因此每次執行都可能零星出現需要詢問的新名稱。</w:t>
      </w:r>
    </w:p>
    <w:p>
      <w:pPr>
        <w:pStyle w:val="BodyText"/>
      </w:pPr>
      <w:r>
        <w:rPr>
          <w:b/>
          <w:bCs/>
        </w:rPr>
        <w:t xml:space="preserve">限制。</w:t>
      </w:r>
      <w:r>
        <w:t xml:space="preserve">五次實際執行與離線驗證的操作者都是作者本人，而且看過參考邊集合。這只顯示機制在實際環境中可以運作，無法說明不熟悉系統的操作者能否答對。</w:t>
      </w:r>
    </w:p>
    <w:p>
      <w:pPr>
        <w:pStyle w:val="Heading2"/>
      </w:pPr>
      <w:r>
        <w:t xml:space="preserve">RQ4：設計規則防止的錯誤</w:t>
      </w:r>
    </w:p>
    <w:p>
      <w:pPr>
        <w:pStyle w:val="BodyText"/>
      </w:pPr>
      <w:r>
        <w:t xml:space="preserve">表 IX 的每一個錯誤都在開發與驗證中實際發生過，右欄是防止它的規則（第 III-C、III-E 節）。</w:t>
      </w:r>
    </w:p>
    <w:p>
      <w:pPr>
        <w:pStyle w:val="TableCaption"/>
      </w:pPr>
      <w:r>
        <w:t xml:space="preserve">表 X　實際發生過的錯誤與防止它的規則</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3400"/>
        <w:gridCol w:w="1640"/>
      </w:tblGrid>
      <w:tr>
        <w:trPr>
          <w:tblHeader/>
          <w:cantSplit/>
        </w:trPr>
        <w:tc>
          <w:tcPr>
            <w:tcW w:w="3400" w:type="dxa"/>
            <w:tcBorders>
              <w:bottom w:val="single" w:sz="4" w:space="0" w:color="000000"/>
            </w:tcBorders>
          </w:tcPr>
          <w:p>
            <w:pPr>
              <w:pStyle w:val="TableCell"/>
              <w:keepNext/>
              <w:ind w:firstLine="0"/>
              <w:jc w:val="left"/>
            </w:pPr>
            <w:r>
              <w:rPr>
                <w:b/>
                <w:bCs/>
              </w:rPr>
              <w:t xml:space="preserve">發生的錯誤</w:t>
            </w:r>
          </w:p>
        </w:tc>
        <w:tc>
          <w:tcPr>
            <w:tcW w:w="1640" w:type="dxa"/>
            <w:tcBorders>
              <w:bottom w:val="single" w:sz="4" w:space="0" w:color="000000"/>
            </w:tcBorders>
          </w:tcPr>
          <w:p>
            <w:pPr>
              <w:pStyle w:val="TableCell"/>
              <w:keepNext/>
              <w:ind w:firstLine="0"/>
              <w:jc w:val="left"/>
            </w:pPr>
            <w:r>
              <w:rPr>
                <w:b/>
                <w:bCs/>
              </w:rPr>
              <w:t xml:space="preserve">防止它的規則</w:t>
            </w:r>
          </w:p>
        </w:tc>
      </w:tr>
      <w:tr>
        <w:trPr>
          <w:cantSplit/>
        </w:trPr>
        <w:tc>
          <w:tcPr>
            <w:tcW w:w="3400" w:type="dxa"/>
          </w:tcPr>
          <w:p>
            <w:pPr>
              <w:pStyle w:val="TableCell"/>
              <w:keepNext/>
              <w:ind w:firstLine="0"/>
              <w:jc w:val="left"/>
            </w:pPr>
            <w:r>
              <w:t xml:space="preserve">petclinic：覆蓋率被控制平面、框架產生的偽節點與別名稀釋成 45%；只算可觸發的業務呼叫邊後為 4/4</w:t>
            </w:r>
          </w:p>
        </w:tc>
        <w:tc>
          <w:tcPr>
            <w:tcW w:w="1640" w:type="dxa"/>
          </w:tcPr>
          <w:p>
            <w:pPr>
              <w:pStyle w:val="TableCell"/>
              <w:keepNext/>
              <w:ind w:firstLine="0"/>
              <w:jc w:val="left"/>
            </w:pPr>
            <w:r>
              <w:t xml:space="preserve">只計可量測關係的覆蓋率分母</w:t>
            </w:r>
          </w:p>
        </w:tc>
      </w:tr>
      <w:tr>
        <w:trPr>
          <w:cantSplit/>
        </w:trPr>
        <w:tc>
          <w:tcPr>
            <w:tcW w:w="3400" w:type="dxa"/>
          </w:tcPr>
          <w:p>
            <w:pPr>
              <w:pStyle w:val="TableCell"/>
              <w:keepNext/>
              <w:ind w:firstLine="0"/>
              <w:jc w:val="left"/>
            </w:pPr>
            <w:r>
              <w:t xml:space="preserve">Bank of Anthos：同一叢集、同一段流量，文件多提了幾條不存在的邊，覆蓋率 7/7 變成 7/10</w:t>
            </w:r>
          </w:p>
        </w:tc>
        <w:tc>
          <w:tcPr>
            <w:tcW w:w="1640" w:type="dxa"/>
          </w:tcPr>
          <w:p>
            <w:pPr>
              <w:pStyle w:val="TableCell"/>
              <w:keepNext/>
              <w:ind w:firstLine="0"/>
              <w:jc w:val="left"/>
            </w:pPr>
            <w:r>
              <w:t xml:space="preserve">只計可量測關係的覆蓋率分母＋信心等級</w:t>
            </w:r>
          </w:p>
        </w:tc>
      </w:tr>
      <w:tr>
        <w:trPr>
          <w:cantSplit/>
        </w:trPr>
        <w:tc>
          <w:tcPr>
            <w:tcW w:w="3400" w:type="dxa"/>
          </w:tcPr>
          <w:p>
            <w:pPr>
              <w:pStyle w:val="TableCell"/>
              <w:keepNext/>
              <w:ind w:firstLine="0"/>
              <w:jc w:val="left"/>
            </w:pPr>
            <w:r>
              <w:t xml:space="preserve">Bank of Anthos：行程內快取永遠無法量測，資料層卡在 5/6，覆蓋率訊息還暗示重啟 pod</w:t>
            </w:r>
          </w:p>
        </w:tc>
        <w:tc>
          <w:tcPr>
            <w:tcW w:w="1640" w:type="dxa"/>
          </w:tcPr>
          <w:p>
            <w:pPr>
              <w:pStyle w:val="TableCell"/>
              <w:keepNext/>
              <w:ind w:firstLine="0"/>
              <w:jc w:val="left"/>
            </w:pPr>
            <w:r>
              <w:t xml:space="preserve">只計可量測關係的覆蓋率分母（行程內元件）</w:t>
            </w:r>
          </w:p>
        </w:tc>
      </w:tr>
      <w:tr>
        <w:trPr>
          <w:cantSplit/>
        </w:trPr>
        <w:tc>
          <w:tcPr>
            <w:tcW w:w="3400" w:type="dxa"/>
          </w:tcPr>
          <w:p>
            <w:pPr>
              <w:pStyle w:val="TableCell"/>
              <w:keepNext/>
              <w:ind w:firstLine="0"/>
              <w:jc w:val="left"/>
            </w:pPr>
            <w:r>
              <w:t xml:space="preserve">Bank of Anthos：報告把資料庫邊寫成「執行期是否觀測：未知」，旁邊的圖畫實線；改 prompt 兩次，第二次把建置期函式庫列為相依關係</w:t>
            </w:r>
          </w:p>
        </w:tc>
        <w:tc>
          <w:tcPr>
            <w:tcW w:w="1640" w:type="dxa"/>
          </w:tcPr>
          <w:p>
            <w:pPr>
              <w:pStyle w:val="TableCell"/>
              <w:keepNext/>
              <w:ind w:firstLine="0"/>
              <w:jc w:val="left"/>
            </w:pPr>
            <w:r>
              <w:t xml:space="preserve">一個模型、多個視圖＋事實由程式產生</w:t>
            </w:r>
          </w:p>
        </w:tc>
      </w:tr>
      <w:tr>
        <w:trPr>
          <w:cantSplit/>
        </w:trPr>
        <w:tc>
          <w:tcPr>
            <w:tcW w:w="3400" w:type="dxa"/>
          </w:tcPr>
          <w:p>
            <w:pPr>
              <w:pStyle w:val="TableCell"/>
              <w:keepNext/>
              <w:ind w:firstLine="0"/>
              <w:jc w:val="left"/>
            </w:pPr>
            <w:r>
              <w:t xml:space="preserve">spring-cloud-microservice：LLM 撰寫的報告列出操作者已回答 ignore 的名稱</w:t>
            </w:r>
          </w:p>
        </w:tc>
        <w:tc>
          <w:tcPr>
            <w:tcW w:w="1640" w:type="dxa"/>
          </w:tcPr>
          <w:p>
            <w:pPr>
              <w:pStyle w:val="TableCell"/>
              <w:keepNext/>
              <w:ind w:firstLine="0"/>
              <w:jc w:val="left"/>
            </w:pPr>
            <w:r>
              <w:t xml:space="preserve">事實由程式產生</w:t>
            </w:r>
          </w:p>
        </w:tc>
      </w:tr>
      <w:tr>
        <w:trPr>
          <w:cantSplit/>
        </w:trPr>
        <w:tc>
          <w:tcPr>
            <w:tcW w:w="3400" w:type="dxa"/>
          </w:tcPr>
          <w:p>
            <w:pPr>
              <w:pStyle w:val="TableCell"/>
              <w:keepNext/>
              <w:ind w:firstLine="0"/>
              <w:jc w:val="left"/>
            </w:pPr>
            <w:r>
              <w:t xml:space="preserve">無叢集模式的報告寫出「25 Services observed、50 Pods Running」</w:t>
            </w:r>
          </w:p>
        </w:tc>
        <w:tc>
          <w:tcPr>
            <w:tcW w:w="1640" w:type="dxa"/>
          </w:tcPr>
          <w:p>
            <w:pPr>
              <w:pStyle w:val="TableCell"/>
              <w:keepNext/>
              <w:ind w:firstLine="0"/>
              <w:jc w:val="left"/>
            </w:pPr>
            <w:r>
              <w:t xml:space="preserve">未量測不是零</w:t>
            </w:r>
          </w:p>
        </w:tc>
      </w:tr>
      <w:tr>
        <w:trPr>
          <w:cantSplit/>
        </w:trPr>
        <w:tc>
          <w:tcPr>
            <w:tcW w:w="3400" w:type="dxa"/>
          </w:tcPr>
          <w:p>
            <w:pPr>
              <w:pStyle w:val="TableCell"/>
              <w:keepNext/>
              <w:ind w:firstLine="0"/>
              <w:jc w:val="left"/>
            </w:pPr>
            <w:r>
              <w:t xml:space="preserve">無叢集模式的覆蓋率訊息把未量測寫成「observed 0/23（0%）」</w:t>
            </w:r>
          </w:p>
        </w:tc>
        <w:tc>
          <w:tcPr>
            <w:tcW w:w="1640" w:type="dxa"/>
          </w:tcPr>
          <w:p>
            <w:pPr>
              <w:pStyle w:val="TableCell"/>
              <w:keepNext/>
              <w:ind w:firstLine="0"/>
              <w:jc w:val="left"/>
            </w:pPr>
            <w:r>
              <w:t xml:space="preserve">未量測不是零</w:t>
            </w:r>
          </w:p>
        </w:tc>
      </w:tr>
      <w:tr>
        <w:trPr>
          <w:cantSplit/>
        </w:trPr>
        <w:tc>
          <w:tcPr>
            <w:tcW w:w="3400" w:type="dxa"/>
          </w:tcPr>
          <w:p>
            <w:pPr>
              <w:pStyle w:val="TableCell"/>
              <w:ind w:firstLine="0"/>
              <w:jc w:val="left"/>
            </w:pPr>
            <w:r>
              <w:t xml:space="preserve">容器映像檔中沒有 git，程式碼抽取從未成功，流程照樣完成、報告看似正常</w:t>
            </w:r>
          </w:p>
        </w:tc>
        <w:tc>
          <w:tcPr>
            <w:tcW w:w="1640" w:type="dxa"/>
          </w:tcPr>
          <w:p>
            <w:pPr>
              <w:pStyle w:val="TableCell"/>
              <w:ind w:firstLine="0"/>
              <w:jc w:val="left"/>
            </w:pPr>
            <w:r>
              <w:t xml:space="preserve">未量測不是零（失敗留下紀錄）</w:t>
            </w:r>
          </w:p>
        </w:tc>
      </w:tr>
    </w:tbl>
    <w:p>
      <w:pPr>
        <w:pStyle w:val="BodyText"/>
        <w:spacing w:after="80"/>
      </w:pPr>
    </w:p>
    <w:p>
      <w:pPr>
        <w:pStyle w:val="BodyText"/>
      </w:pPr>
      <w:r>
        <w:t xml:space="preserve">表中第 1 列的數字來自 2026 年 7 月的對話紀錄，該次分析存檔未保留；其餘各列都有對應的 commit、分析存檔或測試可查。八個錯誤中，多數不是量測本身的錯誤，而是在證據轉換為讀者所見產出物的過程中被放大或掩蓋。在第 4 與第 5 個錯誤上，修改 prompt 後錯誤以另一種形式出現；改由程式產生該段落之後，後續執行中沒有再觀察到同類錯誤。</w:t>
      </w:r>
    </w:p>
    <w:p>
      <w:pPr>
        <w:pStyle w:val="Heading1"/>
      </w:pPr>
      <w:r>
        <w:t xml:space="preserve">討論</w:t>
      </w:r>
    </w:p>
    <w:p>
      <w:pPr>
        <w:pStyle w:val="Heading2"/>
      </w:pPr>
      <w:r>
        <w:t xml:space="preserve">適用範圍</w:t>
      </w:r>
    </w:p>
    <w:p>
      <w:pPr>
        <w:pStyle w:val="BodyText"/>
      </w:pPr>
      <w:r>
        <w:t xml:space="preserve">DepWeaver 的設計假設三件事：證據來自可靠度不同的多個來源；產出物不只一種（圖、數字、報告）；讀者會依據產出物做決策。只有單一來源時（例如純追蹤產生的服務圖），信心分級沒有作用。</w:t>
      </w:r>
    </w:p>
    <w:p>
      <w:pPr>
        <w:pStyle w:val="Heading2"/>
      </w:pPr>
      <w:r>
        <w:t xml:space="preserve">靜態與執行期的分工</w:t>
      </w:r>
    </w:p>
    <w:p>
      <w:pPr>
        <w:pStyle w:val="BodyText"/>
      </w:pPr>
      <w:r>
        <w:t xml:space="preserve">RQ1 與 RQ2 顯示兩層互補而非互相替代：靜態層 precision 高，但 recall 受寫法涵蓋率限制，每組未見過的系統都會暴露新寫法（第 IV-C 節）；只以 registry 名稱解析、沒有任何主機字串的呼叫（hotelReservation 的 9 條）則是它真正的邊界。執行期觀測精確，但只看得到被觸發的路徑，需要產生流量與補齊缺口才能看到更多。piggymetrics 的 8 條錯誤的邊原本被當成另一個方向的互補（靜態層分不出共用設定誰在用，要靠執行期觀測以「未量測到」降級）；第 23 條規則改以建置檔的相依套件判斷後，靜態層就分得出來，執行期觀測退為第二道防線。RQ0 補上第三個方向：給了檔案的 LLM 讀得懂 enum 常數、隱含預設值與尚未支援文法的語言，正好落在規則缺口上，假想敵因此也是找規則缺口的方法；但它的輸出沒有出處、每次不同。合理的分工不是以 LLM 取代規則，而是把 LLM 的抽取結果當成一個來源併入融合模型，等級不高於「有使用證據」、出處記為「LLM 自某檔案推得」，名稱走同一個確認流程。</w:t>
      </w:r>
    </w:p>
    <w:p>
      <w:pPr>
        <w:pStyle w:val="Heading2"/>
      </w:pPr>
      <w:r>
        <w:t xml:space="preserve">為什麼最後才詢問操作者</w:t>
      </w:r>
    </w:p>
    <w:p>
      <w:pPr>
        <w:pStyle w:val="BodyText"/>
      </w:pPr>
      <w:r>
        <w:t xml:space="preserve">詢問操作者有成本：會打斷操作者，而且操作者可能答錯。所以 DepWeaver 只在前面的自動手段失敗時才問，而且問題必須具體到可以用一個值或一個選項回答。唯一的例外是登入憑證：猜錯的密碼不會明顯失敗，因此缺少時直接整組詢問。RQ3 的兩個情境都符合這個條件：密碼與收款帳號屬於部署的事實，在程式碼中找不到；一個名稱指哪個服務，是只有熟悉系統的人知道的對應。</w:t>
      </w:r>
    </w:p>
    <w:p>
      <w:pPr>
        <w:pStyle w:val="Heading2"/>
      </w:pPr>
      <w:r>
        <w:t xml:space="preserve">效度威脅</w:t>
      </w:r>
    </w:p>
    <w:p>
      <w:pPr>
        <w:pStyle w:val="BodyText"/>
      </w:pPr>
      <w:r>
        <w:rPr>
          <w:b/>
          <w:bCs/>
        </w:rPr>
        <w:t xml:space="preserve">建構效度：</w:t>
      </w:r>
      <w:r>
        <w:t xml:space="preserve">作者參考邊集合由作者整理；我們以第三方資料集、逐條可複驗的出處與第二位標註者降低這個風險；不過第二位標註者是 LLM 而非人類，無法完全取代獨立的人工標註。此外，第三方資料集對「相依關係」的定義與本工具不同，所以只報告吻合率。</w:t>
      </w:r>
      <w:r>
        <w:rPr>
          <w:b/>
          <w:bCs/>
        </w:rPr>
        <w:t xml:space="preserve">內部效度：</w:t>
      </w:r>
      <w:r>
        <w:t xml:space="preserve">RQ3 的流量參數實驗只有當時的對話紀錄，沒有可重讀的分析存檔，5/7、6/7、7/7 三個數字無法在事後由第三方重算；56 條抽取與合併規則都是在受測系統上歸納出來的；表 VII「修正後」與各組 hold-out 修正後的數字都不是 hold-out 結果，只有表 VIII 中粗體的格子是。每輪新增規則後，先前所有系統的節點與邊都逐項重算，沒有退步（邊的變動只有兩處，都是刻意的：train-ticket 少了一條 Swagger 中繼資料造成的假邊，以及第四輪加入入口路由後多出的 38 條 gateway 邊）。第四輪為統一入口邊的標註方式，修改了 3 份歸納用參考邊集合，各補一條入口邊。hold-out 的參考邊集合是在工具執行前寫好的，但同樣由作者整理。另外，RQ3 的操作者是作者本人且熟悉受測系統，可能高估名稱問題的回答正確率。</w:t>
      </w:r>
      <w:r>
        <w:rPr>
          <w:b/>
          <w:bCs/>
        </w:rPr>
        <w:t xml:space="preserve">外部效度：</w:t>
      </w:r>
      <w:r>
        <w:t xml:space="preserve">歸納用的系統以 Java 與 Spring 為主；hold-out 加入了 Go、.NET、Kotlin、Rust 等語言，但這些語言只有薄表面抽取。含缺口補齊的完整執行期驗證只有 Bank of Anthos 一個案例。RQ0 的假想敵在 7 個歸納用系統、5 個 hold-out 系統與 1 個私有系統上各執行一次，但後兩組比較的是第三輪規則後的靜態層；私有系統的結果只報告總分。</w:t>
      </w:r>
      <w:r>
        <w:rPr>
          <w:b/>
          <w:bCs/>
        </w:rPr>
        <w:t xml:space="preserve">RQ0 的對照：</w:t>
      </w:r>
      <w:r>
        <w:t xml:space="preserve">只用一個模型（gpt-4.1-mini）、每格 3 次；元件清單取自參考邊集合，偏袒 LLM；檔案預算由我們決定（但 6 個系統的原始碼全部給完，有截斷的 TeaStore 與 Bank of Anthos 的 recall 已達 0.82 與 1.00，預算不是瓶頸）。</w:t>
      </w:r>
      <w:r>
        <w:rPr>
          <w:b/>
          <w:bCs/>
        </w:rPr>
        <w:t xml:space="preserve">LLM 輸出的變異：</w:t>
      </w:r>
      <w:r>
        <w:t xml:space="preserve">報告與文件整理倚賴 LLM，DeepWiki 的用詞每次不同；事實段落由程式產生而不受影響，LLM 撰寫的章節與文件來源的邊則會受影響。</w:t>
      </w:r>
    </w:p>
    <w:p>
      <w:pPr>
        <w:pStyle w:val="Heading1"/>
      </w:pPr>
      <w:r>
        <w:t xml:space="preserve">結論與未來工作</w:t>
      </w:r>
    </w:p>
    <w:p>
      <w:pPr>
        <w:pStyle w:val="BodyText"/>
      </w:pPr>
      <w:r>
        <w:t xml:space="preserve">本文提出 DepWeaver，以三來源融合、三級信心等級與逐條出處建構微服務相依圖，讓圖、覆蓋率與報告由同一個模型產生而彼此一致，並在自動手段用盡時才於 ChatOps 對話中詢問操作者。在 21 個開源系統與 1 個私有系統上，靜態層對第三方參考邊集合的吻合率為 0.98；四輪「歸納、hold-out」的評估顯示規則的轉移隨輪次增加、多數規則在多個系統觸發，靜態層的 recall 是寫法涵蓋率而非分析的極限；作為假想敵，不給任何檔案的 LLM 直接畫圖 F1 為 0.70，給了 repo 檔案後為 0.90，但沒有出處、三次執行結果不同、自行決定的名稱有 85 個對不上；在一個真實部署（Bank of Anthos）上，融合執行期觀測後業務呼叫與資料層覆蓋率都達到 100%；關閉 repo 範例來源時，最後兩條業務邊由對話補齊。未來工作包括：請不熟悉受測系統的操作者回答名稱問題，量測詢問操作者的實際正確率；在 TeaStore 上完成執行期驗證，量化靜態與執行期的互補；以小型使用者研究檢驗信心分級是否改善讀者的決策；以及以相依圖產生部署順序，並以執行期證據驗證。</w:t>
      </w:r>
    </w:p>
    <w:p>
      <w:pPr>
        <w:pStyle w:val="Heading1"/>
      </w:pPr>
      <w:r>
        <w:t xml:space="preserve">附錄：56 條抽取與合併規則</w:t>
      </w:r>
    </w:p>
    <w:p>
      <w:pPr>
        <w:pStyle w:val="BodyText"/>
      </w:pPr>
      <w:r>
        <w:t xml:space="preserve">表 X 是第 III-D 節所述規則的全表（第 1 至 14 條為初稿時的規則，第 15 至 23 條為第二輪新增，第 24 至 35 條為三個 hold-out 系統逼出的第三輪，第 36 至 46 條為第二組 hold-out 兩個系統逼出的第四輪，第 47 至 56 條為第三組 hold-out 與六個新文法逼出的第五輪）。每一條都是在某個受測系統上追查差異時歸納出來的，沒有一條寫死專案名；「觸發」欄是第一次逼出這條規則的系統，「位置」欄是實作它的元件。最後兩欄回答「這是不是把例子列舉一遍」：靜態層在每條規則改變結果的地方（畫出、不畫或改等級一條邊，建立、合併或壓掉一個節點，解開一個名稱；純解析的規則數它解析的檔案）留下記錄，把規則 1 至 46 原封不動地跑在全部 20 個系統上，「系統數」是這條規則至少改變一次結果的系統數（robot-shop 的兩個 checkout 算一個），「命中」是它在 20 個系統上改變的不同事物的總數。46 條中有 20 條在 5 個以上的系統上觸發、15 條在 2 至 4 個、10 條只在歸納它的那個系統上觸發（其中 7 條綁在只出現一次的技術上：Kotlin、Envoy、YARP、.NET 連線字串、nginx 變數、SOAP 命名空間、Python 套件庫）、1 條（第 26 條）從未觸發——它說的連線 scheme 在 20 個系統上都與主機名稱的判定一致，在歸納它的 mall-swarm 上第 25 條先解開了別名，它成了從未用到的保險。</w:t>
      </w:r>
    </w:p>
    <w:p>
      <w:pPr>
        <w:pStyle w:val="TableCaption"/>
      </w:pPr>
      <w:r>
        <w:t xml:space="preserve">表 XI　56 條抽取與合併規則（全表）</w:t>
      </w:r>
    </w:p>
    <w:tbl>
      <w:tblPr>
        <w:tblW w:w="5040" w:type="dxa"/>
        <w:jc w:val="center"/>
        <w:tblBorders>
          <w:top w:val="single" w:sz="6" w:space="0" w:color="000000"/>
          <w:bottom w:val="single" w:sz="6" w:space="0" w:color="000000"/>
        </w:tblBorders>
        <w:tblLayout w:type="fixed"/>
        <w:tblCellMar>
          <w:top w:w="20" w:type="dxa"/>
          <w:left w:w="70" w:type="dxa"/>
          <w:bottom w:w="20" w:type="dxa"/>
          <w:right w:w="70" w:type="dxa"/>
        </w:tblCellMar>
      </w:tblPr>
      <w:tblGrid>
        <w:gridCol w:w="300"/>
        <w:gridCol w:w="2300"/>
        <w:gridCol w:w="1000"/>
        <w:gridCol w:w="640"/>
        <w:gridCol w:w="400"/>
        <w:gridCol w:w="400"/>
      </w:tblGrid>
      <w:tr>
        <w:trPr>
          <w:tblHeader/>
          <w:cantSplit/>
        </w:trPr>
        <w:tc>
          <w:tcPr>
            <w:tcW w:w="300" w:type="dxa"/>
            <w:tcBorders>
              <w:bottom w:val="single" w:sz="4" w:space="0" w:color="000000"/>
            </w:tcBorders>
          </w:tcPr>
          <w:p>
            <w:pPr>
              <w:pStyle w:val="TableCell"/>
              <w:keepNext/>
              <w:ind w:firstLine="0"/>
              <w:jc w:val="left"/>
            </w:pPr>
            <w:r>
              <w:rPr>
                <w:b/>
                <w:bCs/>
              </w:rPr>
              <w:t xml:space="preserve">#</w:t>
            </w:r>
          </w:p>
        </w:tc>
        <w:tc>
          <w:tcPr>
            <w:tcW w:w="2300" w:type="dxa"/>
            <w:tcBorders>
              <w:bottom w:val="single" w:sz="4" w:space="0" w:color="000000"/>
            </w:tcBorders>
          </w:tcPr>
          <w:p>
            <w:pPr>
              <w:pStyle w:val="TableCell"/>
              <w:keepNext/>
              <w:ind w:firstLine="0"/>
              <w:jc w:val="left"/>
            </w:pPr>
            <w:r>
              <w:rPr>
                <w:b/>
                <w:bCs/>
              </w:rPr>
              <w:t xml:space="preserve">規則</w:t>
            </w:r>
          </w:p>
        </w:tc>
        <w:tc>
          <w:tcPr>
            <w:tcW w:w="1000" w:type="dxa"/>
            <w:tcBorders>
              <w:bottom w:val="single" w:sz="4" w:space="0" w:color="000000"/>
            </w:tcBorders>
          </w:tcPr>
          <w:p>
            <w:pPr>
              <w:pStyle w:val="TableCell"/>
              <w:keepNext/>
              <w:ind w:firstLine="0"/>
              <w:jc w:val="left"/>
            </w:pPr>
            <w:r>
              <w:rPr>
                <w:b/>
                <w:bCs/>
              </w:rPr>
              <w:t xml:space="preserve">觸發</w:t>
            </w:r>
          </w:p>
        </w:tc>
        <w:tc>
          <w:tcPr>
            <w:tcW w:w="640" w:type="dxa"/>
            <w:tcBorders>
              <w:bottom w:val="single" w:sz="4" w:space="0" w:color="000000"/>
            </w:tcBorders>
          </w:tcPr>
          <w:p>
            <w:pPr>
              <w:pStyle w:val="TableCell"/>
              <w:keepNext/>
              <w:ind w:firstLine="0"/>
              <w:jc w:val="left"/>
            </w:pPr>
            <w:r>
              <w:rPr>
                <w:b/>
                <w:bCs/>
              </w:rPr>
              <w:t xml:space="preserve">位置</w:t>
            </w:r>
          </w:p>
        </w:tc>
        <w:tc>
          <w:tcPr>
            <w:tcW w:w="400" w:type="dxa"/>
            <w:tcBorders>
              <w:bottom w:val="single" w:sz="4" w:space="0" w:color="000000"/>
            </w:tcBorders>
          </w:tcPr>
          <w:p>
            <w:pPr>
              <w:pStyle w:val="TableCell"/>
              <w:keepNext/>
              <w:ind w:firstLine="0"/>
              <w:jc w:val="left"/>
            </w:pPr>
            <w:r>
              <w:rPr>
                <w:b/>
                <w:bCs/>
              </w:rPr>
              <w:t xml:space="preserve">系統數</w:t>
            </w:r>
          </w:p>
        </w:tc>
        <w:tc>
          <w:tcPr>
            <w:tcW w:w="400" w:type="dxa"/>
            <w:tcBorders>
              <w:bottom w:val="single" w:sz="4" w:space="0" w:color="000000"/>
            </w:tcBorders>
          </w:tcPr>
          <w:p>
            <w:pPr>
              <w:pStyle w:val="TableCell"/>
              <w:keepNext/>
              <w:ind w:firstLine="0"/>
              <w:jc w:val="left"/>
            </w:pPr>
            <w:r>
              <w:rPr>
                <w:b/>
                <w:bCs/>
              </w:rPr>
              <w:t xml:space="preserve">命中</w:t>
            </w:r>
          </w:p>
        </w:tc>
      </w:tr>
      <w:tr>
        <w:trPr>
          <w:cantSplit/>
        </w:trPr>
        <w:tc>
          <w:tcPr>
            <w:tcW w:w="300" w:type="dxa"/>
          </w:tcPr>
          <w:p>
            <w:pPr>
              <w:pStyle w:val="TableCell"/>
              <w:keepNext/>
              <w:ind w:firstLine="0"/>
              <w:jc w:val="left"/>
            </w:pPr>
            <w:r>
              <w:t xml:space="preserve">1</w:t>
            </w:r>
          </w:p>
        </w:tc>
        <w:tc>
          <w:tcPr>
            <w:tcW w:w="2300" w:type="dxa"/>
          </w:tcPr>
          <w:p>
            <w:pPr>
              <w:pStyle w:val="TableCell"/>
              <w:keepNext/>
              <w:ind w:firstLine="0"/>
              <w:jc w:val="left"/>
            </w:pPr>
            <w:r>
              <w:t xml:space="preserve">manifest 的 workload 名稱（Deployment、StatefulSet、DaemonSet、Job）是無叢集模式的服務名稱清單；模組目錄以完全相同或「-部署名」結尾對上 workload；對不上的模組（函式庫、基底映像）不預先當節點，有邊碰到才出現</w:t>
            </w:r>
          </w:p>
        </w:tc>
        <w:tc>
          <w:tcPr>
            <w:tcW w:w="1000" w:type="dxa"/>
          </w:tcPr>
          <w:p>
            <w:pPr>
              <w:pStyle w:val="TableCell"/>
              <w:keepNext/>
              <w:ind w:firstLine="0"/>
              <w:jc w:val="left"/>
            </w:pPr>
            <w:r>
              <w:t xml:space="preserve">ewolff、TeaStore、Online Boutique</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10</w:t>
            </w:r>
          </w:p>
        </w:tc>
        <w:tc>
          <w:tcPr>
            <w:tcW w:w="400" w:type="dxa"/>
          </w:tcPr>
          <w:p>
            <w:pPr>
              <w:pStyle w:val="TableCell"/>
              <w:keepNext/>
              <w:ind w:firstLine="0"/>
              <w:jc w:val="left"/>
            </w:pPr>
            <w:r>
              <w:t xml:space="preserve">221</w:t>
            </w:r>
          </w:p>
        </w:tc>
      </w:tr>
      <w:tr>
        <w:trPr>
          <w:cantSplit/>
        </w:trPr>
        <w:tc>
          <w:tcPr>
            <w:tcW w:w="300" w:type="dxa"/>
          </w:tcPr>
          <w:p>
            <w:pPr>
              <w:pStyle w:val="TableCell"/>
              <w:keepNext/>
              <w:ind w:firstLine="0"/>
              <w:jc w:val="left"/>
            </w:pPr>
            <w:r>
              <w:t xml:space="preserve">2</w:t>
            </w:r>
          </w:p>
        </w:tc>
        <w:tc>
          <w:tcPr>
            <w:tcW w:w="2300" w:type="dxa"/>
          </w:tcPr>
          <w:p>
            <w:pPr>
              <w:pStyle w:val="TableCell"/>
              <w:keepNext/>
              <w:ind w:firstLine="0"/>
              <w:jc w:val="left"/>
            </w:pPr>
            <w:r>
              <w:t xml:space="preserve">模組目錄名正規化：反向網域名（tools.descartes.teastore.webui）的「.」換成「-」；src、app 這類包裝目錄往上找；*-tests、e2e 不是服務；含兩個以上子模組的父目錄是聚合，不是服務；往上找到聚合目錄就停在它下面一層（services/app/server → app）</w:t>
            </w:r>
          </w:p>
        </w:tc>
        <w:tc>
          <w:tcPr>
            <w:tcW w:w="1000" w:type="dxa"/>
          </w:tcPr>
          <w:p>
            <w:pPr>
              <w:pStyle w:val="TableCell"/>
              <w:keepNext/>
              <w:ind w:firstLine="0"/>
              <w:jc w:val="left"/>
            </w:pPr>
            <w:r>
              <w:t xml:space="preserve">TeaStore、Online Boutique、ewolff</w:t>
            </w:r>
          </w:p>
        </w:tc>
        <w:tc>
          <w:tcPr>
            <w:tcW w:w="640" w:type="dxa"/>
          </w:tcPr>
          <w:p>
            <w:pPr>
              <w:pStyle w:val="TableCell"/>
              <w:keepNext/>
              <w:ind w:firstLine="0"/>
              <w:jc w:val="left"/>
            </w:pPr>
            <w:r>
              <w:t xml:space="preserve">ServiceRootScanner</w:t>
            </w:r>
          </w:p>
        </w:tc>
        <w:tc>
          <w:tcPr>
            <w:tcW w:w="400" w:type="dxa"/>
          </w:tcPr>
          <w:p>
            <w:pPr>
              <w:pStyle w:val="TableCell"/>
              <w:keepNext/>
              <w:ind w:firstLine="0"/>
              <w:jc w:val="left"/>
            </w:pPr>
            <w:r>
              <w:t xml:space="preserve">13</w:t>
            </w:r>
          </w:p>
        </w:tc>
        <w:tc>
          <w:tcPr>
            <w:tcW w:w="400" w:type="dxa"/>
          </w:tcPr>
          <w:p>
            <w:pPr>
              <w:pStyle w:val="TableCell"/>
              <w:keepNext/>
              <w:ind w:firstLine="0"/>
              <w:jc w:val="left"/>
            </w:pPr>
            <w:r>
              <w:t xml:space="preserve">80</w:t>
            </w:r>
          </w:p>
        </w:tc>
      </w:tr>
      <w:tr>
        <w:trPr>
          <w:cantSplit/>
        </w:trPr>
        <w:tc>
          <w:tcPr>
            <w:tcW w:w="300" w:type="dxa"/>
          </w:tcPr>
          <w:p>
            <w:pPr>
              <w:pStyle w:val="TableCell"/>
              <w:keepNext/>
              <w:ind w:firstLine="0"/>
              <w:jc w:val="left"/>
            </w:pPr>
            <w:r>
              <w:t xml:space="preserve">3</w:t>
            </w:r>
          </w:p>
        </w:tc>
        <w:tc>
          <w:tcPr>
            <w:tcW w:w="2300" w:type="dxa"/>
          </w:tcPr>
          <w:p>
            <w:pPr>
              <w:pStyle w:val="TableCell"/>
              <w:keepNext/>
              <w:ind w:firstLine="0"/>
              <w:jc w:val="left"/>
            </w:pPr>
            <w:r>
              <w:t xml:space="preserve">Spring Cloud Config 倉庫版面：不叫 application 的 Spring 形狀 yml 也讀，檔名對到服務就歸該服務；旁邊的共用 application.yml 攤到每個 config client</w:t>
            </w:r>
          </w:p>
        </w:tc>
        <w:tc>
          <w:tcPr>
            <w:tcW w:w="1000" w:type="dxa"/>
          </w:tcPr>
          <w:p>
            <w:pPr>
              <w:pStyle w:val="TableCell"/>
              <w:keepNext/>
              <w:ind w:firstLine="0"/>
              <w:jc w:val="left"/>
            </w:pPr>
            <w:r>
              <w:t xml:space="preserve">piggymetrics</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5</w:t>
            </w:r>
          </w:p>
        </w:tc>
        <w:tc>
          <w:tcPr>
            <w:tcW w:w="400" w:type="dxa"/>
          </w:tcPr>
          <w:p>
            <w:pPr>
              <w:pStyle w:val="TableCell"/>
              <w:keepNext/>
              <w:ind w:firstLine="0"/>
              <w:jc w:val="left"/>
            </w:pPr>
            <w:r>
              <w:t xml:space="preserve">89</w:t>
            </w:r>
          </w:p>
        </w:tc>
      </w:tr>
      <w:tr>
        <w:trPr>
          <w:cantSplit/>
        </w:trPr>
        <w:tc>
          <w:tcPr>
            <w:tcW w:w="300" w:type="dxa"/>
          </w:tcPr>
          <w:p>
            <w:pPr>
              <w:pStyle w:val="TableCell"/>
              <w:keepNext/>
              <w:ind w:firstLine="0"/>
              <w:jc w:val="left"/>
            </w:pPr>
            <w:r>
              <w:t xml:space="preserve">4</w:t>
            </w:r>
          </w:p>
        </w:tc>
        <w:tc>
          <w:tcPr>
            <w:tcW w:w="2300" w:type="dxa"/>
          </w:tcPr>
          <w:p>
            <w:pPr>
              <w:pStyle w:val="TableCell"/>
              <w:keepNext/>
              <w:ind w:firstLine="0"/>
              <w:jc w:val="left"/>
            </w:pPr>
            <w:r>
              <w:t xml:space="preserve">佔位符依序查環境變數、屬性表、${key:default} 的預設值，最後才用變數名本身（如 ${CATALOGUE_HOST} → catalogue），這一步標為僅推測</w:t>
            </w:r>
          </w:p>
        </w:tc>
        <w:tc>
          <w:tcPr>
            <w:tcW w:w="1000" w:type="dxa"/>
          </w:tcPr>
          <w:p>
            <w:pPr>
              <w:pStyle w:val="TableCell"/>
              <w:keepNext/>
              <w:ind w:firstLine="0"/>
              <w:jc w:val="left"/>
            </w:pPr>
            <w:r>
              <w:t xml:space="preserve">piggymetrics、ewolff、robot-shop</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13</w:t>
            </w:r>
          </w:p>
        </w:tc>
        <w:tc>
          <w:tcPr>
            <w:tcW w:w="400" w:type="dxa"/>
          </w:tcPr>
          <w:p>
            <w:pPr>
              <w:pStyle w:val="TableCell"/>
              <w:keepNext/>
              <w:ind w:firstLine="0"/>
              <w:jc w:val="left"/>
            </w:pPr>
            <w:r>
              <w:t xml:space="preserve">168</w:t>
            </w:r>
          </w:p>
        </w:tc>
      </w:tr>
      <w:tr>
        <w:trPr>
          <w:cantSplit/>
        </w:trPr>
        <w:tc>
          <w:tcPr>
            <w:tcW w:w="300" w:type="dxa"/>
          </w:tcPr>
          <w:p>
            <w:pPr>
              <w:pStyle w:val="TableCell"/>
              <w:keepNext/>
              <w:ind w:firstLine="0"/>
              <w:jc w:val="left"/>
            </w:pPr>
            <w:r>
              <w:t xml:space="preserve">5</w:t>
            </w:r>
          </w:p>
        </w:tc>
        <w:tc>
          <w:tcPr>
            <w:tcW w:w="2300" w:type="dxa"/>
          </w:tcPr>
          <w:p>
            <w:pPr>
              <w:pStyle w:val="TableCell"/>
              <w:keepNext/>
              <w:ind w:firstLine="0"/>
              <w:jc w:val="left"/>
            </w:pPr>
            <w:r>
              <w:t xml:space="preserve">裸主機名也是目標：spring.data.mongodb.host、zuul.routes.x.serviceId、DB_HOST 這類沒有 port 的值，變數名已說明它是主機；但值本身要長得像主機（DNS 名，可帶 port），agent::app 這種服務名不是</w:t>
            </w:r>
          </w:p>
        </w:tc>
        <w:tc>
          <w:tcPr>
            <w:tcW w:w="1000" w:type="dxa"/>
          </w:tcPr>
          <w:p>
            <w:pPr>
              <w:pStyle w:val="TableCell"/>
              <w:keepNext/>
              <w:ind w:firstLine="0"/>
              <w:jc w:val="left"/>
            </w:pPr>
            <w:r>
              <w:t xml:space="preserve">piggymetrics、TeaStore、robot-shop</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12</w:t>
            </w:r>
          </w:p>
        </w:tc>
        <w:tc>
          <w:tcPr>
            <w:tcW w:w="400" w:type="dxa"/>
          </w:tcPr>
          <w:p>
            <w:pPr>
              <w:pStyle w:val="TableCell"/>
              <w:keepNext/>
              <w:ind w:firstLine="0"/>
              <w:jc w:val="left"/>
            </w:pPr>
            <w:r>
              <w:t xml:space="preserve">127</w:t>
            </w:r>
          </w:p>
        </w:tc>
      </w:tr>
      <w:tr>
        <w:trPr>
          <w:cantSplit/>
        </w:trPr>
        <w:tc>
          <w:tcPr>
            <w:tcW w:w="300" w:type="dxa"/>
          </w:tcPr>
          <w:p>
            <w:pPr>
              <w:pStyle w:val="TableCell"/>
              <w:keepNext/>
              <w:ind w:firstLine="0"/>
              <w:jc w:val="left"/>
            </w:pPr>
            <w:r>
              <w:t xml:space="preserve">6</w:t>
            </w:r>
          </w:p>
        </w:tc>
        <w:tc>
          <w:tcPr>
            <w:tcW w:w="2300" w:type="dxa"/>
          </w:tcPr>
          <w:p>
            <w:pPr>
              <w:pStyle w:val="TableCell"/>
              <w:keepNext/>
              <w:ind w:firstLine="0"/>
              <w:jc w:val="left"/>
            </w:pPr>
            <w:r>
              <w:t xml:space="preserve">反向代理設定是入口的邊清單：Apache ProxyPass、nginx proxy_pass 的上游視為入口的呼叫</w:t>
            </w:r>
          </w:p>
        </w:tc>
        <w:tc>
          <w:tcPr>
            <w:tcW w:w="1000" w:type="dxa"/>
          </w:tcPr>
          <w:p>
            <w:pPr>
              <w:pStyle w:val="TableCell"/>
              <w:keepNext/>
              <w:ind w:firstLine="0"/>
              <w:jc w:val="left"/>
            </w:pPr>
            <w:r>
              <w:t xml:space="preserve">ewolff、robot-shop</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5</w:t>
            </w:r>
          </w:p>
        </w:tc>
        <w:tc>
          <w:tcPr>
            <w:tcW w:w="400" w:type="dxa"/>
          </w:tcPr>
          <w:p>
            <w:pPr>
              <w:pStyle w:val="TableCell"/>
              <w:keepNext/>
              <w:ind w:firstLine="0"/>
              <w:jc w:val="left"/>
            </w:pPr>
            <w:r>
              <w:t xml:space="preserve">40</w:t>
            </w:r>
          </w:p>
        </w:tc>
      </w:tr>
      <w:tr>
        <w:trPr>
          <w:cantSplit/>
        </w:trPr>
        <w:tc>
          <w:tcPr>
            <w:tcW w:w="300" w:type="dxa"/>
          </w:tcPr>
          <w:p>
            <w:pPr>
              <w:pStyle w:val="TableCell"/>
              <w:keepNext/>
              <w:ind w:firstLine="0"/>
              <w:jc w:val="left"/>
            </w:pPr>
            <w:r>
              <w:t xml:space="preserve">7</w:t>
            </w:r>
          </w:p>
        </w:tc>
        <w:tc>
          <w:tcPr>
            <w:tcW w:w="2300" w:type="dxa"/>
          </w:tcPr>
          <w:p>
            <w:pPr>
              <w:pStyle w:val="TableCell"/>
              <w:keepNext/>
              <w:ind w:firstLine="0"/>
              <w:jc w:val="left"/>
            </w:pPr>
            <w:r>
              <w:t xml:space="preserve">Compose 描述的是服務之間的連線設定，不是某個服務的設定：services.&lt;x&gt;.environment 進環境變數表；depends_on 的目標也建立節點；Compose 名對 workload 以去掉 -container 字尾或唯一字尾對應</w:t>
            </w:r>
          </w:p>
        </w:tc>
        <w:tc>
          <w:tcPr>
            <w:tcW w:w="1000" w:type="dxa"/>
          </w:tcPr>
          <w:p>
            <w:pPr>
              <w:pStyle w:val="TableCell"/>
              <w:keepNext/>
              <w:ind w:firstLine="0"/>
              <w:jc w:val="left"/>
            </w:pPr>
            <w:r>
              <w:t xml:space="preserve">TeaStore、robot-shop、ecommerce</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9</w:t>
            </w:r>
          </w:p>
        </w:tc>
        <w:tc>
          <w:tcPr>
            <w:tcW w:w="400" w:type="dxa"/>
          </w:tcPr>
          <w:p>
            <w:pPr>
              <w:pStyle w:val="TableCell"/>
              <w:keepNext/>
              <w:ind w:firstLine="0"/>
              <w:jc w:val="left"/>
            </w:pPr>
            <w:r>
              <w:t xml:space="preserve">189</w:t>
            </w:r>
          </w:p>
        </w:tc>
      </w:tr>
      <w:tr>
        <w:trPr>
          <w:cantSplit/>
        </w:trPr>
        <w:tc>
          <w:tcPr>
            <w:tcW w:w="300" w:type="dxa"/>
          </w:tcPr>
          <w:p>
            <w:pPr>
              <w:pStyle w:val="TableCell"/>
              <w:keepNext/>
              <w:ind w:firstLine="0"/>
              <w:jc w:val="left"/>
            </w:pPr>
            <w:r>
              <w:t xml:space="preserve">8</w:t>
            </w:r>
          </w:p>
        </w:tc>
        <w:tc>
          <w:tcPr>
            <w:tcW w:w="2300" w:type="dxa"/>
          </w:tcPr>
          <w:p>
            <w:pPr>
              <w:pStyle w:val="TableCell"/>
              <w:keepNext/>
              <w:ind w:firstLine="0"/>
              <w:jc w:val="left"/>
            </w:pPr>
            <w:r>
              <w:t xml:space="preserve">不是目標的東西不畫：localhost 與 127.0.0.1 永遠不是節點；Feign 的 contextId、path、fallback 是 bean 設定；Feign 宣告了 url 時 name 只是 bean id；值不是位址的設定列不算「解不開」</w:t>
            </w:r>
          </w:p>
        </w:tc>
        <w:tc>
          <w:tcPr>
            <w:tcW w:w="1000" w:type="dxa"/>
          </w:tcPr>
          <w:p>
            <w:pPr>
              <w:pStyle w:val="TableCell"/>
              <w:keepNext/>
              <w:ind w:firstLine="0"/>
              <w:jc w:val="left"/>
            </w:pPr>
            <w:r>
              <w:t xml:space="preserve">ecommerce、piggymetrics、TeaStore</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16</w:t>
            </w:r>
          </w:p>
        </w:tc>
        <w:tc>
          <w:tcPr>
            <w:tcW w:w="400" w:type="dxa"/>
          </w:tcPr>
          <w:p>
            <w:pPr>
              <w:pStyle w:val="TableCell"/>
              <w:keepNext/>
              <w:ind w:firstLine="0"/>
              <w:jc w:val="left"/>
            </w:pPr>
            <w:r>
              <w:t xml:space="preserve">160</w:t>
            </w:r>
          </w:p>
        </w:tc>
      </w:tr>
      <w:tr>
        <w:trPr>
          <w:cantSplit/>
        </w:trPr>
        <w:tc>
          <w:tcPr>
            <w:tcW w:w="300" w:type="dxa"/>
          </w:tcPr>
          <w:p>
            <w:pPr>
              <w:pStyle w:val="TableCell"/>
              <w:keepNext/>
              <w:ind w:firstLine="0"/>
              <w:jc w:val="left"/>
            </w:pPr>
            <w:r>
              <w:t xml:space="preserve">9</w:t>
            </w:r>
          </w:p>
        </w:tc>
        <w:tc>
          <w:tcPr>
            <w:tcW w:w="2300" w:type="dxa"/>
          </w:tcPr>
          <w:p>
            <w:pPr>
              <w:pStyle w:val="TableCell"/>
              <w:keepNext/>
              <w:ind w:firstLine="0"/>
              <w:jc w:val="left"/>
            </w:pPr>
            <w:r>
              <w:t xml:space="preserve">宣告不等於使用：static final String 的 URL 常數若在自己模組內沒有任何引用就不畫邊；@Entity、@Table 屬 Java 標準（JPA）而非 Spring；JAX-RS 的 @Path 視為 HTTP 伺服端</w:t>
            </w:r>
          </w:p>
        </w:tc>
        <w:tc>
          <w:tcPr>
            <w:tcW w:w="1000" w:type="dxa"/>
          </w:tcPr>
          <w:p>
            <w:pPr>
              <w:pStyle w:val="TableCell"/>
              <w:keepNext/>
              <w:ind w:firstLine="0"/>
              <w:jc w:val="left"/>
            </w:pPr>
            <w:r>
              <w:t xml:space="preserve">ecommerce、TeaStore</w:t>
            </w:r>
          </w:p>
        </w:tc>
        <w:tc>
          <w:tcPr>
            <w:tcW w:w="640" w:type="dxa"/>
          </w:tcPr>
          <w:p>
            <w:pPr>
              <w:pStyle w:val="TableCell"/>
              <w:keepNext/>
              <w:ind w:firstLine="0"/>
              <w:jc w:val="left"/>
            </w:pPr>
            <w:r>
              <w:t xml:space="preserve">TreeSitterExtractor、查詢檔</w:t>
            </w:r>
          </w:p>
        </w:tc>
        <w:tc>
          <w:tcPr>
            <w:tcW w:w="400" w:type="dxa"/>
          </w:tcPr>
          <w:p>
            <w:pPr>
              <w:pStyle w:val="TableCell"/>
              <w:keepNext/>
              <w:ind w:firstLine="0"/>
              <w:jc w:val="left"/>
            </w:pPr>
            <w:r>
              <w:t xml:space="preserve">15</w:t>
            </w:r>
          </w:p>
        </w:tc>
        <w:tc>
          <w:tcPr>
            <w:tcW w:w="400" w:type="dxa"/>
          </w:tcPr>
          <w:p>
            <w:pPr>
              <w:pStyle w:val="TableCell"/>
              <w:keepNext/>
              <w:ind w:firstLine="0"/>
              <w:jc w:val="left"/>
            </w:pPr>
            <w:r>
              <w:t xml:space="preserve">282</w:t>
            </w:r>
          </w:p>
        </w:tc>
      </w:tr>
      <w:tr>
        <w:trPr>
          <w:cantSplit/>
        </w:trPr>
        <w:tc>
          <w:tcPr>
            <w:tcW w:w="300" w:type="dxa"/>
          </w:tcPr>
          <w:p>
            <w:pPr>
              <w:pStyle w:val="TableCell"/>
              <w:keepNext/>
              <w:ind w:firstLine="0"/>
              <w:jc w:val="left"/>
            </w:pPr>
            <w:r>
              <w:t xml:space="preserve">10</w:t>
            </w:r>
          </w:p>
        </w:tc>
        <w:tc>
          <w:tcPr>
            <w:tcW w:w="2300" w:type="dxa"/>
          </w:tcPr>
          <w:p>
            <w:pPr>
              <w:pStyle w:val="TableCell"/>
              <w:keepNext/>
              <w:ind w:firstLine="0"/>
              <w:jc w:val="left"/>
            </w:pPr>
            <w:r>
              <w:t xml:space="preserve">只認「部署了這個 repo 自己模組」的 manifest 目錄：repo 附帶的監控堆疊與選配元件（prometheus、grafana、jaeger、pgpool operator…）不進名稱清單；一個目錄要有至少一個 workload 對得上 repo 的模組才算</w:t>
            </w:r>
          </w:p>
        </w:tc>
        <w:tc>
          <w:tcPr>
            <w:tcW w:w="1000" w:type="dxa"/>
          </w:tcPr>
          <w:p>
            <w:pPr>
              <w:pStyle w:val="TableCell"/>
              <w:keepNext/>
              <w:ind w:firstLine="0"/>
              <w:jc w:val="left"/>
            </w:pPr>
            <w:r>
              <w:t xml:space="preserve">train-ticket、Bank of Anthos</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8</w:t>
            </w:r>
          </w:p>
        </w:tc>
        <w:tc>
          <w:tcPr>
            <w:tcW w:w="400" w:type="dxa"/>
          </w:tcPr>
          <w:p>
            <w:pPr>
              <w:pStyle w:val="TableCell"/>
              <w:keepNext/>
              <w:ind w:firstLine="0"/>
              <w:jc w:val="left"/>
            </w:pPr>
            <w:r>
              <w:t xml:space="preserve">103</w:t>
            </w:r>
          </w:p>
        </w:tc>
      </w:tr>
      <w:tr>
        <w:trPr>
          <w:cantSplit/>
        </w:trPr>
        <w:tc>
          <w:tcPr>
            <w:tcW w:w="300" w:type="dxa"/>
          </w:tcPr>
          <w:p>
            <w:pPr>
              <w:pStyle w:val="TableCell"/>
              <w:keepNext/>
              <w:ind w:firstLine="0"/>
              <w:jc w:val="left"/>
            </w:pPr>
            <w:r>
              <w:t xml:space="preserve">11</w:t>
            </w:r>
          </w:p>
        </w:tc>
        <w:tc>
          <w:tcPr>
            <w:tcW w:w="2300" w:type="dxa"/>
          </w:tcPr>
          <w:p>
            <w:pPr>
              <w:pStyle w:val="TableCell"/>
              <w:keepNext/>
              <w:ind w:firstLine="0"/>
              <w:jc w:val="left"/>
            </w:pPr>
            <w:r>
              <w:t xml:space="preserve">Compose 的 services 也是部署名稱清單，與 Kubernetes workload 同級；但有 manifest 時完全不看 Compose 名，避免同一服務出現兩種拼法</w:t>
            </w:r>
          </w:p>
        </w:tc>
        <w:tc>
          <w:tcPr>
            <w:tcW w:w="1000" w:type="dxa"/>
          </w:tcPr>
          <w:p>
            <w:pPr>
              <w:pStyle w:val="TableCell"/>
              <w:keepNext/>
              <w:ind w:firstLine="0"/>
              <w:jc w:val="left"/>
            </w:pPr>
            <w:r>
              <w:t xml:space="preserve">spring-petclinic、microservices-book、Tap-And-Eat、spring-cloud-microservice</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16</w:t>
            </w:r>
          </w:p>
        </w:tc>
        <w:tc>
          <w:tcPr>
            <w:tcW w:w="400" w:type="dxa"/>
          </w:tcPr>
          <w:p>
            <w:pPr>
              <w:pStyle w:val="TableCell"/>
              <w:keepNext/>
              <w:ind w:firstLine="0"/>
              <w:jc w:val="left"/>
            </w:pPr>
            <w:r>
              <w:t xml:space="preserve">204</w:t>
            </w:r>
          </w:p>
        </w:tc>
      </w:tr>
      <w:tr>
        <w:trPr>
          <w:cantSplit/>
        </w:trPr>
        <w:tc>
          <w:tcPr>
            <w:tcW w:w="300" w:type="dxa"/>
          </w:tcPr>
          <w:p>
            <w:pPr>
              <w:pStyle w:val="TableCell"/>
              <w:keepNext/>
              <w:ind w:firstLine="0"/>
              <w:jc w:val="left"/>
            </w:pPr>
            <w:r>
              <w:t xml:space="preserve">12</w:t>
            </w:r>
          </w:p>
        </w:tc>
        <w:tc>
          <w:tcPr>
            <w:tcW w:w="2300" w:type="dxa"/>
          </w:tcPr>
          <w:p>
            <w:pPr>
              <w:pStyle w:val="TableCell"/>
              <w:keepNext/>
              <w:ind w:firstLine="0"/>
              <w:jc w:val="left"/>
            </w:pPr>
            <w:r>
              <w:t xml:space="preserve">也認 Compose 第 1 版格式（沒有 services:，頂層即服務，須有 image 或 build）與 links:（服務:別名，取冒號前）</w:t>
            </w:r>
          </w:p>
        </w:tc>
        <w:tc>
          <w:tcPr>
            <w:tcW w:w="1000" w:type="dxa"/>
          </w:tcPr>
          <w:p>
            <w:pPr>
              <w:pStyle w:val="TableCell"/>
              <w:keepNext/>
              <w:ind w:firstLine="0"/>
              <w:jc w:val="left"/>
            </w:pPr>
            <w:r>
              <w:t xml:space="preserve">Tap-And-Eat、spring-cloud-microservice</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6</w:t>
            </w:r>
          </w:p>
        </w:tc>
        <w:tc>
          <w:tcPr>
            <w:tcW w:w="400" w:type="dxa"/>
          </w:tcPr>
          <w:p>
            <w:pPr>
              <w:pStyle w:val="TableCell"/>
              <w:keepNext/>
              <w:ind w:firstLine="0"/>
              <w:jc w:val="left"/>
            </w:pPr>
            <w:r>
              <w:t xml:space="preserve">82</w:t>
            </w:r>
          </w:p>
        </w:tc>
      </w:tr>
      <w:tr>
        <w:trPr>
          <w:cantSplit/>
        </w:trPr>
        <w:tc>
          <w:tcPr>
            <w:tcW w:w="300" w:type="dxa"/>
          </w:tcPr>
          <w:p>
            <w:pPr>
              <w:pStyle w:val="TableCell"/>
              <w:keepNext/>
              <w:ind w:firstLine="0"/>
              <w:jc w:val="left"/>
            </w:pPr>
            <w:r>
              <w:t xml:space="preserve">13</w:t>
            </w:r>
          </w:p>
        </w:tc>
        <w:tc>
          <w:tcPr>
            <w:tcW w:w="2300" w:type="dxa"/>
          </w:tcPr>
          <w:p>
            <w:pPr>
              <w:pStyle w:val="TableCell"/>
              <w:keepNext/>
              <w:ind w:firstLine="0"/>
              <w:jc w:val="left"/>
            </w:pPr>
            <w:r>
              <w:t xml:space="preserve">XML namespace 不是位址：URL 字面值所在行或前兩行出現 namespace、schemaLocation、xmlns、soapAction 時不畫邊</w:t>
            </w:r>
          </w:p>
        </w:tc>
        <w:tc>
          <w:tcPr>
            <w:tcW w:w="1000" w:type="dxa"/>
          </w:tcPr>
          <w:p>
            <w:pPr>
              <w:pStyle w:val="TableCell"/>
              <w:keepNext/>
              <w:ind w:firstLine="0"/>
              <w:jc w:val="left"/>
            </w:pPr>
            <w:r>
              <w:t xml:space="preserve">LakesideMutual</w:t>
            </w:r>
          </w:p>
        </w:tc>
        <w:tc>
          <w:tcPr>
            <w:tcW w:w="640" w:type="dxa"/>
          </w:tcPr>
          <w:p>
            <w:pPr>
              <w:pStyle w:val="TableCell"/>
              <w:keepNext/>
              <w:ind w:firstLine="0"/>
              <w:jc w:val="left"/>
            </w:pPr>
            <w:r>
              <w:t xml:space="preserve">TreeSitterExtractor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3</w:t>
            </w:r>
          </w:p>
        </w:tc>
      </w:tr>
      <w:tr>
        <w:trPr>
          <w:cantSplit/>
        </w:trPr>
        <w:tc>
          <w:tcPr>
            <w:tcW w:w="300" w:type="dxa"/>
          </w:tcPr>
          <w:p>
            <w:pPr>
              <w:pStyle w:val="TableCell"/>
              <w:keepNext/>
              <w:ind w:firstLine="0"/>
              <w:jc w:val="left"/>
            </w:pPr>
            <w:r>
              <w:t xml:space="preserve">14</w:t>
            </w:r>
          </w:p>
        </w:tc>
        <w:tc>
          <w:tcPr>
            <w:tcW w:w="2300" w:type="dxa"/>
          </w:tcPr>
          <w:p>
            <w:pPr>
              <w:pStyle w:val="TableCell"/>
              <w:keepNext/>
              <w:ind w:firstLine="0"/>
              <w:jc w:val="left"/>
            </w:pPr>
            <w:r>
              <w:t xml:space="preserve">workload 自己環境變數裡的服務位址是宣告，畫成僅推測；共用 ConfigMap 注入的仍不畫（它會被發給不呼叫它們的 workload）；位址對節點用寬鬆比對（manifest 常注入短名 registry，workload 叫 teastore-registry）</w:t>
            </w:r>
          </w:p>
        </w:tc>
        <w:tc>
          <w:tcPr>
            <w:tcW w:w="1000" w:type="dxa"/>
          </w:tcPr>
          <w:p>
            <w:pPr>
              <w:pStyle w:val="TableCell"/>
              <w:keepNext/>
              <w:ind w:firstLine="0"/>
              <w:jc w:val="left"/>
            </w:pPr>
            <w:r>
              <w:t xml:space="preserve">Online Boutique、Bank of Anthos、TeaStore、LakesideMutual</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11</w:t>
            </w:r>
          </w:p>
        </w:tc>
        <w:tc>
          <w:tcPr>
            <w:tcW w:w="400" w:type="dxa"/>
          </w:tcPr>
          <w:p>
            <w:pPr>
              <w:pStyle w:val="TableCell"/>
              <w:keepNext/>
              <w:ind w:firstLine="0"/>
              <w:jc w:val="left"/>
            </w:pPr>
            <w:r>
              <w:t xml:space="preserve">312</w:t>
            </w:r>
          </w:p>
        </w:tc>
      </w:tr>
      <w:tr>
        <w:trPr>
          <w:cantSplit/>
        </w:trPr>
        <w:tc>
          <w:tcPr>
            <w:tcW w:w="300" w:type="dxa"/>
          </w:tcPr>
          <w:p>
            <w:pPr>
              <w:pStyle w:val="TableCell"/>
              <w:keepNext/>
              <w:ind w:firstLine="0"/>
              <w:jc w:val="left"/>
            </w:pPr>
            <w:r>
              <w:t xml:space="preserve">15</w:t>
            </w:r>
          </w:p>
        </w:tc>
        <w:tc>
          <w:tcPr>
            <w:tcW w:w="2300" w:type="dxa"/>
          </w:tcPr>
          <w:p>
            <w:pPr>
              <w:pStyle w:val="TableCell"/>
              <w:keepNext/>
              <w:ind w:firstLine="0"/>
              <w:jc w:val="left"/>
            </w:pPr>
            <w:r>
              <w:t xml:space="preserve">loopback 位址以 port 讀回擁有者：client 宣告中的 localhost:PORT，若恰好一個模組的 server.port 是 PORT，畫到該模組並標為僅推測；零個或多個擁有者就不畫，localhost 仍不是節點；Spring 的 configserver: 匯入前綴先剝掉</w:t>
            </w:r>
          </w:p>
        </w:tc>
        <w:tc>
          <w:tcPr>
            <w:tcW w:w="1000" w:type="dxa"/>
          </w:tcPr>
          <w:p>
            <w:pPr>
              <w:pStyle w:val="TableCell"/>
              <w:keepNext/>
              <w:ind w:firstLine="0"/>
              <w:jc w:val="left"/>
            </w:pPr>
            <w:r>
              <w:t xml:space="preserve">ecommerce</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5</w:t>
            </w:r>
          </w:p>
        </w:tc>
        <w:tc>
          <w:tcPr>
            <w:tcW w:w="400" w:type="dxa"/>
          </w:tcPr>
          <w:p>
            <w:pPr>
              <w:pStyle w:val="TableCell"/>
              <w:keepNext/>
              <w:ind w:firstLine="0"/>
              <w:jc w:val="left"/>
            </w:pPr>
            <w:r>
              <w:t xml:space="preserve">48</w:t>
            </w:r>
          </w:p>
        </w:tc>
      </w:tr>
      <w:tr>
        <w:trPr>
          <w:cantSplit/>
        </w:trPr>
        <w:tc>
          <w:tcPr>
            <w:tcW w:w="300" w:type="dxa"/>
          </w:tcPr>
          <w:p>
            <w:pPr>
              <w:pStyle w:val="TableCell"/>
              <w:keepNext/>
              <w:ind w:firstLine="0"/>
              <w:jc w:val="left"/>
            </w:pPr>
            <w:r>
              <w:t xml:space="preserve">16</w:t>
            </w:r>
          </w:p>
        </w:tc>
        <w:tc>
          <w:tcPr>
            <w:tcW w:w="2300" w:type="dxa"/>
          </w:tcPr>
          <w:p>
            <w:pPr>
              <w:pStyle w:val="TableCell"/>
              <w:keepNext/>
              <w:ind w:firstLine="0"/>
              <w:jc w:val="left"/>
            </w:pPr>
            <w:r>
              <w:t xml:space="preserve">Spring Cloud 的隱含註冊中心：建置檔有 Eureka client starter、設定中沒有 defaultZone 的模組，連到唯一有 Eureka server starter 的模組，標為僅推測；零個或多個 server 就略過；兩端都要在部署名稱清單中</w:t>
            </w:r>
          </w:p>
        </w:tc>
        <w:tc>
          <w:tcPr>
            <w:tcW w:w="1000" w:type="dxa"/>
          </w:tcPr>
          <w:p>
            <w:pPr>
              <w:pStyle w:val="TableCell"/>
              <w:keepNext/>
              <w:ind w:firstLine="0"/>
              <w:jc w:val="left"/>
            </w:pPr>
            <w:r>
              <w:t xml:space="preserve">ecommerce</w:t>
            </w:r>
          </w:p>
        </w:tc>
        <w:tc>
          <w:tcPr>
            <w:tcW w:w="640" w:type="dxa"/>
          </w:tcPr>
          <w:p>
            <w:pPr>
              <w:pStyle w:val="TableCell"/>
              <w:keepNext/>
              <w:ind w:firstLine="0"/>
              <w:jc w:val="left"/>
            </w:pPr>
            <w:r>
              <w:t xml:space="preserve">ServiceRootScanner、CodeGraphMerger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20</w:t>
            </w:r>
          </w:p>
        </w:tc>
      </w:tr>
      <w:tr>
        <w:trPr>
          <w:cantSplit/>
        </w:trPr>
        <w:tc>
          <w:tcPr>
            <w:tcW w:w="300" w:type="dxa"/>
          </w:tcPr>
          <w:p>
            <w:pPr>
              <w:pStyle w:val="TableCell"/>
              <w:keepNext/>
              <w:ind w:firstLine="0"/>
              <w:jc w:val="left"/>
            </w:pPr>
            <w:r>
              <w:t xml:space="preserve">17</w:t>
            </w:r>
          </w:p>
        </w:tc>
        <w:tc>
          <w:tcPr>
            <w:tcW w:w="2300" w:type="dxa"/>
          </w:tcPr>
          <w:p>
            <w:pPr>
              <w:pStyle w:val="TableCell"/>
              <w:keepNext/>
              <w:ind w:firstLine="0"/>
              <w:jc w:val="left"/>
            </w:pPr>
            <w:r>
              <w:t xml:space="preserve">字串值等於模組名的常數就是被呼叫端：enum 常數或 static final String 的值正規化後等於某模組目錄名，而 Type.NAME 在可部署模組的呼叫點當參數出現，就畫到該服務（有使用證據）；自我引用與共用 client 函式庫中的引用不畫</w:t>
            </w:r>
          </w:p>
        </w:tc>
        <w:tc>
          <w:tcPr>
            <w:tcW w:w="1000" w:type="dxa"/>
          </w:tcPr>
          <w:p>
            <w:pPr>
              <w:pStyle w:val="TableCell"/>
              <w:keepNext/>
              <w:ind w:firstLine="0"/>
              <w:jc w:val="left"/>
            </w:pPr>
            <w:r>
              <w:t xml:space="preserve">TeaStore</w:t>
            </w:r>
          </w:p>
        </w:tc>
        <w:tc>
          <w:tcPr>
            <w:tcW w:w="640" w:type="dxa"/>
          </w:tcPr>
          <w:p>
            <w:pPr>
              <w:pStyle w:val="TableCell"/>
              <w:keepNext/>
              <w:ind w:firstLine="0"/>
              <w:jc w:val="left"/>
            </w:pPr>
            <w:r>
              <w:t xml:space="preserve">查詢檔、CodeGraphMerger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7</w:t>
            </w:r>
          </w:p>
        </w:tc>
      </w:tr>
      <w:tr>
        <w:trPr>
          <w:cantSplit/>
        </w:trPr>
        <w:tc>
          <w:tcPr>
            <w:tcW w:w="300" w:type="dxa"/>
          </w:tcPr>
          <w:p>
            <w:pPr>
              <w:pStyle w:val="TableCell"/>
              <w:keepNext/>
              <w:ind w:firstLine="0"/>
              <w:jc w:val="left"/>
            </w:pPr>
            <w:r>
              <w:t xml:space="preserve">18</w:t>
            </w:r>
          </w:p>
        </w:tc>
        <w:tc>
          <w:tcPr>
            <w:tcW w:w="2300" w:type="dxa"/>
          </w:tcPr>
          <w:p>
            <w:pPr>
              <w:pStyle w:val="TableCell"/>
              <w:keepNext/>
              <w:ind w:firstLine="0"/>
              <w:jc w:val="left"/>
            </w:pPr>
            <w:r>
              <w:t xml:space="preserve">String.format("http://%s/…", getenv("X", "d"))：%s 先以模組自己的環境（Dockerfile ENV、manifest env）填入，再用 getenv 的預設值；Dockerfile 的 ENV 列進環境變數表，範圍是該 Dockerfile 的模組</w:t>
            </w:r>
          </w:p>
        </w:tc>
        <w:tc>
          <w:tcPr>
            <w:tcW w:w="1000" w:type="dxa"/>
          </w:tcPr>
          <w:p>
            <w:pPr>
              <w:pStyle w:val="TableCell"/>
              <w:keepNext/>
              <w:ind w:firstLine="0"/>
              <w:jc w:val="left"/>
            </w:pPr>
            <w:r>
              <w:t xml:space="preserve">robot-shop</w:t>
            </w:r>
          </w:p>
        </w:tc>
        <w:tc>
          <w:tcPr>
            <w:tcW w:w="640" w:type="dxa"/>
          </w:tcPr>
          <w:p>
            <w:pPr>
              <w:pStyle w:val="TableCell"/>
              <w:keepNext/>
              <w:ind w:firstLine="0"/>
              <w:jc w:val="left"/>
            </w:pPr>
            <w:r>
              <w:t xml:space="preserve">查詢檔、ConfigExtractor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21</w:t>
            </w:r>
          </w:p>
        </w:tc>
      </w:tr>
      <w:tr>
        <w:trPr>
          <w:cantSplit/>
        </w:trPr>
        <w:tc>
          <w:tcPr>
            <w:tcW w:w="300" w:type="dxa"/>
          </w:tcPr>
          <w:p>
            <w:pPr>
              <w:pStyle w:val="TableCell"/>
              <w:keepNext/>
              <w:ind w:firstLine="0"/>
              <w:jc w:val="left"/>
            </w:pPr>
            <w:r>
              <w:t xml:space="preserve">19</w:t>
            </w:r>
          </w:p>
        </w:tc>
        <w:tc>
          <w:tcPr>
            <w:tcW w:w="2300" w:type="dxa"/>
          </w:tcPr>
          <w:p>
            <w:pPr>
              <w:pStyle w:val="TableCell"/>
              <w:keepNext/>
              <w:ind w:firstLine="0"/>
              <w:jc w:val="left"/>
            </w:pPr>
            <w:r>
              <w:t xml:space="preserve">帶版本字尾的 Deployment 是某個 Service 的一個版本：X-v&lt;數字&gt; 旁有同名 Service X、或有另一個只差版本的 workload 時，節點名用 X；只剝 -v&lt;數字&gt;，且只在這兩種證據下</w:t>
            </w:r>
          </w:p>
        </w:tc>
        <w:tc>
          <w:tcPr>
            <w:tcW w:w="1000" w:type="dxa"/>
          </w:tcPr>
          <w:p>
            <w:pPr>
              <w:pStyle w:val="TableCell"/>
              <w:keepNext/>
              <w:ind w:firstLine="0"/>
              <w:jc w:val="left"/>
            </w:pPr>
            <w:r>
              <w:t xml:space="preserve">AICS（私有系統）</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20</w:t>
            </w:r>
          </w:p>
        </w:tc>
      </w:tr>
      <w:tr>
        <w:trPr>
          <w:cantSplit/>
        </w:trPr>
        <w:tc>
          <w:tcPr>
            <w:tcW w:w="300" w:type="dxa"/>
          </w:tcPr>
          <w:p>
            <w:pPr>
              <w:pStyle w:val="TableCell"/>
              <w:keepNext/>
              <w:ind w:firstLine="0"/>
              <w:jc w:val="left"/>
            </w:pPr>
            <w:r>
              <w:t xml:space="preserve">20</w:t>
            </w:r>
          </w:p>
        </w:tc>
        <w:tc>
          <w:tcPr>
            <w:tcW w:w="2300" w:type="dxa"/>
          </w:tcPr>
          <w:p>
            <w:pPr>
              <w:pStyle w:val="TableCell"/>
              <w:keepNext/>
              <w:ind w:firstLine="0"/>
              <w:jc w:val="left"/>
            </w:pPr>
            <w:r>
              <w:t xml:space="preserve">環境變數在讀取者自己的範圍解析：模組 X 的 getenv 先查 X 的 workload 自己的 env、X 收到的 ConfigMap、X 的 Dockerfile，都沒有才查全 repo 表，且只在值一致（或恰有一個是已知服務）時採用；範圍內多個不同值視為模糊、不畫</w:t>
            </w:r>
          </w:p>
        </w:tc>
        <w:tc>
          <w:tcPr>
            <w:tcW w:w="1000" w:type="dxa"/>
          </w:tcPr>
          <w:p>
            <w:pPr>
              <w:pStyle w:val="TableCell"/>
              <w:keepNext/>
              <w:ind w:firstLine="0"/>
              <w:jc w:val="left"/>
            </w:pPr>
            <w:r>
              <w:t xml:space="preserve">AICS</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10</w:t>
            </w:r>
          </w:p>
        </w:tc>
        <w:tc>
          <w:tcPr>
            <w:tcW w:w="400" w:type="dxa"/>
          </w:tcPr>
          <w:p>
            <w:pPr>
              <w:pStyle w:val="TableCell"/>
              <w:keepNext/>
              <w:ind w:firstLine="0"/>
              <w:jc w:val="left"/>
            </w:pPr>
            <w:r>
              <w:t xml:space="preserve">114</w:t>
            </w:r>
          </w:p>
        </w:tc>
      </w:tr>
      <w:tr>
        <w:trPr>
          <w:cantSplit/>
        </w:trPr>
        <w:tc>
          <w:tcPr>
            <w:tcW w:w="300" w:type="dxa"/>
          </w:tcPr>
          <w:p>
            <w:pPr>
              <w:pStyle w:val="TableCell"/>
              <w:keepNext/>
              <w:ind w:firstLine="0"/>
              <w:jc w:val="left"/>
            </w:pPr>
            <w:r>
              <w:t xml:space="preserve">21</w:t>
            </w:r>
          </w:p>
        </w:tc>
        <w:tc>
          <w:tcPr>
            <w:tcW w:w="2300" w:type="dxa"/>
          </w:tcPr>
          <w:p>
            <w:pPr>
              <w:pStyle w:val="TableCell"/>
              <w:keepNext/>
              <w:ind w:firstLine="0"/>
              <w:jc w:val="left"/>
            </w:pPr>
            <w:r>
              <w:t xml:space="preserve">函式庫不是服務：只有 setup.py 或 pyproject.toml、沒有 Dockerfile 的 Python 模組不成為節點；其檔案中的呼叫歸給 import 該檔案（含函式庫內部相對 import 的傳遞）的服務；沒人 import 就不畫</w:t>
            </w:r>
          </w:p>
        </w:tc>
        <w:tc>
          <w:tcPr>
            <w:tcW w:w="1000" w:type="dxa"/>
          </w:tcPr>
          <w:p>
            <w:pPr>
              <w:pStyle w:val="TableCell"/>
              <w:keepNext/>
              <w:ind w:firstLine="0"/>
              <w:jc w:val="left"/>
            </w:pPr>
            <w:r>
              <w:t xml:space="preserve">AICS</w:t>
            </w:r>
          </w:p>
        </w:tc>
        <w:tc>
          <w:tcPr>
            <w:tcW w:w="640" w:type="dxa"/>
          </w:tcPr>
          <w:p>
            <w:pPr>
              <w:pStyle w:val="TableCell"/>
              <w:keepNext/>
              <w:ind w:firstLine="0"/>
              <w:jc w:val="left"/>
            </w:pPr>
            <w:r>
              <w:t xml:space="preserve">ServiceRootScanner、查詢檔、CodeGraphMerger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7</w:t>
            </w:r>
          </w:p>
        </w:tc>
      </w:tr>
      <w:tr>
        <w:trPr>
          <w:cantSplit/>
        </w:trPr>
        <w:tc>
          <w:tcPr>
            <w:tcW w:w="300" w:type="dxa"/>
          </w:tcPr>
          <w:p>
            <w:pPr>
              <w:pStyle w:val="TableCell"/>
              <w:keepNext/>
              <w:ind w:firstLine="0"/>
              <w:jc w:val="left"/>
            </w:pPr>
            <w:r>
              <w:t xml:space="preserve">22</w:t>
            </w:r>
          </w:p>
        </w:tc>
        <w:tc>
          <w:tcPr>
            <w:tcW w:w="2300" w:type="dxa"/>
          </w:tcPr>
          <w:p>
            <w:pPr>
              <w:pStyle w:val="TableCell"/>
              <w:keepNext/>
              <w:ind w:firstLine="0"/>
              <w:jc w:val="left"/>
            </w:pPr>
            <w:r>
              <w:t xml:space="preserve">呼叫點才算使用（Python）：變數 URL 沿同檔賦值追到 getenv 或 URL 字面值（第五輪起由第 47 條的通用綁定解析器處理），邊的出處是發出請求的那一行；模組中沒有任何活程式碼引用的函式（含只被死函式呼叫者）內的呼叫，與沒人引用的 NAME = os.getenv(…)，視為宣告、不畫邊</w:t>
            </w:r>
          </w:p>
        </w:tc>
        <w:tc>
          <w:tcPr>
            <w:tcW w:w="1000" w:type="dxa"/>
          </w:tcPr>
          <w:p>
            <w:pPr>
              <w:pStyle w:val="TableCell"/>
              <w:keepNext/>
              <w:ind w:firstLine="0"/>
              <w:jc w:val="left"/>
            </w:pPr>
            <w:r>
              <w:t xml:space="preserve">AICS</w:t>
            </w:r>
          </w:p>
        </w:tc>
        <w:tc>
          <w:tcPr>
            <w:tcW w:w="640" w:type="dxa"/>
          </w:tcPr>
          <w:p>
            <w:pPr>
              <w:pStyle w:val="TableCell"/>
              <w:keepNext/>
              <w:ind w:firstLine="0"/>
              <w:jc w:val="left"/>
            </w:pPr>
            <w:r>
              <w:t xml:space="preserve">查詢檔、TreeSitterExtractor</w:t>
            </w:r>
          </w:p>
        </w:tc>
        <w:tc>
          <w:tcPr>
            <w:tcW w:w="400" w:type="dxa"/>
          </w:tcPr>
          <w:p>
            <w:pPr>
              <w:pStyle w:val="TableCell"/>
              <w:keepNext/>
              <w:ind w:firstLine="0"/>
              <w:jc w:val="left"/>
            </w:pPr>
            <w:r>
              <w:t xml:space="preserve">4</w:t>
            </w:r>
          </w:p>
        </w:tc>
        <w:tc>
          <w:tcPr>
            <w:tcW w:w="400" w:type="dxa"/>
          </w:tcPr>
          <w:p>
            <w:pPr>
              <w:pStyle w:val="TableCell"/>
              <w:keepNext/>
              <w:ind w:firstLine="0"/>
              <w:jc w:val="left"/>
            </w:pPr>
            <w:r>
              <w:t xml:space="preserve">21</w:t>
            </w:r>
          </w:p>
        </w:tc>
      </w:tr>
      <w:tr>
        <w:trPr>
          <w:cantSplit/>
        </w:trPr>
        <w:tc>
          <w:tcPr>
            <w:tcW w:w="300" w:type="dxa"/>
          </w:tcPr>
          <w:p>
            <w:pPr>
              <w:pStyle w:val="TableCell"/>
              <w:keepNext/>
              <w:ind w:firstLine="0"/>
              <w:jc w:val="left"/>
            </w:pPr>
            <w:r>
              <w:t xml:space="preserve">23</w:t>
            </w:r>
          </w:p>
        </w:tc>
        <w:tc>
          <w:tcPr>
            <w:tcW w:w="2300" w:type="dxa"/>
          </w:tcPr>
          <w:p>
            <w:pPr>
              <w:pStyle w:val="TableCell"/>
              <w:keepNext/>
              <w:ind w:firstLine="0"/>
              <w:jc w:val="left"/>
            </w:pPr>
            <w:r>
              <w:t xml:space="preserve">共用設定的 key 只在有對應函式庫的 client 生效：spring.rabbitmq.* 只在宣告 AMQP artifact 的模組綁定，security.oauth2.* 要有 oauth2、eureka.client.* 要有 eureka，kafka、mongodb、redis 同理；讀不到建置檔的模組一律保留</w:t>
            </w:r>
          </w:p>
        </w:tc>
        <w:tc>
          <w:tcPr>
            <w:tcW w:w="1000" w:type="dxa"/>
          </w:tcPr>
          <w:p>
            <w:pPr>
              <w:pStyle w:val="TableCell"/>
              <w:keepNext/>
              <w:ind w:firstLine="0"/>
              <w:jc w:val="left"/>
            </w:pPr>
            <w:r>
              <w:t xml:space="preserve">piggymetrics</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24</w:t>
            </w:r>
          </w:p>
        </w:tc>
      </w:tr>
      <w:tr>
        <w:trPr>
          <w:cantSplit/>
        </w:trPr>
        <w:tc>
          <w:tcPr>
            <w:tcW w:w="300" w:type="dxa"/>
          </w:tcPr>
          <w:p>
            <w:pPr>
              <w:pStyle w:val="TableCell"/>
              <w:keepNext/>
              <w:ind w:firstLine="0"/>
              <w:jc w:val="left"/>
            </w:pPr>
            <w:r>
              <w:t xml:space="preserve">24</w:t>
            </w:r>
          </w:p>
        </w:tc>
        <w:tc>
          <w:tcPr>
            <w:tcW w:w="2300" w:type="dxa"/>
          </w:tcPr>
          <w:p>
            <w:pPr>
              <w:pStyle w:val="TableCell"/>
              <w:keepNext/>
              <w:ind w:firstLine="0"/>
              <w:jc w:val="left"/>
            </w:pPr>
            <w:r>
              <w:t xml:space="preserve">Compose 的鍵名轉發與 .env 內插：environment 裡只寫鍵名的項目（- CART_ADDR）是從專案 .env 或該服務 env_file 轉發的變數，值照 Compose 規則內插（${VAR}、${VAR:-d}，可遞迴）；env_file 的每個鍵都是該服務的環境變數</w:t>
            </w:r>
          </w:p>
        </w:tc>
        <w:tc>
          <w:tcPr>
            <w:tcW w:w="1000" w:type="dxa"/>
          </w:tcPr>
          <w:p>
            <w:pPr>
              <w:pStyle w:val="TableCell"/>
              <w:keepNext/>
              <w:ind w:firstLine="0"/>
              <w:jc w:val="left"/>
            </w:pPr>
            <w:r>
              <w:t xml:space="preserve">opentelemetry-demo</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153</w:t>
            </w:r>
          </w:p>
        </w:tc>
      </w:tr>
      <w:tr>
        <w:trPr>
          <w:cantSplit/>
        </w:trPr>
        <w:tc>
          <w:tcPr>
            <w:tcW w:w="300" w:type="dxa"/>
          </w:tcPr>
          <w:p>
            <w:pPr>
              <w:pStyle w:val="TableCell"/>
              <w:keepNext/>
              <w:ind w:firstLine="0"/>
              <w:jc w:val="left"/>
            </w:pPr>
            <w:r>
              <w:t xml:space="preserve">25</w:t>
            </w:r>
          </w:p>
        </w:tc>
        <w:tc>
          <w:tcPr>
            <w:tcW w:w="2300" w:type="dxa"/>
          </w:tcPr>
          <w:p>
            <w:pPr>
              <w:pStyle w:val="TableCell"/>
              <w:keepNext/>
              <w:ind w:firstLine="0"/>
              <w:jc w:val="left"/>
            </w:pPr>
            <w:r>
              <w:t xml:space="preserve">links 與 external_links 的別名是該服務對目標的稱呼：mysql:db 讓這個容器以 db 連到 mysql，其設定寫 jdbc:mysql://db；別名限該服務的範圍，解析時先查讀取者自己宣告的，沒有才用全 repo 一致的那個；networks.&lt;n&gt;.aliases 是第三種別名來源，只對同一 network 上的讀者有效、不進全 repo 一致的判斷</w:t>
            </w:r>
          </w:p>
        </w:tc>
        <w:tc>
          <w:tcPr>
            <w:tcW w:w="1000" w:type="dxa"/>
          </w:tcPr>
          <w:p>
            <w:pPr>
              <w:pStyle w:val="TableCell"/>
              <w:keepNext/>
              <w:ind w:firstLine="0"/>
              <w:jc w:val="left"/>
            </w:pPr>
            <w:r>
              <w:t xml:space="preserve">mall-swarm</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94</w:t>
            </w:r>
          </w:p>
        </w:tc>
      </w:tr>
      <w:tr>
        <w:trPr>
          <w:cantSplit/>
        </w:trPr>
        <w:tc>
          <w:tcPr>
            <w:tcW w:w="300" w:type="dxa"/>
          </w:tcPr>
          <w:p>
            <w:pPr>
              <w:pStyle w:val="TableCell"/>
              <w:keepNext/>
              <w:ind w:firstLine="0"/>
              <w:jc w:val="left"/>
            </w:pPr>
            <w:r>
              <w:t xml:space="preserve">26</w:t>
            </w:r>
          </w:p>
        </w:tc>
        <w:tc>
          <w:tcPr>
            <w:tcW w:w="2300" w:type="dxa"/>
          </w:tcPr>
          <w:p>
            <w:pPr>
              <w:pStyle w:val="TableCell"/>
              <w:keepNext/>
              <w:ind w:firstLine="0"/>
              <w:jc w:val="left"/>
            </w:pPr>
            <w:r>
              <w:t xml:space="preserve">連線 scheme 決定節點種類：jdbc:、r2dbc:、mongodb://、redis:// 一律是資料庫，amqp://、kafka:// 是 broker，不論主機叫什麼</w:t>
            </w:r>
          </w:p>
        </w:tc>
        <w:tc>
          <w:tcPr>
            <w:tcW w:w="1000" w:type="dxa"/>
          </w:tcPr>
          <w:p>
            <w:pPr>
              <w:pStyle w:val="TableCell"/>
              <w:keepNext/>
              <w:ind w:firstLine="0"/>
              <w:jc w:val="left"/>
            </w:pPr>
            <w:r>
              <w:t xml:space="preserve">mall-swarm</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0</w:t>
            </w:r>
          </w:p>
        </w:tc>
        <w:tc>
          <w:tcPr>
            <w:tcW w:w="400" w:type="dxa"/>
          </w:tcPr>
          <w:p>
            <w:pPr>
              <w:pStyle w:val="TableCell"/>
              <w:keepNext/>
              <w:ind w:firstLine="0"/>
              <w:jc w:val="left"/>
            </w:pPr>
            <w:r>
              <w:t xml:space="preserve">0</w:t>
            </w:r>
          </w:p>
        </w:tc>
      </w:tr>
      <w:tr>
        <w:trPr>
          <w:cantSplit/>
        </w:trPr>
        <w:tc>
          <w:tcPr>
            <w:tcW w:w="300" w:type="dxa"/>
          </w:tcPr>
          <w:p>
            <w:pPr>
              <w:pStyle w:val="TableCell"/>
              <w:keepNext/>
              <w:ind w:firstLine="0"/>
              <w:jc w:val="left"/>
            </w:pPr>
            <w:r>
              <w:t xml:space="preserve">27</w:t>
            </w:r>
          </w:p>
        </w:tc>
        <w:tc>
          <w:tcPr>
            <w:tcW w:w="2300" w:type="dxa"/>
          </w:tcPr>
          <w:p>
            <w:pPr>
              <w:pStyle w:val="TableCell"/>
              <w:keepNext/>
              <w:ind w:firstLine="0"/>
              <w:jc w:val="left"/>
            </w:pPr>
            <w:r>
              <w:t xml:space="preserve">位址清單 key 與裸 FQDN 的 endpoint：server-addr、uris、cluster-nodes、addresses、bootstrap-servers 的值是 host:port（無 scheme），列為目標，清單取第一個；*.endpoint 的值若是帶點的裸主機名是外部服務，裸單字仍只是訊號</w:t>
            </w:r>
          </w:p>
        </w:tc>
        <w:tc>
          <w:tcPr>
            <w:tcW w:w="1000" w:type="dxa"/>
          </w:tcPr>
          <w:p>
            <w:pPr>
              <w:pStyle w:val="TableCell"/>
              <w:keepNext/>
              <w:ind w:firstLine="0"/>
              <w:jc w:val="left"/>
            </w:pPr>
            <w:r>
              <w:t xml:space="preserve">mall-swarm</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14</w:t>
            </w:r>
          </w:p>
        </w:tc>
      </w:tr>
      <w:tr>
        <w:trPr>
          <w:cantSplit/>
        </w:trPr>
        <w:tc>
          <w:tcPr>
            <w:tcW w:w="300" w:type="dxa"/>
          </w:tcPr>
          <w:p>
            <w:pPr>
              <w:pStyle w:val="TableCell"/>
              <w:keepNext/>
              <w:ind w:firstLine="0"/>
              <w:jc w:val="left"/>
            </w:pPr>
            <w:r>
              <w:t xml:space="preserve">28</w:t>
            </w:r>
          </w:p>
        </w:tc>
        <w:tc>
          <w:tcPr>
            <w:tcW w:w="2300" w:type="dxa"/>
          </w:tcPr>
          <w:p>
            <w:pPr>
              <w:pStyle w:val="TableCell"/>
              <w:keepNext/>
              <w:ind w:firstLine="0"/>
              <w:jc w:val="left"/>
            </w:pPr>
            <w:r>
              <w:t xml:space="preserve">Kotlin：有文法、正規表示式只當備援（grammar-backed, regex fallback）。.kt 以 tree-sitter-kotlin 與 kotlin-generic 查詢檔讀 getenv（含 ?: 預設值）、@Value、URL 字面值與常數、RestTemplate／WebClient／OkHttp／Ktor 呼叫點、Feign、Kafka／RabbitMQ listener 與 JPA 標記；文法的原生函式庫在執行平台載不起來時才退回正規表示式薄表面，並在輸出中寫明</w:t>
            </w:r>
          </w:p>
        </w:tc>
        <w:tc>
          <w:tcPr>
            <w:tcW w:w="1000" w:type="dxa"/>
          </w:tcPr>
          <w:p>
            <w:pPr>
              <w:pStyle w:val="TableCell"/>
              <w:keepNext/>
              <w:ind w:firstLine="0"/>
              <w:jc w:val="left"/>
            </w:pPr>
            <w:r>
              <w:t xml:space="preserve">opentelemetry-demo</w:t>
            </w:r>
          </w:p>
        </w:tc>
        <w:tc>
          <w:tcPr>
            <w:tcW w:w="640" w:type="dxa"/>
          </w:tcPr>
          <w:p>
            <w:pPr>
              <w:pStyle w:val="TableCell"/>
              <w:keepNext/>
              <w:ind w:firstLine="0"/>
              <w:jc w:val="left"/>
            </w:pPr>
            <w:r>
              <w:t xml:space="preserve">StackDetector、TreeSitterExtractor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3</w:t>
            </w:r>
          </w:p>
        </w:tc>
      </w:tr>
      <w:tr>
        <w:trPr>
          <w:cantSplit/>
        </w:trPr>
        <w:tc>
          <w:tcPr>
            <w:tcW w:w="300" w:type="dxa"/>
          </w:tcPr>
          <w:p>
            <w:pPr>
              <w:pStyle w:val="TableCell"/>
              <w:keepNext/>
              <w:ind w:firstLine="0"/>
              <w:jc w:val="left"/>
            </w:pPr>
            <w:r>
              <w:t xml:space="preserve">29</w:t>
            </w:r>
          </w:p>
        </w:tc>
        <w:tc>
          <w:tcPr>
            <w:tcW w:w="2300" w:type="dxa"/>
          </w:tcPr>
          <w:p>
            <w:pPr>
              <w:pStyle w:val="TableCell"/>
              <w:keepNext/>
              <w:ind w:firstLine="0"/>
              <w:jc w:val="left"/>
            </w:pPr>
            <w:r>
              <w:t xml:space="preserve">OpenAPI／Swagger 中繼資料的 URL 不是呼叫：字面值是 License、ExternalDocumentation、Contact、Info、Server 鏈上 url()、termsOfService()，或 ApiInfoBuilder、Contact 建構子、@Info 等註解 url 屬性的參數時，不畫邊；判斷的是 builder，不是網域名單</w:t>
            </w:r>
          </w:p>
        </w:tc>
        <w:tc>
          <w:tcPr>
            <w:tcW w:w="1000" w:type="dxa"/>
          </w:tcPr>
          <w:p>
            <w:pPr>
              <w:pStyle w:val="TableCell"/>
              <w:keepNext/>
              <w:ind w:firstLine="0"/>
              <w:jc w:val="left"/>
            </w:pPr>
            <w:r>
              <w:t xml:space="preserve">mall-swarm、train-ticket</w:t>
            </w:r>
          </w:p>
        </w:tc>
        <w:tc>
          <w:tcPr>
            <w:tcW w:w="640" w:type="dxa"/>
          </w:tcPr>
          <w:p>
            <w:pPr>
              <w:pStyle w:val="TableCell"/>
              <w:keepNext/>
              <w:ind w:firstLine="0"/>
              <w:jc w:val="left"/>
            </w:pPr>
            <w:r>
              <w:t xml:space="preserve">查詢檔、TreeSitterExtractor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4</w:t>
            </w:r>
          </w:p>
        </w:tc>
      </w:tr>
      <w:tr>
        <w:trPr>
          <w:cantSplit/>
        </w:trPr>
        <w:tc>
          <w:tcPr>
            <w:tcW w:w="300" w:type="dxa"/>
          </w:tcPr>
          <w:p>
            <w:pPr>
              <w:pStyle w:val="TableCell"/>
              <w:keepNext/>
              <w:ind w:firstLine="0"/>
              <w:jc w:val="left"/>
            </w:pPr>
            <w:r>
              <w:t xml:space="preserve">30</w:t>
            </w:r>
          </w:p>
        </w:tc>
        <w:tc>
          <w:tcPr>
            <w:tcW w:w="2300" w:type="dxa"/>
          </w:tcPr>
          <w:p>
            <w:pPr>
              <w:pStyle w:val="TableCell"/>
              <w:keepNext/>
              <w:ind w:firstLine="0"/>
              <w:jc w:val="left"/>
            </w:pPr>
            <w:r>
              <w:t xml:space="preserve">訊息程式碼的邊是服務 → broker：@RabbitListener、@KafkaListener、kafkaTemplate.send 的目的地名稱不是節點；broker 是該服務設定裡的那一個（已連到的同族 queue 節點，否則部署中唯一的同族 queue 節點），都沒有就當殘餘；consumer 與 producer 同向</w:t>
            </w:r>
          </w:p>
        </w:tc>
        <w:tc>
          <w:tcPr>
            <w:tcW w:w="1000" w:type="dxa"/>
          </w:tcPr>
          <w:p>
            <w:pPr>
              <w:pStyle w:val="TableCell"/>
              <w:keepNext/>
              <w:ind w:firstLine="0"/>
              <w:jc w:val="left"/>
            </w:pPr>
            <w:r>
              <w:t xml:space="preserve">mall-swarm</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4</w:t>
            </w:r>
          </w:p>
        </w:tc>
      </w:tr>
      <w:tr>
        <w:trPr>
          <w:cantSplit/>
        </w:trPr>
        <w:tc>
          <w:tcPr>
            <w:tcW w:w="300" w:type="dxa"/>
          </w:tcPr>
          <w:p>
            <w:pPr>
              <w:pStyle w:val="TableCell"/>
              <w:keepNext/>
              <w:ind w:firstLine="0"/>
              <w:jc w:val="left"/>
            </w:pPr>
            <w:r>
              <w:t xml:space="preserve">31</w:t>
            </w:r>
          </w:p>
        </w:tc>
        <w:tc>
          <w:tcPr>
            <w:tcW w:w="2300" w:type="dxa"/>
          </w:tcPr>
          <w:p>
            <w:pPr>
              <w:pStyle w:val="TableCell"/>
              <w:keepNext/>
              <w:ind w:firstLine="0"/>
              <w:jc w:val="left"/>
            </w:pPr>
            <w:r>
              <w:t xml:space="preserve">測試 fixture 不是服務（規則 2 的延伸）：檔名片段含 test、tests、e2e 的 Compose 檔整份不讀；服務名以 tests 結尾或符合測試目錄規則的不建節點；隱藏目錄（.bingo）裡的建置標記是工具</w:t>
            </w:r>
          </w:p>
        </w:tc>
        <w:tc>
          <w:tcPr>
            <w:tcW w:w="1000" w:type="dxa"/>
          </w:tcPr>
          <w:p>
            <w:pPr>
              <w:pStyle w:val="TableCell"/>
              <w:keepNext/>
              <w:ind w:firstLine="0"/>
              <w:jc w:val="left"/>
            </w:pPr>
            <w:r>
              <w:t xml:space="preserve">opentelemetry-demo、hotelReservation</w:t>
            </w:r>
          </w:p>
        </w:tc>
        <w:tc>
          <w:tcPr>
            <w:tcW w:w="640" w:type="dxa"/>
          </w:tcPr>
          <w:p>
            <w:pPr>
              <w:pStyle w:val="TableCell"/>
              <w:keepNext/>
              <w:ind w:firstLine="0"/>
              <w:jc w:val="left"/>
            </w:pPr>
            <w:r>
              <w:t xml:space="preserve">ConfigExtractor、ServiceRootScanner</w:t>
            </w:r>
          </w:p>
        </w:tc>
        <w:tc>
          <w:tcPr>
            <w:tcW w:w="400" w:type="dxa"/>
          </w:tcPr>
          <w:p>
            <w:pPr>
              <w:pStyle w:val="TableCell"/>
              <w:keepNext/>
              <w:ind w:firstLine="0"/>
              <w:jc w:val="left"/>
            </w:pPr>
            <w:r>
              <w:t xml:space="preserve">4</w:t>
            </w:r>
          </w:p>
        </w:tc>
        <w:tc>
          <w:tcPr>
            <w:tcW w:w="400" w:type="dxa"/>
          </w:tcPr>
          <w:p>
            <w:pPr>
              <w:pStyle w:val="TableCell"/>
              <w:keepNext/>
              <w:ind w:firstLine="0"/>
              <w:jc w:val="left"/>
            </w:pPr>
            <w:r>
              <w:t xml:space="preserve">5</w:t>
            </w:r>
          </w:p>
        </w:tc>
      </w:tr>
      <w:tr>
        <w:trPr>
          <w:cantSplit/>
        </w:trPr>
        <w:tc>
          <w:tcPr>
            <w:tcW w:w="300" w:type="dxa"/>
          </w:tcPr>
          <w:p>
            <w:pPr>
              <w:pStyle w:val="TableCell"/>
              <w:keepNext/>
              <w:ind w:firstLine="0"/>
              <w:jc w:val="left"/>
            </w:pPr>
            <w:r>
              <w:t xml:space="preserve">32</w:t>
            </w:r>
          </w:p>
        </w:tc>
        <w:tc>
          <w:tcPr>
            <w:tcW w:w="2300" w:type="dxa"/>
          </w:tcPr>
          <w:p>
            <w:pPr>
              <w:pStyle w:val="TableCell"/>
              <w:keepNext/>
              <w:ind w:firstLine="0"/>
              <w:jc w:val="left"/>
            </w:pPr>
            <w:r>
              <w:t xml:space="preserve">key=value; 連線字串的主機：ADO.NET、Npgsql 的 Host=…;Username=… 與 Server=…;Database=… 取 Host、Server、Data Source 當位址</w:t>
            </w:r>
          </w:p>
        </w:tc>
        <w:tc>
          <w:tcPr>
            <w:tcW w:w="1000" w:type="dxa"/>
          </w:tcPr>
          <w:p>
            <w:pPr>
              <w:pStyle w:val="TableCell"/>
              <w:keepNext/>
              <w:ind w:firstLine="0"/>
              <w:jc w:val="left"/>
            </w:pPr>
            <w:r>
              <w:t xml:space="preserve">opentelemetry-demo</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4</w:t>
            </w:r>
          </w:p>
        </w:tc>
      </w:tr>
      <w:tr>
        <w:trPr>
          <w:cantSplit/>
        </w:trPr>
        <w:tc>
          <w:tcPr>
            <w:tcW w:w="300" w:type="dxa"/>
          </w:tcPr>
          <w:p>
            <w:pPr>
              <w:pStyle w:val="TableCell"/>
              <w:keepNext/>
              <w:ind w:firstLine="0"/>
              <w:jc w:val="left"/>
            </w:pPr>
            <w:r>
              <w:t xml:space="preserve">33</w:t>
            </w:r>
          </w:p>
        </w:tc>
        <w:tc>
          <w:tcPr>
            <w:tcW w:w="2300" w:type="dxa"/>
          </w:tcPr>
          <w:p>
            <w:pPr>
              <w:pStyle w:val="TableCell"/>
              <w:keepNext/>
              <w:ind w:firstLine="0"/>
              <w:jc w:val="left"/>
            </w:pPr>
            <w:r>
              <w:t xml:space="preserve">保留 TLD 不是相依：RFC 2606／6761 的 .test、.example、.invalid、.localhost、example.com 與 RFC 6762 的 .local 結尾的主機不畫邊、不留殘餘、不出 ServiceEntry</w:t>
            </w:r>
          </w:p>
        </w:tc>
        <w:tc>
          <w:tcPr>
            <w:tcW w:w="1000" w:type="dxa"/>
          </w:tcPr>
          <w:p>
            <w:pPr>
              <w:pStyle w:val="TableCell"/>
              <w:keepNext/>
              <w:ind w:firstLine="0"/>
              <w:jc w:val="left"/>
            </w:pPr>
            <w:r>
              <w:t xml:space="preserve">opentelemetry-demo</w:t>
            </w:r>
          </w:p>
        </w:tc>
        <w:tc>
          <w:tcPr>
            <w:tcW w:w="640" w:type="dxa"/>
          </w:tcPr>
          <w:p>
            <w:pPr>
              <w:pStyle w:val="TableCell"/>
              <w:keepNext/>
              <w:ind w:firstLine="0"/>
              <w:jc w:val="left"/>
            </w:pPr>
            <w:r>
              <w:t xml:space="preserve">CodeGraphMerger、ExternalHostDetector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2</w:t>
            </w:r>
          </w:p>
        </w:tc>
      </w:tr>
      <w:tr>
        <w:trPr>
          <w:cantSplit/>
        </w:trPr>
        <w:tc>
          <w:tcPr>
            <w:tcW w:w="300" w:type="dxa"/>
          </w:tcPr>
          <w:p>
            <w:pPr>
              <w:pStyle w:val="TableCell"/>
              <w:keepNext/>
              <w:ind w:firstLine="0"/>
              <w:jc w:val="left"/>
            </w:pPr>
            <w:r>
              <w:t xml:space="preserve">34</w:t>
            </w:r>
          </w:p>
        </w:tc>
        <w:tc>
          <w:tcPr>
            <w:tcW w:w="2300" w:type="dxa"/>
          </w:tcPr>
          <w:p>
            <w:pPr>
              <w:pStyle w:val="TableCell"/>
              <w:keepNext/>
              <w:ind w:firstLine="0"/>
              <w:jc w:val="left"/>
            </w:pPr>
            <w:r>
              <w:t xml:space="preserve">Envoy 靜態設定是反向代理的上游表（規則 6 的延伸）：static_resources.clusters 裡每個 socket_address 出一條 url 列，port 是佔位符時省略</w:t>
            </w:r>
          </w:p>
        </w:tc>
        <w:tc>
          <w:tcPr>
            <w:tcW w:w="1000" w:type="dxa"/>
          </w:tcPr>
          <w:p>
            <w:pPr>
              <w:pStyle w:val="TableCell"/>
              <w:keepNext/>
              <w:ind w:firstLine="0"/>
              <w:jc w:val="left"/>
            </w:pPr>
            <w:r>
              <w:t xml:space="preserve">opentelemetry-demo</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12</w:t>
            </w:r>
          </w:p>
        </w:tc>
      </w:tr>
      <w:tr>
        <w:trPr>
          <w:cantSplit/>
        </w:trPr>
        <w:tc>
          <w:tcPr>
            <w:tcW w:w="300" w:type="dxa"/>
          </w:tcPr>
          <w:p>
            <w:pPr>
              <w:pStyle w:val="TableCell"/>
              <w:keepNext/>
              <w:ind w:firstLine="0"/>
              <w:jc w:val="left"/>
            </w:pPr>
            <w:r>
              <w:t xml:space="preserve">35</w:t>
            </w:r>
          </w:p>
        </w:tc>
        <w:tc>
          <w:tcPr>
            <w:tcW w:w="2300" w:type="dxa"/>
          </w:tcPr>
          <w:p>
            <w:pPr>
              <w:pStyle w:val="TableCell"/>
              <w:keepNext/>
              <w:ind w:firstLine="0"/>
              <w:jc w:val="left"/>
            </w:pPr>
            <w:r>
              <w:t xml:space="preserve">depends_on 是啟動順序，分級處理：宣告它的服務自己的環境變數沒有任何位址時照畫、標為僅推測；有位址時，有位址背書的 depends_on 標為有文件證據，沒有位址背書的不畫。17 個系統的 100 條 depends_on-only 邊：90 對、5 variant、5 錯，5 條錯全來自環境變數有位址的服務</w:t>
            </w:r>
          </w:p>
        </w:tc>
        <w:tc>
          <w:tcPr>
            <w:tcW w:w="1000" w:type="dxa"/>
          </w:tcPr>
          <w:p>
            <w:pPr>
              <w:pStyle w:val="TableCell"/>
              <w:keepNext/>
              <w:ind w:firstLine="0"/>
              <w:jc w:val="left"/>
            </w:pPr>
            <w:r>
              <w:t xml:space="preserve">opentelemetry-demo（錯邊）、MicroDepGraph 7 系統（保住 90 條）</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15</w:t>
            </w:r>
          </w:p>
        </w:tc>
        <w:tc>
          <w:tcPr>
            <w:tcW w:w="400" w:type="dxa"/>
          </w:tcPr>
          <w:p>
            <w:pPr>
              <w:pStyle w:val="TableCell"/>
              <w:keepNext/>
              <w:ind w:firstLine="0"/>
              <w:jc w:val="left"/>
            </w:pPr>
            <w:r>
              <w:t xml:space="preserve">343</w:t>
            </w:r>
          </w:p>
        </w:tc>
      </w:tr>
      <w:tr>
        <w:trPr>
          <w:cantSplit/>
        </w:trPr>
        <w:tc>
          <w:tcPr>
            <w:tcW w:w="300" w:type="dxa"/>
          </w:tcPr>
          <w:p>
            <w:pPr>
              <w:pStyle w:val="TableCell"/>
              <w:keepNext/>
              <w:ind w:firstLine="0"/>
              <w:jc w:val="left"/>
            </w:pPr>
            <w:r>
              <w:t xml:space="preserve">36</w:t>
            </w:r>
          </w:p>
        </w:tc>
        <w:tc>
          <w:tcPr>
            <w:tcW w:w="2300" w:type="dxa"/>
          </w:tcPr>
          <w:p>
            <w:pPr>
              <w:pStyle w:val="TableCell"/>
              <w:keepNext/>
              <w:ind w:firstLine="0"/>
              <w:jc w:val="left"/>
            </w:pPr>
            <w:r>
              <w:t xml:space="preserve">只剝真正的 DNS 字尾：叢集字尾（.svc.cluster.local、.svc）連同前一段 namespace 一起剝；&lt;svc&gt;.&lt;ns&gt; 只在 ns 是 manifest 宣告過的 namespace 時剝；等於部署宣告過的帶點名字（compose 服務 catalog.api）整個保留，Basket.API 目錄與 basket.api 以模組拼法視為同名；保留 TLD 在任何截斷之前判斷；其餘帶點主機是外部網域，永遠不截到第一段；URI scheme 鏈（zk:zookeeper:2181）取最後的 host:port</w:t>
            </w:r>
          </w:p>
        </w:tc>
        <w:tc>
          <w:tcPr>
            <w:tcW w:w="1000" w:type="dxa"/>
          </w:tcPr>
          <w:p>
            <w:pPr>
              <w:pStyle w:val="TableCell"/>
              <w:keepNext/>
              <w:ind w:firstLine="0"/>
              <w:jc w:val="left"/>
            </w:pPr>
            <w:r>
              <w:t xml:space="preserve">run-aspnetcore-microservices、yas</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9</w:t>
            </w:r>
          </w:p>
        </w:tc>
        <w:tc>
          <w:tcPr>
            <w:tcW w:w="400" w:type="dxa"/>
          </w:tcPr>
          <w:p>
            <w:pPr>
              <w:pStyle w:val="TableCell"/>
              <w:keepNext/>
              <w:ind w:firstLine="0"/>
              <w:jc w:val="left"/>
            </w:pPr>
            <w:r>
              <w:t xml:space="preserve">54</w:t>
            </w:r>
          </w:p>
        </w:tc>
      </w:tr>
      <w:tr>
        <w:trPr>
          <w:cantSplit/>
        </w:trPr>
        <w:tc>
          <w:tcPr>
            <w:tcW w:w="300" w:type="dxa"/>
          </w:tcPr>
          <w:p>
            <w:pPr>
              <w:pStyle w:val="TableCell"/>
              <w:keepNext/>
              <w:ind w:firstLine="0"/>
              <w:jc w:val="left"/>
            </w:pPr>
            <w:r>
              <w:t xml:space="preserve">37</w:t>
            </w:r>
          </w:p>
        </w:tc>
        <w:tc>
          <w:tcPr>
            <w:tcW w:w="2300" w:type="dxa"/>
          </w:tcPr>
          <w:p>
            <w:pPr>
              <w:pStyle w:val="TableCell"/>
              <w:keepNext/>
              <w:ind w:firstLine="0"/>
              <w:jc w:val="left"/>
            </w:pPr>
            <w:r>
              <w:t xml:space="preserve">Compose 的 hostname: 是該服務的全域別名（規則 25 的延伸）：hostname: ecommerce-mq 讓 amqp://ecommerce-mq 指向宣告它的服務，別名本身不是節點</w:t>
            </w:r>
          </w:p>
        </w:tc>
        <w:tc>
          <w:tcPr>
            <w:tcW w:w="1000" w:type="dxa"/>
          </w:tcPr>
          <w:p>
            <w:pPr>
              <w:pStyle w:val="TableCell"/>
              <w:keepNext/>
              <w:ind w:firstLine="0"/>
              <w:jc w:val="left"/>
            </w:pPr>
            <w:r>
              <w:t xml:space="preserve">run-aspnetcore-microservices</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13</w:t>
            </w:r>
          </w:p>
        </w:tc>
      </w:tr>
      <w:tr>
        <w:trPr>
          <w:cantSplit/>
        </w:trPr>
        <w:tc>
          <w:tcPr>
            <w:tcW w:w="300" w:type="dxa"/>
          </w:tcPr>
          <w:p>
            <w:pPr>
              <w:pStyle w:val="TableCell"/>
              <w:keepNext/>
              <w:ind w:firstLine="0"/>
              <w:jc w:val="left"/>
            </w:pPr>
            <w:r>
              <w:t xml:space="preserve">38</w:t>
            </w:r>
          </w:p>
        </w:tc>
        <w:tc>
          <w:tcPr>
            <w:tcW w:w="2300" w:type="dxa"/>
          </w:tcPr>
          <w:p>
            <w:pPr>
              <w:pStyle w:val="TableCell"/>
              <w:keepNext/>
              <w:ind w:firstLine="0"/>
              <w:jc w:val="left"/>
            </w:pPr>
            <w:r>
              <w:t xml:space="preserve">YARP 的 ReverseProxy.Clusters.</w:t>
            </w:r>
            <w:r>
              <w:rPr>
                <w:i/>
                <w:iCs/>
              </w:rPr>
              <w:t xml:space="preserve">.Destinations.</w:t>
            </w:r>
            <w:r>
              <w:t xml:space="preserve">.Address 是閘道的上游表（規則 6、34 的延伸）；appsettings*.json 其餘以冒號串起的鍵進設定列，與 compose 以雙底線拼寫的同一鍵等同</w:t>
            </w:r>
          </w:p>
        </w:tc>
        <w:tc>
          <w:tcPr>
            <w:tcW w:w="1000" w:type="dxa"/>
          </w:tcPr>
          <w:p>
            <w:pPr>
              <w:pStyle w:val="TableCell"/>
              <w:keepNext/>
              <w:ind w:firstLine="0"/>
              <w:jc w:val="left"/>
            </w:pPr>
            <w:r>
              <w:t xml:space="preserve">run-aspnetcore-microservices</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12</w:t>
            </w:r>
          </w:p>
        </w:tc>
      </w:tr>
      <w:tr>
        <w:trPr>
          <w:cantSplit/>
        </w:trPr>
        <w:tc>
          <w:tcPr>
            <w:tcW w:w="300" w:type="dxa"/>
          </w:tcPr>
          <w:p>
            <w:pPr>
              <w:pStyle w:val="TableCell"/>
              <w:keepNext/>
              <w:ind w:firstLine="0"/>
              <w:jc w:val="left"/>
            </w:pPr>
            <w:r>
              <w:t xml:space="preserve">39</w:t>
            </w:r>
          </w:p>
        </w:tc>
        <w:tc>
          <w:tcPr>
            <w:tcW w:w="2300" w:type="dxa"/>
          </w:tcPr>
          <w:p>
            <w:pPr>
              <w:pStyle w:val="TableCell"/>
              <w:keepNext/>
              <w:ind w:firstLine="0"/>
              <w:jc w:val="left"/>
            </w:pPr>
            <w:r>
              <w:t xml:space="preserve">值的形狀決定節點種類（規則 26 的延伸）：key=value; 連線字串與 ConnectionStrings__X 一律是資料庫、amqp:// 是 broker，不論主機叫什麼；先畫成呼叫的邊在目標種類確定後改成 db／async</w:t>
            </w:r>
          </w:p>
        </w:tc>
        <w:tc>
          <w:tcPr>
            <w:tcW w:w="1000" w:type="dxa"/>
          </w:tcPr>
          <w:p>
            <w:pPr>
              <w:pStyle w:val="TableCell"/>
              <w:keepNext/>
              <w:ind w:firstLine="0"/>
              <w:jc w:val="left"/>
            </w:pPr>
            <w:r>
              <w:t xml:space="preserve">run-aspnetcore-microservices</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8</w:t>
            </w:r>
          </w:p>
        </w:tc>
      </w:tr>
      <w:tr>
        <w:trPr>
          <w:cantSplit/>
        </w:trPr>
        <w:tc>
          <w:tcPr>
            <w:tcW w:w="300" w:type="dxa"/>
          </w:tcPr>
          <w:p>
            <w:pPr>
              <w:pStyle w:val="TableCell"/>
              <w:keepNext/>
              <w:ind w:firstLine="0"/>
              <w:jc w:val="left"/>
            </w:pPr>
            <w:r>
              <w:t xml:space="preserve">40</w:t>
            </w:r>
          </w:p>
        </w:tc>
        <w:tc>
          <w:tcPr>
            <w:tcW w:w="2300" w:type="dxa"/>
          </w:tcPr>
          <w:p>
            <w:pPr>
              <w:pStyle w:val="TableCell"/>
              <w:keepNext/>
              <w:ind w:firstLine="0"/>
              <w:jc w:val="left"/>
            </w:pPr>
            <w:r>
              <w:t xml:space="preserve">C#：有文法、正規表示式只當備援（規則 28 的延伸；grammar-backed, regex fallback）。以 tree-sitter-c-sharp 與 csharp-generic 查詢檔讀，另外看得到 HttpClient.BaseAddress／GetAsync、AddGrpcClient、Refit、MassTransit Host 等呼叫點；文法載不起來時以薄表面讀：GetConnectionString("X")、Configuration["A:B"]、GetValue、GetSection 的鍵換成環境變數拼法 A__B，GetEnvironmentVariable 與 URL 字面值照讀；鍵在 compose 的 env 表解到主機就是有文件證據的呼叫點；輸出寫明看不到變數主機的呼叫點</w:t>
            </w:r>
          </w:p>
        </w:tc>
        <w:tc>
          <w:tcPr>
            <w:tcW w:w="1000" w:type="dxa"/>
          </w:tcPr>
          <w:p>
            <w:pPr>
              <w:pStyle w:val="TableCell"/>
              <w:keepNext/>
              <w:ind w:firstLine="0"/>
              <w:jc w:val="left"/>
            </w:pPr>
            <w:r>
              <w:t xml:space="preserve">run-aspnetcore-microservices</w:t>
            </w:r>
          </w:p>
        </w:tc>
        <w:tc>
          <w:tcPr>
            <w:tcW w:w="640" w:type="dxa"/>
          </w:tcPr>
          <w:p>
            <w:pPr>
              <w:pStyle w:val="TableCell"/>
              <w:keepNext/>
              <w:ind w:firstLine="0"/>
              <w:jc w:val="left"/>
            </w:pPr>
            <w:r>
              <w:t xml:space="preserve">StackDetector、TreeSitterExtractor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166</w:t>
            </w:r>
          </w:p>
        </w:tc>
      </w:tr>
      <w:tr>
        <w:trPr>
          <w:cantSplit/>
        </w:trPr>
        <w:tc>
          <w:tcPr>
            <w:tcW w:w="300" w:type="dxa"/>
          </w:tcPr>
          <w:p>
            <w:pPr>
              <w:pStyle w:val="TableCell"/>
              <w:keepNext/>
              <w:ind w:firstLine="0"/>
              <w:jc w:val="left"/>
            </w:pPr>
            <w:r>
              <w:t xml:space="preserve">41</w:t>
            </w:r>
          </w:p>
        </w:tc>
        <w:tc>
          <w:tcPr>
            <w:tcW w:w="2300" w:type="dxa"/>
          </w:tcPr>
          <w:p>
            <w:pPr>
              <w:pStyle w:val="TableCell"/>
              <w:keepNext/>
              <w:ind w:firstLine="0"/>
              <w:jc w:val="left"/>
            </w:pPr>
            <w:r>
              <w:t xml:space="preserve">JVM 函式庫模組不是服務（規則 21 的 Java 版）：沒有 Dockerfile、沒有 Boot／shade／assembly／jib 外掛、不是 war、src/main 下沒有 main 的 pom／gradle 模組是函式庫，其設定檔不畫邊、不成節點；部署檔點名它時以部署為準</w:t>
            </w:r>
          </w:p>
        </w:tc>
        <w:tc>
          <w:tcPr>
            <w:tcW w:w="1000" w:type="dxa"/>
          </w:tcPr>
          <w:p>
            <w:pPr>
              <w:pStyle w:val="TableCell"/>
              <w:keepNext/>
              <w:ind w:firstLine="0"/>
              <w:jc w:val="left"/>
            </w:pPr>
            <w:r>
              <w:t xml:space="preserve">yas</w:t>
            </w:r>
          </w:p>
        </w:tc>
        <w:tc>
          <w:tcPr>
            <w:tcW w:w="640" w:type="dxa"/>
          </w:tcPr>
          <w:p>
            <w:pPr>
              <w:pStyle w:val="TableCell"/>
              <w:keepNext/>
              <w:ind w:firstLine="0"/>
              <w:jc w:val="left"/>
            </w:pPr>
            <w:r>
              <w:t xml:space="preserve">ServiceRootScanner、CodeGraphMerger</w:t>
            </w:r>
          </w:p>
        </w:tc>
        <w:tc>
          <w:tcPr>
            <w:tcW w:w="400" w:type="dxa"/>
          </w:tcPr>
          <w:p>
            <w:pPr>
              <w:pStyle w:val="TableCell"/>
              <w:keepNext/>
              <w:ind w:firstLine="0"/>
              <w:jc w:val="left"/>
            </w:pPr>
            <w:r>
              <w:t xml:space="preserve">5</w:t>
            </w:r>
          </w:p>
        </w:tc>
        <w:tc>
          <w:tcPr>
            <w:tcW w:w="400" w:type="dxa"/>
          </w:tcPr>
          <w:p>
            <w:pPr>
              <w:pStyle w:val="TableCell"/>
              <w:keepNext/>
              <w:ind w:firstLine="0"/>
              <w:jc w:val="left"/>
            </w:pPr>
            <w:r>
              <w:t xml:space="preserve">54</w:t>
            </w:r>
          </w:p>
        </w:tc>
      </w:tr>
      <w:tr>
        <w:trPr>
          <w:cantSplit/>
        </w:trPr>
        <w:tc>
          <w:tcPr>
            <w:tcW w:w="300" w:type="dxa"/>
          </w:tcPr>
          <w:p>
            <w:pPr>
              <w:pStyle w:val="TableCell"/>
              <w:keepNext/>
              <w:ind w:firstLine="0"/>
              <w:jc w:val="left"/>
            </w:pPr>
            <w:r>
              <w:t xml:space="preserve">42</w:t>
            </w:r>
          </w:p>
        </w:tc>
        <w:tc>
          <w:tcPr>
            <w:tcW w:w="2300" w:type="dxa"/>
          </w:tcPr>
          <w:p>
            <w:pPr>
              <w:pStyle w:val="TableCell"/>
              <w:keepNext/>
              <w:ind w:firstLine="0"/>
              <w:jc w:val="left"/>
            </w:pPr>
            <w:r>
              <w:t xml:space="preserve">測試樹的每一段都算（規則 2、31 的延伸）：src/it、src/integration-test、e2e、__tests__、automation-ui 底下的設定與程式碼不讀；模組路徑任何一段符合測試目錄規則就不是服務根；工具鏈的測試檔命名（</w:t>
            </w:r>
            <w:r>
              <w:rPr>
                <w:i/>
                <w:iCs/>
              </w:rPr>
              <w:t xml:space="preserve">_test.go、</w:t>
            </w:r>
            <w:r>
              <w:t xml:space="preserve">.spec／</w:t>
            </w:r>
            <w:r>
              <w:rPr>
                <w:i/>
                <w:iCs/>
              </w:rPr>
              <w:t xml:space="preserve">.test／</w:t>
            </w:r>
            <w:r>
              <w:t xml:space="preserve">.cy.js</w:t>
            </w:r>
          </w:p>
        </w:tc>
        <w:tc>
          <w:tcPr>
            <w:tcW w:w="1000" w:type="dxa"/>
          </w:tcPr>
          <w:p>
            <w:pPr>
              <w:pStyle w:val="TableCell"/>
              <w:keepNext/>
              <w:ind w:firstLine="0"/>
              <w:jc w:val="left"/>
            </w:pPr>
            <w:r>
              <w:t xml:space="preserve">ts）也是測試</w:t>
            </w:r>
          </w:p>
        </w:tc>
        <w:tc>
          <w:tcPr>
            <w:tcW w:w="640" w:type="dxa"/>
          </w:tcPr>
          <w:p>
            <w:pPr>
              <w:pStyle w:val="TableCell"/>
              <w:keepNext/>
              <w:ind w:firstLine="0"/>
              <w:jc w:val="left"/>
            </w:pPr>
            <w:r>
              <w:t xml:space="preserve">yas</w:t>
            </w:r>
          </w:p>
        </w:tc>
        <w:tc>
          <w:tcPr>
            <w:tcW w:w="400" w:type="dxa"/>
          </w:tcPr>
          <w:p>
            <w:pPr>
              <w:pStyle w:val="TableCell"/>
              <w:keepNext/>
              <w:ind w:firstLine="0"/>
              <w:jc w:val="left"/>
            </w:pPr>
            <w:r>
              <w:t xml:space="preserve">4</w:t>
            </w:r>
          </w:p>
        </w:tc>
        <w:tc>
          <w:tcPr>
            <w:tcW w:w="400" w:type="dxa"/>
          </w:tcPr>
          <w:p>
            <w:pPr>
              <w:pStyle w:val="TableCell"/>
              <w:keepNext/>
              <w:ind w:firstLine="0"/>
              <w:jc w:val="left"/>
            </w:pPr>
            <w:r>
              <w:t xml:space="preserve">132</w:t>
            </w:r>
          </w:p>
        </w:tc>
      </w:tr>
      <w:tr>
        <w:trPr>
          <w:cantSplit/>
        </w:trPr>
        <w:tc>
          <w:tcPr>
            <w:tcW w:w="300" w:type="dxa"/>
          </w:tcPr>
          <w:p>
            <w:pPr>
              <w:pStyle w:val="TableCell"/>
              <w:keepNext/>
              <w:ind w:firstLine="0"/>
              <w:jc w:val="left"/>
            </w:pPr>
            <w:r>
              <w:t xml:space="preserve">43</w:t>
            </w:r>
          </w:p>
        </w:tc>
        <w:tc>
          <w:tcPr>
            <w:tcW w:w="2300" w:type="dxa"/>
          </w:tcPr>
          <w:p>
            <w:pPr>
              <w:pStyle w:val="TableCell"/>
              <w:keepNext/>
              <w:ind w:firstLine="0"/>
              <w:jc w:val="left"/>
            </w:pPr>
            <w:r>
              <w:t xml:space="preserve">OpenAPI UI 的設定鍵不是呼叫（規則 29 的設定檔版）：springdoc.</w:t>
            </w:r>
            <w:r>
              <w:rPr>
                <w:i/>
                <w:iCs/>
              </w:rPr>
              <w:t xml:space="preserve">、springfox.</w:t>
            </w:r>
            <w:r>
              <w:t xml:space="preserve">、swagger.</w:t>
            </w:r>
            <w:r>
              <w:rPr>
                <w:i/>
                <w:iCs/>
              </w:rPr>
              <w:t xml:space="preserve">、knife4j.</w:t>
            </w:r>
            <w:r>
              <w:t xml:space="preserve"> 底下的 URL 是瀏覽器端 Swagger UI 要開的網址</w:t>
            </w:r>
          </w:p>
        </w:tc>
        <w:tc>
          <w:tcPr>
            <w:tcW w:w="1000" w:type="dxa"/>
          </w:tcPr>
          <w:p>
            <w:pPr>
              <w:pStyle w:val="TableCell"/>
              <w:keepNext/>
              <w:ind w:firstLine="0"/>
              <w:jc w:val="left"/>
            </w:pPr>
            <w:r>
              <w:t xml:space="preserve">yas</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25</w:t>
            </w:r>
          </w:p>
        </w:tc>
      </w:tr>
      <w:tr>
        <w:trPr>
          <w:cantSplit/>
        </w:trPr>
        <w:tc>
          <w:tcPr>
            <w:tcW w:w="300" w:type="dxa"/>
          </w:tcPr>
          <w:p>
            <w:pPr>
              <w:pStyle w:val="TableCell"/>
              <w:keepNext/>
              <w:ind w:firstLine="0"/>
              <w:jc w:val="left"/>
            </w:pPr>
            <w:r>
              <w:t xml:space="preserve">44</w:t>
            </w:r>
          </w:p>
        </w:tc>
        <w:tc>
          <w:tcPr>
            <w:tcW w:w="2300" w:type="dxa"/>
          </w:tcPr>
          <w:p>
            <w:pPr>
              <w:pStyle w:val="TableCell"/>
              <w:keepNext/>
              <w:ind w:firstLine="0"/>
              <w:jc w:val="left"/>
            </w:pPr>
            <w:r>
              <w:t xml:space="preserve">compose 的 build 說了哪個模組是哪個服務：build 的 context（或 dockerfile 所在目錄）對到的模組目錄就叫那個 compose 服務名，模組自己的 artifactId 等於 compose 服務名亦同；是 repo 寫的對應，不是相似度，不問人；有 k8s manifest 時 compose 名要能對到 workload 才採用（manifest 完全沒部署這個模組時 compose 名照用）；沒有 build: 時，image 的最後一段（去掉 tag 與變數、去掉同一 registry 路徑所有 image 共有的專案前綴）完全等於模組目錄、package.json／composer.json 的 name 或 go.mod 的模組名，也是同一件事；巢在 build context 裡、context 下沒有別的模組的模組亦同；k8s workload 的 image 同理，一個 image 由多個 workload 執行時，模組的程式碼邊歸給每一個</w:t>
            </w:r>
          </w:p>
        </w:tc>
        <w:tc>
          <w:tcPr>
            <w:tcW w:w="1000" w:type="dxa"/>
          </w:tcPr>
          <w:p>
            <w:pPr>
              <w:pStyle w:val="TableCell"/>
              <w:keepNext/>
              <w:ind w:firstLine="0"/>
              <w:jc w:val="left"/>
            </w:pPr>
            <w:r>
              <w:t xml:space="preserve">yas、run-aspnetcore-microservices、ewolff/microservice</w:t>
            </w:r>
          </w:p>
        </w:tc>
        <w:tc>
          <w:tcPr>
            <w:tcW w:w="640" w:type="dxa"/>
          </w:tcPr>
          <w:p>
            <w:pPr>
              <w:pStyle w:val="TableCell"/>
              <w:keepNext/>
              <w:ind w:firstLine="0"/>
              <w:jc w:val="left"/>
            </w:pPr>
            <w:r>
              <w:t xml:space="preserve">ConfigExtractor、ServiceRootScanner、CodeGraphMerger</w:t>
            </w:r>
          </w:p>
        </w:tc>
        <w:tc>
          <w:tcPr>
            <w:tcW w:w="400" w:type="dxa"/>
          </w:tcPr>
          <w:p>
            <w:pPr>
              <w:pStyle w:val="TableCell"/>
              <w:keepNext/>
              <w:ind w:firstLine="0"/>
              <w:jc w:val="left"/>
            </w:pPr>
            <w:r>
              <w:t xml:space="preserve">16</w:t>
            </w:r>
          </w:p>
        </w:tc>
        <w:tc>
          <w:tcPr>
            <w:tcW w:w="400" w:type="dxa"/>
          </w:tcPr>
          <w:p>
            <w:pPr>
              <w:pStyle w:val="TableCell"/>
              <w:keepNext/>
              <w:ind w:firstLine="0"/>
              <w:jc w:val="left"/>
            </w:pPr>
            <w:r>
              <w:t xml:space="preserve">145</w:t>
            </w:r>
          </w:p>
        </w:tc>
      </w:tr>
      <w:tr>
        <w:trPr>
          <w:cantSplit/>
        </w:trPr>
        <w:tc>
          <w:tcPr>
            <w:tcW w:w="300" w:type="dxa"/>
          </w:tcPr>
          <w:p>
            <w:pPr>
              <w:pStyle w:val="TableCell"/>
              <w:keepNext/>
              <w:ind w:firstLine="0"/>
              <w:jc w:val="left"/>
            </w:pPr>
            <w:r>
              <w:t xml:space="preserve">45</w:t>
            </w:r>
          </w:p>
        </w:tc>
        <w:tc>
          <w:tcPr>
            <w:tcW w:w="2300" w:type="dxa"/>
          </w:tcPr>
          <w:p>
            <w:pPr>
              <w:pStyle w:val="TableCell"/>
              <w:keepNext/>
              <w:ind w:firstLine="0"/>
              <w:jc w:val="left"/>
            </w:pPr>
            <w:r>
              <w:rPr>
                <w:i/>
                <w:iCs/>
              </w:rPr>
              <w:t xml:space="preserve">.url／</w:t>
            </w:r>
            <w:r>
              <w:t xml:space="preserve">.uri／*.endpoint 鍵下的裸單字只在它是部署宣告過的名字（詞彙表或 compose 服務名）時才是目標（規則 5、27 的延伸）：elasticsearch.url=elasticsearch 畫到 elasticsearch，feature.url=disabled 不畫</w:t>
            </w:r>
          </w:p>
        </w:tc>
        <w:tc>
          <w:tcPr>
            <w:tcW w:w="1000" w:type="dxa"/>
          </w:tcPr>
          <w:p>
            <w:pPr>
              <w:pStyle w:val="TableCell"/>
              <w:keepNext/>
              <w:ind w:firstLine="0"/>
              <w:jc w:val="left"/>
            </w:pPr>
            <w:r>
              <w:t xml:space="preserve">yas</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3</w:t>
            </w:r>
          </w:p>
        </w:tc>
      </w:tr>
      <w:tr>
        <w:trPr>
          <w:cantSplit/>
        </w:trPr>
        <w:tc>
          <w:tcPr>
            <w:tcW w:w="300" w:type="dxa"/>
          </w:tcPr>
          <w:p>
            <w:pPr>
              <w:pStyle w:val="TableCell"/>
              <w:keepNext/>
              <w:ind w:firstLine="0"/>
              <w:jc w:val="left"/>
            </w:pPr>
            <w:r>
              <w:t xml:space="preserve">46</w:t>
            </w:r>
          </w:p>
        </w:tc>
        <w:tc>
          <w:tcPr>
            <w:tcW w:w="2300" w:type="dxa"/>
          </w:tcPr>
          <w:p>
            <w:pPr>
              <w:pStyle w:val="TableCell"/>
              <w:keepNext/>
              <w:ind w:firstLine="0"/>
              <w:jc w:val="left"/>
            </w:pPr>
            <w:r>
              <w:t xml:space="preserve">nginx 的 set $var "x"; proxy_pass http://$var：同檔內設成字面值的變數填回 proxy_pass（一層），沒設的仍是佔位符</w:t>
            </w:r>
          </w:p>
        </w:tc>
        <w:tc>
          <w:tcPr>
            <w:tcW w:w="1000" w:type="dxa"/>
          </w:tcPr>
          <w:p>
            <w:pPr>
              <w:pStyle w:val="TableCell"/>
              <w:keepNext/>
              <w:ind w:firstLine="0"/>
              <w:jc w:val="left"/>
            </w:pPr>
            <w:r>
              <w:t xml:space="preserve">yas</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5</w:t>
            </w:r>
          </w:p>
        </w:tc>
      </w:tr>
      <w:tr>
        <w:trPr>
          <w:cantSplit/>
        </w:trPr>
        <w:tc>
          <w:tcPr>
            <w:tcW w:w="300" w:type="dxa"/>
          </w:tcPr>
          <w:p>
            <w:pPr>
              <w:pStyle w:val="TableCell"/>
              <w:keepNext/>
              <w:ind w:firstLine="0"/>
              <w:jc w:val="left"/>
            </w:pPr>
            <w:r>
              <w:t xml:space="preserve">47</w:t>
            </w:r>
          </w:p>
        </w:tc>
        <w:tc>
          <w:tcPr>
            <w:tcW w:w="2300" w:type="dxa"/>
          </w:tcPr>
          <w:p>
            <w:pPr>
              <w:pStyle w:val="TableCell"/>
              <w:keepNext/>
              <w:ind w:firstLine="0"/>
              <w:jc w:val="left"/>
            </w:pPr>
            <w:r>
              <w:t xml:space="preserve">呼叫點的變數沿同檔綁定解析，所有文法共用（規則 22 的通用化）：查詢檔輸出 var-binding 列（環境變數讀取＋預設值、.NET 設定鍵、字面值、scheme＋主機變數、由另一個變數衍生），呼叫點以 urlref／hostref／valueref／nameref 指名變數；取呼叫點之前最近的綁定（沒有才取之後第一個），最多三跳，結果寫回呼叫點列，出處仍是呼叫點；沒有綁定的變數不畫邊。JavaScript／TypeScript／Go／PHP 的 URL 字面值只在使用處（呼叫參數、client 選項、連線呼叫）才算</w:t>
            </w:r>
          </w:p>
        </w:tc>
        <w:tc>
          <w:tcPr>
            <w:tcW w:w="1000" w:type="dxa"/>
          </w:tcPr>
          <w:p>
            <w:pPr>
              <w:pStyle w:val="TableCell"/>
              <w:keepNext/>
              <w:ind w:firstLine="0"/>
              <w:jc w:val="left"/>
            </w:pPr>
            <w:r>
              <w:t xml:space="preserve">robot-shop、skywalking-showcase、AICS</w:t>
            </w:r>
          </w:p>
        </w:tc>
        <w:tc>
          <w:tcPr>
            <w:tcW w:w="640" w:type="dxa"/>
          </w:tcPr>
          <w:p>
            <w:pPr>
              <w:pStyle w:val="TableCell"/>
              <w:keepNext/>
              <w:ind w:firstLine="0"/>
              <w:jc w:val="left"/>
            </w:pPr>
            <w:r>
              <w:t xml:space="preserve">查詢檔、BindingResolver</w:t>
            </w:r>
          </w:p>
        </w:tc>
        <w:tc>
          <w:tcPr>
            <w:tcW w:w="400" w:type="dxa"/>
          </w:tcPr>
          <w:p>
            <w:pPr>
              <w:pStyle w:val="TableCell"/>
              <w:keepNext/>
              <w:ind w:firstLine="0"/>
              <w:jc w:val="left"/>
            </w:pPr>
            <w:r>
              <w:t xml:space="preserve">8</w:t>
            </w:r>
          </w:p>
        </w:tc>
        <w:tc>
          <w:tcPr>
            <w:tcW w:w="400" w:type="dxa"/>
          </w:tcPr>
          <w:p>
            <w:pPr>
              <w:pStyle w:val="TableCell"/>
              <w:keepNext/>
              <w:ind w:firstLine="0"/>
              <w:jc w:val="left"/>
            </w:pPr>
            <w:r>
              <w:t xml:space="preserve">218</w:t>
            </w:r>
          </w:p>
        </w:tc>
      </w:tr>
      <w:tr>
        <w:trPr>
          <w:cantSplit/>
        </w:trPr>
        <w:tc>
          <w:tcPr>
            <w:tcW w:w="300" w:type="dxa"/>
          </w:tcPr>
          <w:p>
            <w:pPr>
              <w:pStyle w:val="TableCell"/>
              <w:keepNext/>
              <w:ind w:firstLine="0"/>
              <w:jc w:val="left"/>
            </w:pPr>
            <w:r>
              <w:t xml:space="preserve">48</w:t>
            </w:r>
          </w:p>
        </w:tc>
        <w:tc>
          <w:tcPr>
            <w:tcW w:w="2300" w:type="dxa"/>
          </w:tcPr>
          <w:p>
            <w:pPr>
              <w:pStyle w:val="TableCell"/>
              <w:keepNext/>
              <w:ind w:firstLine="0"/>
              <w:jc w:val="left"/>
            </w:pPr>
            <w:r>
              <w:t xml:space="preserve">環境變數讀取的預設值：環境沒有設這個變數時，使用處（{host: redisHost}）的任何主機形預設值、裸讀取的絕對 URL 預設值（getenv('CATALOGUE_URL') ?: 'http://catalogue:8080'）就是程式自己寫下的位址，與 ${key:default} 同理；只連到已知節點</w:t>
            </w:r>
          </w:p>
        </w:tc>
        <w:tc>
          <w:tcPr>
            <w:tcW w:w="1000" w:type="dxa"/>
          </w:tcPr>
          <w:p>
            <w:pPr>
              <w:pStyle w:val="TableCell"/>
              <w:keepNext/>
              <w:ind w:firstLine="0"/>
              <w:jc w:val="left"/>
            </w:pPr>
            <w:r>
              <w:t xml:space="preserve">robot-shop</w:t>
            </w:r>
          </w:p>
        </w:tc>
        <w:tc>
          <w:tcPr>
            <w:tcW w:w="640" w:type="dxa"/>
          </w:tcPr>
          <w:p>
            <w:pPr>
              <w:pStyle w:val="TableCell"/>
              <w:keepNext/>
              <w:ind w:firstLine="0"/>
              <w:jc w:val="left"/>
            </w:pPr>
            <w:r>
              <w:t xml:space="preserve">CodeGraphMerger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5</w:t>
            </w:r>
          </w:p>
        </w:tc>
      </w:tr>
      <w:tr>
        <w:trPr>
          <w:cantSplit/>
        </w:trPr>
        <w:tc>
          <w:tcPr>
            <w:tcW w:w="300" w:type="dxa"/>
          </w:tcPr>
          <w:p>
            <w:pPr>
              <w:pStyle w:val="TableCell"/>
              <w:keepNext/>
              <w:ind w:firstLine="0"/>
              <w:jc w:val="left"/>
            </w:pPr>
            <w:r>
              <w:t xml:space="preserve">49</w:t>
            </w:r>
          </w:p>
        </w:tc>
        <w:tc>
          <w:tcPr>
            <w:tcW w:w="2300" w:type="dxa"/>
          </w:tcPr>
          <w:p>
            <w:pPr>
              <w:pStyle w:val="TableCell"/>
              <w:keepNext/>
              <w:ind w:firstLine="0"/>
              <w:jc w:val="left"/>
            </w:pPr>
            <w:r>
              <w:t xml:space="preserve">註冊中心名稱列出、不猜：交給 dial 的裸名稱（dialer.Dial("srv-rate")），以及經函式參數一路傳到 dial 的字面值（s.initRateClient("srv-rate")，同檔固定點），由 Consul／etcd 在執行期解析；列為殘餘與 alias question，永遠不畫成節點</w:t>
            </w:r>
          </w:p>
        </w:tc>
        <w:tc>
          <w:tcPr>
            <w:tcW w:w="1000" w:type="dxa"/>
          </w:tcPr>
          <w:p>
            <w:pPr>
              <w:pStyle w:val="TableCell"/>
              <w:keepNext/>
              <w:ind w:firstLine="0"/>
              <w:jc w:val="left"/>
            </w:pPr>
            <w:r>
              <w:t xml:space="preserve">hotelReservation</w:t>
            </w:r>
          </w:p>
        </w:tc>
        <w:tc>
          <w:tcPr>
            <w:tcW w:w="640" w:type="dxa"/>
          </w:tcPr>
          <w:p>
            <w:pPr>
              <w:pStyle w:val="TableCell"/>
              <w:keepNext/>
              <w:ind w:firstLine="0"/>
              <w:jc w:val="left"/>
            </w:pPr>
            <w:r>
              <w:t xml:space="preserve">查詢檔、TreeSitterExtractor、CodeGraphMerger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9</w:t>
            </w:r>
          </w:p>
        </w:tc>
      </w:tr>
      <w:tr>
        <w:trPr>
          <w:cantSplit/>
        </w:trPr>
        <w:tc>
          <w:tcPr>
            <w:tcW w:w="300" w:type="dxa"/>
          </w:tcPr>
          <w:p>
            <w:pPr>
              <w:pStyle w:val="TableCell"/>
              <w:keepNext/>
              <w:ind w:firstLine="0"/>
              <w:jc w:val="left"/>
            </w:pPr>
            <w:r>
              <w:t xml:space="preserve">50</w:t>
            </w:r>
          </w:p>
        </w:tc>
        <w:tc>
          <w:tcPr>
            <w:tcW w:w="2300" w:type="dxa"/>
          </w:tcPr>
          <w:p>
            <w:pPr>
              <w:pStyle w:val="TableCell"/>
              <w:keepNext/>
              <w:ind w:firstLine="0"/>
              <w:jc w:val="left"/>
            </w:pPr>
            <w:r>
              <w:t xml:space="preserve">模組裡的 dotenv 檔（.env、.env.&lt;mode&gt;；旁邊沒有 compose 檔）是該模組自己的環境，與 Dockerfile ENV 同一個範圍；範本（.sample、.example）不是環境，loopback 值不算</w:t>
            </w:r>
          </w:p>
        </w:tc>
        <w:tc>
          <w:tcPr>
            <w:tcW w:w="1000" w:type="dxa"/>
          </w:tcPr>
          <w:p>
            <w:pPr>
              <w:pStyle w:val="TableCell"/>
              <w:keepNext/>
              <w:ind w:firstLine="0"/>
              <w:jc w:val="left"/>
            </w:pPr>
            <w:r>
              <w:t xml:space="preserve">yas</w:t>
            </w:r>
          </w:p>
        </w:tc>
        <w:tc>
          <w:tcPr>
            <w:tcW w:w="640" w:type="dxa"/>
          </w:tcPr>
          <w:p>
            <w:pPr>
              <w:pStyle w:val="TableCell"/>
              <w:keepNext/>
              <w:ind w:firstLine="0"/>
              <w:jc w:val="left"/>
            </w:pPr>
            <w:r>
              <w:t xml:space="preserve">ConfigExtractor</w:t>
            </w:r>
          </w:p>
        </w:tc>
        <w:tc>
          <w:tcPr>
            <w:tcW w:w="400" w:type="dxa"/>
          </w:tcPr>
          <w:p>
            <w:pPr>
              <w:pStyle w:val="TableCell"/>
              <w:keepNext/>
              <w:ind w:firstLine="0"/>
              <w:jc w:val="left"/>
            </w:pPr>
            <w:r>
              <w:t xml:space="preserve">1</w:t>
            </w:r>
          </w:p>
        </w:tc>
        <w:tc>
          <w:tcPr>
            <w:tcW w:w="400" w:type="dxa"/>
          </w:tcPr>
          <w:p>
            <w:pPr>
              <w:pStyle w:val="TableCell"/>
              <w:keepNext/>
              <w:ind w:firstLine="0"/>
              <w:jc w:val="left"/>
            </w:pPr>
            <w:r>
              <w:t xml:space="preserve">2</w:t>
            </w:r>
          </w:p>
        </w:tc>
      </w:tr>
      <w:tr>
        <w:trPr>
          <w:cantSplit/>
        </w:trPr>
        <w:tc>
          <w:tcPr>
            <w:tcW w:w="300" w:type="dxa"/>
          </w:tcPr>
          <w:p>
            <w:pPr>
              <w:pStyle w:val="TableCell"/>
              <w:keepNext/>
              <w:ind w:firstLine="0"/>
              <w:jc w:val="left"/>
            </w:pPr>
            <w:r>
              <w:t xml:space="preserve">51</w:t>
            </w:r>
          </w:p>
        </w:tc>
        <w:tc>
          <w:tcPr>
            <w:tcW w:w="2300" w:type="dxa"/>
          </w:tcPr>
          <w:p>
            <w:pPr>
              <w:pStyle w:val="TableCell"/>
              <w:keepNext/>
              <w:ind w:firstLine="0"/>
              <w:jc w:val="left"/>
            </w:pPr>
            <w:r>
              <w:t xml:space="preserve">HTML 頁面以 &lt;script src&gt; 載入的腳本在瀏覽器執行：它的呼叫（Google API、CDN）是瀏覽器的，不是提供頁面的容器的，不畫邊；只載入 bundle 的單頁應用不受影響</w:t>
            </w:r>
          </w:p>
        </w:tc>
        <w:tc>
          <w:tcPr>
            <w:tcW w:w="1000" w:type="dxa"/>
          </w:tcPr>
          <w:p>
            <w:pPr>
              <w:pStyle w:val="TableCell"/>
              <w:keepNext/>
              <w:ind w:firstLine="0"/>
              <w:jc w:val="left"/>
            </w:pPr>
            <w:r>
              <w:t xml:space="preserve">AICS</w:t>
            </w:r>
          </w:p>
        </w:tc>
        <w:tc>
          <w:tcPr>
            <w:tcW w:w="640" w:type="dxa"/>
          </w:tcPr>
          <w:p>
            <w:pPr>
              <w:pStyle w:val="TableCell"/>
              <w:keepNext/>
              <w:ind w:firstLine="0"/>
              <w:jc w:val="left"/>
            </w:pPr>
            <w:r>
              <w:t xml:space="preserve">TreeSitterExtractor</w:t>
            </w:r>
          </w:p>
        </w:tc>
        <w:tc>
          <w:tcPr>
            <w:tcW w:w="400" w:type="dxa"/>
          </w:tcPr>
          <w:p>
            <w:pPr>
              <w:pStyle w:val="TableCell"/>
              <w:keepNext/>
              <w:ind w:firstLine="0"/>
              <w:jc w:val="left"/>
            </w:pPr>
            <w:r>
              <w:t xml:space="preserve">6</w:t>
            </w:r>
          </w:p>
        </w:tc>
        <w:tc>
          <w:tcPr>
            <w:tcW w:w="400" w:type="dxa"/>
          </w:tcPr>
          <w:p>
            <w:pPr>
              <w:pStyle w:val="TableCell"/>
              <w:keepNext/>
              <w:ind w:firstLine="0"/>
              <w:jc w:val="left"/>
            </w:pPr>
            <w:r>
              <w:t xml:space="preserve">166</w:t>
            </w:r>
          </w:p>
        </w:tc>
      </w:tr>
      <w:tr>
        <w:trPr>
          <w:cantSplit/>
        </w:trPr>
        <w:tc>
          <w:tcPr>
            <w:tcW w:w="300" w:type="dxa"/>
          </w:tcPr>
          <w:p>
            <w:pPr>
              <w:pStyle w:val="TableCell"/>
              <w:keepNext/>
              <w:ind w:firstLine="0"/>
              <w:jc w:val="left"/>
            </w:pPr>
            <w:r>
              <w:t xml:space="preserve">52</w:t>
            </w:r>
          </w:p>
        </w:tc>
        <w:tc>
          <w:tcPr>
            <w:tcW w:w="2300" w:type="dxa"/>
          </w:tcPr>
          <w:p>
            <w:pPr>
              <w:pStyle w:val="TableCell"/>
              <w:keepNext/>
              <w:ind w:firstLine="0"/>
              <w:jc w:val="left"/>
            </w:pPr>
            <w:r>
              <w:t xml:space="preserve">Helm chart 先渲染再讀：內建 Go template 子集（.Values／.Chart／.Release、include／define、if／with／range、常用函式），release 名視為未知；有 else 的 if 照預設值選，沒有 else 而開關預設 false 的保留，空值守門的不保留；file:// 依賴與 charts/ 子 chart 用父 chart 的值渲染；讀不了的描述檔記入 ledger，不再靜默略過。渲染出的 chart 只有在沒有一般 manifest、也沒有 Compose 時才是詞彙表，否則只連到已知節點</w:t>
            </w:r>
          </w:p>
        </w:tc>
        <w:tc>
          <w:tcPr>
            <w:tcW w:w="1000" w:type="dxa"/>
          </w:tcPr>
          <w:p>
            <w:pPr>
              <w:pStyle w:val="TableCell"/>
              <w:keepNext/>
              <w:ind w:firstLine="0"/>
              <w:jc w:val="left"/>
            </w:pPr>
            <w:r>
              <w:t xml:space="preserve">skywalking-showcase、yas、hotelReservation</w:t>
            </w:r>
          </w:p>
        </w:tc>
        <w:tc>
          <w:tcPr>
            <w:tcW w:w="640" w:type="dxa"/>
          </w:tcPr>
          <w:p>
            <w:pPr>
              <w:pStyle w:val="TableCell"/>
              <w:keepNext/>
              <w:ind w:firstLine="0"/>
              <w:jc w:val="left"/>
            </w:pPr>
            <w:r>
              <w:t xml:space="preserve">HelmChartRenderer、ConfigExtractor、CodeGraphMerger</w:t>
            </w:r>
          </w:p>
        </w:tc>
        <w:tc>
          <w:tcPr>
            <w:tcW w:w="400" w:type="dxa"/>
          </w:tcPr>
          <w:p>
            <w:pPr>
              <w:pStyle w:val="TableCell"/>
              <w:keepNext/>
              <w:ind w:firstLine="0"/>
              <w:jc w:val="left"/>
            </w:pPr>
            <w:r>
              <w:t xml:space="preserve">7</w:t>
            </w:r>
          </w:p>
        </w:tc>
        <w:tc>
          <w:tcPr>
            <w:tcW w:w="400" w:type="dxa"/>
          </w:tcPr>
          <w:p>
            <w:pPr>
              <w:pStyle w:val="TableCell"/>
              <w:keepNext/>
              <w:ind w:firstLine="0"/>
              <w:jc w:val="left"/>
            </w:pPr>
            <w:r>
              <w:t xml:space="preserve">281</w:t>
            </w:r>
          </w:p>
        </w:tc>
      </w:tr>
      <w:tr>
        <w:trPr>
          <w:cantSplit/>
        </w:trPr>
        <w:tc>
          <w:tcPr>
            <w:tcW w:w="300" w:type="dxa"/>
          </w:tcPr>
          <w:p>
            <w:pPr>
              <w:pStyle w:val="TableCell"/>
              <w:keepNext/>
              <w:ind w:firstLine="0"/>
              <w:jc w:val="left"/>
            </w:pPr>
            <w:r>
              <w:t xml:space="preserve">53</w:t>
            </w:r>
          </w:p>
        </w:tc>
        <w:tc>
          <w:tcPr>
            <w:tcW w:w="2300" w:type="dxa"/>
          </w:tcPr>
          <w:p>
            <w:pPr>
              <w:pStyle w:val="TableCell"/>
              <w:keepNext/>
              <w:ind w:firstLine="0"/>
              <w:jc w:val="left"/>
            </w:pPr>
            <w:r>
              <w:t xml:space="preserve">容器的命令列也是佈線：Compose 的 command／entrypoint 與 k8s 的 command／args 裡的 URL、host:port，以及 -h 或名字表示主機的 flag 後面的主機（裸單字須是部署宣告過的名字），與環境變數同等分級；規則 35 因此看得到真正的目標，不再畫只表示啟動順序的 depends_on</w:t>
            </w:r>
          </w:p>
        </w:tc>
        <w:tc>
          <w:tcPr>
            <w:tcW w:w="1000" w:type="dxa"/>
          </w:tcPr>
          <w:p>
            <w:pPr>
              <w:pStyle w:val="TableCell"/>
              <w:keepNext/>
              <w:ind w:firstLine="0"/>
              <w:jc w:val="left"/>
            </w:pPr>
            <w:r>
              <w:t xml:space="preserve">skywalking-showcase</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3</w:t>
            </w:r>
          </w:p>
        </w:tc>
        <w:tc>
          <w:tcPr>
            <w:tcW w:w="400" w:type="dxa"/>
          </w:tcPr>
          <w:p>
            <w:pPr>
              <w:pStyle w:val="TableCell"/>
              <w:keepNext/>
              <w:ind w:firstLine="0"/>
              <w:jc w:val="left"/>
            </w:pPr>
            <w:r>
              <w:t xml:space="preserve">23</w:t>
            </w:r>
          </w:p>
        </w:tc>
      </w:tr>
      <w:tr>
        <w:trPr>
          <w:cantSplit/>
        </w:trPr>
        <w:tc>
          <w:tcPr>
            <w:tcW w:w="300" w:type="dxa"/>
          </w:tcPr>
          <w:p>
            <w:pPr>
              <w:pStyle w:val="TableCell"/>
              <w:keepNext/>
              <w:ind w:firstLine="0"/>
              <w:jc w:val="left"/>
            </w:pPr>
            <w:r>
              <w:t xml:space="preserve">54</w:t>
            </w:r>
          </w:p>
        </w:tc>
        <w:tc>
          <w:tcPr>
            <w:tcW w:w="2300" w:type="dxa"/>
          </w:tcPr>
          <w:p>
            <w:pPr>
              <w:pStyle w:val="TableCell"/>
              <w:keepNext/>
              <w:ind w:firstLine="0"/>
              <w:jc w:val="left"/>
            </w:pPr>
            <w:r>
              <w:t xml:space="preserve">namespace 決定身分：沒有 metadata.namespace 的 manifest 進 repo 自己的部署腳本 kubectl apply -f &lt;檔&gt; -n &lt;ns&gt; 指定的 namespace；同一個 Service 名出現在兩個 namespace 時（且只在這時）寫成 name.namespace，短名在讀取者自己的 namespace 解析（k8s DNS 的語意），放不進任何 namespace 的同名 workload 不成節點</w:t>
            </w:r>
          </w:p>
        </w:tc>
        <w:tc>
          <w:tcPr>
            <w:tcW w:w="1000" w:type="dxa"/>
          </w:tcPr>
          <w:p>
            <w:pPr>
              <w:pStyle w:val="TableCell"/>
              <w:keepNext/>
              <w:ind w:firstLine="0"/>
              <w:jc w:val="left"/>
            </w:pPr>
            <w:r>
              <w:t xml:space="preserve">travels</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2</w:t>
            </w:r>
          </w:p>
        </w:tc>
        <w:tc>
          <w:tcPr>
            <w:tcW w:w="400" w:type="dxa"/>
          </w:tcPr>
          <w:p>
            <w:pPr>
              <w:pStyle w:val="TableCell"/>
              <w:keepNext/>
              <w:ind w:firstLine="0"/>
              <w:jc w:val="left"/>
            </w:pPr>
            <w:r>
              <w:t xml:space="preserve">13</w:t>
            </w:r>
          </w:p>
        </w:tc>
      </w:tr>
      <w:tr>
        <w:trPr>
          <w:cantSplit/>
        </w:trPr>
        <w:tc>
          <w:tcPr>
            <w:tcW w:w="300" w:type="dxa"/>
          </w:tcPr>
          <w:p>
            <w:pPr>
              <w:pStyle w:val="TableCell"/>
              <w:keepNext/>
              <w:ind w:firstLine="0"/>
              <w:jc w:val="left"/>
            </w:pPr>
            <w:r>
              <w:t xml:space="preserve">55</w:t>
            </w:r>
          </w:p>
        </w:tc>
        <w:tc>
          <w:tcPr>
            <w:tcW w:w="2300" w:type="dxa"/>
          </w:tcPr>
          <w:p>
            <w:pPr>
              <w:pStyle w:val="TableCell"/>
              <w:keepNext/>
              <w:ind w:firstLine="0"/>
              <w:jc w:val="left"/>
            </w:pPr>
            <w:r>
              <w:t xml:space="preserve">一個值列出多個位址：以 ,、;、空白分開的 URL／host:port 各是一個目標，夾在中間的標籤不算；名字只差在數字的副本（nacos-0、nacos-1）仍是一個叢集（規則 27）；程式讀這個變數時每個位址各一條邊</w:t>
            </w:r>
          </w:p>
        </w:tc>
        <w:tc>
          <w:tcPr>
            <w:tcW w:w="1000" w:type="dxa"/>
          </w:tcPr>
          <w:p>
            <w:pPr>
              <w:pStyle w:val="TableCell"/>
              <w:keepNext/>
              <w:ind w:firstLine="0"/>
              <w:jc w:val="left"/>
            </w:pPr>
            <w:r>
              <w:t xml:space="preserve">travels</w:t>
            </w:r>
          </w:p>
        </w:tc>
        <w:tc>
          <w:tcPr>
            <w:tcW w:w="640" w:type="dxa"/>
          </w:tcPr>
          <w:p>
            <w:pPr>
              <w:pStyle w:val="TableCell"/>
              <w:keepNext/>
              <w:ind w:firstLine="0"/>
              <w:jc w:val="left"/>
            </w:pPr>
            <w:r>
              <w:t xml:space="preserve">ConfigExtractor、CodeGraphMerger</w:t>
            </w:r>
          </w:p>
        </w:tc>
        <w:tc>
          <w:tcPr>
            <w:tcW w:w="400" w:type="dxa"/>
          </w:tcPr>
          <w:p>
            <w:pPr>
              <w:pStyle w:val="TableCell"/>
              <w:keepNext/>
              <w:ind w:firstLine="0"/>
              <w:jc w:val="left"/>
            </w:pPr>
            <w:r>
              <w:t xml:space="preserve">4</w:t>
            </w:r>
          </w:p>
        </w:tc>
        <w:tc>
          <w:tcPr>
            <w:tcW w:w="400" w:type="dxa"/>
          </w:tcPr>
          <w:p>
            <w:pPr>
              <w:pStyle w:val="TableCell"/>
              <w:keepNext/>
              <w:ind w:firstLine="0"/>
              <w:jc w:val="left"/>
            </w:pPr>
            <w:r>
              <w:t xml:space="preserve">41</w:t>
            </w:r>
          </w:p>
        </w:tc>
      </w:tr>
      <w:tr>
        <w:trPr>
          <w:cantSplit/>
        </w:trPr>
        <w:tc>
          <w:tcPr>
            <w:tcW w:w="300" w:type="dxa"/>
          </w:tcPr>
          <w:p>
            <w:pPr>
              <w:pStyle w:val="TableCell"/>
              <w:ind w:firstLine="0"/>
              <w:jc w:val="left"/>
            </w:pPr>
            <w:r>
              <w:t xml:space="preserve">56</w:t>
            </w:r>
          </w:p>
        </w:tc>
        <w:tc>
          <w:tcPr>
            <w:tcW w:w="2300" w:type="dxa"/>
          </w:tcPr>
          <w:p>
            <w:pPr>
              <w:pStyle w:val="TableCell"/>
              <w:ind w:firstLine="0"/>
              <w:jc w:val="left"/>
            </w:pPr>
            <w:r>
              <w:t xml:space="preserve">入口路由：Istio Gateway 的 selector 指出入口 workload（istio: ingressgateway → istio-ingressgateway），綁到 Gateway 的 VirtualService 的每個 destination 是一條邊；只綁 mesh 的 VirtualService 是網格內的流量調整，不是邊。APISIX standalone 設定（routes／upstreams 的 nodes）是反向代理的上游表；repo 裡不屬於任何模組、只被一個 Compose 服務以 volumes 掛載的檔案，歸那個服務</w:t>
            </w:r>
          </w:p>
        </w:tc>
        <w:tc>
          <w:tcPr>
            <w:tcW w:w="1000" w:type="dxa"/>
          </w:tcPr>
          <w:p>
            <w:pPr>
              <w:pStyle w:val="TableCell"/>
              <w:ind w:firstLine="0"/>
              <w:jc w:val="left"/>
            </w:pPr>
            <w:r>
              <w:t xml:space="preserve">AICS、skywalking-showcase、Online Boutique</w:t>
            </w:r>
          </w:p>
        </w:tc>
        <w:tc>
          <w:tcPr>
            <w:tcW w:w="640" w:type="dxa"/>
          </w:tcPr>
          <w:p>
            <w:pPr>
              <w:pStyle w:val="TableCell"/>
              <w:ind w:firstLine="0"/>
              <w:jc w:val="left"/>
            </w:pPr>
            <w:r>
              <w:t xml:space="preserve">ConfigExtractor、CodeGraphMerger</w:t>
            </w:r>
          </w:p>
        </w:tc>
        <w:tc>
          <w:tcPr>
            <w:tcW w:w="400" w:type="dxa"/>
          </w:tcPr>
          <w:p>
            <w:pPr>
              <w:pStyle w:val="TableCell"/>
              <w:ind w:firstLine="0"/>
              <w:jc w:val="left"/>
            </w:pPr>
            <w:r>
              <w:t xml:space="preserve">6</w:t>
            </w:r>
          </w:p>
        </w:tc>
        <w:tc>
          <w:tcPr>
            <w:tcW w:w="400" w:type="dxa"/>
          </w:tcPr>
          <w:p>
            <w:pPr>
              <w:pStyle w:val="TableCell"/>
              <w:ind w:firstLine="0"/>
              <w:jc w:val="left"/>
            </w:pPr>
            <w:r>
              <w:t xml:space="preserve">101</w:t>
            </w:r>
          </w:p>
        </w:tc>
      </w:tr>
    </w:tbl>
    <w:p>
      <w:pPr>
        <w:pStyle w:val="BodyText"/>
        <w:spacing w:after="80"/>
      </w:pPr>
    </w:p>
    <w:p>
      <w:pPr>
        <w:pStyle w:val="BodyText"/>
      </w:pPr>
      <w:r>
        <w:t xml:space="preserve">第 1 至 9 條來自六個新系統的第一輪差異（第 IV-C 節「規則的來源」），第 10 條來自 Bank of Anthos 與 train-ticket 的回歸測試，第 11 至 13 條來自第三方參考邊集合的對照，第 14 條來自追查 Online Boutique 的 recall。第 15 至 23 條來自第二輪：先對七個系統剩下的漏邊與錯邊逐條追到形狀（第 15 至 18、23 條），再以一個未曾見過的私有 Istio 多 repo 系統（13 個 repo，Python）當對照（第 19 至 22 條）。每一條新增後，既有系統的節點與邊都逐項重算，確認沒有退步：Bank of Anthos 與 train-ticket 逐邊不變，第三方參考邊集合的吻合率維持 93/95。第 24 至 35 條來自第三輪：先把規則 1 至 23 原封不動地跑在三個未曾見過的開源系統上（opentelemetry-demo、mall-swarm、DeathStarBench hotelReservation；作者另行整理參考邊集合），得到 P 0.73、R 0.70——前兩輪的規則沒有一條轉移過去；再對 24 條錯邊與 28 條漏邊逐條追到形狀。新增後三系統合計 P 0.99、R 0.89（hotelReservation 剩下的 9 條漏邊是 Go 經 Consul 註冊名解析的呼叫，程式碼與部署檔都沒有主機名，是已記錄的邊界），但這個數字已不是 hold-out 結果：規則是在這三個系統上歸納的。既有系統的回歸同前：Bank of Anthos 逐邊不變、train-ticket 少一條 Swagger 中繼資料造成的假外部邊、第三方吻合率維持 93/95、七個歸納系統的 precision 全部維持 1.00。第 36 至 46 條來自第四輪：規則 1 至 35 原封不動地跑在第二組未曾見過的系統上（nashtech-garage/yas，Spring Boot 3 ＋ BFF ＋ Keycloak ＋ Kafka；aspnetrun/run-aspnetcore-microservices，.NET 8 全 C#），得到 yas P 0.68、R 0.81，.NET 系統 P 0.00、R 0.00——後者 13 條畫出的邊有 11 條只差在名字：compose 服務叫 catalog.api，工具把含點的名字都在第一個點截斷。逐條追到形狀後新增 11 條，之後 .NET 系統 P 1.00、R 1.00，yas P 0.83、R 0.96（剩下的錯邊是 compose 把位址交給了不呼叫它的服務，與瀏覽器導回網址；剩下的漏邊是 Debezium connector 設定、Next.js SSR 與 nginx 的 server_name，均記為邊界）。回歸：七個歸納系統邊逐條相同、Bank of Anthos 與 train-ticket 逐邊不變、第三方吻合率 93/95 不變（ewolff/microservice 工具多畫的兩種拼法併成一種）、第一組 hold-out 與私有系統的分數逐邊不變。過程中兩次差點退步（TeaStore 的 artifactId 撞上 compose 服務名、私有系統的「系統對外位址」被當成外部呼叫）都由回歸抓到並改掉。第 47 至 56 條來自第五輪：規則 1 至 46 原封不動地跑在第三組未曾見過的系統上（kiali/demos 的 travels，Go；apache/skywalking-showcase，多語言＋整套 Helm chart），得到 travels P 1.00、R 0.84，skywalking-showcase P 0.08、R 0.25；同時把原本由 LLM 讀或以正規表示式薄表面讀的六種語言換成 tree-sitter 文法（JavaScript、TypeScript、Go、PHP、Kotlin、C#，六個文法的 linux x86_64 原生函式庫都在 jar 裡，並在 linux/amd64 容器裡實際載入過）。新增的 10 條都是機制（綁定解析、預設值、註冊名稱、dotenv、瀏覽器腳本、Helm 渲染、命令列位址、namespace 身分、多位址值、入口路由），沒有新增任何名稱、主機或套件的對照表；規則 2、5、25、36、42、44 各擴充一句，規則 28、40 改為「有文法、正規表示式只當備援」。之後 travels P 0.95、R 1.00（剩下 1 條錯邊是同一個入口網站映像由三個 Deployment 以三個名字執行，模組名對不上），skywalking-showcase P 0.44、R 1.00（剩下的錯邊是只表示啟動順序的 depends_on 與一個沒人注入的 RestTemplate bean）。統一參考邊集合的慣例：AICS 一直把 Istio 入口路由列為 control，歸納組三個附有綁 Gateway 之 VirtualService 的系統各補一列；travels 的兩個同名 travels 依第 54 條寫成 name.namespace。回歸：七個歸納系統 P、R 全部 1.00（robot-shop 的 cart → catalogue（Node）與 ratings → catalogue（PHP）補上）、Bank of Anthos 12 條不變另加 1 條入口路由、train-ticket 120 → 158（多的 38 條全是 trainticket-gateway 的入口路由）、第三方吻合率 93/95 不變、第一組與第二組 hold-out 分數逐邊不變（0.99/0.89、0.85/0.97）、私有系統 0.89/0.63 → 0.90/0.76（多的是入口路由；瀏覽器腳本的 Google API 呼叫由第 51 條擋下，沒有新增錯邊）。</w:t>
      </w:r>
    </w:p>
    <w:p>
      <w:pPr>
        <w:pStyle w:val="HeadingUnnum"/>
      </w:pPr>
      <w:r>
        <w:t xml:space="preserve">致謝</w:t>
      </w:r>
    </w:p>
    <w:p>
      <w:pPr>
        <w:pStyle w:val="BodyText"/>
      </w:pPr>
      <w:r>
        <w:t xml:space="preserve">〔AI 使用聲明：依 COMPSAC 規定，定稿時於此寫明使用的 AI 系統與受影響的章節。〕</w:t>
      </w:r>
    </w:p>
    <w:p>
      <w:pPr>
        <w:pStyle w:val="HeadingUnnum"/>
      </w:pPr>
      <w:r>
        <w:t xml:space="preserve">參考文獻</w:t>
      </w:r>
    </w:p>
    <w:p>
      <w:pPr>
        <w:pStyle w:val="Reference"/>
        <w:tabs>
          <w:tab w:val="left" w:pos="360"/>
        </w:tabs>
      </w:pPr>
      <w:bookmarkStart w:id="901" w:name="ref_almaruf2022"/>
      <w:r>
        <w:t xml:space="preserve">[1]	</w:t>
      </w:r>
      <w:r>
        <w:t xml:space="preserve">A. Al Maruf, A. Bakhtin, T. Cerny, and D. Taibi, “Using microservice telemetry data for system dynamic analysis,” in </w:t>
      </w:r>
      <w:r>
        <w:rPr>
          <w:i/>
          <w:iCs/>
        </w:rPr>
        <w:t xml:space="preserve">Proc. IEEE SOSE</w:t>
      </w:r>
      <w:r>
        <w:t xml:space="preserve">, 2022, pp. 29–38, </w:t>
      </w:r>
      <w:r>
        <w:t xml:space="preserve">doi: </w:t>
      </w:r>
      <w:hyperlink r:id="rIdLink4" w:history="1">
        <w:r>
          <w:rPr>
            <w:rStyle w:val="Hyperlink"/>
          </w:rPr>
          <w:t xml:space="preserve">10.1109/SOSE55356.2022.00010</w:t>
        </w:r>
      </w:hyperlink>
      <w:r>
        <w:t xml:space="preserve">.</w:t>
      </w:r>
      <w:bookmarkEnd w:id="901"/>
    </w:p>
    <w:p>
      <w:pPr>
        <w:pStyle w:val="Reference"/>
        <w:tabs>
          <w:tab w:val="left" w:pos="360"/>
        </w:tabs>
      </w:pPr>
      <w:bookmarkStart w:id="902" w:name="ref_tsubouchi2020"/>
      <w:r>
        <w:t xml:space="preserve">[2]	</w:t>
      </w:r>
      <w:r>
        <w:t xml:space="preserve">Y. Tsubouchi, M. Furukawa, and R. Matsumoto, “Transtracer: Socket-based tracing of network dependencies among processes in distributed applications,” in </w:t>
      </w:r>
      <w:r>
        <w:rPr>
          <w:i/>
          <w:iCs/>
        </w:rPr>
        <w:t xml:space="preserve">Proc. IEEE COMPSAC</w:t>
      </w:r>
      <w:r>
        <w:t xml:space="preserve">, 2020, pp. 1206–1211, </w:t>
      </w:r>
      <w:r>
        <w:t xml:space="preserve">doi: </w:t>
      </w:r>
      <w:hyperlink r:id="rIdLink5" w:history="1">
        <w:r>
          <w:rPr>
            <w:rStyle w:val="Hyperlink"/>
          </w:rPr>
          <w:t xml:space="preserve">10.1109/COMPSAC48688.2020.00-92</w:t>
        </w:r>
      </w:hyperlink>
      <w:r>
        <w:t xml:space="preserve">.</w:t>
      </w:r>
      <w:bookmarkEnd w:id="902"/>
    </w:p>
    <w:p>
      <w:pPr>
        <w:pStyle w:val="Reference"/>
        <w:tabs>
          <w:tab w:val="left" w:pos="360"/>
        </w:tabs>
      </w:pPr>
      <w:bookmarkStart w:id="903" w:name="ref_bushong2022"/>
      <w:r>
        <w:t xml:space="preserve">[3]	</w:t>
      </w:r>
      <w:r>
        <w:t xml:space="preserve">V. Bushong, D. Das, and T. Cerny, “Reconstructing the holistic architecture of microservice systems using static analysis,” in </w:t>
      </w:r>
      <w:r>
        <w:rPr>
          <w:i/>
          <w:iCs/>
        </w:rPr>
        <w:t xml:space="preserve">Proc. CLOSER</w:t>
      </w:r>
      <w:r>
        <w:t xml:space="preserve">, 2022, pp. 149–157, </w:t>
      </w:r>
      <w:r>
        <w:t xml:space="preserve">doi: </w:t>
      </w:r>
      <w:hyperlink r:id="rIdLink6" w:history="1">
        <w:r>
          <w:rPr>
            <w:rStyle w:val="Hyperlink"/>
          </w:rPr>
          <w:t xml:space="preserve">10.5220/0011032100003200</w:t>
        </w:r>
      </w:hyperlink>
      <w:r>
        <w:t xml:space="preserve">.</w:t>
      </w:r>
      <w:bookmarkEnd w:id="903"/>
    </w:p>
    <w:p>
      <w:pPr>
        <w:pStyle w:val="Reference"/>
        <w:tabs>
          <w:tab w:val="left" w:pos="360"/>
        </w:tabs>
      </w:pPr>
      <w:bookmarkStart w:id="904" w:name="ref_code2dfd2023"/>
      <w:r>
        <w:t xml:space="preserve">[4]	</w:t>
      </w:r>
      <w:r>
        <w:t xml:space="preserve">S. Schneider and R. Scandariato, “Automatic extraction of security-rich dataflow diagrams for microservice applications written in Java,” </w:t>
      </w:r>
      <w:r>
        <w:rPr>
          <w:i/>
          <w:iCs/>
        </w:rPr>
        <w:t xml:space="preserve">J. Syst. Softw.</w:t>
      </w:r>
      <w:r>
        <w:t xml:space="preserve">, vol. 202, art. no. 111722, 2023, </w:t>
      </w:r>
      <w:r>
        <w:t xml:space="preserve">doi: </w:t>
      </w:r>
      <w:hyperlink r:id="rIdLink7" w:history="1">
        <w:r>
          <w:rPr>
            <w:rStyle w:val="Hyperlink"/>
          </w:rPr>
          <w:t xml:space="preserve">10.1016/j.jss.2023.111722</w:t>
        </w:r>
      </w:hyperlink>
      <w:r>
        <w:t xml:space="preserve">.</w:t>
      </w:r>
      <w:bookmarkEnd w:id="904"/>
    </w:p>
    <w:p>
      <w:pPr>
        <w:pStyle w:val="Reference"/>
        <w:tabs>
          <w:tab w:val="left" w:pos="360"/>
        </w:tabs>
      </w:pPr>
      <w:bookmarkStart w:id="905" w:name="ref_rahman2019"/>
      <w:r>
        <w:t xml:space="preserve">[5]	</w:t>
      </w:r>
      <w:r>
        <w:t xml:space="preserve">M. I. Rahman, S. Panichella, and D. Taibi, “A curated dataset of microservices-based systems,” in </w:t>
      </w:r>
      <w:r>
        <w:rPr>
          <w:i/>
          <w:iCs/>
        </w:rPr>
        <w:t xml:space="preserve">Proc. SSSME</w:t>
      </w:r>
      <w:r>
        <w:t xml:space="preserve">, CEUR-WS vol. 2520, 2019, pp. 1–9. [Online]. Available: </w:t>
      </w:r>
      <w:hyperlink r:id="rIdLink8" w:history="1">
        <w:r>
          <w:rPr>
            <w:rStyle w:val="Hyperlink"/>
          </w:rPr>
          <w:t xml:space="preserve">https://arxiv.org/abs/1909.03249</w:t>
        </w:r>
      </w:hyperlink>
      <w:bookmarkEnd w:id="905"/>
    </w:p>
    <w:p>
      <w:pPr>
        <w:pStyle w:val="Reference"/>
        <w:tabs>
          <w:tab w:val="left" w:pos="360"/>
        </w:tabs>
      </w:pPr>
      <w:bookmarkStart w:id="906" w:name="ref_liljas2026"/>
      <w:r>
        <w:t xml:space="preserve">[6]	</w:t>
      </w:r>
      <w:r>
        <w:t xml:space="preserve">V. Liljas, M. Esposito, V. Lenarduzzi, and D. Taibi, “Can agents reconstruct microservice architecture?,” in </w:t>
      </w:r>
      <w:r>
        <w:rPr>
          <w:i/>
          <w:iCs/>
        </w:rPr>
        <w:t xml:space="preserve">Proc. ESEM</w:t>
      </w:r>
      <w:r>
        <w:t xml:space="preserve">, LIPIcs vol. 394, 2026, pp. 62:1–62:13, </w:t>
      </w:r>
      <w:r>
        <w:t xml:space="preserve">doi: </w:t>
      </w:r>
      <w:hyperlink r:id="rIdLink9" w:history="1">
        <w:r>
          <w:rPr>
            <w:rStyle w:val="Hyperlink"/>
          </w:rPr>
          <w:t xml:space="preserve">10.4230/LIPIcs.ESEM.2026.62</w:t>
        </w:r>
      </w:hyperlink>
      <w:r>
        <w:t xml:space="preserve">.</w:t>
      </w:r>
      <w:bookmarkEnd w:id="906"/>
    </w:p>
    <w:p>
      <w:pPr>
        <w:pStyle w:val="Reference"/>
        <w:tabs>
          <w:tab w:val="left" w:pos="360"/>
        </w:tabs>
      </w:pPr>
      <w:bookmarkStart w:id="907" w:name="ref_sui2020"/>
      <w:r>
        <w:t xml:space="preserve">[7]	</w:t>
      </w:r>
      <w:r>
        <w:t xml:space="preserve">L. Sui, J. Dietrich, A. Tahir, and G. Fourtounis, “On the recall of static call graph construction in practice,” in </w:t>
      </w:r>
      <w:r>
        <w:rPr>
          <w:i/>
          <w:iCs/>
        </w:rPr>
        <w:t xml:space="preserve">Proc. ICSE</w:t>
      </w:r>
      <w:r>
        <w:t xml:space="preserve">, 2020, pp. 1049–1060, </w:t>
      </w:r>
      <w:r>
        <w:t xml:space="preserve">doi: </w:t>
      </w:r>
      <w:hyperlink r:id="rIdLink10" w:history="1">
        <w:r>
          <w:rPr>
            <w:rStyle w:val="Hyperlink"/>
          </w:rPr>
          <w:t xml:space="preserve">10.1145/3377811.3380441</w:t>
        </w:r>
      </w:hyperlink>
      <w:r>
        <w:t xml:space="preserve">.</w:t>
      </w:r>
      <w:bookmarkEnd w:id="907"/>
    </w:p>
    <w:p>
      <w:pPr>
        <w:pStyle w:val="Reference"/>
        <w:tabs>
          <w:tab w:val="left" w:pos="360"/>
        </w:tabs>
      </w:pPr>
      <w:bookmarkStart w:id="908" w:name="ref_schneider2025"/>
      <w:r>
        <w:t xml:space="preserve">[8]	</w:t>
      </w:r>
      <w:r>
        <w:t xml:space="preserve">S. Schneider, A. Bakhtin, X. Li, J. Soldani, A. Brogi, T. Cerny, R. Scandariato, and D. Taibi, “Comparison of static analysis architecture recovery tools for microservice applications,” </w:t>
      </w:r>
      <w:r>
        <w:rPr>
          <w:i/>
          <w:iCs/>
        </w:rPr>
        <w:t xml:space="preserve">Empir. Softw. Eng.</w:t>
      </w:r>
      <w:r>
        <w:t xml:space="preserve">, vol. 30, no. 5, art. 128, 2025, </w:t>
      </w:r>
      <w:r>
        <w:t xml:space="preserve">doi: </w:t>
      </w:r>
      <w:hyperlink r:id="rIdLink11" w:history="1">
        <w:r>
          <w:rPr>
            <w:rStyle w:val="Hyperlink"/>
          </w:rPr>
          <w:t xml:space="preserve">10.1007/s10664-025-10686-2</w:t>
        </w:r>
      </w:hyperlink>
      <w:r>
        <w:t xml:space="preserve">.</w:t>
      </w:r>
      <w:bookmarkEnd w:id="908"/>
    </w:p>
    <w:p>
      <w:pPr>
        <w:pStyle w:val="Reference"/>
        <w:tabs>
          <w:tab w:val="left" w:pos="360"/>
        </w:tabs>
      </w:pPr>
      <w:bookmarkStart w:id="909" w:name="ref_gortney2022"/>
      <w:r>
        <w:t xml:space="preserve">[9]	</w:t>
      </w:r>
      <w:r>
        <w:t xml:space="preserve">M. E. Gortney, P. E. Harris, T. Cerny, A. Al Maruf, M. Bures, D. Taibi, and P. Tisnovsky, “Visualizing microservice architecture in the dynamic perspective: A systematic mapping study,” </w:t>
      </w:r>
      <w:r>
        <w:rPr>
          <w:i/>
          <w:iCs/>
        </w:rPr>
        <w:t xml:space="preserve">IEEE Access</w:t>
      </w:r>
      <w:r>
        <w:t xml:space="preserve">, vol. 10, pp. 119999–120012, 2022, </w:t>
      </w:r>
      <w:r>
        <w:t xml:space="preserve">doi: </w:t>
      </w:r>
      <w:hyperlink r:id="rIdLink12" w:history="1">
        <w:r>
          <w:rPr>
            <w:rStyle w:val="Hyperlink"/>
          </w:rPr>
          <w:t xml:space="preserve">10.1109/ACCESS.2022.3221130</w:t>
        </w:r>
      </w:hyperlink>
      <w:r>
        <w:t xml:space="preserve">.</w:t>
      </w:r>
      <w:bookmarkEnd w:id="909"/>
    </w:p>
    <w:p>
      <w:pPr>
        <w:pStyle w:val="Reference"/>
        <w:tabs>
          <w:tab w:val="left" w:pos="360"/>
        </w:tabs>
      </w:pPr>
      <w:bookmarkStart w:id="910" w:name="ref_mayer2018"/>
      <w:r>
        <w:t xml:space="preserve">[10]	</w:t>
      </w:r>
      <w:r>
        <w:t xml:space="preserve">B. Mayer and R. Weinreich, “An approach to extract the architecture of microservice-based software systems,” in </w:t>
      </w:r>
      <w:r>
        <w:rPr>
          <w:i/>
          <w:iCs/>
        </w:rPr>
        <w:t xml:space="preserve">Proc. IEEE SOSE</w:t>
      </w:r>
      <w:r>
        <w:t xml:space="preserve">, 2018, pp. 21–30, </w:t>
      </w:r>
      <w:r>
        <w:t xml:space="preserve">doi: </w:t>
      </w:r>
      <w:hyperlink r:id="rIdLink13" w:history="1">
        <w:r>
          <w:rPr>
            <w:rStyle w:val="Hyperlink"/>
          </w:rPr>
          <w:t xml:space="preserve">10.1109/SOSE.2018.00012</w:t>
        </w:r>
      </w:hyperlink>
      <w:r>
        <w:t xml:space="preserve">.</w:t>
      </w:r>
      <w:bookmarkEnd w:id="910"/>
    </w:p>
    <w:p>
      <w:pPr>
        <w:pStyle w:val="Reference"/>
        <w:tabs>
          <w:tab w:val="left" w:pos="360"/>
        </w:tabs>
      </w:pPr>
      <w:bookmarkStart w:id="911" w:name="ref_granchelli2017"/>
      <w:r>
        <w:t xml:space="preserve">[11]	</w:t>
      </w:r>
      <w:r>
        <w:t xml:space="preserve">G. Granchelli, M. Cardarelli, P. Di Francesco, I. Malavolta, L. Iovino, and A. Di Salle, “Towards recovering the software architecture of microservice-based systems,” in </w:t>
      </w:r>
      <w:r>
        <w:rPr>
          <w:i/>
          <w:iCs/>
        </w:rPr>
        <w:t xml:space="preserve">Proc. ICSAW</w:t>
      </w:r>
      <w:r>
        <w:t xml:space="preserve">, 2017, pp. 46–53, </w:t>
      </w:r>
      <w:r>
        <w:t xml:space="preserve">doi: </w:t>
      </w:r>
      <w:hyperlink r:id="rIdLink14" w:history="1">
        <w:r>
          <w:rPr>
            <w:rStyle w:val="Hyperlink"/>
          </w:rPr>
          <w:t xml:space="preserve">10.1109/ICSAW.2017.48</w:t>
        </w:r>
      </w:hyperlink>
      <w:r>
        <w:t xml:space="preserve">.</w:t>
      </w:r>
      <w:bookmarkEnd w:id="911"/>
    </w:p>
    <w:p>
      <w:pPr>
        <w:pStyle w:val="Reference"/>
        <w:tabs>
          <w:tab w:val="left" w:pos="360"/>
        </w:tabs>
      </w:pPr>
      <w:bookmarkStart w:id="912" w:name="ref_soldani2022"/>
      <w:r>
        <w:t xml:space="preserve">[12]	</w:t>
      </w:r>
      <w:r>
        <w:t xml:space="preserve">J. Soldani, J. Khalili, and A. Brogi, “Offline mining of microservice-based architectures,” in </w:t>
      </w:r>
      <w:r>
        <w:rPr>
          <w:i/>
          <w:iCs/>
        </w:rPr>
        <w:t xml:space="preserve">Proc. CLOSER</w:t>
      </w:r>
      <w:r>
        <w:t xml:space="preserve">, 2022, pp. 63–73, </w:t>
      </w:r>
      <w:r>
        <w:t xml:space="preserve">doi: </w:t>
      </w:r>
      <w:hyperlink r:id="rIdLink15" w:history="1">
        <w:r>
          <w:rPr>
            <w:rStyle w:val="Hyperlink"/>
          </w:rPr>
          <w:t xml:space="preserve">10.5220/0011061000003200</w:t>
        </w:r>
      </w:hyperlink>
      <w:r>
        <w:t xml:space="preserve">.</w:t>
      </w:r>
      <w:bookmarkEnd w:id="912"/>
    </w:p>
    <w:p>
      <w:pPr>
        <w:pStyle w:val="Reference"/>
        <w:tabs>
          <w:tab w:val="left" w:pos="360"/>
        </w:tabs>
      </w:pPr>
      <w:bookmarkStart w:id="913" w:name="ref_bakhtin2023"/>
      <w:r>
        <w:t xml:space="preserve">[13]	</w:t>
      </w:r>
      <w:r>
        <w:t xml:space="preserve">A. Bakhtin, X. Li, J. Soldani, A. Brogi, T. Cerny, and D. Taibi, “Tools reconstructing microservice architecture: A systematic mapping study,” in </w:t>
      </w:r>
      <w:r>
        <w:rPr>
          <w:i/>
          <w:iCs/>
        </w:rPr>
        <w:t xml:space="preserve">Software Architecture. ECSA 2023 Tracks, Workshops, and Doctoral Symposium</w:t>
      </w:r>
      <w:r>
        <w:t xml:space="preserve">, LNCS 14590, 2024, pp. 3–18, </w:t>
      </w:r>
      <w:r>
        <w:t xml:space="preserve">doi: </w:t>
      </w:r>
      <w:hyperlink r:id="rIdLink16" w:history="1">
        <w:r>
          <w:rPr>
            <w:rStyle w:val="Hyperlink"/>
          </w:rPr>
          <w:t xml:space="preserve">10.1007/978-3-031-66326-0_1</w:t>
        </w:r>
      </w:hyperlink>
      <w:r>
        <w:t xml:space="preserve">.</w:t>
      </w:r>
      <w:bookmarkEnd w:id="913"/>
    </w:p>
    <w:p>
      <w:pPr>
        <w:pStyle w:val="Reference"/>
        <w:tabs>
          <w:tab w:val="left" w:pos="360"/>
        </w:tabs>
      </w:pPr>
      <w:bookmarkStart w:id="914" w:name="ref_grinenko2026"/>
      <w:r>
        <w:t xml:space="preserve">[14]	</w:t>
      </w:r>
      <w:r>
        <w:t xml:space="preserve">O. Grinenko, A. Gizun, A. Morhun, and A. Bekh, “Methods for reconstructing microservice architectures: A thematic literature review,” in </w:t>
      </w:r>
      <w:r>
        <w:rPr>
          <w:i/>
          <w:iCs/>
        </w:rPr>
        <w:t xml:space="preserve">Proc. 5th Int. Workshop on Cyber Hygiene (WCH 2026)</w:t>
      </w:r>
      <w:r>
        <w:t xml:space="preserve">, CEUR-WS vol. 4278, 2026, pp. 131–146. [Online]. Available: </w:t>
      </w:r>
      <w:hyperlink r:id="rIdLink17" w:history="1">
        <w:r>
          <w:rPr>
            <w:rStyle w:val="Hyperlink"/>
          </w:rPr>
          <w:t xml:space="preserve">https://ceur-ws.org/Vol-4278/paper10.pdf</w:t>
        </w:r>
      </w:hyperlink>
      <w:bookmarkEnd w:id="914"/>
    </w:p>
    <w:p>
      <w:pPr>
        <w:pStyle w:val="Reference"/>
        <w:tabs>
          <w:tab w:val="left" w:pos="360"/>
        </w:tabs>
      </w:pPr>
      <w:bookmarkStart w:id="915" w:name="ref_sarif2023"/>
      <w:r>
        <w:t xml:space="preserve">[15]	</w:t>
      </w:r>
      <w:r>
        <w:t xml:space="preserve">Y. Zhang, Z. Xu, C. Liu, H. Chen, J. Sun, D. Qiu, and Y. Liu, “Software architecture recovery with information fusion,” in </w:t>
      </w:r>
      <w:r>
        <w:rPr>
          <w:i/>
          <w:iCs/>
        </w:rPr>
        <w:t xml:space="preserve">Proc. ESEC/FSE</w:t>
      </w:r>
      <w:r>
        <w:t xml:space="preserve">, 2023, pp. 1535–1547, </w:t>
      </w:r>
      <w:r>
        <w:t xml:space="preserve">doi: </w:t>
      </w:r>
      <w:hyperlink r:id="rIdLink18" w:history="1">
        <w:r>
          <w:rPr>
            <w:rStyle w:val="Hyperlink"/>
          </w:rPr>
          <w:t xml:space="preserve">10.1145/3611643.3616285</w:t>
        </w:r>
      </w:hyperlink>
      <w:r>
        <w:t xml:space="preserve">.</w:t>
      </w:r>
      <w:bookmarkEnd w:id="915"/>
    </w:p>
    <w:p>
      <w:pPr>
        <w:pStyle w:val="Reference"/>
        <w:tabs>
          <w:tab w:val="left" w:pos="360"/>
        </w:tabs>
      </w:pPr>
      <w:bookmarkStart w:id="916" w:name="ref_ma2018"/>
      <w:r>
        <w:t xml:space="preserve">[16]	</w:t>
      </w:r>
      <w:r>
        <w:t xml:space="preserve">S.-P. Ma, C.-Y. Fan, Y. Chuang, W.-T. Lee, S.-J. Lee, and N.-L. Hsueh, “Using service dependency graph to analyze and test microservices,” in </w:t>
      </w:r>
      <w:r>
        <w:rPr>
          <w:i/>
          <w:iCs/>
        </w:rPr>
        <w:t xml:space="preserve">Proc. IEEE COMPSAC</w:t>
      </w:r>
      <w:r>
        <w:t xml:space="preserve">, vol. 02, 2018, pp. 81–86, </w:t>
      </w:r>
      <w:r>
        <w:t xml:space="preserve">doi: </w:t>
      </w:r>
      <w:hyperlink r:id="rIdLink19" w:history="1">
        <w:r>
          <w:rPr>
            <w:rStyle w:val="Hyperlink"/>
          </w:rPr>
          <w:t xml:space="preserve">10.1109/COMPSAC.2018.10207</w:t>
        </w:r>
      </w:hyperlink>
      <w:r>
        <w:t xml:space="preserve">.</w:t>
      </w:r>
      <w:bookmarkEnd w:id="916"/>
    </w:p>
    <w:p>
      <w:pPr>
        <w:pStyle w:val="Reference"/>
        <w:tabs>
          <w:tab w:val="left" w:pos="360"/>
        </w:tabs>
      </w:pPr>
      <w:bookmarkStart w:id="917" w:name="ref_ma2019"/>
      <w:r>
        <w:t xml:space="preserve">[17]	</w:t>
      </w:r>
      <w:r>
        <w:t xml:space="preserve">S.-P. Ma, C.-Y. Fan, Y. Chuang, I.-H. Liu, and C.-W. Lan, “Graph-based and scenario-driven microservice analysis, retrieval, and testing,” </w:t>
      </w:r>
      <w:r>
        <w:rPr>
          <w:i/>
          <w:iCs/>
        </w:rPr>
        <w:t xml:space="preserve">Future Gener. Comput. Syst.</w:t>
      </w:r>
      <w:r>
        <w:t xml:space="preserve">, vol. 100, pp. 724–735, 2019, </w:t>
      </w:r>
      <w:r>
        <w:t xml:space="preserve">doi: </w:t>
      </w:r>
      <w:hyperlink r:id="rIdLink20" w:history="1">
        <w:r>
          <w:rPr>
            <w:rStyle w:val="Hyperlink"/>
          </w:rPr>
          <w:t xml:space="preserve">10.1016/j.future.2019.05.048</w:t>
        </w:r>
      </w:hyperlink>
      <w:r>
        <w:t xml:space="preserve">.</w:t>
      </w:r>
      <w:bookmarkEnd w:id="917"/>
    </w:p>
    <w:p>
      <w:pPr>
        <w:pStyle w:val="Reference"/>
        <w:tabs>
          <w:tab w:val="left" w:pos="360"/>
        </w:tabs>
      </w:pPr>
      <w:bookmarkStart w:id="918" w:name="ref_ma2019b"/>
      <w:r>
        <w:t xml:space="preserve">[18]	</w:t>
      </w:r>
      <w:r>
        <w:t xml:space="preserve">S.-P. Ma, I.-H. Liu, C.-Y. Chen, J.-T. Lin, and N.-L. Hsueh, “Version-based microservice analysis, monitoring, and visualization,” in </w:t>
      </w:r>
      <w:r>
        <w:rPr>
          <w:i/>
          <w:iCs/>
        </w:rPr>
        <w:t xml:space="preserve">Proc. APSEC</w:t>
      </w:r>
      <w:r>
        <w:t xml:space="preserve">, 2019, pp. 165–172, </w:t>
      </w:r>
      <w:r>
        <w:t xml:space="preserve">doi: </w:t>
      </w:r>
      <w:hyperlink r:id="rIdLink21" w:history="1">
        <w:r>
          <w:rPr>
            <w:rStyle w:val="Hyperlink"/>
          </w:rPr>
          <w:t xml:space="preserve">10.1109/APSEC48747.2019.00031</w:t>
        </w:r>
      </w:hyperlink>
      <w:r>
        <w:t xml:space="preserve">.</w:t>
      </w:r>
      <w:bookmarkEnd w:id="918"/>
    </w:p>
    <w:p>
      <w:pPr>
        <w:pStyle w:val="Reference"/>
        <w:tabs>
          <w:tab w:val="left" w:pos="360"/>
        </w:tabs>
      </w:pPr>
      <w:bookmarkStart w:id="919" w:name="ref_lin2025"/>
      <w:r>
        <w:t xml:space="preserve">[19]	</w:t>
      </w:r>
      <w:r>
        <w:t xml:space="preserve">W.-K. Lin, S.-P. Ma, S.-J. Lee, and W.-T. Lee, “MicroViSim: Simulation and visualization of Kubernetes-based microservice systems,” in </w:t>
      </w:r>
      <w:r>
        <w:rPr>
          <w:i/>
          <w:iCs/>
        </w:rPr>
        <w:t xml:space="preserve">Proc. ASE Workshops (ASEW)</w:t>
      </w:r>
      <w:r>
        <w:t xml:space="preserve">, 2025, pp. 161–164, </w:t>
      </w:r>
      <w:r>
        <w:t xml:space="preserve">doi: </w:t>
      </w:r>
      <w:hyperlink r:id="rIdLink22" w:history="1">
        <w:r>
          <w:rPr>
            <w:rStyle w:val="Hyperlink"/>
          </w:rPr>
          <w:t xml:space="preserve">10.1109/ASEW67777.2025.00038</w:t>
        </w:r>
      </w:hyperlink>
      <w:r>
        <w:t xml:space="preserve">.</w:t>
      </w:r>
      <w:bookmarkEnd w:id="919"/>
    </w:p>
    <w:p>
      <w:pPr>
        <w:pStyle w:val="Reference"/>
        <w:tabs>
          <w:tab w:val="left" w:pos="360"/>
        </w:tabs>
      </w:pPr>
      <w:bookmarkStart w:id="920" w:name="ref_quadri2026"/>
      <w:r>
        <w:t xml:space="preserve">[20]	</w:t>
      </w:r>
      <w:r>
        <w:t xml:space="preserve">S. Quadri, K. Kontogiannis, and D. Truong, “Architecture recovery revisited: A hybrid knowledge graph and LLM-based approach,” in </w:t>
      </w:r>
      <w:r>
        <w:rPr>
          <w:i/>
          <w:iCs/>
        </w:rPr>
        <w:t xml:space="preserve">Proc. IEEE COMPSAC</w:t>
      </w:r>
      <w:r>
        <w:t xml:space="preserve">, 2026, pp. 493–502, </w:t>
      </w:r>
      <w:r>
        <w:t xml:space="preserve">doi: </w:t>
      </w:r>
      <w:hyperlink r:id="rIdLink23" w:history="1">
        <w:r>
          <w:rPr>
            <w:rStyle w:val="Hyperlink"/>
          </w:rPr>
          <w:t xml:space="preserve">10.1109/COMPSAC69091.2026.00070</w:t>
        </w:r>
      </w:hyperlink>
      <w:r>
        <w:t xml:space="preserve">.</w:t>
      </w:r>
      <w:bookmarkEnd w:id="920"/>
    </w:p>
    <w:p>
      <w:pPr>
        <w:pStyle w:val="Reference"/>
        <w:tabs>
          <w:tab w:val="left" w:pos="360"/>
        </w:tabs>
      </w:pPr>
      <w:bookmarkStart w:id="921" w:name="ref_satyrn2024"/>
      <w:r>
        <w:t xml:space="preserve">[21]	</w:t>
      </w:r>
      <w:r>
        <w:t xml:space="preserve">M. Sterbentz, C. Barrie, S. Shahi, A. Dutta, D. Hooshmand, H. Pack, and K. J. Hammond, “Satyrn: A platform for analytics augmented generation,” in </w:t>
      </w:r>
      <w:r>
        <w:rPr>
          <w:i/>
          <w:iCs/>
        </w:rPr>
        <w:t xml:space="preserve">Proc. EMNLP</w:t>
      </w:r>
      <w:r>
        <w:t xml:space="preserve">, 2024, pp. 6360–6385, </w:t>
      </w:r>
      <w:r>
        <w:t xml:space="preserve">doi: </w:t>
      </w:r>
      <w:hyperlink r:id="rIdLink24" w:history="1">
        <w:r>
          <w:rPr>
            <w:rStyle w:val="Hyperlink"/>
          </w:rPr>
          <w:t xml:space="preserve">10.18653/v1/2024.emnlp-main.365</w:t>
        </w:r>
      </w:hyperlink>
      <w:r>
        <w:t xml:space="preserve">.</w:t>
      </w:r>
      <w:bookmarkEnd w:id="921"/>
    </w:p>
    <w:p>
      <w:pPr>
        <w:pStyle w:val="Reference"/>
        <w:tabs>
          <w:tab w:val="left" w:pos="360"/>
        </w:tabs>
      </w:pPr>
      <w:bookmarkStart w:id="922" w:name="ref_pal2023"/>
      <w:r>
        <w:t xml:space="preserve">[22]	</w:t>
      </w:r>
      <w:r>
        <w:t xml:space="preserve">L. Gao, A. Madaan, S. Zhou, U. Alon, P. Liu, Y. Yang, J. Callan, and G. Neubig, “PAL: Program-aided language models,” in </w:t>
      </w:r>
      <w:r>
        <w:rPr>
          <w:i/>
          <w:iCs/>
        </w:rPr>
        <w:t xml:space="preserve">Proc. ICML</w:t>
      </w:r>
      <w:r>
        <w:t xml:space="preserve">, PMLR 202, 2023, pp. 10764–10799.</w:t>
      </w:r>
      <w:bookmarkEnd w:id="922"/>
    </w:p>
    <w:p>
      <w:pPr>
        <w:pStyle w:val="Reference"/>
        <w:tabs>
          <w:tab w:val="left" w:pos="360"/>
        </w:tabs>
      </w:pPr>
      <w:bookmarkStart w:id="923" w:name="ref_murphy1995"/>
      <w:r>
        <w:t xml:space="preserve">[23]	</w:t>
      </w:r>
      <w:r>
        <w:t xml:space="preserve">G. C. Murphy, D. Notkin, and K. Sullivan, “Software reflexion models: Bridging the gap between source and high-level models,” in </w:t>
      </w:r>
      <w:r>
        <w:rPr>
          <w:i/>
          <w:iCs/>
        </w:rPr>
        <w:t xml:space="preserve">Proc. ACM SIGSOFT FSE</w:t>
      </w:r>
      <w:r>
        <w:t xml:space="preserve">, 1995, pp. 18–28, </w:t>
      </w:r>
      <w:r>
        <w:t xml:space="preserve">doi: </w:t>
      </w:r>
      <w:hyperlink r:id="rIdLink25" w:history="1">
        <w:r>
          <w:rPr>
            <w:rStyle w:val="Hyperlink"/>
          </w:rPr>
          <w:t xml:space="preserve">10.1145/222124.222136</w:t>
        </w:r>
      </w:hyperlink>
      <w:r>
        <w:t xml:space="preserve">.</w:t>
      </w:r>
      <w:bookmarkEnd w:id="923"/>
    </w:p>
    <w:p>
      <w:pPr>
        <w:pStyle w:val="Reference"/>
        <w:tabs>
          <w:tab w:val="left" w:pos="360"/>
        </w:tabs>
      </w:pPr>
      <w:bookmarkStart w:id="924" w:name="ref_murphy2001"/>
      <w:r>
        <w:t xml:space="preserve">[24]	</w:t>
      </w:r>
      <w:r>
        <w:t xml:space="preserve">G. C. Murphy, D. Notkin, and K. J. Sullivan, “Software reflexion models: Bridging the gap between design and implementation,” </w:t>
      </w:r>
      <w:r>
        <w:rPr>
          <w:i/>
          <w:iCs/>
        </w:rPr>
        <w:t xml:space="preserve">IEEE Trans. Softw. Eng.</w:t>
      </w:r>
      <w:r>
        <w:t xml:space="preserve">, vol. 27, no. 4, pp. 364–380, 2001, </w:t>
      </w:r>
      <w:r>
        <w:t xml:space="preserve">doi: </w:t>
      </w:r>
      <w:hyperlink r:id="rIdLink26" w:history="1">
        <w:r>
          <w:rPr>
            <w:rStyle w:val="Hyperlink"/>
          </w:rPr>
          <w:t xml:space="preserve">10.1109/32.917525</w:t>
        </w:r>
      </w:hyperlink>
      <w:r>
        <w:t xml:space="preserve">.</w:t>
      </w:r>
      <w:bookmarkEnd w:id="924"/>
    </w:p>
    <w:p>
      <w:pPr>
        <w:pStyle w:val="Reference"/>
        <w:tabs>
          <w:tab w:val="left" w:pos="360"/>
        </w:tabs>
      </w:pPr>
      <w:bookmarkStart w:id="925" w:name="ref_datadogremap"/>
      <w:r>
        <w:t xml:space="preserve">[25]	</w:t>
      </w:r>
      <w:r>
        <w:t xml:space="preserve">Datadog, “Service remapping rules,” Datadog Documentation. Accessed: Oct. 13, 2026. [Online]. Available: </w:t>
      </w:r>
      <w:hyperlink r:id="rIdLink27" w:history="1">
        <w:r>
          <w:rPr>
            <w:rStyle w:val="Hyperlink"/>
          </w:rPr>
          <w:t xml:space="preserve">https://docs.datadoghq.com/tracing/services/service_remapping_rules/</w:t>
        </w:r>
      </w:hyperlink>
      <w:bookmarkEnd w:id="925"/>
    </w:p>
    <w:p>
      <w:pPr>
        <w:pStyle w:val="Reference"/>
        <w:tabs>
          <w:tab w:val="left" w:pos="360"/>
        </w:tabs>
      </w:pPr>
      <w:bookmarkStart w:id="926" w:name="ref_msabot2020"/>
      <w:r>
        <w:t xml:space="preserve">[26]	</w:t>
      </w:r>
      <w:r>
        <w:t xml:space="preserve">C.-T. Lin, S.-P. Ma, and Y.-W. Huang, “MSABot: A chatbot framework for assisting in the development and operation of microservice-based systems,” in </w:t>
      </w:r>
      <w:r>
        <w:rPr>
          <w:i/>
          <w:iCs/>
        </w:rPr>
        <w:t xml:space="preserve">Proc. ICSE Workshops</w:t>
      </w:r>
      <w:r>
        <w:t xml:space="preserve">, 2020, pp. 36–40, </w:t>
      </w:r>
      <w:r>
        <w:t xml:space="preserve">doi: </w:t>
      </w:r>
      <w:hyperlink r:id="rIdLink28" w:history="1">
        <w:r>
          <w:rPr>
            <w:rStyle w:val="Hyperlink"/>
          </w:rPr>
          <w:t xml:space="preserve">10.1145/3387940.3391501</w:t>
        </w:r>
      </w:hyperlink>
      <w:r>
        <w:t xml:space="preserve">.</w:t>
      </w:r>
      <w:bookmarkEnd w:id="926"/>
    </w:p>
    <w:p>
      <w:pPr>
        <w:pStyle w:val="Reference"/>
        <w:tabs>
          <w:tab w:val="left" w:pos="360"/>
        </w:tabs>
      </w:pPr>
      <w:bookmarkStart w:id="927" w:name="ref_msdobot2022"/>
      <w:r>
        <w:t xml:space="preserve">[27]	</w:t>
      </w:r>
      <w:r>
        <w:t xml:space="preserve">Y.-W. Huang, S.-P. Ma, and S.-K. Wang, “MsdoBot: An extensible chabot [sic] platform for microservice development and operations,” in </w:t>
      </w:r>
      <w:r>
        <w:rPr>
          <w:i/>
          <w:iCs/>
        </w:rPr>
        <w:t xml:space="preserve">Proc. ICEBE</w:t>
      </w:r>
      <w:r>
        <w:t xml:space="preserve">, 2022, pp. 124–129, </w:t>
      </w:r>
      <w:r>
        <w:t xml:space="preserve">doi: </w:t>
      </w:r>
      <w:hyperlink r:id="rIdLink29" w:history="1">
        <w:r>
          <w:rPr>
            <w:rStyle w:val="Hyperlink"/>
          </w:rPr>
          <w:t xml:space="preserve">10.1109/ICEBE55470.2022.00030</w:t>
        </w:r>
      </w:hyperlink>
      <w:r>
        <w:t xml:space="preserve">.</w:t>
      </w:r>
      <w:bookmarkEnd w:id="927"/>
    </w:p>
    <w:p>
      <w:pPr>
        <w:pStyle w:val="Reference"/>
        <w:tabs>
          <w:tab w:val="left" w:pos="360"/>
        </w:tabs>
      </w:pPr>
      <w:bookmarkStart w:id="928" w:name="ref_wang2023"/>
      <w:r>
        <w:t xml:space="preserve">[28]	</w:t>
      </w:r>
      <w:r>
        <w:t xml:space="preserve">S.-K. Wang, S.-P. Ma, C.-H. Chao, and G.-H. Lai, “Low-code ChatOps for microservices systems using service composition,” in </w:t>
      </w:r>
      <w:r>
        <w:rPr>
          <w:i/>
          <w:iCs/>
        </w:rPr>
        <w:t xml:space="preserve">Proc. ICEBE</w:t>
      </w:r>
      <w:r>
        <w:t xml:space="preserve">, 2023, pp. 55–62, </w:t>
      </w:r>
      <w:r>
        <w:t xml:space="preserve">doi: </w:t>
      </w:r>
      <w:hyperlink r:id="rIdLink30" w:history="1">
        <w:r>
          <w:rPr>
            <w:rStyle w:val="Hyperlink"/>
          </w:rPr>
          <w:t xml:space="preserve">10.1109/ICEBE59045.2023.00026</w:t>
        </w:r>
      </w:hyperlink>
      <w:r>
        <w:t xml:space="preserve">.</w:t>
      </w:r>
      <w:bookmarkEnd w:id="928"/>
    </w:p>
    <w:p>
      <w:pPr>
        <w:pStyle w:val="Reference"/>
        <w:tabs>
          <w:tab w:val="left" w:pos="360"/>
        </w:tabs>
      </w:pPr>
      <w:bookmarkStart w:id="929" w:name="ref_wang2024"/>
      <w:r>
        <w:t xml:space="preserve">[29]	</w:t>
      </w:r>
      <w:r>
        <w:t xml:space="preserve">S.-K. Wang, S.-P. Ma, G.-H. Lai, and C.-H. Chao, “ChatOps for microservice systems: A low-code approach using service composition and large language models,” </w:t>
      </w:r>
      <w:r>
        <w:rPr>
          <w:i/>
          <w:iCs/>
        </w:rPr>
        <w:t xml:space="preserve">Future Gener. Comput. Syst.</w:t>
      </w:r>
      <w:r>
        <w:t xml:space="preserve">, vol. 161, pp. 518–530, 2024, </w:t>
      </w:r>
      <w:r>
        <w:t xml:space="preserve">doi: </w:t>
      </w:r>
      <w:hyperlink r:id="rIdLink31" w:history="1">
        <w:r>
          <w:rPr>
            <w:rStyle w:val="Hyperlink"/>
          </w:rPr>
          <w:t xml:space="preserve">10.1016/j.future.2024.07.029</w:t>
        </w:r>
      </w:hyperlink>
      <w:r>
        <w:t xml:space="preserve">.</w:t>
      </w:r>
      <w:bookmarkEnd w:id="929"/>
    </w:p>
    <w:p>
      <w:pPr>
        <w:pStyle w:val="Reference"/>
        <w:tabs>
          <w:tab w:val="left" w:pos="360"/>
        </w:tabs>
      </w:pPr>
      <w:bookmarkStart w:id="930" w:name="ref_lai2025"/>
      <w:r>
        <w:t xml:space="preserve">[30]	</w:t>
      </w:r>
      <w:r>
        <w:t xml:space="preserve">G.-H. Lai, S.-P. Ma, and A.-Y. Li, “LLM-powered ChatOps approach to microservice deployment pipeline automation and monitoring,” in </w:t>
      </w:r>
      <w:r>
        <w:rPr>
          <w:i/>
          <w:iCs/>
        </w:rPr>
        <w:t xml:space="preserve">Proc. IEEE Int. Conf. E-Business Engineering (ICEBE)</w:t>
      </w:r>
      <w:r>
        <w:t xml:space="preserve">, 2025, pp. 24–31, </w:t>
      </w:r>
      <w:r>
        <w:t xml:space="preserve">doi: </w:t>
      </w:r>
      <w:hyperlink r:id="rIdLink32" w:history="1">
        <w:r>
          <w:rPr>
            <w:rStyle w:val="Hyperlink"/>
          </w:rPr>
          <w:t xml:space="preserve">10.1109/ICEBE68123.2025.00012</w:t>
        </w:r>
      </w:hyperlink>
      <w:r>
        <w:t xml:space="preserve">.</w:t>
      </w:r>
      <w:bookmarkEnd w:id="930"/>
    </w:p>
    <w:p>
      <w:pPr>
        <w:pStyle w:val="Reference"/>
        <w:tabs>
          <w:tab w:val="left" w:pos="360"/>
        </w:tabs>
      </w:pPr>
      <w:bookmarkStart w:id="931" w:name="ref_guo2015"/>
      <w:r>
        <w:t xml:space="preserve">[31]	</w:t>
      </w:r>
      <w:r>
        <w:t xml:space="preserve">H. Guo, J. Huang, and D. H. Laidlaw, “Representing uncertainty in graph edges: An evaluation of paired visual variables,” </w:t>
      </w:r>
      <w:r>
        <w:rPr>
          <w:i/>
          <w:iCs/>
        </w:rPr>
        <w:t xml:space="preserve">IEEE Trans. Vis. Comput. Graph.</w:t>
      </w:r>
      <w:r>
        <w:t xml:space="preserve">, vol. 21, no. 10, pp. 1173–1186, 2015, </w:t>
      </w:r>
      <w:r>
        <w:t xml:space="preserve">doi: </w:t>
      </w:r>
      <w:hyperlink r:id="rIdLink33" w:history="1">
        <w:r>
          <w:rPr>
            <w:rStyle w:val="Hyperlink"/>
          </w:rPr>
          <w:t xml:space="preserve">10.1109/TVCG.2015.2424872</w:t>
        </w:r>
      </w:hyperlink>
      <w:r>
        <w:t xml:space="preserve">.</w:t>
      </w:r>
      <w:bookmarkEnd w:id="931"/>
    </w:p>
    <w:p>
      <w:pPr>
        <w:pStyle w:val="Reference"/>
        <w:tabs>
          <w:tab w:val="left" w:pos="360"/>
        </w:tabs>
      </w:pPr>
      <w:bookmarkStart w:id="932" w:name="ref_famelis2012"/>
      <w:r>
        <w:t xml:space="preserve">[32]	</w:t>
      </w:r>
      <w:r>
        <w:t xml:space="preserve">M. Famelis, R. Salay, and M. Chechik, “Partial models: Towards modeling and reasoning with uncertainty,” in </w:t>
      </w:r>
      <w:r>
        <w:rPr>
          <w:i/>
          <w:iCs/>
        </w:rPr>
        <w:t xml:space="preserve">Proc. ICSE</w:t>
      </w:r>
      <w:r>
        <w:t xml:space="preserve">, 2012, pp. 573–583, </w:t>
      </w:r>
      <w:r>
        <w:t xml:space="preserve">doi: </w:t>
      </w:r>
      <w:hyperlink r:id="rIdLink34" w:history="1">
        <w:r>
          <w:rPr>
            <w:rStyle w:val="Hyperlink"/>
          </w:rPr>
          <w:t xml:space="preserve">10.1109/ICSE.2012.6227159</w:t>
        </w:r>
      </w:hyperlink>
      <w:r>
        <w:t xml:space="preserve">.</w:t>
      </w:r>
      <w:bookmarkEnd w:id="932"/>
    </w:p>
    <w:p>
      <w:pPr>
        <w:pStyle w:val="Reference"/>
        <w:tabs>
          <w:tab w:val="left" w:pos="360"/>
        </w:tabs>
      </w:pPr>
      <w:bookmarkStart w:id="933" w:name="ref_xray"/>
      <w:r>
        <w:t xml:space="preserve">[33]	</w:t>
      </w:r>
      <w:r>
        <w:t xml:space="preserve">Amazon Web Services, “AWS X-Ray concepts,” AWS X-Ray Developer Guide. Accessed: Oct. 13, 2026. [Online]. Available: </w:t>
      </w:r>
      <w:hyperlink r:id="rIdLink35" w:history="1">
        <w:r>
          <w:rPr>
            <w:rStyle w:val="Hyperlink"/>
          </w:rPr>
          <w:t xml:space="preserve">https://docs.aws.amazon.com/xray/latest/devguide/xray-concepts.html</w:t>
        </w:r>
      </w:hyperlink>
      <w:bookmarkEnd w:id="933"/>
    </w:p>
    <w:sectPr>
      <w:type w:val="continuous"/>
      <w:pgSz w:w="12240" w:h="15840"/>
      <w:pgMar w:top="1080" w:right="900" w:bottom="1440" w:left="900" w:header="720" w:footer="720" w:gutter="0"/>
      <w:cols w:num="2" w:space="360"/>
    </w:sectPr>
  </w:body>
</w:document>
</file>

<file path=word/numbering.xml><?xml version="1.0" encoding="utf-8"?>
<w:numbering xmlns:w="http://schemas.openxmlformats.org/wordprocessingml/2006/main">
  <w:abstractNum w:abstractNumId="1">
    <w:multiLevelType w:val="multilevel"/>
    <w:lvl w:ilvl="0">
      <w:start w:val="1"/>
      <w:numFmt w:val="upperRoman"/>
      <w:pStyle w:val="Heading1"/>
      <w:lvlText w:val="%1."/>
      <w:lvlJc w:val="center"/>
      <w:suff w:val="space"/>
      <w:pPr>
        <w:ind w:left="0" w:firstLine="0"/>
      </w:pPr>
    </w:lvl>
    <w:lvl w:ilvl="1">
      <w:start w:val="1"/>
      <w:numFmt w:val="upperLetter"/>
      <w:pStyle w:val="Heading2"/>
      <w:lvlText w:val="%2."/>
      <w:lvlJc w:val="left"/>
      <w:suff w:val="space"/>
      <w:pPr>
        <w:ind w:left="0" w:firstLine="0"/>
      </w:pPr>
    </w:lvl>
  </w:abstractNum>
  <w:abstractNum w:abstractNumId="2">
    <w:multiLevelType w:val="singleLevel"/>
    <w:lvl w:ilvl="0">
      <w:start w:val="1"/>
      <w:numFmt w:val="bullet"/>
      <w:lvlText w:val="•"/>
      <w:lvlJc w:val="left"/>
      <w:pPr>
        <w:ind w:left="288" w:hanging="216"/>
      </w:pPr>
    </w:lvl>
  </w:abstractNum>
  <w:abstractNum w:abstractNumId="3">
    <w:multiLevelType w:val="singleLevel"/>
    <w:lvl w:ilvl="0">
      <w:start w:val="1"/>
      <w:numFmt w:val="decimal"/>
      <w:lvlText w:val="%1)"/>
      <w:lvlJc w:val="left"/>
      <w:pPr>
        <w:ind w:left="288" w:hanging="288"/>
      </w:pPr>
    </w:lvl>
  </w:abstractNum>
  <w:num w:numId="1">
    <w:abstractNumId w:val="1"/>
  </w:num>
  <w:num w:numId="2">
    <w:abstractNumId w:val="2"/>
  </w:num>
  <w:num w:numId="11">
    <w:abstractNumId w:val="3"/>
    <w:lvlOverride w:ilvl="0">
      <w:startOverride w:val="1"/>
    </w:lvlOverride>
  </w:num>
  <w:num w:numId="12">
    <w:abstractNumId w:val="3"/>
    <w:lvlOverride w:ilvl="0">
      <w:startOverride w:val="1"/>
    </w:lvlOverride>
  </w:num>
</w:numbering>
</file>

<file path=word/settings.xml><?xml version="1.0" encoding="utf-8"?>
<w:settings xmlns:w="http://schemas.openxmlformats.org/wordprocessingml/2006/main">
  <w:defaultTabStop w:val="36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PMingLiU" w:cs="Times New Roman"/>
        <w:lang w:val="en-US" w:eastAsia="zh-TW"/>
        <w:sz w:val="20"/>
        <w:szCs w:val="20"/>
      </w:rPr>
    </w:rPrDefault>
    <w:pPrDefault>
      <w:pPr>
        <w:spacing w:after="0" w:line="240" w:lineRule="auto"/>
      </w:pPr>
    </w:pPrDefault>
  </w:docDefaults>
  <w:style w:type="paragraph" w:default="1" w:styleId="Normal">
    <w:name w:val="Normal"/>
    <w:qFormat/>
    <w:pPr>
      <w:widowControl/>
      <w:jc w:val="both"/>
    </w:pPr>
    <w:rPr>
      <w:rFonts w:ascii="Times New Roman" w:hAnsi="Times New Roman" w:eastAsia="PMingLiU" w:cs="Times New Roman"/>
      <w:sz w:val="20"/>
      <w:szCs w:val="20"/>
    </w:rPr>
  </w:style>
  <w:style w:type="paragraph" w:customStyle="1" w:styleId="PaperTitle">
    <w:name w:val="Paper Title"/>
    <w:basedOn w:val="Normal"/>
    <w:qFormat/>
    <w:pPr>
      <w:spacing w:after="80"/>
      <w:jc w:val="center"/>
    </w:pPr>
    <w:rPr>
      <w:rFonts w:ascii="Times New Roman" w:hAnsi="Times New Roman" w:eastAsia="PMingLiU" w:cs="Times New Roman"/>
      <w:sz w:val="48"/>
      <w:szCs w:val="48"/>
    </w:rPr>
  </w:style>
  <w:style w:type="paragraph" w:customStyle="1" w:styleId="PaperSubtitle">
    <w:name w:val="Paper Subtitle"/>
    <w:basedOn w:val="Normal"/>
    <w:qFormat/>
    <w:pPr>
      <w:spacing w:after="200"/>
      <w:jc w:val="center"/>
    </w:pPr>
    <w:rPr>
      <w:rFonts w:ascii="Times New Roman" w:hAnsi="Times New Roman" w:eastAsia="PMingLiU" w:cs="Times New Roman"/>
      <w:i/>
      <w:sz w:val="24"/>
      <w:szCs w:val="24"/>
    </w:rPr>
  </w:style>
  <w:style w:type="paragraph" w:customStyle="1" w:styleId="Author">
    <w:name w:val="Author"/>
    <w:basedOn w:val="Normal"/>
    <w:qFormat/>
    <w:pPr>
      <w:spacing w:before="40"/>
      <w:jc w:val="center"/>
    </w:pPr>
    <w:rPr>
      <w:rFonts w:ascii="Times New Roman" w:hAnsi="Times New Roman" w:eastAsia="PMingLiU" w:cs="Times New Roman"/>
      <w:sz w:val="22"/>
      <w:szCs w:val="22"/>
    </w:rPr>
  </w:style>
  <w:style w:type="paragraph" w:customStyle="1" w:styleId="Affiliation">
    <w:name w:val="Affiliation"/>
    <w:basedOn w:val="Normal"/>
    <w:qFormat/>
    <w:pPr>
      <w:spacing w:after="240"/>
      <w:jc w:val="center"/>
    </w:pPr>
    <w:rPr>
      <w:rFonts w:ascii="Times New Roman" w:hAnsi="Times New Roman" w:eastAsia="PMingLiU" w:cs="Times New Roman"/>
      <w:i/>
      <w:sz w:val="20"/>
      <w:szCs w:val="20"/>
    </w:rPr>
  </w:style>
  <w:style w:type="paragraph" w:customStyle="1" w:styleId="Abstract">
    <w:name w:val="Abstract"/>
    <w:basedOn w:val="Normal"/>
    <w:qFormat/>
    <w:pPr>
      <w:spacing w:after="120"/>
      <w:ind w:firstLine="202"/>
      <w:jc w:val="both"/>
    </w:pPr>
    <w:rPr>
      <w:rFonts w:ascii="Times New Roman" w:hAnsi="Times New Roman" w:eastAsia="PMingLiU" w:cs="Times New Roman"/>
      <w:b/>
      <w:sz w:val="18"/>
      <w:szCs w:val="18"/>
    </w:rPr>
  </w:style>
  <w:style w:type="paragraph" w:customStyle="1" w:styleId="Keywords">
    <w:name w:val="Keywords"/>
    <w:basedOn w:val="Normal"/>
    <w:qFormat/>
    <w:pPr>
      <w:spacing w:after="160"/>
      <w:ind w:firstLine="202"/>
      <w:jc w:val="both"/>
    </w:pPr>
    <w:rPr>
      <w:rFonts w:ascii="Times New Roman" w:hAnsi="Times New Roman" w:eastAsia="PMingLiU" w:cs="Times New Roman"/>
      <w:b/>
      <w:sz w:val="18"/>
      <w:szCs w:val="18"/>
    </w:rPr>
  </w:style>
  <w:style w:type="paragraph" w:customStyle="1" w:styleId="BodyText">
    <w:name w:val="Body Text"/>
    <w:basedOn w:val="Normal"/>
    <w:qFormat/>
    <w:pPr>
      <w:ind w:firstLine="288"/>
      <w:jc w:val="both"/>
    </w:pPr>
    <w:rPr>
      <w:rFonts w:ascii="Times New Roman" w:hAnsi="Times New Roman" w:eastAsia="PMingLiU" w:cs="Times New Roman"/>
      <w:sz w:val="20"/>
      <w:szCs w:val="20"/>
    </w:rPr>
  </w:style>
  <w:style w:type="paragraph" w:customStyle="1" w:styleId="Heading1">
    <w:name w:val="heading 1"/>
    <w:basedOn w:val="Normal"/>
    <w:next w:val="BodyText"/>
    <w:qFormat/>
    <w:pPr>
      <w:keepNext/>
      <w:numPr>
        <w:numId w:val="1"/>
      </w:numPr>
      <w:spacing w:before="160" w:after="80"/>
      <w:jc w:val="center"/>
      <w:outlineLvl w:val="0"/>
    </w:pPr>
    <w:rPr>
      <w:rFonts w:ascii="Times New Roman" w:hAnsi="Times New Roman" w:eastAsia="PMingLiU" w:cs="Times New Roman"/>
      <w:smallCaps/>
      <w:sz w:val="20"/>
      <w:szCs w:val="20"/>
    </w:rPr>
  </w:style>
  <w:style w:type="paragraph" w:customStyle="1" w:styleId="Heading2">
    <w:name w:val="heading 2"/>
    <w:basedOn w:val="Normal"/>
    <w:next w:val="BodyText"/>
    <w:qFormat/>
    <w:pPr>
      <w:keepNext/>
      <w:numPr>
        <w:ilvl w:val="1"/>
        <w:numId w:val="1"/>
      </w:numPr>
      <w:spacing w:before="120" w:after="60"/>
      <w:jc w:val="left"/>
      <w:outlineLvl w:val="1"/>
    </w:pPr>
    <w:rPr>
      <w:rFonts w:ascii="Times New Roman" w:hAnsi="Times New Roman" w:eastAsia="PMingLiU" w:cs="Times New Roman"/>
      <w:i/>
      <w:sz w:val="20"/>
      <w:szCs w:val="20"/>
    </w:rPr>
  </w:style>
  <w:style w:type="paragraph" w:customStyle="1" w:styleId="HeadingUnnum">
    <w:name w:val="Heading Unnumbered"/>
    <w:basedOn w:val="Normal"/>
    <w:qFormat/>
    <w:pPr>
      <w:keepNext/>
      <w:spacing w:before="160" w:after="80"/>
      <w:jc w:val="center"/>
    </w:pPr>
    <w:rPr>
      <w:rFonts w:ascii="Times New Roman" w:hAnsi="Times New Roman" w:eastAsia="PMingLiU" w:cs="Times New Roman"/>
      <w:smallCaps/>
      <w:sz w:val="20"/>
      <w:szCs w:val="20"/>
    </w:rPr>
  </w:style>
  <w:style w:type="paragraph" w:customStyle="1" w:styleId="ListItem">
    <w:name w:val="List Item"/>
    <w:basedOn w:val="Normal"/>
    <w:qFormat/>
    <w:pPr>
      <w:ind w:left="288" w:hanging="216"/>
      <w:jc w:val="both"/>
    </w:pPr>
    <w:rPr>
      <w:rFonts w:ascii="Times New Roman" w:hAnsi="Times New Roman" w:eastAsia="PMingLiU" w:cs="Times New Roman"/>
      <w:sz w:val="20"/>
      <w:szCs w:val="20"/>
    </w:rPr>
  </w:style>
  <w:style w:type="paragraph" w:customStyle="1" w:styleId="TableCaption">
    <w:name w:val="Table Caption"/>
    <w:basedOn w:val="Normal"/>
    <w:qFormat/>
    <w:pPr>
      <w:keepNext/>
      <w:spacing w:before="120" w:after="60"/>
      <w:jc w:val="center"/>
    </w:pPr>
    <w:rPr>
      <w:rFonts w:ascii="Times New Roman" w:hAnsi="Times New Roman" w:eastAsia="PMingLiU" w:cs="Times New Roman"/>
      <w:smallCaps/>
      <w:sz w:val="16"/>
      <w:szCs w:val="16"/>
    </w:rPr>
  </w:style>
  <w:style w:type="paragraph" w:customStyle="1" w:styleId="TableCell">
    <w:name w:val="Table Cell"/>
    <w:basedOn w:val="Normal"/>
    <w:qFormat/>
    <w:pPr>
      <w:jc w:val="left"/>
    </w:pPr>
    <w:rPr>
      <w:rFonts w:ascii="Times New Roman" w:hAnsi="Times New Roman" w:eastAsia="PMingLiU" w:cs="Times New Roman"/>
      <w:sz w:val="16"/>
      <w:szCs w:val="16"/>
    </w:rPr>
  </w:style>
  <w:style w:type="paragraph" w:customStyle="1" w:styleId="FigureImage">
    <w:name w:val="Figure Image"/>
    <w:basedOn w:val="Normal"/>
    <w:qFormat/>
    <w:pPr>
      <w:keepNext/>
      <w:spacing w:before="120" w:after="40"/>
      <w:jc w:val="center"/>
    </w:pPr>
    <w:rPr>
      <w:rFonts w:ascii="Times New Roman" w:hAnsi="Times New Roman" w:eastAsia="PMingLiU" w:cs="Times New Roman"/>
      <w:sz w:val="20"/>
      <w:szCs w:val="20"/>
    </w:rPr>
  </w:style>
  <w:style w:type="paragraph" w:customStyle="1" w:styleId="FigureCaption">
    <w:name w:val="Figure Caption"/>
    <w:basedOn w:val="Normal"/>
    <w:qFormat/>
    <w:pPr>
      <w:spacing w:after="120"/>
      <w:jc w:val="both"/>
    </w:pPr>
    <w:rPr>
      <w:rFonts w:ascii="Times New Roman" w:hAnsi="Times New Roman" w:eastAsia="PMingLiU" w:cs="Times New Roman"/>
      <w:sz w:val="16"/>
      <w:szCs w:val="16"/>
    </w:rPr>
  </w:style>
  <w:style w:type="paragraph" w:customStyle="1" w:styleId="AlgoTitle">
    <w:name w:val="Algorithm Title"/>
    <w:basedOn w:val="Normal"/>
    <w:qFormat/>
    <w:pPr>
      <w:keepNext/>
      <w:spacing w:before="120"/>
      <w:pBdr>
        <w:top w:val="single" w:sz="8" w:space="1" w:color="000000"/>
        <w:bottom w:val="single" w:sz="4" w:space="1" w:color="000000"/>
      </w:pBdr>
    </w:pPr>
    <w:rPr>
      <w:rFonts w:ascii="Times New Roman" w:hAnsi="Times New Roman" w:eastAsia="PMingLiU" w:cs="Times New Roman"/>
      <w:b/>
      <w:sz w:val="16"/>
      <w:szCs w:val="16"/>
    </w:rPr>
  </w:style>
  <w:style w:type="paragraph" w:customStyle="1" w:styleId="AlgoLine">
    <w:name w:val="Algorithm Line"/>
    <w:basedOn w:val="Normal"/>
    <w:qFormat/>
    <w:pPr>
      <w:keepNext/>
      <w:keepLines/>
      <w:ind w:left="200" w:hanging="200"/>
      <w:jc w:val="left"/>
    </w:pPr>
    <w:rPr>
      <w:rFonts w:ascii="Times New Roman" w:hAnsi="Times New Roman" w:eastAsia="PMingLiU" w:cs="Times New Roman"/>
      <w:sz w:val="15"/>
      <w:szCs w:val="15"/>
    </w:rPr>
  </w:style>
  <w:style w:type="paragraph" w:customStyle="1" w:styleId="AlgoLast">
    <w:name w:val="Algorithm Last Line"/>
    <w:basedOn w:val="Normal"/>
    <w:qFormat/>
    <w:pPr>
      <w:ind w:left="200" w:hanging="200"/>
      <w:spacing w:after="120"/>
      <w:pBdr>
        <w:bottom w:val="single" w:sz="8" w:space="1" w:color="000000"/>
      </w:pBdr>
      <w:jc w:val="left"/>
    </w:pPr>
    <w:rPr>
      <w:rFonts w:ascii="Times New Roman" w:hAnsi="Times New Roman" w:eastAsia="PMingLiU" w:cs="Times New Roman"/>
      <w:sz w:val="15"/>
      <w:szCs w:val="15"/>
    </w:rPr>
  </w:style>
  <w:style w:type="paragraph" w:customStyle="1" w:styleId="Reference">
    <w:name w:val="Reference"/>
    <w:basedOn w:val="Normal"/>
    <w:qFormat/>
    <w:pPr>
      <w:ind w:left="360" w:hanging="360"/>
      <w:spacing w:after="20"/>
      <w:jc w:val="left"/>
    </w:pPr>
    <w:rPr>
      <w:rFonts w:ascii="Times New Roman" w:hAnsi="Times New Roman" w:eastAsia="PMingLiU" w:cs="Times New Roman"/>
      <w:sz w:val="16"/>
      <w:szCs w:val="16"/>
    </w:rPr>
  </w:style>
  <w:style w:type="table" w:default="1" w:styleId="TableNormal">
    <w:name w:val="Normal Table"/>
    <w:tblPr>
      <w:tblInd w:w="0" w:type="dxa"/>
      <w:tblCellMar>
        <w:top w:w="0" w:type="dxa"/>
        <w:left w:w="108" w:type="dxa"/>
        <w:bottom w:w="0" w:type="dxa"/>
        <w:right w:w="108" w:type="dxa"/>
      </w:tblCellMar>
    </w:tbl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Fig1" Type="http://schemas.openxmlformats.org/officeDocument/2006/relationships/image" Target="media/c_arch.png"/><Relationship Id="rIdFig2" Type="http://schemas.openxmlformats.org/officeDocument/2006/relationships/image" Target="media/c_levels.png"/><Relationship Id="rIdFig3" Type="http://schemas.openxmlformats.org/officeDocument/2006/relationships/image" Target="media/c_boa.png"/><Relationship Id="rIdLink4" Type="http://schemas.openxmlformats.org/officeDocument/2006/relationships/hyperlink" Target="https://doi.org/10.1109/SOSE55356.2022.00010" TargetMode="External"/><Relationship Id="rIdLink5" Type="http://schemas.openxmlformats.org/officeDocument/2006/relationships/hyperlink" Target="https://doi.org/10.1109/COMPSAC48688.2020.00-92" TargetMode="External"/><Relationship Id="rIdLink6" Type="http://schemas.openxmlformats.org/officeDocument/2006/relationships/hyperlink" Target="https://doi.org/10.5220/0011032100003200" TargetMode="External"/><Relationship Id="rIdLink7" Type="http://schemas.openxmlformats.org/officeDocument/2006/relationships/hyperlink" Target="https://doi.org/10.1016/j.jss.2023.111722" TargetMode="External"/><Relationship Id="rIdLink8" Type="http://schemas.openxmlformats.org/officeDocument/2006/relationships/hyperlink" Target="https://arxiv.org/abs/1909.03249" TargetMode="External"/><Relationship Id="rIdLink9" Type="http://schemas.openxmlformats.org/officeDocument/2006/relationships/hyperlink" Target="https://doi.org/10.4230/LIPIcs.ESEM.2026.62" TargetMode="External"/><Relationship Id="rIdLink10" Type="http://schemas.openxmlformats.org/officeDocument/2006/relationships/hyperlink" Target="https://doi.org/10.1145/3377811.3380441" TargetMode="External"/><Relationship Id="rIdLink11" Type="http://schemas.openxmlformats.org/officeDocument/2006/relationships/hyperlink" Target="https://doi.org/10.1007/s10664-025-10686-2" TargetMode="External"/><Relationship Id="rIdLink12" Type="http://schemas.openxmlformats.org/officeDocument/2006/relationships/hyperlink" Target="https://doi.org/10.1109/ACCESS.2022.3221130" TargetMode="External"/><Relationship Id="rIdLink13" Type="http://schemas.openxmlformats.org/officeDocument/2006/relationships/hyperlink" Target="https://doi.org/10.1109/SOSE.2018.00012" TargetMode="External"/><Relationship Id="rIdLink14" Type="http://schemas.openxmlformats.org/officeDocument/2006/relationships/hyperlink" Target="https://doi.org/10.1109/ICSAW.2017.48" TargetMode="External"/><Relationship Id="rIdLink15" Type="http://schemas.openxmlformats.org/officeDocument/2006/relationships/hyperlink" Target="https://doi.org/10.5220/0011061000003200" TargetMode="External"/><Relationship Id="rIdLink16" Type="http://schemas.openxmlformats.org/officeDocument/2006/relationships/hyperlink" Target="https://doi.org/10.1007/978-3-031-66326-0_1" TargetMode="External"/><Relationship Id="rIdLink17" Type="http://schemas.openxmlformats.org/officeDocument/2006/relationships/hyperlink" Target="https://ceur-ws.org/Vol-4278/paper10.pdf" TargetMode="External"/><Relationship Id="rIdLink18" Type="http://schemas.openxmlformats.org/officeDocument/2006/relationships/hyperlink" Target="https://doi.org/10.1145/3611643.3616285" TargetMode="External"/><Relationship Id="rIdLink19" Type="http://schemas.openxmlformats.org/officeDocument/2006/relationships/hyperlink" Target="https://doi.org/10.1109/COMPSAC.2018.10207" TargetMode="External"/><Relationship Id="rIdLink20" Type="http://schemas.openxmlformats.org/officeDocument/2006/relationships/hyperlink" Target="https://doi.org/10.1016/j.future.2019.05.048" TargetMode="External"/><Relationship Id="rIdLink21" Type="http://schemas.openxmlformats.org/officeDocument/2006/relationships/hyperlink" Target="https://doi.org/10.1109/APSEC48747.2019.00031" TargetMode="External"/><Relationship Id="rIdLink22" Type="http://schemas.openxmlformats.org/officeDocument/2006/relationships/hyperlink" Target="https://doi.org/10.1109/ASEW67777.2025.00038" TargetMode="External"/><Relationship Id="rIdLink23" Type="http://schemas.openxmlformats.org/officeDocument/2006/relationships/hyperlink" Target="https://doi.org/10.1109/COMPSAC69091.2026.00070" TargetMode="External"/><Relationship Id="rIdLink24" Type="http://schemas.openxmlformats.org/officeDocument/2006/relationships/hyperlink" Target="https://doi.org/10.18653/v1/2024.emnlp-main.365" TargetMode="External"/><Relationship Id="rIdLink25" Type="http://schemas.openxmlformats.org/officeDocument/2006/relationships/hyperlink" Target="https://doi.org/10.1145/222124.222136" TargetMode="External"/><Relationship Id="rIdLink26" Type="http://schemas.openxmlformats.org/officeDocument/2006/relationships/hyperlink" Target="https://doi.org/10.1109/32.917525" TargetMode="External"/><Relationship Id="rIdLink27" Type="http://schemas.openxmlformats.org/officeDocument/2006/relationships/hyperlink" Target="https://docs.datadoghq.com/tracing/services/service_remapping_rules/" TargetMode="External"/><Relationship Id="rIdLink28" Type="http://schemas.openxmlformats.org/officeDocument/2006/relationships/hyperlink" Target="https://doi.org/10.1145/3387940.3391501" TargetMode="External"/><Relationship Id="rIdLink29" Type="http://schemas.openxmlformats.org/officeDocument/2006/relationships/hyperlink" Target="https://doi.org/10.1109/ICEBE55470.2022.00030" TargetMode="External"/><Relationship Id="rIdLink30" Type="http://schemas.openxmlformats.org/officeDocument/2006/relationships/hyperlink" Target="https://doi.org/10.1109/ICEBE59045.2023.00026" TargetMode="External"/><Relationship Id="rIdLink31" Type="http://schemas.openxmlformats.org/officeDocument/2006/relationships/hyperlink" Target="https://doi.org/10.1016/j.future.2024.07.029" TargetMode="External"/><Relationship Id="rIdLink32" Type="http://schemas.openxmlformats.org/officeDocument/2006/relationships/hyperlink" Target="https://doi.org/10.1109/ICEBE68123.2025.00012" TargetMode="External"/><Relationship Id="rIdLink33" Type="http://schemas.openxmlformats.org/officeDocument/2006/relationships/hyperlink" Target="https://doi.org/10.1109/TVCG.2015.2424872" TargetMode="External"/><Relationship Id="rIdLink34" Type="http://schemas.openxmlformats.org/officeDocument/2006/relationships/hyperlink" Target="https://doi.org/10.1109/ICSE.2012.6227159" TargetMode="External"/><Relationship Id="rIdLink35" Type="http://schemas.openxmlformats.org/officeDocument/2006/relationships/hyperlink" Target="https://docs.aws.amazon.com/xray/latest/devguide/xray-concepts.html" TargetMode="External"/></Relationships>
</file>

<file path=docProps/core.xml><?xml version="1.0" encoding="utf-8"?>
<cp:coreProperties xmlns:cp="http://schemas.openxmlformats.org/package/2006/metadata/core-properties" xmlns:dc="http://purl.org/dc/elements/1.1/">
  <dc:title>DepWeaver：以多來源融合、信心分級與對話式缺口補齊建構微服務相依圖</dc:title>
  <dc:creator/>
</cp:coreProperties>
</file>