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Wymagania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pozafunkcjonalne: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"/>
        <w:gridCol w:w="2878"/>
        <w:gridCol w:w="6230"/>
        <w:tblGridChange w:id="0">
          <w:tblGrid>
            <w:gridCol w:w="526"/>
            <w:gridCol w:w="2878"/>
            <w:gridCol w:w="6230"/>
          </w:tblGrid>
        </w:tblGridChange>
      </w:tblGrid>
      <w:tr>
        <w:trPr>
          <w:trHeight w:val="240" w:hRule="atLeast"/>
        </w:trPr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LP</w:t>
            </w:r>
          </w:p>
        </w:tc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</w:tr>
      <w:t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Dostępność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powinien być dostępny ciągle. Dostępność w 99,5% w skali roku.</w:t>
            </w:r>
          </w:p>
          <w:p w:rsidR="00000000" w:rsidDel="00000000" w:rsidP="00000000" w:rsidRDefault="00000000" w:rsidRPr="00000000" w14:paraId="000000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 przypadku awarii, czy wyłączenia systemu, działanie powinno być możliwe do przywrócenia w ciągu 30 min.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Bezpieczeństwo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 względu na pełnione funkcje system posiada rozbudowany system haseł szyfrowanych protokołem SSL.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Ochrona prywatności jest zgodna z ustawą z dnia 10 maja 2018r. o ochronie danych osobowych (Dz.U. z 2018r. poz. 1000).</w:t>
            </w:r>
          </w:p>
        </w:tc>
      </w:tr>
      <w:t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Wymagania softwarowe aplikacji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Strona webowa oparta na przeglądarkach</w:t>
            </w:r>
            <w:r w:rsidDel="00000000" w:rsidR="00000000" w:rsidRPr="00000000">
              <w:rPr>
                <w:rtl w:val="0"/>
              </w:rPr>
              <w:t xml:space="preserve"> Firefox, Google Chrome, Opera.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Środowisko serwera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Serwer będzie postawiony na </w:t>
            </w:r>
            <w:r w:rsidDel="00000000" w:rsidR="00000000" w:rsidRPr="00000000">
              <w:rPr>
                <w:rtl w:val="0"/>
              </w:rPr>
              <w:t xml:space="preserve">jBoss Application Server.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Wydajność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Przy operacjach interaktywnych (np. szukanie samochodów, przeglądanie konta), system powinien przesłać odpowiedź w czasie maksymalnie 10s.</w:t>
              <w:br w:type="textWrapping"/>
              <w:t xml:space="preserve">Przy operacjach nie-interaktywnych (np. generowanie raportów), system powinien przesłać wygenerowaną odpowiedź w czasie nie dłuższym niż 15 minut.</w:t>
              <w:br w:type="textWrapping"/>
            </w:r>
            <w:r w:rsidDel="00000000" w:rsidR="00000000" w:rsidRPr="00000000">
              <w:rPr>
                <w:rtl w:val="0"/>
              </w:rPr>
              <w:t xml:space="preserve">Serwer powinien mieć możliwość obsługi w przybliżeniu 800 użytkowników jednocześnie.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