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250" w:rsidRDefault="00F03A0D" w:rsidP="00F03A0D">
      <w:pPr>
        <w:pStyle w:val="Title"/>
      </w:pPr>
      <w:r>
        <w:t>Diseño Compuerta lógica</w:t>
      </w:r>
    </w:p>
    <w:p w:rsidR="00F03A0D" w:rsidRDefault="00F03A0D" w:rsidP="00F03A0D">
      <w:pPr>
        <w:pStyle w:val="Heading1"/>
      </w:pPr>
      <w:r>
        <w:t>Diagrama de clases</w:t>
      </w:r>
    </w:p>
    <w:p w:rsidR="00F03A0D" w:rsidRDefault="00F03A0D" w:rsidP="00F03A0D">
      <w:r>
        <w:rPr>
          <w:noProof/>
          <w:lang w:eastAsia="es-MX"/>
        </w:rPr>
        <w:drawing>
          <wp:inline distT="0" distB="0" distL="0" distR="0" wp14:anchorId="233A7E52" wp14:editId="66F4734D">
            <wp:extent cx="1233577" cy="34675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53" t="24844" r="62494" b="20626"/>
                    <a:stretch/>
                  </pic:blipFill>
                  <pic:spPr bwMode="auto">
                    <a:xfrm>
                      <a:off x="0" y="0"/>
                      <a:ext cx="1255955" cy="353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A0D" w:rsidRDefault="00F03A0D" w:rsidP="00F03A0D">
      <w:pPr>
        <w:pStyle w:val="Heading1"/>
      </w:pPr>
      <w:r>
        <w:t>Insertar Compuerta</w:t>
      </w:r>
    </w:p>
    <w:p w:rsidR="00F03A0D" w:rsidRDefault="00F03A0D" w:rsidP="00F03A0D">
      <w:r>
        <w:t>La compuerta para insertarse necesitara un nombre, y se insertará como una referencia de bloque.</w:t>
      </w:r>
    </w:p>
    <w:p w:rsidR="00F03A0D" w:rsidRDefault="00F03A0D" w:rsidP="00F03A0D">
      <w:pPr>
        <w:pStyle w:val="ListParagraph"/>
        <w:numPr>
          <w:ilvl w:val="0"/>
          <w:numId w:val="1"/>
        </w:numPr>
      </w:pPr>
      <w:proofErr w:type="spellStart"/>
      <w:r>
        <w:t>Name</w:t>
      </w:r>
      <w:proofErr w:type="spellEnd"/>
    </w:p>
    <w:p w:rsidR="00F03A0D" w:rsidRPr="00F03A0D" w:rsidRDefault="00F03A0D" w:rsidP="00F03A0D">
      <w:pPr>
        <w:pStyle w:val="ListParagraph"/>
        <w:numPr>
          <w:ilvl w:val="0"/>
          <w:numId w:val="1"/>
        </w:numPr>
      </w:pPr>
      <w:r>
        <w:t>Block</w:t>
      </w:r>
    </w:p>
    <w:p w:rsidR="00F03A0D" w:rsidRDefault="00F03A0D" w:rsidP="00F03A0D">
      <w:r>
        <w:t>Las compuertas creadas serán guardadas en una colección, para que puedan ser accedidas de manera posterior.</w:t>
      </w:r>
    </w:p>
    <w:p w:rsidR="00F03A0D" w:rsidRDefault="00F03A0D" w:rsidP="00F03A0D">
      <w:r>
        <w:t xml:space="preserve">El proceso de inserción se define en el comando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TestInsertCompuerta</w:t>
      </w:r>
      <w:proofErr w:type="spellEnd"/>
      <w:r>
        <w:t>. El seudocódigo para insertar la compuerta es.</w:t>
      </w:r>
    </w:p>
    <w:p w:rsidR="00F03A0D" w:rsidRDefault="00F03A0D" w:rsidP="00F03A0D">
      <w:pPr>
        <w:pStyle w:val="ListParagraph"/>
        <w:numPr>
          <w:ilvl w:val="0"/>
          <w:numId w:val="2"/>
        </w:numPr>
      </w:pPr>
      <w:r>
        <w:t>Solicitar un punto de inserción al usuario</w:t>
      </w:r>
    </w:p>
    <w:p w:rsidR="00F03A0D" w:rsidRDefault="00F03A0D" w:rsidP="00F03A0D">
      <w:pPr>
        <w:pStyle w:val="ListParagraph"/>
        <w:numPr>
          <w:ilvl w:val="0"/>
          <w:numId w:val="2"/>
        </w:numPr>
      </w:pPr>
      <w:r>
        <w:t>Seleccionar el nombre de la compuerta a insertar</w:t>
      </w:r>
    </w:p>
    <w:p w:rsidR="00F03A0D" w:rsidRDefault="00F03A0D" w:rsidP="00F03A0D">
      <w:pPr>
        <w:pStyle w:val="ListParagraph"/>
        <w:numPr>
          <w:ilvl w:val="0"/>
          <w:numId w:val="2"/>
        </w:numPr>
      </w:pPr>
      <w:r>
        <w:t xml:space="preserve">Cargar el bloque con la herramienta de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BlockManager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</w:p>
    <w:p w:rsidR="00F03A0D" w:rsidRDefault="00F03A0D" w:rsidP="00F03A0D">
      <w:pPr>
        <w:pStyle w:val="ListParagraph"/>
        <w:numPr>
          <w:ilvl w:val="0"/>
          <w:numId w:val="2"/>
        </w:numPr>
      </w:pPr>
      <w:r>
        <w:t xml:space="preserve">Dibujar el bloque con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Drawer</w:t>
      </w:r>
      <w:r>
        <w:t>y</w:t>
      </w:r>
      <w:proofErr w:type="spellEnd"/>
      <w:r>
        <w:t xml:space="preserve"> guardarlo en la variable Block</w:t>
      </w:r>
    </w:p>
    <w:p w:rsidR="001A437D" w:rsidRDefault="00F03A0D" w:rsidP="001A437D">
      <w:pPr>
        <w:pStyle w:val="ListParagraph"/>
        <w:numPr>
          <w:ilvl w:val="0"/>
          <w:numId w:val="2"/>
        </w:numPr>
      </w:pPr>
      <w:r>
        <w:t>Inicializamos los parámetros de</w:t>
      </w:r>
      <w:r w:rsidR="001A437D">
        <w:t xml:space="preserve"> la compuerta con una cadena vacía usando </w:t>
      </w:r>
      <w:proofErr w:type="spellStart"/>
      <w:r w:rsidR="001A437D">
        <w:rPr>
          <w:rFonts w:ascii="Consolas" w:hAnsi="Consolas" w:cs="Consolas"/>
          <w:color w:val="2B91AF"/>
          <w:sz w:val="19"/>
          <w:szCs w:val="19"/>
        </w:rPr>
        <w:t>BlockManager.cs</w:t>
      </w:r>
      <w:proofErr w:type="spellEnd"/>
    </w:p>
    <w:p w:rsidR="00F03A0D" w:rsidRDefault="001A437D" w:rsidP="00F03A0D">
      <w:pPr>
        <w:pStyle w:val="ListParagraph"/>
        <w:numPr>
          <w:ilvl w:val="0"/>
          <w:numId w:val="2"/>
        </w:numPr>
      </w:pPr>
      <w:r>
        <w:t xml:space="preserve">Se guarda la compuerta en la colección del comando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Compuerta</w:t>
      </w:r>
      <w:r>
        <w:rPr>
          <w:rFonts w:ascii="Consolas" w:hAnsi="Consolas" w:cs="Consolas"/>
          <w:color w:val="000000"/>
          <w:sz w:val="19"/>
          <w:szCs w:val="19"/>
        </w:rPr>
        <w:t>&gt; Compuertas</w:t>
      </w:r>
      <w:r>
        <w:t>.</w:t>
      </w:r>
    </w:p>
    <w:p w:rsidR="001A437D" w:rsidRDefault="001A437D" w:rsidP="001A437D">
      <w:pPr>
        <w:pStyle w:val="Heading1"/>
      </w:pPr>
      <w:r>
        <w:lastRenderedPageBreak/>
        <w:t>Pruebas de contacto</w:t>
      </w:r>
    </w:p>
    <w:p w:rsidR="0083678B" w:rsidRDefault="0083678B" w:rsidP="001A437D">
      <w:r>
        <w:t xml:space="preserve">Se definió un comando que permite tocar una identificar la zona de contacto de una compuerta, las zonas y las áreas de contacto se definen con la función </w:t>
      </w:r>
      <w:proofErr w:type="spellStart"/>
      <w:r>
        <w:t>InitBox</w:t>
      </w:r>
      <w:proofErr w:type="spellEnd"/>
      <w:r>
        <w:t>.</w:t>
      </w:r>
    </w:p>
    <w:p w:rsidR="0083678B" w:rsidRDefault="0083678B" w:rsidP="0083678B">
      <w:pPr>
        <w:pStyle w:val="ListParagraph"/>
        <w:numPr>
          <w:ilvl w:val="0"/>
          <w:numId w:val="3"/>
        </w:numPr>
      </w:pPr>
      <w:r w:rsidRPr="0083678B">
        <w:rPr>
          <w:b/>
        </w:rPr>
        <w:t>Box</w:t>
      </w:r>
      <w:r>
        <w:t>: Define la caja de colisión de la compuerta en el plano XY</w:t>
      </w:r>
    </w:p>
    <w:p w:rsidR="0083678B" w:rsidRDefault="0083678B" w:rsidP="0083678B">
      <w:pPr>
        <w:pStyle w:val="ListParagraph"/>
        <w:numPr>
          <w:ilvl w:val="0"/>
          <w:numId w:val="3"/>
        </w:numPr>
      </w:pPr>
      <w:proofErr w:type="spellStart"/>
      <w:r w:rsidRPr="0083678B">
        <w:rPr>
          <w:b/>
        </w:rPr>
        <w:t>Zones</w:t>
      </w:r>
      <w:proofErr w:type="spellEnd"/>
      <w:r>
        <w:t xml:space="preserve">: Establece las zonas de contacto de las zonas, para una compuerta de dos entradas se tienen 3 zonas, las zonas se obtienen con la función extendida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CompuertaUtils</w:t>
      </w:r>
      <w:proofErr w:type="spellEnd"/>
      <w:r w:rsidRPr="008367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GetZonesTwoInputs</w:t>
      </w:r>
      <w:proofErr w:type="spellEnd"/>
      <w:r>
        <w:t>.</w:t>
      </w:r>
    </w:p>
    <w:p w:rsidR="0083678B" w:rsidRDefault="0083678B" w:rsidP="0083678B">
      <w:pPr>
        <w:pStyle w:val="ListParagraph"/>
      </w:pPr>
      <w:r>
        <w:rPr>
          <w:noProof/>
          <w:lang w:eastAsia="es-MX"/>
        </w:rPr>
        <w:drawing>
          <wp:inline distT="0" distB="0" distL="0" distR="0">
            <wp:extent cx="5098415" cy="315722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18B" w:rsidRDefault="0008118B" w:rsidP="0008118B">
      <w:r>
        <w:t xml:space="preserve">Los nombres de las zonas se definen en la propiedad </w:t>
      </w:r>
      <w:proofErr w:type="spellStart"/>
      <w:r>
        <w:t>InputNames</w:t>
      </w:r>
      <w:proofErr w:type="spellEnd"/>
      <w:r>
        <w:t>, esta propiedad es virtual por la que puede cambiarse.</w:t>
      </w:r>
    </w:p>
    <w:p w:rsidR="0008118B" w:rsidRDefault="0008118B" w:rsidP="0008118B">
      <w:r>
        <w:t>Para saber si un punto está dentro de una zona se utilizó el siguiente algoritmo.</w:t>
      </w:r>
    </w:p>
    <w:p w:rsidR="0008118B" w:rsidRPr="0008118B" w:rsidRDefault="0008118B" w:rsidP="0008118B">
      <w:pPr>
        <w:pStyle w:val="ListParagraph"/>
        <w:numPr>
          <w:ilvl w:val="0"/>
          <w:numId w:val="4"/>
        </w:numPr>
        <w:rPr>
          <w:rStyle w:val="mo"/>
        </w:rPr>
      </w:pPr>
      <w:r>
        <w:t>El punto</w:t>
      </w:r>
      <w:r>
        <w:t xml:space="preserve"> </w:t>
      </w:r>
      <w:r>
        <w:rPr>
          <w:rStyle w:val="mi"/>
          <w:rFonts w:ascii="MathJax_Math" w:hAnsi="MathJax_Math"/>
          <w:i/>
          <w:iCs/>
          <w:sz w:val="27"/>
          <w:szCs w:val="27"/>
        </w:rPr>
        <w:t>P</w:t>
      </w:r>
      <w:r>
        <w:rPr>
          <w:rStyle w:val="mo"/>
          <w:rFonts w:ascii="MathJax_Main" w:hAnsi="MathJax_Main"/>
          <w:sz w:val="27"/>
          <w:szCs w:val="27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27"/>
          <w:szCs w:val="27"/>
        </w:rPr>
        <w:t>x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i"/>
          <w:rFonts w:ascii="MathJax_Math" w:hAnsi="MathJax_Math"/>
          <w:i/>
          <w:iCs/>
          <w:sz w:val="27"/>
          <w:szCs w:val="27"/>
        </w:rPr>
        <w:t>y</w:t>
      </w:r>
      <w:proofErr w:type="spellEnd"/>
      <w:r>
        <w:rPr>
          <w:rStyle w:val="mo"/>
          <w:rFonts w:ascii="MathJax_Main" w:hAnsi="MathJax_Main"/>
          <w:sz w:val="27"/>
          <w:szCs w:val="27"/>
        </w:rPr>
        <w:t>)</w:t>
      </w:r>
      <w:r>
        <w:t xml:space="preserve">, </w:t>
      </w:r>
      <w:r>
        <w:t>y los vértices del rectángulo definidos por</w:t>
      </w:r>
      <w:r>
        <w:t xml:space="preserve"> </w:t>
      </w:r>
      <w:r>
        <w:rPr>
          <w:rStyle w:val="mi"/>
          <w:rFonts w:ascii="MathJax_Math" w:hAnsi="MathJax_Math"/>
          <w:i/>
          <w:iCs/>
          <w:sz w:val="27"/>
          <w:szCs w:val="27"/>
        </w:rPr>
        <w:t>A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x</w:t>
      </w:r>
      <w:r>
        <w:rPr>
          <w:rStyle w:val="mn"/>
          <w:rFonts w:ascii="MathJax_Main" w:hAnsi="MathJax_Main"/>
          <w:sz w:val="19"/>
          <w:szCs w:val="19"/>
        </w:rPr>
        <w:t>1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i"/>
          <w:rFonts w:ascii="MathJax_Math" w:hAnsi="MathJax_Math"/>
          <w:i/>
          <w:iCs/>
          <w:sz w:val="27"/>
          <w:szCs w:val="27"/>
        </w:rPr>
        <w:t>y</w:t>
      </w:r>
      <w:r>
        <w:rPr>
          <w:rStyle w:val="mn"/>
          <w:rFonts w:ascii="MathJax_Main" w:hAnsi="MathJax_Main"/>
          <w:sz w:val="19"/>
          <w:szCs w:val="19"/>
        </w:rPr>
        <w:t>1</w:t>
      </w:r>
      <w:r>
        <w:rPr>
          <w:rStyle w:val="mo"/>
          <w:rFonts w:ascii="MathJax_Main" w:hAnsi="MathJax_Main"/>
          <w:sz w:val="27"/>
          <w:szCs w:val="27"/>
        </w:rPr>
        <w:t>),</w:t>
      </w:r>
      <w:r>
        <w:rPr>
          <w:rStyle w:val="mi"/>
          <w:rFonts w:ascii="MathJax_Math" w:hAnsi="MathJax_Math"/>
          <w:i/>
          <w:iCs/>
          <w:sz w:val="27"/>
          <w:szCs w:val="27"/>
        </w:rPr>
        <w:t>B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x</w:t>
      </w:r>
      <w:r>
        <w:rPr>
          <w:rStyle w:val="mn"/>
          <w:rFonts w:ascii="MathJax_Main" w:hAnsi="MathJax_Main"/>
          <w:sz w:val="19"/>
          <w:szCs w:val="19"/>
        </w:rPr>
        <w:t>2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i"/>
          <w:rFonts w:ascii="MathJax_Math" w:hAnsi="MathJax_Math"/>
          <w:i/>
          <w:iCs/>
          <w:sz w:val="27"/>
          <w:szCs w:val="27"/>
        </w:rPr>
        <w:t>y</w:t>
      </w:r>
      <w:r>
        <w:rPr>
          <w:rStyle w:val="mn"/>
          <w:rFonts w:ascii="MathJax_Main" w:hAnsi="MathJax_Main"/>
          <w:sz w:val="19"/>
          <w:szCs w:val="19"/>
        </w:rPr>
        <w:t>2</w:t>
      </w:r>
      <w:r>
        <w:rPr>
          <w:rStyle w:val="mo"/>
          <w:rFonts w:ascii="MathJax_Main" w:hAnsi="MathJax_Main"/>
          <w:sz w:val="27"/>
          <w:szCs w:val="27"/>
        </w:rPr>
        <w:t>),</w:t>
      </w:r>
      <w:r>
        <w:rPr>
          <w:rStyle w:val="mi"/>
          <w:rFonts w:ascii="MathJax_Math" w:hAnsi="MathJax_Math"/>
          <w:i/>
          <w:iCs/>
          <w:sz w:val="27"/>
          <w:szCs w:val="27"/>
        </w:rPr>
        <w:t>C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x</w:t>
      </w:r>
      <w:r>
        <w:rPr>
          <w:rStyle w:val="mn"/>
          <w:rFonts w:ascii="MathJax_Main" w:hAnsi="MathJax_Main"/>
          <w:sz w:val="19"/>
          <w:szCs w:val="19"/>
        </w:rPr>
        <w:t>3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i"/>
          <w:rFonts w:ascii="MathJax_Math" w:hAnsi="MathJax_Math"/>
          <w:i/>
          <w:iCs/>
          <w:sz w:val="27"/>
          <w:szCs w:val="27"/>
        </w:rPr>
        <w:t>y</w:t>
      </w:r>
      <w:r>
        <w:rPr>
          <w:rStyle w:val="mn"/>
          <w:rFonts w:ascii="MathJax_Main" w:hAnsi="MathJax_Main"/>
          <w:sz w:val="19"/>
          <w:szCs w:val="19"/>
        </w:rPr>
        <w:t>3</w:t>
      </w:r>
      <w:r>
        <w:rPr>
          <w:rStyle w:val="mo"/>
          <w:rFonts w:ascii="MathJax_Main" w:hAnsi="MathJax_Main"/>
          <w:sz w:val="27"/>
          <w:szCs w:val="27"/>
        </w:rPr>
        <w:t>),</w:t>
      </w:r>
      <w:r>
        <w:rPr>
          <w:rStyle w:val="mi"/>
          <w:rFonts w:ascii="MathJax_Math" w:hAnsi="MathJax_Math"/>
          <w:i/>
          <w:iCs/>
          <w:sz w:val="27"/>
          <w:szCs w:val="27"/>
        </w:rPr>
        <w:t>D</w:t>
      </w:r>
      <w:r>
        <w:rPr>
          <w:rStyle w:val="mo"/>
          <w:rFonts w:ascii="MathJax_Main" w:hAnsi="MathJax_Main"/>
          <w:sz w:val="27"/>
          <w:szCs w:val="27"/>
        </w:rPr>
        <w:t>(</w:t>
      </w:r>
      <w:r>
        <w:rPr>
          <w:rStyle w:val="mi"/>
          <w:rFonts w:ascii="MathJax_Math" w:hAnsi="MathJax_Math"/>
          <w:i/>
          <w:iCs/>
          <w:sz w:val="27"/>
          <w:szCs w:val="27"/>
        </w:rPr>
        <w:t>x</w:t>
      </w:r>
      <w:r>
        <w:rPr>
          <w:rStyle w:val="mn"/>
          <w:rFonts w:ascii="MathJax_Main" w:hAnsi="MathJax_Main"/>
          <w:sz w:val="19"/>
          <w:szCs w:val="19"/>
        </w:rPr>
        <w:t>4</w:t>
      </w:r>
      <w:r>
        <w:rPr>
          <w:rStyle w:val="mo"/>
          <w:rFonts w:ascii="MathJax_Main" w:hAnsi="MathJax_Main"/>
          <w:sz w:val="27"/>
          <w:szCs w:val="27"/>
        </w:rPr>
        <w:t>,</w:t>
      </w:r>
      <w:r>
        <w:rPr>
          <w:rStyle w:val="mi"/>
          <w:rFonts w:ascii="MathJax_Math" w:hAnsi="MathJax_Math"/>
          <w:i/>
          <w:iCs/>
          <w:sz w:val="27"/>
          <w:szCs w:val="27"/>
        </w:rPr>
        <w:t>y</w:t>
      </w:r>
      <w:r>
        <w:rPr>
          <w:rStyle w:val="mn"/>
          <w:rFonts w:ascii="MathJax_Main" w:hAnsi="MathJax_Main"/>
          <w:sz w:val="19"/>
          <w:szCs w:val="19"/>
        </w:rPr>
        <w:t>4</w:t>
      </w:r>
      <w:r>
        <w:rPr>
          <w:rStyle w:val="mo"/>
          <w:rFonts w:ascii="MathJax_Main" w:hAnsi="MathJax_Main"/>
          <w:sz w:val="27"/>
          <w:szCs w:val="27"/>
        </w:rPr>
        <w:t>)</w:t>
      </w:r>
    </w:p>
    <w:p w:rsidR="0008118B" w:rsidRPr="0008118B" w:rsidRDefault="0008118B" w:rsidP="00947721">
      <w:pPr>
        <w:pStyle w:val="ListParagraph"/>
        <w:numPr>
          <w:ilvl w:val="0"/>
          <w:numId w:val="4"/>
        </w:numPr>
        <w:rPr>
          <w:lang w:eastAsia="es-MX"/>
        </w:rPr>
      </w:pPr>
      <w:r w:rsidRPr="0008118B">
        <w:rPr>
          <w:lang w:eastAsia="es-MX"/>
        </w:rPr>
        <w:t xml:space="preserve">Se calculan las áreas de los triángulos </w:t>
      </w:r>
      <w:r w:rsidRPr="00947721">
        <w:rPr>
          <w:rFonts w:ascii="Cambria Math" w:hAnsi="Cambria Math" w:cs="Cambria Math"/>
          <w:sz w:val="27"/>
          <w:szCs w:val="27"/>
          <w:lang w:eastAsia="es-MX"/>
        </w:rPr>
        <w:t>△</w:t>
      </w:r>
      <w:r w:rsidRPr="00947721">
        <w:rPr>
          <w:rFonts w:ascii="MathJax_Math" w:hAnsi="MathJax_Math"/>
          <w:i/>
          <w:iCs/>
          <w:sz w:val="27"/>
          <w:szCs w:val="27"/>
          <w:lang w:eastAsia="es-MX"/>
        </w:rPr>
        <w:t>APD</w:t>
      </w:r>
      <w:r w:rsidRPr="00947721">
        <w:rPr>
          <w:rFonts w:ascii="MathJax_Main" w:hAnsi="MathJax_Main"/>
          <w:sz w:val="27"/>
          <w:szCs w:val="27"/>
          <w:lang w:eastAsia="es-MX"/>
        </w:rPr>
        <w:t>,</w:t>
      </w:r>
      <w:r w:rsidRPr="00947721">
        <w:rPr>
          <w:rFonts w:ascii="Cambria Math" w:hAnsi="Cambria Math" w:cs="Cambria Math"/>
          <w:sz w:val="27"/>
          <w:szCs w:val="27"/>
          <w:lang w:eastAsia="es-MX"/>
        </w:rPr>
        <w:t>△</w:t>
      </w:r>
      <w:r w:rsidRPr="00947721">
        <w:rPr>
          <w:rFonts w:ascii="MathJax_Math" w:hAnsi="MathJax_Math"/>
          <w:i/>
          <w:iCs/>
          <w:sz w:val="27"/>
          <w:szCs w:val="27"/>
          <w:lang w:eastAsia="es-MX"/>
        </w:rPr>
        <w:t>DPC</w:t>
      </w:r>
      <w:r w:rsidRPr="00947721">
        <w:rPr>
          <w:rFonts w:ascii="MathJax_Main" w:hAnsi="MathJax_Main"/>
          <w:sz w:val="27"/>
          <w:szCs w:val="27"/>
          <w:lang w:eastAsia="es-MX"/>
        </w:rPr>
        <w:t>,</w:t>
      </w:r>
      <w:r w:rsidRPr="00947721">
        <w:rPr>
          <w:rFonts w:ascii="Cambria Math" w:hAnsi="Cambria Math" w:cs="Cambria Math"/>
          <w:sz w:val="27"/>
          <w:szCs w:val="27"/>
          <w:lang w:eastAsia="es-MX"/>
        </w:rPr>
        <w:t>△</w:t>
      </w:r>
      <w:r w:rsidRPr="00947721">
        <w:rPr>
          <w:rFonts w:ascii="MathJax_Math" w:hAnsi="MathJax_Math"/>
          <w:i/>
          <w:iCs/>
          <w:sz w:val="27"/>
          <w:szCs w:val="27"/>
          <w:lang w:eastAsia="es-MX"/>
        </w:rPr>
        <w:t>CPB</w:t>
      </w:r>
      <w:r w:rsidRPr="00947721">
        <w:rPr>
          <w:rFonts w:ascii="MathJax_Main" w:hAnsi="MathJax_Main"/>
          <w:sz w:val="27"/>
          <w:szCs w:val="27"/>
          <w:lang w:eastAsia="es-MX"/>
        </w:rPr>
        <w:t>,</w:t>
      </w:r>
      <w:r w:rsidRPr="00947721">
        <w:rPr>
          <w:rFonts w:ascii="Cambria Math" w:hAnsi="Cambria Math" w:cs="Cambria Math"/>
          <w:sz w:val="27"/>
          <w:szCs w:val="27"/>
          <w:lang w:eastAsia="es-MX"/>
        </w:rPr>
        <w:t>△</w:t>
      </w:r>
      <w:r w:rsidRPr="00947721">
        <w:rPr>
          <w:rFonts w:ascii="MathJax_Math" w:hAnsi="MathJax_Math"/>
          <w:i/>
          <w:iCs/>
          <w:sz w:val="27"/>
          <w:szCs w:val="27"/>
          <w:lang w:eastAsia="es-MX"/>
        </w:rPr>
        <w:t>PBA</w:t>
      </w:r>
    </w:p>
    <w:p w:rsidR="0008118B" w:rsidRPr="0008118B" w:rsidRDefault="0008118B" w:rsidP="00947721">
      <w:pPr>
        <w:pStyle w:val="ListParagraph"/>
        <w:numPr>
          <w:ilvl w:val="0"/>
          <w:numId w:val="4"/>
        </w:numPr>
      </w:pPr>
      <w:r>
        <w:rPr>
          <w:lang w:eastAsia="es-MX"/>
        </w:rPr>
        <w:t>Se suman las área de los triángulos</w:t>
      </w:r>
    </w:p>
    <w:p w:rsidR="0008118B" w:rsidRPr="0008118B" w:rsidRDefault="0008118B" w:rsidP="00947721">
      <w:pPr>
        <w:pStyle w:val="ListParagraph"/>
        <w:numPr>
          <w:ilvl w:val="0"/>
          <w:numId w:val="4"/>
        </w:numPr>
      </w:pPr>
      <w:r>
        <w:rPr>
          <w:lang w:eastAsia="es-MX"/>
        </w:rPr>
        <w:t>Cuando el área es mayor a la del polígono el punto está afuera.</w:t>
      </w:r>
    </w:p>
    <w:p w:rsidR="0008118B" w:rsidRPr="0008118B" w:rsidRDefault="0008118B" w:rsidP="00947721">
      <w:pPr>
        <w:pStyle w:val="ListParagraph"/>
        <w:numPr>
          <w:ilvl w:val="0"/>
          <w:numId w:val="4"/>
        </w:numPr>
      </w:pPr>
      <w:r>
        <w:rPr>
          <w:lang w:eastAsia="es-MX"/>
        </w:rPr>
        <w:t>Cuando el área es igual es un punto interno</w:t>
      </w:r>
    </w:p>
    <w:p w:rsidR="0008118B" w:rsidRPr="0008118B" w:rsidRDefault="0008118B" w:rsidP="00947721">
      <w:pPr>
        <w:pStyle w:val="ListParagraph"/>
        <w:numPr>
          <w:ilvl w:val="0"/>
          <w:numId w:val="4"/>
        </w:numPr>
      </w:pPr>
      <w:r>
        <w:rPr>
          <w:lang w:eastAsia="es-MX"/>
        </w:rPr>
        <w:t>Si un triángulo tiene área igual a 0 se trata de un punto en un segmento, se considera como interior.</w:t>
      </w:r>
    </w:p>
    <w:p w:rsidR="0008118B" w:rsidRDefault="0008118B" w:rsidP="00947721">
      <w:r>
        <w:t xml:space="preserve">La solución del algoritmo se observa en la función </w:t>
      </w:r>
      <w:proofErr w:type="spellStart"/>
      <w:r>
        <w:rPr>
          <w:color w:val="2B91AF"/>
        </w:rPr>
        <w:t>CompuertaUtils</w:t>
      </w:r>
      <w:r>
        <w:rPr>
          <w:color w:val="2B91AF"/>
        </w:rPr>
        <w:t>.</w:t>
      </w:r>
      <w:r>
        <w:t>TestPoint</w:t>
      </w:r>
      <w:proofErr w:type="spellEnd"/>
      <w:r>
        <w:t xml:space="preserve">, para revisar a que zona pertenece un punto en la compuerta se usa el método </w:t>
      </w:r>
      <w:proofErr w:type="spellStart"/>
      <w:r w:rsidRPr="00947721">
        <w:rPr>
          <w:b/>
        </w:rPr>
        <w:t>GetZone</w:t>
      </w:r>
      <w:proofErr w:type="spellEnd"/>
      <w:r>
        <w:t>.</w:t>
      </w:r>
    </w:p>
    <w:p w:rsidR="0008118B" w:rsidRDefault="0008118B" w:rsidP="00947721">
      <w:r>
        <w:t>El método devuelve el nombre de la zona y la geometría de la zona.</w:t>
      </w:r>
    </w:p>
    <w:p w:rsidR="0008118B" w:rsidRDefault="00947721" w:rsidP="0008118B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El comando que prueba la funcionalidad se define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TestZone</w:t>
      </w:r>
      <w:proofErr w:type="spellEnd"/>
    </w:p>
    <w:p w:rsidR="00947721" w:rsidRDefault="00947721" w:rsidP="00947721">
      <w:r>
        <w:lastRenderedPageBreak/>
        <w:t xml:space="preserve">El </w:t>
      </w:r>
      <w:proofErr w:type="spellStart"/>
      <w:r>
        <w:t>pseudo</w:t>
      </w:r>
      <w:proofErr w:type="spellEnd"/>
      <w:r>
        <w:t xml:space="preserve"> código se definió de la siguiente manera</w:t>
      </w:r>
    </w:p>
    <w:p w:rsidR="00947721" w:rsidRDefault="00947721" w:rsidP="00947721">
      <w:pPr>
        <w:pStyle w:val="ListParagraph"/>
        <w:numPr>
          <w:ilvl w:val="0"/>
          <w:numId w:val="5"/>
        </w:numPr>
      </w:pPr>
      <w:r>
        <w:t>Solicitar que seleccione una compuerta al usuario</w:t>
      </w:r>
    </w:p>
    <w:p w:rsidR="00947721" w:rsidRDefault="00947721" w:rsidP="00947721">
      <w:pPr>
        <w:pStyle w:val="ListParagraph"/>
        <w:numPr>
          <w:ilvl w:val="0"/>
          <w:numId w:val="5"/>
        </w:numPr>
      </w:pPr>
      <w:r>
        <w:t>Ubicar la compuerta en la colección actual</w:t>
      </w:r>
    </w:p>
    <w:p w:rsidR="00947721" w:rsidRDefault="00947721" w:rsidP="00947721">
      <w:pPr>
        <w:pStyle w:val="ListParagraph"/>
        <w:numPr>
          <w:ilvl w:val="0"/>
          <w:numId w:val="5"/>
        </w:numPr>
      </w:pPr>
      <w:r>
        <w:t>Dibujar las zonas disponibles</w:t>
      </w:r>
    </w:p>
    <w:p w:rsidR="00947721" w:rsidRDefault="00947721" w:rsidP="00947721">
      <w:pPr>
        <w:pStyle w:val="ListParagraph"/>
        <w:numPr>
          <w:ilvl w:val="0"/>
          <w:numId w:val="5"/>
        </w:numPr>
      </w:pPr>
      <w:r>
        <w:t>Tocar un punto y mostrar un mensaje</w:t>
      </w:r>
    </w:p>
    <w:p w:rsidR="00947721" w:rsidRDefault="00947721" w:rsidP="00947721">
      <w:pPr>
        <w:pStyle w:val="ListParagraph"/>
        <w:numPr>
          <w:ilvl w:val="1"/>
          <w:numId w:val="5"/>
        </w:numPr>
      </w:pPr>
      <w:r>
        <w:t>Si es una zona especificar la zona, en otro caso notificar que es un punto exterior</w:t>
      </w:r>
    </w:p>
    <w:p w:rsidR="00947721" w:rsidRDefault="00947721" w:rsidP="00947721">
      <w:pPr>
        <w:pStyle w:val="ListParagraph"/>
        <w:numPr>
          <w:ilvl w:val="0"/>
          <w:numId w:val="5"/>
        </w:numPr>
      </w:pPr>
      <w:r>
        <w:t>Borrar las líneas de las zonas</w:t>
      </w:r>
    </w:p>
    <w:p w:rsidR="00947721" w:rsidRDefault="00947721" w:rsidP="00947721">
      <w:pPr>
        <w:pStyle w:val="Heading1"/>
      </w:pPr>
      <w:r>
        <w:t>Probar compuerta</w:t>
      </w:r>
    </w:p>
    <w:p w:rsidR="00947721" w:rsidRDefault="00947721" w:rsidP="00947721">
      <w:r>
        <w:t>La compuerta se conectará a dos pulsos insertados, con el comando dibujar pulsos y se insertará el pulso resultante.</w:t>
      </w:r>
    </w:p>
    <w:p w:rsidR="00947721" w:rsidRDefault="00947721" w:rsidP="00947721">
      <w:r>
        <w:t xml:space="preserve">Los puntos de conexión se guardan con la variable </w:t>
      </w:r>
      <w:proofErr w:type="spellStart"/>
      <w:r>
        <w:t>ConnectionPoints</w:t>
      </w:r>
      <w:proofErr w:type="spellEnd"/>
      <w:r>
        <w:t xml:space="preserve">, y se inicializan con </w:t>
      </w:r>
      <w:proofErr w:type="spellStart"/>
      <w:r>
        <w:t>InitBox</w:t>
      </w:r>
      <w:proofErr w:type="spellEnd"/>
    </w:p>
    <w:p w:rsidR="00947721" w:rsidRDefault="00947721" w:rsidP="00947721">
      <w:r>
        <w:t xml:space="preserve">Los métodos </w:t>
      </w:r>
      <w:proofErr w:type="spellStart"/>
      <w:r>
        <w:t>Solve</w:t>
      </w:r>
      <w:proofErr w:type="spellEnd"/>
      <w:r>
        <w:t xml:space="preserve">, </w:t>
      </w:r>
      <w:proofErr w:type="spellStart"/>
      <w:r>
        <w:t>resulven</w:t>
      </w:r>
      <w:proofErr w:type="spellEnd"/>
      <w:r>
        <w:t xml:space="preserve"> la función, para un pulso o para una entrada.</w:t>
      </w:r>
    </w:p>
    <w:p w:rsidR="00947721" w:rsidRDefault="00947721" w:rsidP="00947721">
      <w:proofErr w:type="spellStart"/>
      <w:r>
        <w:t>SetData</w:t>
      </w:r>
      <w:proofErr w:type="spellEnd"/>
      <w:r>
        <w:t xml:space="preserve"> establece el valor de las entradas en la compuerta.</w:t>
      </w:r>
    </w:p>
    <w:p w:rsidR="00947721" w:rsidRPr="00465C36" w:rsidRDefault="00947721" w:rsidP="00465C36">
      <w:pPr>
        <w:rPr>
          <w:rFonts w:ascii="Consolas" w:hAnsi="Consolas" w:cs="Consolas"/>
          <w:b/>
          <w:color w:val="A31515"/>
          <w:sz w:val="19"/>
          <w:szCs w:val="19"/>
        </w:rPr>
      </w:pPr>
      <w:r>
        <w:t xml:space="preserve">La información se ejecuta con el comando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TestCompuerta</w:t>
      </w:r>
      <w:proofErr w:type="spellEnd"/>
      <w:r w:rsidR="00465C36">
        <w:t>, el pseudocódigo es el siguiente</w:t>
      </w:r>
    </w:p>
    <w:p w:rsidR="00947721" w:rsidRDefault="00465C36" w:rsidP="00947721">
      <w:pPr>
        <w:pStyle w:val="ListParagraph"/>
        <w:numPr>
          <w:ilvl w:val="0"/>
          <w:numId w:val="6"/>
        </w:numPr>
      </w:pPr>
      <w:r>
        <w:t>Solicitar la selección de un pulso</w:t>
      </w:r>
    </w:p>
    <w:p w:rsidR="00465C36" w:rsidRDefault="00465C36" w:rsidP="00947721">
      <w:pPr>
        <w:pStyle w:val="ListParagraph"/>
        <w:numPr>
          <w:ilvl w:val="0"/>
          <w:numId w:val="6"/>
        </w:numPr>
      </w:pPr>
      <w:r>
        <w:t>Solicitar la conexión del pulso</w:t>
      </w:r>
    </w:p>
    <w:p w:rsidR="00465C36" w:rsidRDefault="00465C36" w:rsidP="00947721">
      <w:pPr>
        <w:pStyle w:val="ListParagraph"/>
        <w:numPr>
          <w:ilvl w:val="0"/>
          <w:numId w:val="6"/>
        </w:numPr>
      </w:pPr>
      <w:r>
        <w:t>Solicitar la selección del segundo pulso</w:t>
      </w:r>
    </w:p>
    <w:p w:rsidR="00465C36" w:rsidRDefault="00465C36" w:rsidP="00947721">
      <w:pPr>
        <w:pStyle w:val="ListParagraph"/>
        <w:numPr>
          <w:ilvl w:val="0"/>
          <w:numId w:val="6"/>
        </w:numPr>
      </w:pPr>
      <w:r>
        <w:t>Solicitar la conexión del pulso</w:t>
      </w:r>
    </w:p>
    <w:p w:rsidR="00465C36" w:rsidRDefault="00465C36" w:rsidP="00947721">
      <w:pPr>
        <w:pStyle w:val="ListParagraph"/>
        <w:numPr>
          <w:ilvl w:val="0"/>
          <w:numId w:val="6"/>
        </w:numPr>
      </w:pPr>
      <w:r>
        <w:t>Realizar el cálculo con la compuerta seleccionada.</w:t>
      </w:r>
    </w:p>
    <w:p w:rsidR="00465C36" w:rsidRDefault="00465C36" w:rsidP="00947721">
      <w:pPr>
        <w:pStyle w:val="ListParagraph"/>
        <w:numPr>
          <w:ilvl w:val="0"/>
          <w:numId w:val="6"/>
        </w:numPr>
      </w:pPr>
      <w:r>
        <w:t>Conectar una línea del pulso a la entrada correspondiente</w:t>
      </w:r>
    </w:p>
    <w:p w:rsidR="00465C36" w:rsidRDefault="00465C36" w:rsidP="00947721">
      <w:pPr>
        <w:pStyle w:val="ListParagraph"/>
        <w:numPr>
          <w:ilvl w:val="0"/>
          <w:numId w:val="6"/>
        </w:numPr>
      </w:pPr>
      <w:r>
        <w:t>Insertar el pulso de salida</w:t>
      </w:r>
    </w:p>
    <w:p w:rsidR="00465C36" w:rsidRDefault="00465C36" w:rsidP="00465C36">
      <w:pPr>
        <w:pStyle w:val="ListParagraph"/>
        <w:numPr>
          <w:ilvl w:val="0"/>
          <w:numId w:val="6"/>
        </w:numPr>
      </w:pPr>
      <w:r>
        <w:t>Conectar una línea de</w:t>
      </w:r>
      <w:r>
        <w:t xml:space="preserve"> </w:t>
      </w:r>
      <w:r>
        <w:t>l</w:t>
      </w:r>
      <w:r>
        <w:t>a</w:t>
      </w:r>
      <w:r>
        <w:t xml:space="preserve"> </w:t>
      </w:r>
      <w:r>
        <w:t>salida al pulso de salida</w:t>
      </w:r>
    </w:p>
    <w:p w:rsidR="00465C36" w:rsidRDefault="00465C36" w:rsidP="00465C36">
      <w:pPr>
        <w:pStyle w:val="ListParagraph"/>
        <w:numPr>
          <w:ilvl w:val="0"/>
          <w:numId w:val="6"/>
        </w:numPr>
      </w:pPr>
      <w:r>
        <w:t>Insertar los valores en la compuerta para el último valor del pulso.</w:t>
      </w:r>
      <w:bookmarkStart w:id="0" w:name="_GoBack"/>
      <w:bookmarkEnd w:id="0"/>
    </w:p>
    <w:p w:rsidR="00465C36" w:rsidRDefault="00465C36" w:rsidP="00465C36">
      <w:pPr>
        <w:pStyle w:val="ListParagraph"/>
      </w:pPr>
    </w:p>
    <w:p w:rsidR="00465C36" w:rsidRPr="00947721" w:rsidRDefault="00465C36" w:rsidP="00465C36">
      <w:pPr>
        <w:pStyle w:val="ListParagraph"/>
      </w:pPr>
    </w:p>
    <w:p w:rsidR="0008118B" w:rsidRPr="001A437D" w:rsidRDefault="0008118B" w:rsidP="0008118B"/>
    <w:sectPr w:rsidR="0008118B" w:rsidRPr="001A4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575B"/>
    <w:multiLevelType w:val="hybridMultilevel"/>
    <w:tmpl w:val="DFAED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54CB"/>
    <w:multiLevelType w:val="hybridMultilevel"/>
    <w:tmpl w:val="5E649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72B"/>
    <w:multiLevelType w:val="hybridMultilevel"/>
    <w:tmpl w:val="3DAA1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C3263"/>
    <w:multiLevelType w:val="hybridMultilevel"/>
    <w:tmpl w:val="67023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6362"/>
    <w:multiLevelType w:val="hybridMultilevel"/>
    <w:tmpl w:val="E1283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74BBC"/>
    <w:multiLevelType w:val="hybridMultilevel"/>
    <w:tmpl w:val="7ED2B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0D"/>
    <w:rsid w:val="0008118B"/>
    <w:rsid w:val="001A437D"/>
    <w:rsid w:val="00465C36"/>
    <w:rsid w:val="0083678B"/>
    <w:rsid w:val="00947721"/>
    <w:rsid w:val="00D93250"/>
    <w:rsid w:val="00F0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9236-28CC-419A-9D05-0D46E8BE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A0D"/>
    <w:pPr>
      <w:ind w:left="720"/>
      <w:contextualSpacing/>
    </w:pPr>
  </w:style>
  <w:style w:type="character" w:customStyle="1" w:styleId="mi">
    <w:name w:val="mi"/>
    <w:basedOn w:val="DefaultParagraphFont"/>
    <w:rsid w:val="0008118B"/>
  </w:style>
  <w:style w:type="character" w:customStyle="1" w:styleId="mo">
    <w:name w:val="mo"/>
    <w:basedOn w:val="DefaultParagraphFont"/>
    <w:rsid w:val="0008118B"/>
  </w:style>
  <w:style w:type="character" w:customStyle="1" w:styleId="mn">
    <w:name w:val="mn"/>
    <w:basedOn w:val="DefaultParagraphFont"/>
    <w:rsid w:val="0008118B"/>
  </w:style>
  <w:style w:type="character" w:customStyle="1" w:styleId="vote-accepted-on">
    <w:name w:val="vote-accepted-on"/>
    <w:basedOn w:val="DefaultParagraphFont"/>
    <w:rsid w:val="0008118B"/>
  </w:style>
  <w:style w:type="paragraph" w:styleId="NormalWeb">
    <w:name w:val="Normal (Web)"/>
    <w:basedOn w:val="Normal"/>
    <w:uiPriority w:val="99"/>
    <w:semiHidden/>
    <w:unhideWhenUsed/>
    <w:rsid w:val="0008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F8FF6-C919-4D18-AF3F-339C51CD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Nameless Studios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Alanis</dc:creator>
  <cp:keywords/>
  <dc:description/>
  <cp:lastModifiedBy>Miguel Alanis</cp:lastModifiedBy>
  <cp:revision>2</cp:revision>
  <dcterms:created xsi:type="dcterms:W3CDTF">2017-11-24T07:20:00Z</dcterms:created>
  <dcterms:modified xsi:type="dcterms:W3CDTF">2017-11-24T08:05:00Z</dcterms:modified>
</cp:coreProperties>
</file>