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6D899" w14:textId="7846CCE4" w:rsidR="00A07D2E" w:rsidRPr="00A07D2E" w:rsidRDefault="00A07D2E" w:rsidP="00A07D2E">
      <w:pPr>
        <w:pStyle w:val="Heading1"/>
        <w:rPr>
          <w:sz w:val="36"/>
          <w:szCs w:val="36"/>
        </w:rPr>
      </w:pPr>
      <w:r>
        <w:rPr>
          <w:rFonts w:ascii="Arial Black" w:hAnsi="Arial Black"/>
          <w:b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F2F3413" wp14:editId="7D7B0257">
            <wp:simplePos x="0" y="0"/>
            <wp:positionH relativeFrom="page">
              <wp:align>left</wp:align>
            </wp:positionH>
            <wp:positionV relativeFrom="paragraph">
              <wp:posOffset>-1005840</wp:posOffset>
            </wp:positionV>
            <wp:extent cx="7543800" cy="11490960"/>
            <wp:effectExtent l="0" t="0" r="0" b="0"/>
            <wp:wrapNone/>
            <wp:docPr id="593505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69807" name="Picture 8142698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149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7D2E">
        <w:rPr>
          <w:sz w:val="36"/>
          <w:szCs w:val="36"/>
        </w:rPr>
        <w:t xml:space="preserve">           </w:t>
      </w:r>
      <w:r w:rsidRPr="00A07D2E">
        <w:rPr>
          <w:sz w:val="36"/>
          <w:szCs w:val="36"/>
        </w:rPr>
        <w:t>Air Quality Dashboard Report (NO₂ Focus)</w:t>
      </w:r>
    </w:p>
    <w:p w14:paraId="6D441766" w14:textId="595FE65E" w:rsidR="00A07D2E" w:rsidRPr="00A07D2E" w:rsidRDefault="00A07D2E" w:rsidP="00A07D2E"/>
    <w:p w14:paraId="6A9030BC" w14:textId="7AF26301" w:rsidR="00A07D2E" w:rsidRPr="00A07D2E" w:rsidRDefault="00A07D2E" w:rsidP="00A07D2E">
      <w:pPr>
        <w:spacing w:before="0" w:after="160" w:line="259" w:lineRule="auto"/>
        <w:rPr>
          <w:rFonts w:ascii="Arial Black" w:hAnsi="Arial Black"/>
          <w:b/>
          <w:bCs/>
          <w:sz w:val="24"/>
          <w:szCs w:val="24"/>
        </w:rPr>
      </w:pPr>
      <w:r w:rsidRPr="00A07D2E">
        <w:rPr>
          <w:rFonts w:ascii="Arial Black" w:hAnsi="Arial Black"/>
          <w:b/>
          <w:color w:val="F2F2F2" w:themeColor="background1" w:themeShade="F2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Summary:</w:t>
      </w:r>
      <w:r w:rsidRPr="00A07D2E">
        <w:rPr>
          <w:rFonts w:ascii="Arial Black" w:hAnsi="Arial Black"/>
          <w:color w:val="F2F2F2" w:themeColor="background1" w:themeShade="F2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07D2E">
        <w:rPr>
          <w:rFonts w:ascii="Arial Black" w:hAnsi="Arial Black"/>
          <w:b/>
          <w:bCs/>
          <w:sz w:val="24"/>
          <w:szCs w:val="24"/>
        </w:rPr>
        <w:t>This dashboard project investigates the temporal, spatial, and seasonal patterns of Nitrogen Dioxide (NO</w:t>
      </w:r>
      <w:r w:rsidRPr="00A07D2E">
        <w:rPr>
          <w:rFonts w:ascii="Cambria Math" w:hAnsi="Cambria Math" w:cs="Cambria Math"/>
          <w:b/>
          <w:bCs/>
          <w:sz w:val="24"/>
          <w:szCs w:val="24"/>
        </w:rPr>
        <w:t>₂</w:t>
      </w:r>
      <w:r w:rsidRPr="00A07D2E">
        <w:rPr>
          <w:rFonts w:ascii="Arial Black" w:hAnsi="Arial Black"/>
          <w:b/>
          <w:bCs/>
          <w:sz w:val="24"/>
          <w:szCs w:val="24"/>
        </w:rPr>
        <w:t>) concentrations across New York City using a publicly available air quality dataset. The dashboard was built in Excel and presents key insights through interactive pivot tables, slicers, maps, and charts.</w:t>
      </w:r>
    </w:p>
    <w:p w14:paraId="38AA7D41" w14:textId="77777777" w:rsidR="00A07D2E" w:rsidRPr="00A07D2E" w:rsidRDefault="00A07D2E" w:rsidP="00A07D2E">
      <w:pPr>
        <w:spacing w:after="160" w:line="259" w:lineRule="auto"/>
        <w:rPr>
          <w:rFonts w:ascii="Arial Black" w:hAnsi="Arial Black"/>
        </w:rPr>
      </w:pPr>
      <w:r w:rsidRPr="00A07D2E">
        <w:rPr>
          <w:rFonts w:ascii="Arial Black" w:hAnsi="Arial Black"/>
          <w:b/>
          <w:bCs/>
        </w:rPr>
        <w:pict w14:anchorId="03A3ED21">
          <v:rect id="_x0000_i1043" style="width:0;height:1.5pt" o:hralign="center" o:hrstd="t" o:hr="t" fillcolor="#a0a0a0" stroked="f"/>
        </w:pict>
      </w:r>
    </w:p>
    <w:p w14:paraId="7F940219" w14:textId="4E6664EE" w:rsidR="00A07D2E" w:rsidRPr="00A07D2E" w:rsidRDefault="00A07D2E" w:rsidP="00A07D2E">
      <w:pPr>
        <w:spacing w:before="0" w:after="160" w:line="259" w:lineRule="auto"/>
        <w:rPr>
          <w:rFonts w:ascii="Arial Black" w:hAnsi="Arial Black"/>
          <w:b/>
          <w:color w:val="F2F2F2" w:themeColor="background1" w:themeShade="F2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7D2E">
        <w:rPr>
          <w:rFonts w:ascii="Arial Black" w:hAnsi="Arial Black"/>
          <w:b/>
          <w:color w:val="F2F2F2" w:themeColor="background1" w:themeShade="F2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Key Insights and Results:</w:t>
      </w:r>
    </w:p>
    <w:p w14:paraId="6C2170F7" w14:textId="77777777" w:rsidR="00A07D2E" w:rsidRPr="00A07D2E" w:rsidRDefault="00A07D2E" w:rsidP="00A07D2E">
      <w:pPr>
        <w:numPr>
          <w:ilvl w:val="0"/>
          <w:numId w:val="1"/>
        </w:numPr>
        <w:spacing w:before="0" w:after="160" w:line="259" w:lineRule="auto"/>
        <w:rPr>
          <w:rFonts w:ascii="Arial Black" w:hAnsi="Arial Black"/>
          <w:b/>
          <w:color w:val="F2F2F2" w:themeColor="background1" w:themeShade="F2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7D2E">
        <w:rPr>
          <w:rFonts w:ascii="Arial Black" w:hAnsi="Arial Black"/>
          <w:b/>
          <w:color w:val="F2F2F2" w:themeColor="background1" w:themeShade="F2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r w:rsidRPr="00A07D2E">
        <w:rPr>
          <w:rFonts w:ascii="Cambria Math" w:hAnsi="Cambria Math" w:cs="Cambria Math"/>
          <w:b/>
          <w:color w:val="F2F2F2" w:themeColor="background1" w:themeShade="F2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₂</w:t>
      </w:r>
      <w:r w:rsidRPr="00A07D2E">
        <w:rPr>
          <w:rFonts w:ascii="Arial Black" w:hAnsi="Arial Black"/>
          <w:b/>
          <w:color w:val="F2F2F2" w:themeColor="background1" w:themeShade="F2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Trends Over Time:</w:t>
      </w:r>
    </w:p>
    <w:p w14:paraId="59F7A58C" w14:textId="77777777" w:rsidR="00A07D2E" w:rsidRPr="00A07D2E" w:rsidRDefault="00A07D2E" w:rsidP="00A07D2E">
      <w:pPr>
        <w:numPr>
          <w:ilvl w:val="1"/>
          <w:numId w:val="1"/>
        </w:numPr>
        <w:spacing w:before="0" w:after="160" w:line="259" w:lineRule="auto"/>
        <w:rPr>
          <w:rFonts w:ascii="Arial Black" w:hAnsi="Arial Black"/>
          <w:b/>
          <w:sz w:val="24"/>
          <w:szCs w:val="24"/>
        </w:rPr>
      </w:pPr>
      <w:r w:rsidRPr="00A07D2E">
        <w:rPr>
          <w:rFonts w:ascii="Arial Black" w:hAnsi="Arial Black"/>
          <w:b/>
          <w:sz w:val="24"/>
          <w:szCs w:val="24"/>
        </w:rPr>
        <w:t>NO</w:t>
      </w:r>
      <w:r w:rsidRPr="00A07D2E">
        <w:rPr>
          <w:rFonts w:ascii="Cambria Math" w:hAnsi="Cambria Math" w:cs="Cambria Math"/>
          <w:b/>
          <w:sz w:val="24"/>
          <w:szCs w:val="24"/>
        </w:rPr>
        <w:t>₂</w:t>
      </w:r>
      <w:r w:rsidRPr="00A07D2E">
        <w:rPr>
          <w:rFonts w:ascii="Arial Black" w:hAnsi="Arial Black"/>
          <w:b/>
          <w:sz w:val="24"/>
          <w:szCs w:val="24"/>
        </w:rPr>
        <w:t xml:space="preserve"> concentrations fluctuate year-to-year with observable peaks during colder months.</w:t>
      </w:r>
    </w:p>
    <w:p w14:paraId="0C96C268" w14:textId="77777777" w:rsidR="00A07D2E" w:rsidRPr="00A07D2E" w:rsidRDefault="00A07D2E" w:rsidP="00A07D2E">
      <w:pPr>
        <w:numPr>
          <w:ilvl w:val="1"/>
          <w:numId w:val="1"/>
        </w:numPr>
        <w:spacing w:before="0" w:after="160" w:line="259" w:lineRule="auto"/>
        <w:rPr>
          <w:rFonts w:ascii="Arial Black" w:hAnsi="Arial Black"/>
          <w:b/>
          <w:sz w:val="24"/>
          <w:szCs w:val="24"/>
        </w:rPr>
      </w:pPr>
      <w:r w:rsidRPr="00A07D2E">
        <w:rPr>
          <w:rFonts w:ascii="Arial Black" w:hAnsi="Arial Black"/>
          <w:b/>
          <w:sz w:val="24"/>
          <w:szCs w:val="24"/>
        </w:rPr>
        <w:t>Line charts highlighted seasonal spikes, especially during Winter and Fall.</w:t>
      </w:r>
    </w:p>
    <w:p w14:paraId="0EACBB65" w14:textId="275F2B2C" w:rsidR="00A07D2E" w:rsidRPr="00A07D2E" w:rsidRDefault="00A07D2E" w:rsidP="00A07D2E">
      <w:pPr>
        <w:numPr>
          <w:ilvl w:val="0"/>
          <w:numId w:val="1"/>
        </w:numPr>
        <w:spacing w:before="0" w:after="160" w:line="259" w:lineRule="auto"/>
        <w:rPr>
          <w:rFonts w:ascii="Arial Black" w:hAnsi="Arial Black"/>
          <w:b/>
          <w:color w:val="F2F2F2" w:themeColor="background1" w:themeShade="F2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7D2E">
        <w:rPr>
          <w:rFonts w:ascii="Arial Black" w:hAnsi="Arial Black"/>
          <w:b/>
          <w:color w:val="F2F2F2" w:themeColor="background1" w:themeShade="F2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Spatial Distribution Across NYC:</w:t>
      </w:r>
    </w:p>
    <w:p w14:paraId="139DBA3B" w14:textId="1D62ABCB" w:rsidR="00A07D2E" w:rsidRPr="00A07D2E" w:rsidRDefault="00A07D2E" w:rsidP="00A07D2E">
      <w:pPr>
        <w:numPr>
          <w:ilvl w:val="1"/>
          <w:numId w:val="1"/>
        </w:numPr>
        <w:spacing w:before="0" w:after="160" w:line="259" w:lineRule="auto"/>
        <w:rPr>
          <w:rFonts w:ascii="Arial Black" w:hAnsi="Arial Black"/>
          <w:b/>
          <w:sz w:val="24"/>
          <w:szCs w:val="24"/>
        </w:rPr>
      </w:pPr>
      <w:r w:rsidRPr="00A07D2E">
        <w:rPr>
          <w:rFonts w:ascii="Arial Black" w:hAnsi="Arial Black"/>
          <w:b/>
          <w:sz w:val="24"/>
          <w:szCs w:val="24"/>
        </w:rPr>
        <w:t>High NO</w:t>
      </w:r>
      <w:r w:rsidRPr="00A07D2E">
        <w:rPr>
          <w:rFonts w:ascii="Cambria Math" w:hAnsi="Cambria Math" w:cs="Cambria Math"/>
          <w:b/>
          <w:sz w:val="24"/>
          <w:szCs w:val="24"/>
        </w:rPr>
        <w:t>₂</w:t>
      </w:r>
      <w:r w:rsidRPr="00A07D2E">
        <w:rPr>
          <w:rFonts w:ascii="Arial Black" w:hAnsi="Arial Black"/>
          <w:b/>
          <w:sz w:val="24"/>
          <w:szCs w:val="24"/>
        </w:rPr>
        <w:t xml:space="preserve"> levels were found in boroughs like Manhattan and The Bronx.</w:t>
      </w:r>
    </w:p>
    <w:p w14:paraId="24FE272D" w14:textId="2B9C0C3D" w:rsidR="00A07D2E" w:rsidRPr="00A07D2E" w:rsidRDefault="00A07D2E" w:rsidP="00A07D2E">
      <w:pPr>
        <w:numPr>
          <w:ilvl w:val="1"/>
          <w:numId w:val="1"/>
        </w:numPr>
        <w:spacing w:before="0" w:after="160" w:line="259" w:lineRule="auto"/>
        <w:rPr>
          <w:rFonts w:ascii="Arial Black" w:hAnsi="Arial Black"/>
          <w:b/>
          <w:sz w:val="24"/>
          <w:szCs w:val="24"/>
        </w:rPr>
      </w:pPr>
      <w:r w:rsidRPr="00A07D2E">
        <w:rPr>
          <w:rFonts w:ascii="Arial Black" w:hAnsi="Arial Black"/>
          <w:b/>
          <w:sz w:val="24"/>
          <w:szCs w:val="24"/>
        </w:rPr>
        <w:t>Area maps and charts visualize this geographic disparity, pointing to potential urban and traffic-related sources.</w:t>
      </w:r>
    </w:p>
    <w:p w14:paraId="4531B699" w14:textId="07F9691F" w:rsidR="00A07D2E" w:rsidRPr="00A07D2E" w:rsidRDefault="00A07D2E" w:rsidP="00A07D2E">
      <w:pPr>
        <w:numPr>
          <w:ilvl w:val="0"/>
          <w:numId w:val="1"/>
        </w:numPr>
        <w:spacing w:before="0" w:after="160" w:line="259" w:lineRule="auto"/>
        <w:rPr>
          <w:rFonts w:ascii="Arial Black" w:hAnsi="Arial Black"/>
          <w:b/>
          <w:color w:val="F2F2F2" w:themeColor="background1" w:themeShade="F2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7D2E">
        <w:rPr>
          <w:rFonts w:ascii="Arial Black" w:hAnsi="Arial Black"/>
          <w:b/>
          <w:color w:val="F2F2F2" w:themeColor="background1" w:themeShade="F2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Seasonal Variation:</w:t>
      </w:r>
    </w:p>
    <w:p w14:paraId="1F36EFD7" w14:textId="77777777" w:rsidR="00A07D2E" w:rsidRPr="00A07D2E" w:rsidRDefault="00A07D2E" w:rsidP="00A07D2E">
      <w:pPr>
        <w:numPr>
          <w:ilvl w:val="1"/>
          <w:numId w:val="1"/>
        </w:numPr>
        <w:spacing w:before="0" w:after="160" w:line="259" w:lineRule="auto"/>
        <w:rPr>
          <w:rFonts w:ascii="Arial Black" w:hAnsi="Arial Black"/>
          <w:b/>
          <w:sz w:val="24"/>
          <w:szCs w:val="24"/>
        </w:rPr>
      </w:pPr>
      <w:r w:rsidRPr="00A07D2E">
        <w:rPr>
          <w:rFonts w:ascii="Arial Black" w:hAnsi="Arial Black"/>
          <w:b/>
          <w:sz w:val="24"/>
          <w:szCs w:val="24"/>
        </w:rPr>
        <w:t>Seasonal analysis revealed that Winter and Fall experience higher average NO</w:t>
      </w:r>
      <w:r w:rsidRPr="00A07D2E">
        <w:rPr>
          <w:rFonts w:ascii="Cambria Math" w:hAnsi="Cambria Math" w:cs="Cambria Math"/>
          <w:b/>
          <w:sz w:val="24"/>
          <w:szCs w:val="24"/>
        </w:rPr>
        <w:t>₂</w:t>
      </w:r>
      <w:r w:rsidRPr="00A07D2E">
        <w:rPr>
          <w:rFonts w:ascii="Arial Black" w:hAnsi="Arial Black"/>
          <w:b/>
          <w:sz w:val="24"/>
          <w:szCs w:val="24"/>
        </w:rPr>
        <w:t xml:space="preserve"> values.</w:t>
      </w:r>
    </w:p>
    <w:p w14:paraId="199BBFEF" w14:textId="77777777" w:rsidR="00A07D2E" w:rsidRPr="00A07D2E" w:rsidRDefault="00A07D2E" w:rsidP="00A07D2E">
      <w:pPr>
        <w:numPr>
          <w:ilvl w:val="1"/>
          <w:numId w:val="1"/>
        </w:numPr>
        <w:spacing w:before="0" w:after="160" w:line="259" w:lineRule="auto"/>
        <w:rPr>
          <w:rFonts w:ascii="Arial Black" w:hAnsi="Arial Black"/>
          <w:b/>
          <w:sz w:val="24"/>
          <w:szCs w:val="24"/>
        </w:rPr>
      </w:pPr>
      <w:r w:rsidRPr="00A07D2E">
        <w:rPr>
          <w:rFonts w:ascii="Arial Black" w:hAnsi="Arial Black"/>
          <w:b/>
          <w:sz w:val="24"/>
          <w:szCs w:val="24"/>
        </w:rPr>
        <w:t>A custom formula classified each record into its respective season based on the date.</w:t>
      </w:r>
    </w:p>
    <w:p w14:paraId="071EE97A" w14:textId="754A6C54" w:rsidR="00A07D2E" w:rsidRPr="00A07D2E" w:rsidRDefault="00A07D2E" w:rsidP="00A07D2E">
      <w:pPr>
        <w:numPr>
          <w:ilvl w:val="0"/>
          <w:numId w:val="1"/>
        </w:numPr>
        <w:spacing w:before="0" w:after="160" w:line="259" w:lineRule="auto"/>
        <w:rPr>
          <w:rFonts w:ascii="Arial Black" w:hAnsi="Arial Black"/>
          <w:b/>
          <w:color w:val="1CADE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7D2E">
        <w:rPr>
          <w:rFonts w:ascii="Arial Black" w:hAnsi="Arial Black"/>
          <w:b/>
          <w:color w:val="F2F2F2" w:themeColor="background1" w:themeShade="F2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High-Risk Locations</w:t>
      </w:r>
      <w:r w:rsidRPr="00A07D2E">
        <w:rPr>
          <w:rFonts w:ascii="Arial Black" w:hAnsi="Arial Black"/>
          <w:b/>
          <w:color w:val="1CADE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7EFA2E5" w14:textId="77777777" w:rsidR="00A07D2E" w:rsidRPr="00A07D2E" w:rsidRDefault="00A07D2E" w:rsidP="00A07D2E">
      <w:pPr>
        <w:numPr>
          <w:ilvl w:val="1"/>
          <w:numId w:val="1"/>
        </w:numPr>
        <w:spacing w:before="0" w:after="160" w:line="259" w:lineRule="auto"/>
        <w:rPr>
          <w:rFonts w:ascii="Arial Black" w:hAnsi="Arial Black"/>
          <w:b/>
          <w:sz w:val="24"/>
          <w:szCs w:val="24"/>
        </w:rPr>
      </w:pPr>
      <w:r w:rsidRPr="00A07D2E">
        <w:rPr>
          <w:rFonts w:ascii="Arial Black" w:hAnsi="Arial Black"/>
          <w:b/>
          <w:sz w:val="24"/>
          <w:szCs w:val="24"/>
        </w:rPr>
        <w:t>Using average pollutant levels, a pie chart was created to identify the top 7 most polluted locations.</w:t>
      </w:r>
    </w:p>
    <w:p w14:paraId="4F490029" w14:textId="77777777" w:rsidR="00A07D2E" w:rsidRPr="00A07D2E" w:rsidRDefault="00A07D2E" w:rsidP="00A07D2E">
      <w:pPr>
        <w:numPr>
          <w:ilvl w:val="1"/>
          <w:numId w:val="1"/>
        </w:numPr>
        <w:spacing w:before="0" w:after="160" w:line="259" w:lineRule="auto"/>
        <w:rPr>
          <w:rFonts w:ascii="Arial Black" w:hAnsi="Arial Black"/>
          <w:b/>
          <w:sz w:val="24"/>
          <w:szCs w:val="24"/>
        </w:rPr>
      </w:pPr>
      <w:r w:rsidRPr="00A07D2E">
        <w:rPr>
          <w:rFonts w:ascii="Arial Black" w:hAnsi="Arial Black"/>
          <w:b/>
          <w:sz w:val="24"/>
          <w:szCs w:val="24"/>
        </w:rPr>
        <w:t>Locations such as Long Island City, Bronx, and Manhattan emerged as high-risk areas.</w:t>
      </w:r>
    </w:p>
    <w:p w14:paraId="67F78543" w14:textId="70A363EE" w:rsidR="00A07D2E" w:rsidRPr="00A07D2E" w:rsidRDefault="00A07D2E" w:rsidP="00A07D2E">
      <w:pPr>
        <w:numPr>
          <w:ilvl w:val="1"/>
          <w:numId w:val="1"/>
        </w:numPr>
        <w:spacing w:before="0" w:after="160" w:line="259" w:lineRule="auto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7D2812BB" wp14:editId="6061DBEC">
            <wp:simplePos x="0" y="0"/>
            <wp:positionH relativeFrom="page">
              <wp:posOffset>15240</wp:posOffset>
            </wp:positionH>
            <wp:positionV relativeFrom="paragraph">
              <wp:posOffset>-944880</wp:posOffset>
            </wp:positionV>
            <wp:extent cx="7543800" cy="10706100"/>
            <wp:effectExtent l="0" t="0" r="0" b="0"/>
            <wp:wrapNone/>
            <wp:docPr id="814269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69807" name="Picture 8142698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7D2E">
        <w:rPr>
          <w:rFonts w:ascii="Arial Black" w:hAnsi="Arial Black"/>
          <w:b/>
          <w:sz w:val="24"/>
          <w:szCs w:val="24"/>
        </w:rPr>
        <w:t>A combo chart compared Mean vs. Max values for NO</w:t>
      </w:r>
      <w:r w:rsidRPr="00A07D2E">
        <w:rPr>
          <w:rFonts w:ascii="Cambria Math" w:hAnsi="Cambria Math" w:cs="Cambria Math"/>
          <w:b/>
          <w:sz w:val="24"/>
          <w:szCs w:val="24"/>
        </w:rPr>
        <w:t>₂</w:t>
      </w:r>
      <w:r w:rsidRPr="00A07D2E">
        <w:rPr>
          <w:rFonts w:ascii="Arial Black" w:hAnsi="Arial Black"/>
          <w:b/>
          <w:sz w:val="24"/>
          <w:szCs w:val="24"/>
        </w:rPr>
        <w:t>.</w:t>
      </w:r>
    </w:p>
    <w:p w14:paraId="1DC03794" w14:textId="01D8432D" w:rsidR="00A07D2E" w:rsidRPr="00A07D2E" w:rsidRDefault="00A07D2E" w:rsidP="00A07D2E">
      <w:pPr>
        <w:numPr>
          <w:ilvl w:val="1"/>
          <w:numId w:val="1"/>
        </w:numPr>
        <w:spacing w:before="0" w:after="160" w:line="259" w:lineRule="auto"/>
        <w:rPr>
          <w:rFonts w:ascii="Bodoni MT Black" w:hAnsi="Bodoni MT Black"/>
          <w:b/>
          <w:sz w:val="24"/>
          <w:szCs w:val="24"/>
        </w:rPr>
      </w:pPr>
      <w:r w:rsidRPr="00A07D2E">
        <w:rPr>
          <w:rFonts w:ascii="Bodoni MT Black" w:hAnsi="Bodoni MT Black"/>
          <w:b/>
          <w:sz w:val="24"/>
          <w:szCs w:val="24"/>
        </w:rPr>
        <w:t xml:space="preserve">Results showed significant variation in readings, highlighting the importance of </w:t>
      </w:r>
      <w:proofErr w:type="spellStart"/>
      <w:r w:rsidRPr="00A07D2E">
        <w:rPr>
          <w:rFonts w:ascii="Bodoni MT Black" w:hAnsi="Bodoni MT Black"/>
          <w:b/>
          <w:sz w:val="24"/>
          <w:szCs w:val="24"/>
        </w:rPr>
        <w:t>analyzing</w:t>
      </w:r>
      <w:proofErr w:type="spellEnd"/>
      <w:r w:rsidRPr="00A07D2E">
        <w:rPr>
          <w:rFonts w:ascii="Bodoni MT Black" w:hAnsi="Bodoni MT Black"/>
          <w:b/>
          <w:sz w:val="24"/>
          <w:szCs w:val="24"/>
        </w:rPr>
        <w:t xml:space="preserve"> both metrics for reliable conclusions.</w:t>
      </w:r>
    </w:p>
    <w:p w14:paraId="7220F33E" w14:textId="39C3A064" w:rsidR="00A07D2E" w:rsidRPr="00A07D2E" w:rsidRDefault="00A07D2E" w:rsidP="00A07D2E">
      <w:pPr>
        <w:spacing w:after="160" w:line="259" w:lineRule="auto"/>
        <w:rPr>
          <w:sz w:val="24"/>
          <w:szCs w:val="24"/>
        </w:rPr>
      </w:pPr>
    </w:p>
    <w:p w14:paraId="5C4BB043" w14:textId="10A0E744" w:rsidR="00A07D2E" w:rsidRPr="00A07D2E" w:rsidRDefault="00A07D2E" w:rsidP="00A07D2E">
      <w:pPr>
        <w:rPr>
          <w:b/>
          <w:bCs/>
          <w:sz w:val="24"/>
          <w:szCs w:val="24"/>
        </w:rPr>
      </w:pPr>
      <w:r w:rsidRPr="00A07D2E">
        <w:rPr>
          <w:b/>
          <w:sz w:val="24"/>
          <w:szCs w:val="24"/>
        </w:rPr>
        <w:pict w14:anchorId="3294C6F1">
          <v:rect id="_x0000_i1068" style="width:0;height:1.5pt" o:hralign="center" o:hrstd="t" o:hr="t" fillcolor="#a0a0a0" stroked="f"/>
        </w:pict>
      </w:r>
    </w:p>
    <w:p w14:paraId="01A50E5C" w14:textId="169378FA" w:rsidR="00A07D2E" w:rsidRPr="00A07D2E" w:rsidRDefault="00A07D2E" w:rsidP="00A07D2E">
      <w:pPr>
        <w:rPr>
          <w:b/>
          <w:bCs/>
          <w:sz w:val="24"/>
          <w:szCs w:val="24"/>
        </w:rPr>
      </w:pPr>
    </w:p>
    <w:p w14:paraId="7520807D" w14:textId="1D841EEE" w:rsidR="00A07D2E" w:rsidRPr="00A07D2E" w:rsidRDefault="00A07D2E" w:rsidP="00A07D2E">
      <w:pPr>
        <w:spacing w:before="0" w:after="160" w:line="259" w:lineRule="auto"/>
        <w:rPr>
          <w:rFonts w:ascii="Arial Black" w:hAnsi="Arial Black"/>
          <w:b/>
          <w:color w:val="F2F2F2" w:themeColor="background1" w:themeShade="F2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7D2E">
        <w:rPr>
          <w:rFonts w:ascii="Arial Black" w:hAnsi="Arial Black"/>
          <w:b/>
          <w:color w:val="F2F2F2" w:themeColor="background1" w:themeShade="F2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Tools &amp; Techniques Used:</w:t>
      </w:r>
    </w:p>
    <w:p w14:paraId="7AEE3C0F" w14:textId="484ECFD5" w:rsidR="00A07D2E" w:rsidRPr="00A07D2E" w:rsidRDefault="00A07D2E" w:rsidP="00A07D2E">
      <w:pPr>
        <w:numPr>
          <w:ilvl w:val="0"/>
          <w:numId w:val="2"/>
        </w:numPr>
        <w:spacing w:before="0" w:after="160" w:line="259" w:lineRule="auto"/>
        <w:rPr>
          <w:rFonts w:ascii="Arial Black" w:hAnsi="Arial Black"/>
          <w:sz w:val="24"/>
          <w:szCs w:val="24"/>
        </w:rPr>
      </w:pPr>
      <w:r w:rsidRPr="00A07D2E">
        <w:rPr>
          <w:rFonts w:ascii="Arial Black" w:hAnsi="Arial Black"/>
          <w:sz w:val="24"/>
          <w:szCs w:val="24"/>
        </w:rPr>
        <w:t>Excel Pivot Tables &amp; Pivot Charts</w:t>
      </w:r>
    </w:p>
    <w:p w14:paraId="20830702" w14:textId="77777777" w:rsidR="00A07D2E" w:rsidRPr="00A07D2E" w:rsidRDefault="00A07D2E" w:rsidP="00A07D2E">
      <w:pPr>
        <w:numPr>
          <w:ilvl w:val="0"/>
          <w:numId w:val="2"/>
        </w:numPr>
        <w:spacing w:before="0" w:after="160" w:line="259" w:lineRule="auto"/>
        <w:rPr>
          <w:rFonts w:ascii="Arial Black" w:hAnsi="Arial Black"/>
          <w:sz w:val="24"/>
          <w:szCs w:val="24"/>
        </w:rPr>
      </w:pPr>
      <w:r w:rsidRPr="00A07D2E">
        <w:rPr>
          <w:rFonts w:ascii="Arial Black" w:hAnsi="Arial Black"/>
          <w:sz w:val="24"/>
          <w:szCs w:val="24"/>
        </w:rPr>
        <w:t>Slicers (Geo Place Name, Time Period, Measure)</w:t>
      </w:r>
    </w:p>
    <w:p w14:paraId="5DB09F6E" w14:textId="42E4445D" w:rsidR="00A07D2E" w:rsidRPr="00A07D2E" w:rsidRDefault="00A07D2E" w:rsidP="00A07D2E">
      <w:pPr>
        <w:numPr>
          <w:ilvl w:val="0"/>
          <w:numId w:val="2"/>
        </w:numPr>
        <w:spacing w:before="0" w:after="160" w:line="259" w:lineRule="auto"/>
        <w:rPr>
          <w:rFonts w:ascii="Arial Black" w:hAnsi="Arial Black"/>
          <w:sz w:val="24"/>
          <w:szCs w:val="24"/>
        </w:rPr>
      </w:pPr>
      <w:r w:rsidRPr="00A07D2E">
        <w:rPr>
          <w:rFonts w:ascii="Arial Black" w:hAnsi="Arial Black"/>
          <w:sz w:val="24"/>
          <w:szCs w:val="24"/>
        </w:rPr>
        <w:t>Line, Pie, Column, and Combo Charts</w:t>
      </w:r>
    </w:p>
    <w:p w14:paraId="5BE138A5" w14:textId="77777777" w:rsidR="00A07D2E" w:rsidRPr="00A07D2E" w:rsidRDefault="00A07D2E" w:rsidP="00A07D2E">
      <w:pPr>
        <w:numPr>
          <w:ilvl w:val="0"/>
          <w:numId w:val="2"/>
        </w:numPr>
        <w:spacing w:before="0" w:after="160" w:line="259" w:lineRule="auto"/>
        <w:rPr>
          <w:rFonts w:ascii="Arial Black" w:hAnsi="Arial Black"/>
          <w:sz w:val="24"/>
          <w:szCs w:val="24"/>
        </w:rPr>
      </w:pPr>
      <w:r w:rsidRPr="00A07D2E">
        <w:rPr>
          <w:rFonts w:ascii="Arial Black" w:hAnsi="Arial Black"/>
          <w:sz w:val="24"/>
          <w:szCs w:val="24"/>
        </w:rPr>
        <w:t>Custom formulas for seasonal categorization</w:t>
      </w:r>
    </w:p>
    <w:p w14:paraId="6A46EB2E" w14:textId="77777777" w:rsidR="00A07D2E" w:rsidRPr="00A07D2E" w:rsidRDefault="00A07D2E" w:rsidP="00A07D2E">
      <w:pPr>
        <w:spacing w:after="160" w:line="259" w:lineRule="auto"/>
        <w:rPr>
          <w:rFonts w:ascii="Arial Black" w:hAnsi="Arial Black"/>
          <w:sz w:val="24"/>
          <w:szCs w:val="24"/>
        </w:rPr>
      </w:pPr>
      <w:r w:rsidRPr="00A07D2E">
        <w:rPr>
          <w:rFonts w:ascii="Arial Black" w:hAnsi="Arial Black"/>
          <w:sz w:val="24"/>
          <w:szCs w:val="24"/>
        </w:rPr>
        <w:pict w14:anchorId="414F6873">
          <v:rect id="_x0000_i1045" style="width:0;height:1.5pt" o:hralign="center" o:hrstd="t" o:hr="t" fillcolor="#a0a0a0" stroked="f"/>
        </w:pict>
      </w:r>
    </w:p>
    <w:p w14:paraId="3DB92A5D" w14:textId="77777777" w:rsidR="00A07D2E" w:rsidRPr="00A07D2E" w:rsidRDefault="00A07D2E" w:rsidP="00A07D2E">
      <w:pPr>
        <w:spacing w:before="0" w:after="160" w:line="259" w:lineRule="auto"/>
        <w:rPr>
          <w:rFonts w:ascii="Arial Black" w:hAnsi="Arial Black"/>
          <w:sz w:val="24"/>
          <w:szCs w:val="24"/>
        </w:rPr>
      </w:pPr>
      <w:r w:rsidRPr="00A07D2E">
        <w:rPr>
          <w:rFonts w:ascii="Arial Black" w:hAnsi="Arial Black"/>
          <w:b/>
          <w:color w:val="F2F2F2" w:themeColor="background1" w:themeShade="F2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Conclusion:</w:t>
      </w:r>
      <w:r w:rsidRPr="00A07D2E">
        <w:rPr>
          <w:rFonts w:ascii="Arial Black" w:hAnsi="Arial Black"/>
          <w:sz w:val="32"/>
          <w:szCs w:val="32"/>
        </w:rPr>
        <w:br/>
      </w:r>
      <w:r w:rsidRPr="00A07D2E">
        <w:rPr>
          <w:rFonts w:ascii="Arial Black" w:hAnsi="Arial Black"/>
          <w:sz w:val="24"/>
          <w:szCs w:val="24"/>
        </w:rPr>
        <w:t>The dashboard provides a comprehensive, visual analysis of NO</w:t>
      </w:r>
      <w:r w:rsidRPr="00A07D2E">
        <w:rPr>
          <w:rFonts w:ascii="Cambria Math" w:hAnsi="Cambria Math" w:cs="Cambria Math"/>
          <w:sz w:val="24"/>
          <w:szCs w:val="24"/>
        </w:rPr>
        <w:t>₂</w:t>
      </w:r>
      <w:r w:rsidRPr="00A07D2E">
        <w:rPr>
          <w:rFonts w:ascii="Arial Black" w:hAnsi="Arial Black"/>
          <w:sz w:val="24"/>
          <w:szCs w:val="24"/>
        </w:rPr>
        <w:t xml:space="preserve"> pollution trends in New York City. The insights can guide environmental health assessments and inform future air quality policies or interventions.</w:t>
      </w:r>
    </w:p>
    <w:p w14:paraId="1BD3C698" w14:textId="77777777" w:rsidR="00931BFF" w:rsidRPr="00A07D2E" w:rsidRDefault="00931BFF">
      <w:pPr>
        <w:rPr>
          <w:rFonts w:ascii="Arial Black" w:hAnsi="Arial Black"/>
          <w:sz w:val="24"/>
          <w:szCs w:val="24"/>
        </w:rPr>
      </w:pPr>
    </w:p>
    <w:sectPr w:rsidR="00931BFF" w:rsidRPr="00A07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661F2A"/>
    <w:multiLevelType w:val="multilevel"/>
    <w:tmpl w:val="745C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A214BC"/>
    <w:multiLevelType w:val="multilevel"/>
    <w:tmpl w:val="5F908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8467489">
    <w:abstractNumId w:val="1"/>
  </w:num>
  <w:num w:numId="2" w16cid:durableId="222060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2E"/>
    <w:rsid w:val="00821181"/>
    <w:rsid w:val="00931BFF"/>
    <w:rsid w:val="00A07D2E"/>
    <w:rsid w:val="00D10216"/>
    <w:rsid w:val="00F6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1CC2"/>
  <w15:chartTrackingRefBased/>
  <w15:docId w15:val="{25FC3480-8FE7-41D5-A0EF-D1DB78FE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th-TH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D2E"/>
  </w:style>
  <w:style w:type="paragraph" w:styleId="Heading1">
    <w:name w:val="heading 1"/>
    <w:basedOn w:val="Normal"/>
    <w:next w:val="Normal"/>
    <w:link w:val="Heading1Char"/>
    <w:uiPriority w:val="9"/>
    <w:qFormat/>
    <w:rsid w:val="00A07D2E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D2E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D2E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D2E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D2E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D2E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D2E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D2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D2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D2E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D2E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D2E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D2E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D2E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D2E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D2E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D2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D2E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07D2E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7D2E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D2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07D2E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A07D2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7D2E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A07D2E"/>
    <w:pPr>
      <w:ind w:left="720"/>
      <w:contextualSpacing/>
    </w:pPr>
    <w:rPr>
      <w:rFonts w:cs="Cordia New"/>
      <w:szCs w:val="25"/>
    </w:rPr>
  </w:style>
  <w:style w:type="character" w:styleId="IntenseEmphasis">
    <w:name w:val="Intense Emphasis"/>
    <w:uiPriority w:val="21"/>
    <w:qFormat/>
    <w:rsid w:val="00A07D2E"/>
    <w:rPr>
      <w:b/>
      <w:bCs/>
      <w:caps/>
      <w:color w:val="0D5571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D2E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D2E"/>
    <w:rPr>
      <w:color w:val="1CADE4" w:themeColor="accent1"/>
      <w:sz w:val="24"/>
      <w:szCs w:val="24"/>
    </w:rPr>
  </w:style>
  <w:style w:type="character" w:styleId="IntenseReference">
    <w:name w:val="Intense Reference"/>
    <w:uiPriority w:val="32"/>
    <w:qFormat/>
    <w:rsid w:val="00A07D2E"/>
    <w:rPr>
      <w:b/>
      <w:bCs/>
      <w:i/>
      <w:iCs/>
      <w:caps/>
      <w:color w:val="1CADE4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7D2E"/>
    <w:rPr>
      <w:b/>
      <w:bCs/>
      <w:color w:val="1481AB" w:themeColor="accent1" w:themeShade="BF"/>
      <w:sz w:val="16"/>
      <w:szCs w:val="16"/>
    </w:rPr>
  </w:style>
  <w:style w:type="character" w:styleId="Strong">
    <w:name w:val="Strong"/>
    <w:uiPriority w:val="22"/>
    <w:qFormat/>
    <w:rsid w:val="00A07D2E"/>
    <w:rPr>
      <w:b/>
      <w:bCs/>
    </w:rPr>
  </w:style>
  <w:style w:type="character" w:styleId="Emphasis">
    <w:name w:val="Emphasis"/>
    <w:uiPriority w:val="20"/>
    <w:qFormat/>
    <w:rsid w:val="00A07D2E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A07D2E"/>
    <w:pPr>
      <w:spacing w:after="0" w:line="240" w:lineRule="auto"/>
    </w:pPr>
  </w:style>
  <w:style w:type="character" w:styleId="SubtleEmphasis">
    <w:name w:val="Subtle Emphasis"/>
    <w:uiPriority w:val="19"/>
    <w:qFormat/>
    <w:rsid w:val="00A07D2E"/>
    <w:rPr>
      <w:i/>
      <w:iCs/>
      <w:color w:val="0D5571" w:themeColor="accent1" w:themeShade="7F"/>
    </w:rPr>
  </w:style>
  <w:style w:type="character" w:styleId="SubtleReference">
    <w:name w:val="Subtle Reference"/>
    <w:uiPriority w:val="31"/>
    <w:qFormat/>
    <w:rsid w:val="00A07D2E"/>
    <w:rPr>
      <w:b/>
      <w:bCs/>
      <w:color w:val="1CADE4" w:themeColor="accent1"/>
    </w:rPr>
  </w:style>
  <w:style w:type="character" w:styleId="BookTitle">
    <w:name w:val="Book Title"/>
    <w:uiPriority w:val="33"/>
    <w:qFormat/>
    <w:rsid w:val="00A07D2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7D2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4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xhere.com/en/photo/61638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ggi2020.1298anjali11@gmail.com</dc:creator>
  <cp:keywords/>
  <dc:description/>
  <cp:lastModifiedBy>ggi2020.1298anjali11@gmail.com</cp:lastModifiedBy>
  <cp:revision>2</cp:revision>
  <dcterms:created xsi:type="dcterms:W3CDTF">2025-04-13T08:37:00Z</dcterms:created>
  <dcterms:modified xsi:type="dcterms:W3CDTF">2025-04-13T08:37:00Z</dcterms:modified>
</cp:coreProperties>
</file>