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Physical AI Evaluation Landscape: A Comparative Review of Six Evaluation Methodologies</w:t>
      </w:r>
    </w:p>
    <w:p>
      <w:pPr>
        <w:spacing w:after="60"/>
        <w:jc w:val="center"/>
      </w:pPr>
      <w:r>
        <w:rPr>
          <w:rFonts w:ascii="Times New Roman" w:cs="Times New Roman" w:eastAsia="Times New Roman" w:hAnsi="Times New Roman"/>
          <w:sz w:val="24"/>
          <w:szCs w:val="24"/>
        </w:rPr>
        <w:t xml:space="preserve">George (ZhiNeng) Wang</w:t>
      </w:r>
    </w:p>
    <w:p>
      <w:pPr>
        <w:spacing w:after="60"/>
        <w:jc w:val="center"/>
      </w:pPr>
      <w:r>
        <w:rPr>
          <w:rFonts w:ascii="Times New Roman" w:cs="Times New Roman" w:eastAsia="Times New Roman" w:hAnsi="Times New Roman"/>
          <w:i/>
          <w:iCs/>
          <w:sz w:val="24"/>
          <w:szCs w:val="24"/>
        </w:rPr>
        <w:t xml:space="preserve">AI Model Evaluation Internship — InGen Dynamics Inc.</w:t>
      </w:r>
    </w:p>
    <w:p>
      <w:pPr>
        <w:spacing w:after="300"/>
        <w:jc w:val="center"/>
      </w:pPr>
      <w:r>
        <w:rPr>
          <w:rFonts w:ascii="Times New Roman" w:cs="Times New Roman" w:eastAsia="Times New Roman" w:hAnsi="Times New Roman"/>
          <w:i/>
          <w:iCs/>
          <w:sz w:val="24"/>
          <w:szCs w:val="24"/>
        </w:rPr>
        <w:t xml:space="preserve">Week 1 Landscape Brief</w:t>
      </w:r>
    </w:p>
    <w:p>
      <w:pPr>
        <w:pStyle w:val="Heading2"/>
        <w:spacing w:after="100" w:before="200"/>
      </w:pPr>
      <w:r>
        <w:rPr>
          <w:rFonts w:ascii="Times New Roman" w:cs="Times New Roman" w:eastAsia="Times New Roman" w:hAnsi="Times New Roman"/>
          <w:b/>
          <w:bCs/>
          <w:color w:val="000000"/>
          <w:sz w:val="26"/>
          <w:szCs w:val="26"/>
        </w:rPr>
        <w:t xml:space="preserve">Abstract</w:t>
      </w:r>
    </w:p>
    <w:p>
      <w:pPr>
        <w:spacing w:after="120" w:line="240"/>
        <w:jc w:val="both"/>
      </w:pPr>
      <w:r>
        <w:rPr>
          <w:rFonts w:ascii="Times New Roman" w:cs="Times New Roman" w:eastAsia="Times New Roman" w:hAnsi="Times New Roman"/>
          <w:sz w:val="24"/>
          <w:szCs w:val="24"/>
        </w:rPr>
        <w:t xml:space="preserve">Physical artificial intelligence systems — robots that perceive, plan, and act in unstructured human environments — are evaluated today largely through methodologies inherited from single-turn natural language processing benchmarks. This brief reviews six evaluation methodologies spanning agentic task benchmarking, retrieval-augmented generation assessment, standardized multi-model comparison, embodied safety evaluation, production-fault benchmarking, and a vendor's self-reported platform evaluation, in order to establish the methodological baseline for a four-week, multi-provider, multi-platform evaluation program at InGen Dynamics. For each reference we identify its evaluation methodology, its strongest design choice, and its most significant limitation, before mapping these methodologies onto InGen's Physical Intelligence Core 2.0 (PIC 2.0) foundation model classes and stating the evaluation gap that motivates the benchmark design produced in the remainder of Week 1.</w:t>
      </w:r>
    </w:p>
    <w:p>
      <w:pPr>
        <w:pStyle w:val="Heading1"/>
        <w:spacing w:after="100" w:before="200"/>
      </w:pPr>
      <w:r>
        <w:rPr>
          <w:rFonts w:ascii="Times New Roman" w:cs="Times New Roman" w:eastAsia="Times New Roman" w:hAnsi="Times New Roman"/>
          <w:b/>
          <w:bCs/>
          <w:color w:val="000000"/>
          <w:sz w:val="26"/>
          <w:szCs w:val="26"/>
        </w:rPr>
        <w:t xml:space="preserve">1. Introduction</w:t>
      </w:r>
    </w:p>
    <w:p>
      <w:pPr>
        <w:spacing w:after="120" w:line="240"/>
        <w:jc w:val="both"/>
      </w:pPr>
      <w:r>
        <w:rPr>
          <w:rFonts w:ascii="Times New Roman" w:cs="Times New Roman" w:eastAsia="Times New Roman" w:hAnsi="Times New Roman"/>
          <w:sz w:val="24"/>
          <w:szCs w:val="24"/>
        </w:rPr>
        <w:t xml:space="preserve">Physical AI systems deployed in eldercare, education, security, logistics, and humanoid-form contexts are increasingly built on the same class of large language and vision-language-action models that have driven progress in conversational AI and software agents. Yet the evaluation methodologies developed for those adjacent domains were built around fundamentally different assumptions: a single-turn question-answer exchange, a static and labeled test set, and an environment in which an incorrect output costs a wrong answer rather than a physical consequence. As InGen Dynamics deploys the PIC 2.0 stack across five robot platforms and twenty-six product variants, the evaluation methodology inherited from NLP benchmarking is insufficient on at least three axes: it does not test multi-step task completion under compounding error, it does not report calibrated uncertainty tied to an escalation decision, and it does not distinguish a model that completes a task from a model that completes a task safely.</w:t>
      </w:r>
    </w:p>
    <w:p>
      <w:pPr>
        <w:spacing w:after="120" w:line="240"/>
        <w:jc w:val="both"/>
      </w:pPr>
      <w:r>
        <w:rPr>
          <w:rFonts w:ascii="Times New Roman" w:cs="Times New Roman" w:eastAsia="Times New Roman" w:hAnsi="Times New Roman"/>
          <w:sz w:val="24"/>
          <w:szCs w:val="24"/>
        </w:rPr>
        <w:t xml:space="preserve">This brief reviews six references chosen to span these axes: InGen's own PIC 2.0 platform description; AgentBench, representing general-purpose agentic capability evaluation; RAGAS, representing retrieval-augmented generation assessment; HELM, representing standardized multi-model comparison methodology; SafeAgentBench, representing embodied safety evaluation; and SREGym, representing high-fidelity, production-grade multi-step agent benchmarking. For each, we extract its evaluation methodology, its strongest design choice, and its most significant limitation, before using these six methodologies to map InGen's six PIC 2.0 foundation model classes onto evaluation scenario types and to state the specific gap that the remainder of this internship's benchmark design is intended to close.</w:t>
      </w:r>
    </w:p>
    <w:p>
      <w:pPr>
        <w:pStyle w:val="Heading1"/>
        <w:spacing w:after="100" w:before="200"/>
      </w:pPr>
      <w:r>
        <w:rPr>
          <w:rFonts w:ascii="Times New Roman" w:cs="Times New Roman" w:eastAsia="Times New Roman" w:hAnsi="Times New Roman"/>
          <w:b/>
          <w:bCs/>
          <w:color w:val="000000"/>
          <w:sz w:val="26"/>
          <w:szCs w:val="26"/>
        </w:rPr>
        <w:t xml:space="preserve">2. Related Evaluation Methodologies</w:t>
      </w:r>
    </w:p>
    <w:p>
      <w:pPr>
        <w:pStyle w:val="Heading2"/>
        <w:spacing w:after="100" w:before="200"/>
      </w:pPr>
      <w:r>
        <w:rPr>
          <w:rFonts w:ascii="Times New Roman" w:cs="Times New Roman" w:eastAsia="Times New Roman" w:hAnsi="Times New Roman"/>
          <w:b/>
          <w:bCs/>
          <w:color w:val="000000"/>
          <w:sz w:val="26"/>
          <w:szCs w:val="26"/>
        </w:rPr>
        <w:t xml:space="preserve">2.1 Origami AI / PIC 2.0 Platform Paper (Hisham, 2026)</w:t>
      </w:r>
    </w:p>
    <w:p>
      <w:pPr>
        <w:spacing w:after="120" w:line="240"/>
        <w:jc w:val="both"/>
      </w:pPr>
      <w:r>
        <w:rPr>
          <w:rFonts w:ascii="Times New Roman" w:cs="Times New Roman" w:eastAsia="Times New Roman" w:hAnsi="Times New Roman"/>
          <w:sz w:val="24"/>
          <w:szCs w:val="24"/>
        </w:rPr>
        <w:t xml:space="preserve">InGen Dynamics' Origami AI platform paper (Hisham, 2026) describes PIC 2.0 as a six-model cognitive pipeline — GRPO, STUM, SEOM, AMDC, HTD-IRL, and CRL-MRS — executing in a deterministic sequence on every compute cycle. Its evaluation methodology is internal deployment telemetry: SEOM violation rate during training (0.4%), STUM calibration error (ECE ≤ 0.035), task completion rate by platform (97.3% for the Fari eldercare deployment), false-alert rate on the Sentinel security platform (2.8% versus an asserted 18% industry baseline), and fleet-level efficiency gain from CRL-MRS coordination (+21.4%).</w:t>
      </w:r>
    </w:p>
    <w:p>
      <w:pPr>
        <w:spacing w:after="120" w:line="240"/>
        <w:jc w:val="both"/>
      </w:pPr>
      <w:r>
        <w:rPr>
          <w:rFonts w:ascii="Times New Roman" w:cs="Times New Roman" w:eastAsia="Times New Roman" w:hAnsi="Times New Roman"/>
          <w:sz w:val="24"/>
          <w:szCs w:val="24"/>
        </w:rPr>
        <w:t xml:space="preserve">Its strongest design choice is the STUM module's use of conformal prediction to produce calibrated, distribution-free confidence bounds that are then used directly to gate whether an action proceeds autonomously or escalates to a human operator. This is methodologically stronger than reporting an uncertainty score in isolation: the paper ties calibration quality to an operational decision threshold, which is the correct way to make an uncertainty metric actionable.</w:t>
      </w:r>
    </w:p>
    <w:p>
      <w:pPr>
        <w:spacing w:after="120" w:line="240"/>
        <w:jc w:val="both"/>
      </w:pPr>
      <w:r>
        <w:rPr>
          <w:rFonts w:ascii="Times New Roman" w:cs="Times New Roman" w:eastAsia="Times New Roman" w:hAnsi="Times New Roman"/>
          <w:sz w:val="24"/>
          <w:szCs w:val="24"/>
        </w:rPr>
        <w:t xml:space="preserve">Its most significant limitation is that every quantitative claim in the paper is self-reported by the vendor. The paper is single-authored by InGen's founder, has not undergone independent peer review, and states no baseline comparison methodology, confidence intervals, or third-party audit process for any of its headline figures. This is not a minor citation caveat: it is precisely the gap that an independent evaluation function exists to close, and this brief treats the PIC 2.0 paper's claims as assertions to be tested against, rather than as ground truth to build on.</w:t>
      </w:r>
    </w:p>
    <w:p>
      <w:pPr>
        <w:pStyle w:val="Heading2"/>
        <w:spacing w:after="100" w:before="200"/>
      </w:pPr>
      <w:r>
        <w:rPr>
          <w:rFonts w:ascii="Times New Roman" w:cs="Times New Roman" w:eastAsia="Times New Roman" w:hAnsi="Times New Roman"/>
          <w:b/>
          <w:bCs/>
          <w:color w:val="000000"/>
          <w:sz w:val="26"/>
          <w:szCs w:val="26"/>
        </w:rPr>
        <w:t xml:space="preserve">2.2 AgentBench (Liu et al., 2024)</w:t>
      </w:r>
    </w:p>
    <w:p>
      <w:pPr>
        <w:spacing w:after="120" w:line="240"/>
        <w:jc w:val="both"/>
      </w:pPr>
      <w:r>
        <w:rPr>
          <w:rFonts w:ascii="Times New Roman" w:cs="Times New Roman" w:eastAsia="Times New Roman" w:hAnsi="Times New Roman"/>
          <w:sz w:val="24"/>
          <w:szCs w:val="24"/>
        </w:rPr>
        <w:t xml:space="preserve">AgentBench (Liu et al., 2024) evaluates twenty-nine API-based and open-source language models as agents across eight distinct interactive environments spanning operating systems, databases, knowledge graphs, digital card games, and web browsing, scoring each on task completion within multi-turn interaction. Its strongest design choice is environment breadth: because the same set of models is run through eight structurally different environments rather than one, the benchmark exposes generalization gaps — a model that performs well in a database-query environment may fail badly in a long-horizon web-browsing task — that a single-domain benchmark would hide entirely. The authors' own finding, that poor long-term reasoning and instruction-following, rather than raw model scale, is the dominant failure cause, is only visible because of this cross-environment design.</w:t>
      </w:r>
    </w:p>
    <w:p>
      <w:pPr>
        <w:spacing w:after="120" w:line="240"/>
        <w:jc w:val="both"/>
      </w:pPr>
      <w:r>
        <w:rPr>
          <w:rFonts w:ascii="Times New Roman" w:cs="Times New Roman" w:eastAsia="Times New Roman" w:hAnsi="Times New Roman"/>
          <w:sz w:val="24"/>
          <w:szCs w:val="24"/>
        </w:rPr>
        <w:t xml:space="preserve">Its most significant limitation is that every one of the eight environments is purely digital. There is no sensor noise, no actuator uncertainty, and no irreversible consequence for a wrong action — an agent that fails a database task can simply retry. This is the exact property that distinguishes physical AI evaluation from AgentBench's domain, and it motivates the turn-depth and early-exit design applied to InGen's agentic scenarios in the benchmark-design task that follows this brief.</w:t>
      </w:r>
    </w:p>
    <w:p>
      <w:pPr>
        <w:pStyle w:val="Heading2"/>
        <w:spacing w:after="100" w:before="200"/>
      </w:pPr>
      <w:r>
        <w:rPr>
          <w:rFonts w:ascii="Times New Roman" w:cs="Times New Roman" w:eastAsia="Times New Roman" w:hAnsi="Times New Roman"/>
          <w:b/>
          <w:bCs/>
          <w:color w:val="000000"/>
          <w:sz w:val="26"/>
          <w:szCs w:val="26"/>
        </w:rPr>
        <w:t xml:space="preserve">2.3 RAGAS (Es et al., 2024)</w:t>
      </w:r>
    </w:p>
    <w:p>
      <w:pPr>
        <w:spacing w:after="120" w:line="240"/>
        <w:jc w:val="both"/>
      </w:pPr>
      <w:r>
        <w:rPr>
          <w:rFonts w:ascii="Times New Roman" w:cs="Times New Roman" w:eastAsia="Times New Roman" w:hAnsi="Times New Roman"/>
          <w:sz w:val="24"/>
          <w:szCs w:val="24"/>
        </w:rPr>
        <w:t xml:space="preserve">RAGAS (Es et al., 2024) introduces a reference-free evaluation framework for retrieval-augmented generation pipelines, built around three LLM-judged metrics: faithfulness (does the generated answer follow from the retrieved context), answer relevance (does the answer address the question), and context relevance (how much of the retrieved context is actually used). The key methodological move is that none of these metrics require ground-truth human-annotated answers, which the authors argue is what makes fast iteration on RAG system design practical at scale.</w:t>
      </w:r>
    </w:p>
    <w:p>
      <w:pPr>
        <w:spacing w:after="120" w:line="240"/>
        <w:jc w:val="both"/>
      </w:pPr>
      <w:r>
        <w:rPr>
          <w:rFonts w:ascii="Times New Roman" w:cs="Times New Roman" w:eastAsia="Times New Roman" w:hAnsi="Times New Roman"/>
          <w:sz w:val="24"/>
          <w:szCs w:val="24"/>
        </w:rPr>
        <w:t xml:space="preserve">This reference-free property is also RAGAS's strongest design choice for InGen's purposes: it makes the framework directly applicable to the Fari eldercare and Senpai education knowledge bases without the up-front cost of constructing a labeled evaluation set for each domain.</w:t>
      </w:r>
    </w:p>
    <w:p>
      <w:pPr>
        <w:spacing w:after="120" w:line="240"/>
        <w:jc w:val="both"/>
      </w:pPr>
      <w:r>
        <w:rPr>
          <w:rFonts w:ascii="Times New Roman" w:cs="Times New Roman" w:eastAsia="Times New Roman" w:hAnsi="Times New Roman"/>
          <w:sz w:val="24"/>
          <w:szCs w:val="24"/>
        </w:rPr>
        <w:t xml:space="preserve">Its most significant limitation is that the framework substitutes one LLM's judgment for ground truth, which introduces the judge model's own biases and inconsistencies as a confound, and the original validation was performed on general-domain text question answering rather than on safety-critical or highly domain-specific retrieval contexts — precisely the kind of context an eldercare knowledge base represents, where a subtly wrong retrieved fact is not equivalent to an irrelevant one.</w:t>
      </w:r>
    </w:p>
    <w:p>
      <w:pPr>
        <w:pStyle w:val="Heading2"/>
        <w:spacing w:after="100" w:before="200"/>
      </w:pPr>
      <w:r>
        <w:rPr>
          <w:rFonts w:ascii="Times New Roman" w:cs="Times New Roman" w:eastAsia="Times New Roman" w:hAnsi="Times New Roman"/>
          <w:b/>
          <w:bCs/>
          <w:color w:val="000000"/>
          <w:sz w:val="26"/>
          <w:szCs w:val="26"/>
        </w:rPr>
        <w:t xml:space="preserve">2.4 HELM (Liang et al., 2023)</w:t>
      </w:r>
    </w:p>
    <w:p>
      <w:pPr>
        <w:spacing w:after="120" w:line="240"/>
        <w:jc w:val="both"/>
      </w:pPr>
      <w:r>
        <w:rPr>
          <w:rFonts w:ascii="Times New Roman" w:cs="Times New Roman" w:eastAsia="Times New Roman" w:hAnsi="Times New Roman"/>
          <w:sz w:val="24"/>
          <w:szCs w:val="24"/>
        </w:rPr>
        <w:t xml:space="preserve">The Holistic Evaluation of Language Models framework, HELM (Liang et al., 2023), evaluates thirty prominent language models across a standardized grid of sixteen core scenarios and seven metrics — accuracy, calibration, robustness, fairness, bias, toxicity, and efficiency — plus twenty-six additional targeted scenarios, achieving 96% scenario coverage across all thirty models compared to an average of 17.9% before HELM. Its methodology is explicitly taxonomic: it first enumerates the space of scenarios and metrics that matter for a use case, then selects for coverage and feasibility, and reports the resulting grid transparently rather than a single leaderboard number.</w:t>
      </w:r>
    </w:p>
    <w:p>
      <w:pPr>
        <w:spacing w:after="120" w:line="240"/>
        <w:jc w:val="both"/>
      </w:pPr>
      <w:r>
        <w:rPr>
          <w:rFonts w:ascii="Times New Roman" w:cs="Times New Roman" w:eastAsia="Times New Roman" w:hAnsi="Times New Roman"/>
          <w:sz w:val="24"/>
          <w:szCs w:val="24"/>
        </w:rPr>
        <w:t xml:space="preserve">Its strongest design choice, and the one most directly reused in this program's Week 2 four-provider evaluation, is forcing every model through an identical scenario-and-metric grid so that trade-offs between models are visible rather than collapsed into one score. A model that is marginally more accurate but far less well-calibrated is not simply “better” under HELM's framework, and that distinction matters directly for InGen's escalation-gated deployments.</w:t>
      </w:r>
    </w:p>
    <w:p>
      <w:pPr>
        <w:spacing w:after="120" w:line="240"/>
        <w:jc w:val="both"/>
      </w:pPr>
      <w:r>
        <w:rPr>
          <w:rFonts w:ascii="Times New Roman" w:cs="Times New Roman" w:eastAsia="Times New Roman" w:hAnsi="Times New Roman"/>
          <w:sz w:val="24"/>
          <w:szCs w:val="24"/>
        </w:rPr>
        <w:t xml:space="preserve">Its most significant limitation is that HELM's scope is entirely text-based. Its efficiency metric measures abstract compute and latency cost, not a hard real-time control-loop constraint — it has no mechanism for the kind of millisecond-level latency threshold that governs a real-time decision on the Aido Rover platform.</w:t>
      </w:r>
    </w:p>
    <w:p>
      <w:pPr>
        <w:pStyle w:val="Heading2"/>
        <w:spacing w:after="100" w:before="200"/>
      </w:pPr>
      <w:r>
        <w:rPr>
          <w:rFonts w:ascii="Times New Roman" w:cs="Times New Roman" w:eastAsia="Times New Roman" w:hAnsi="Times New Roman"/>
          <w:b/>
          <w:bCs/>
          <w:color w:val="000000"/>
          <w:sz w:val="26"/>
          <w:szCs w:val="26"/>
        </w:rPr>
        <w:t xml:space="preserve">2.5 SafeAgentBench (Yin et al., 2024)</w:t>
      </w:r>
    </w:p>
    <w:p>
      <w:pPr>
        <w:spacing w:after="120" w:line="240"/>
        <w:jc w:val="both"/>
      </w:pPr>
      <w:r>
        <w:rPr>
          <w:rFonts w:ascii="Times New Roman" w:cs="Times New Roman" w:eastAsia="Times New Roman" w:hAnsi="Times New Roman"/>
          <w:sz w:val="24"/>
          <w:szCs w:val="24"/>
        </w:rPr>
        <w:t xml:space="preserve">SafeAgentBench (Yin et al., 2024) is, to date, the first comprehensive benchmark for safety-aware task planning in embodied LLM agents. It comprises 750 executable tasks across ten hazard categories and three task types, run inside SafeAgentEnv, a simulated embodied environment supporting seventeen high-level actions across nine baseline agent architectures, with evaluation performed from both an execution-success and a semantic-safety perspective.</w:t>
      </w:r>
    </w:p>
    <w:p>
      <w:pPr>
        <w:spacing w:after="120" w:line="240"/>
        <w:jc w:val="both"/>
      </w:pPr>
      <w:r>
        <w:rPr>
          <w:rFonts w:ascii="Times New Roman" w:cs="Times New Roman" w:eastAsia="Times New Roman" w:hAnsi="Times New Roman"/>
          <w:sz w:val="24"/>
          <w:szCs w:val="24"/>
        </w:rPr>
        <w:t xml:space="preserve">Its strongest design choice is treating task success and hazard avoidance as two independent scoring axes rather than a single composite score. This is what surfaces the paper's central finding: agents that differ substantially in task-completion capability show almost no corresponding difference in safety awareness, and the most safety-conscious baseline tested still rejects only 10% of tasks it should refuse. That finding would be invisible under a single blended metric, and it is directly analogous to the distinction InGen's agentic evaluation needs between task completion rate and error-recovery behavior.</w:t>
      </w:r>
    </w:p>
    <w:p>
      <w:pPr>
        <w:spacing w:after="120" w:line="240"/>
        <w:jc w:val="both"/>
      </w:pPr>
      <w:r>
        <w:rPr>
          <w:rFonts w:ascii="Times New Roman" w:cs="Times New Roman" w:eastAsia="Times New Roman" w:hAnsi="Times New Roman"/>
          <w:sz w:val="24"/>
          <w:szCs w:val="24"/>
        </w:rPr>
        <w:t xml:space="preserve">Its most significant limitation is that SafeAgentEnv is a household-task simulator. It has no fleet-level coordination and no real actuator or sensor hardware, and therefore cannot surface the hardware-level failure modes — drift, miscalibration, communication loss between physical robots — that InGen's real five-platform deployment actually faces; the physical layer in SafeAgentBench remains simulated.</w:t>
      </w:r>
    </w:p>
    <w:p>
      <w:pPr>
        <w:pStyle w:val="Heading2"/>
        <w:spacing w:after="100" w:before="200"/>
      </w:pPr>
      <w:r>
        <w:rPr>
          <w:rFonts w:ascii="Times New Roman" w:cs="Times New Roman" w:eastAsia="Times New Roman" w:hAnsi="Times New Roman"/>
          <w:b/>
          <w:bCs/>
          <w:color w:val="000000"/>
          <w:sz w:val="26"/>
          <w:szCs w:val="26"/>
        </w:rPr>
        <w:t xml:space="preserve">2.6 SREGym (Clark et al., 2026)</w:t>
      </w:r>
    </w:p>
    <w:p>
      <w:pPr>
        <w:spacing w:after="120" w:line="240"/>
        <w:jc w:val="both"/>
      </w:pPr>
      <w:r>
        <w:rPr>
          <w:rFonts w:ascii="Times New Roman" w:cs="Times New Roman" w:eastAsia="Times New Roman" w:hAnsi="Times New Roman"/>
          <w:sz w:val="24"/>
          <w:szCs w:val="24"/>
        </w:rPr>
        <w:t xml:space="preserve">SREGym (Clark, Su, Pial, Tian, Gniedziejko, Jacobsen, Chen, and Xu, 2026) is a live benchmark for AI site-reliability-engineering agents, built on real cloud-native system stacks with genuine fault injectors rather than scripted or symptomatic failures. It currently includes 90 realistic SRE problems spanning multiple infrastructure layers, and evaluates frontier agents on their ability to diagnose and mitigate injected faults across a multi-step trajectory, reporting differences of up to 40% in end-to-end capability between models on comparable problem classes.</w:t>
      </w:r>
    </w:p>
    <w:p>
      <w:pPr>
        <w:spacing w:after="120" w:line="240"/>
        <w:jc w:val="both"/>
      </w:pPr>
      <w:r>
        <w:rPr>
          <w:rFonts w:ascii="Times New Roman" w:cs="Times New Roman" w:eastAsia="Times New Roman" w:hAnsi="Times New Roman"/>
          <w:sz w:val="24"/>
          <w:szCs w:val="24"/>
        </w:rPr>
        <w:t xml:space="preserve">Its strongest design choice is the use of real fault injection at the system layer — direct Kubernetes manipulation, syscall-level eBPF probes, and simulated operator misoperation — instead of synthetic or symptom-level perturbation. This produces high-fidelity, non-gameable failure scenarios where an agent cannot succeed by pattern-matching a known fix; it must actually diagnose an underlying defect. This is the direct methodological template this program borrows for agentic scenario design: a minimum turn depth, an explicit success criterion at each step, and early-exit conditions on unrecoverable failure.</w:t>
      </w:r>
    </w:p>
    <w:p>
      <w:pPr>
        <w:spacing w:after="120" w:line="240"/>
        <w:jc w:val="both"/>
      </w:pPr>
      <w:r>
        <w:rPr>
          <w:rFonts w:ascii="Times New Roman" w:cs="Times New Roman" w:eastAsia="Times New Roman" w:hAnsi="Times New Roman"/>
          <w:sz w:val="24"/>
          <w:szCs w:val="24"/>
        </w:rPr>
        <w:t xml:space="preserve">Its most significant limitation, for InGen's purposes, is domain mismatch: SREGym's faults are entirely digital — service failures, resource exhaustion, network partitions — so its severity classification does not transfer directly to a scenario where the failure is a physical action with an irreversible real-world consequence.</w:t>
      </w:r>
    </w:p>
    <w:p>
      <w:pPr>
        <w:pStyle w:val="Heading1"/>
        <w:spacing w:after="100" w:before="200"/>
      </w:pPr>
      <w:r>
        <w:rPr>
          <w:rFonts w:ascii="Times New Roman" w:cs="Times New Roman" w:eastAsia="Times New Roman" w:hAnsi="Times New Roman"/>
          <w:b/>
          <w:bCs/>
          <w:color w:val="000000"/>
          <w:sz w:val="26"/>
          <w:szCs w:val="26"/>
        </w:rPr>
        <w:t xml:space="preserve">3. PIC 2.0 Foundation Model Class Mapping</w:t>
      </w:r>
    </w:p>
    <w:p>
      <w:pPr>
        <w:spacing w:after="120" w:line="240"/>
        <w:jc w:val="both"/>
      </w:pPr>
      <w:r>
        <w:rPr>
          <w:rFonts w:ascii="Times New Roman" w:cs="Times New Roman" w:eastAsia="Times New Roman" w:hAnsi="Times New Roman"/>
          <w:sz w:val="24"/>
          <w:szCs w:val="24"/>
        </w:rPr>
        <w:t xml:space="preserve">Table 1 maps each of PIC 2.0's six foundation model classes to the evaluation scenario type most likely to expose its dominant failure mode, drawing on the methodological strengths reviewed above: HELM's standardized multi-metric grid for policy-level comparison, SafeAgentBench's dual task/hazard scoring for safety-gated modules, and SREGym's fault-injection philosophy for anything governing task decomposition or drift detection.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shd w:fill="D9D9D9" w:val="clear"/>
          </w:tcPr>
          <w:p>
            <w:r>
              <w:rPr>
                <w:rFonts w:ascii="Times New Roman" w:cs="Times New Roman" w:eastAsia="Times New Roman" w:hAnsi="Times New Roman"/>
                <w:b/>
                <w:bCs/>
                <w:sz w:val="20"/>
                <w:szCs w:val="20"/>
              </w:rPr>
              <w:t xml:space="preserve">Model class</w:t>
            </w:r>
          </w:p>
        </w:tc>
        <w:tc>
          <w:tcPr>
            <w:tcW w:type="dxa" w:w="3600"/>
            <w:shd w:fill="D9D9D9" w:val="clear"/>
          </w:tcPr>
          <w:p>
            <w:r>
              <w:rPr>
                <w:rFonts w:ascii="Times New Roman" w:cs="Times New Roman" w:eastAsia="Times New Roman" w:hAnsi="Times New Roman"/>
                <w:b/>
                <w:bCs/>
                <w:sz w:val="20"/>
                <w:szCs w:val="20"/>
              </w:rPr>
              <w:t xml:space="preserve">Most relevant scenario type</w:t>
            </w:r>
          </w:p>
        </w:tc>
        <w:tc>
          <w:tcPr>
            <w:tcW w:type="dxa" w:w="3600"/>
            <w:shd w:fill="D9D9D9" w:val="clear"/>
          </w:tcPr>
          <w:p>
            <w:r>
              <w:rPr>
                <w:rFonts w:ascii="Times New Roman" w:cs="Times New Roman" w:eastAsia="Times New Roman" w:hAnsi="Times New Roman"/>
                <w:b/>
                <w:bCs/>
                <w:sz w:val="20"/>
                <w:szCs w:val="20"/>
              </w:rPr>
              <w:t xml:space="preserve">Highest-harm failure mode</w:t>
            </w:r>
          </w:p>
        </w:tc>
      </w:tr>
      <w:tr>
        <w:tc>
          <w:tcPr>
            <w:tcW w:type="dxa" w:w="2600"/>
          </w:tcPr>
          <w:p>
            <w:r>
              <w:rPr>
                <w:rFonts w:ascii="Times New Roman" w:cs="Times New Roman" w:eastAsia="Times New Roman" w:hAnsi="Times New Roman"/>
                <w:b w:val="false"/>
                <w:bCs w:val="false"/>
                <w:sz w:val="20"/>
                <w:szCs w:val="20"/>
              </w:rPr>
              <w:t xml:space="preserve">GRPO (policy optimisation)</w:t>
            </w:r>
          </w:p>
        </w:tc>
        <w:tc>
          <w:tcPr>
            <w:tcW w:type="dxa" w:w="3600"/>
          </w:tcPr>
          <w:p>
            <w:r>
              <w:rPr>
                <w:rFonts w:ascii="Times New Roman" w:cs="Times New Roman" w:eastAsia="Times New Roman" w:hAnsi="Times New Roman"/>
                <w:b w:val="false"/>
                <w:bCs w:val="false"/>
                <w:sz w:val="20"/>
                <w:szCs w:val="20"/>
              </w:rPr>
              <w:t xml:space="preserve">Conversational and agentic tasks with conflicting objectives</w:t>
            </w:r>
          </w:p>
        </w:tc>
        <w:tc>
          <w:tcPr>
            <w:tcW w:type="dxa" w:w="3600"/>
          </w:tcPr>
          <w:p>
            <w:r>
              <w:rPr>
                <w:rFonts w:ascii="Times New Roman" w:cs="Times New Roman" w:eastAsia="Times New Roman" w:hAnsi="Times New Roman"/>
                <w:b w:val="false"/>
                <w:bCs w:val="false"/>
                <w:sz w:val="20"/>
                <w:szCs w:val="20"/>
              </w:rPr>
              <w:t xml:space="preserve">Reward hacking / policy drift under distribution shift</w:t>
            </w:r>
          </w:p>
        </w:tc>
      </w:tr>
      <w:tr>
        <w:tc>
          <w:tcPr>
            <w:tcW w:type="dxa" w:w="2600"/>
          </w:tcPr>
          <w:p>
            <w:r>
              <w:rPr>
                <w:rFonts w:ascii="Times New Roman" w:cs="Times New Roman" w:eastAsia="Times New Roman" w:hAnsi="Times New Roman"/>
                <w:b w:val="false"/>
                <w:bCs w:val="false"/>
                <w:sz w:val="20"/>
                <w:szCs w:val="20"/>
              </w:rPr>
              <w:t xml:space="preserve">STUM (uncertainty)</w:t>
            </w:r>
          </w:p>
        </w:tc>
        <w:tc>
          <w:tcPr>
            <w:tcW w:type="dxa" w:w="3600"/>
          </w:tcPr>
          <w:p>
            <w:r>
              <w:rPr>
                <w:rFonts w:ascii="Times New Roman" w:cs="Times New Roman" w:eastAsia="Times New Roman" w:hAnsi="Times New Roman"/>
                <w:b w:val="false"/>
                <w:bCs w:val="false"/>
                <w:sz w:val="20"/>
                <w:szCs w:val="20"/>
              </w:rPr>
              <w:t xml:space="preserve">Scenarios with ambiguous or borderline inputs</w:t>
            </w:r>
          </w:p>
        </w:tc>
        <w:tc>
          <w:tcPr>
            <w:tcW w:type="dxa" w:w="3600"/>
          </w:tcPr>
          <w:p>
            <w:r>
              <w:rPr>
                <w:rFonts w:ascii="Times New Roman" w:cs="Times New Roman" w:eastAsia="Times New Roman" w:hAnsi="Times New Roman"/>
                <w:b w:val="false"/>
                <w:bCs w:val="false"/>
                <w:sz w:val="20"/>
                <w:szCs w:val="20"/>
              </w:rPr>
              <w:t xml:space="preserve">Overconfident wrong output in the medium-confidence band (miscalibration)</w:t>
            </w:r>
          </w:p>
        </w:tc>
      </w:tr>
      <w:tr>
        <w:tc>
          <w:tcPr>
            <w:tcW w:type="dxa" w:w="2600"/>
          </w:tcPr>
          <w:p>
            <w:r>
              <w:rPr>
                <w:rFonts w:ascii="Times New Roman" w:cs="Times New Roman" w:eastAsia="Times New Roman" w:hAnsi="Times New Roman"/>
                <w:b w:val="false"/>
                <w:bCs w:val="false"/>
                <w:sz w:val="20"/>
                <w:szCs w:val="20"/>
              </w:rPr>
              <w:t xml:space="preserve">SEOM (safety gate)</w:t>
            </w:r>
          </w:p>
        </w:tc>
        <w:tc>
          <w:tcPr>
            <w:tcW w:type="dxa" w:w="3600"/>
          </w:tcPr>
          <w:p>
            <w:r>
              <w:rPr>
                <w:rFonts w:ascii="Times New Roman" w:cs="Times New Roman" w:eastAsia="Times New Roman" w:hAnsi="Times New Roman"/>
                <w:b w:val="false"/>
                <w:bCs w:val="false"/>
                <w:sz w:val="20"/>
                <w:szCs w:val="20"/>
              </w:rPr>
              <w:t xml:space="preserve">Adversarial / boundary-testing scenarios (robustness track)</w:t>
            </w:r>
          </w:p>
        </w:tc>
        <w:tc>
          <w:tcPr>
            <w:tcW w:type="dxa" w:w="3600"/>
          </w:tcPr>
          <w:p>
            <w:r>
              <w:rPr>
                <w:rFonts w:ascii="Times New Roman" w:cs="Times New Roman" w:eastAsia="Times New Roman" w:hAnsi="Times New Roman"/>
                <w:b w:val="false"/>
                <w:bCs w:val="false"/>
                <w:sz w:val="20"/>
                <w:szCs w:val="20"/>
              </w:rPr>
              <w:t xml:space="preserve">Safety constraint bypass under prompt injection or edge-case input</w:t>
            </w:r>
          </w:p>
        </w:tc>
      </w:tr>
      <w:tr>
        <w:tc>
          <w:tcPr>
            <w:tcW w:type="dxa" w:w="2600"/>
          </w:tcPr>
          <w:p>
            <w:r>
              <w:rPr>
                <w:rFonts w:ascii="Times New Roman" w:cs="Times New Roman" w:eastAsia="Times New Roman" w:hAnsi="Times New Roman"/>
                <w:b w:val="false"/>
                <w:bCs w:val="false"/>
                <w:sz w:val="20"/>
                <w:szCs w:val="20"/>
              </w:rPr>
              <w:t xml:space="preserve">AMDC (calibration / drift)</w:t>
            </w:r>
          </w:p>
        </w:tc>
        <w:tc>
          <w:tcPr>
            <w:tcW w:type="dxa" w:w="3600"/>
          </w:tcPr>
          <w:p>
            <w:r>
              <w:rPr>
                <w:rFonts w:ascii="Times New Roman" w:cs="Times New Roman" w:eastAsia="Times New Roman" w:hAnsi="Times New Roman"/>
                <w:b w:val="false"/>
                <w:bCs w:val="false"/>
                <w:sz w:val="20"/>
                <w:szCs w:val="20"/>
              </w:rPr>
              <w:t xml:space="preserve">Long-duration or multi-turn sessions</w:t>
            </w:r>
          </w:p>
        </w:tc>
        <w:tc>
          <w:tcPr>
            <w:tcW w:type="dxa" w:w="3600"/>
          </w:tcPr>
          <w:p>
            <w:r>
              <w:rPr>
                <w:rFonts w:ascii="Times New Roman" w:cs="Times New Roman" w:eastAsia="Times New Roman" w:hAnsi="Times New Roman"/>
                <w:b w:val="false"/>
                <w:bCs w:val="false"/>
                <w:sz w:val="20"/>
                <w:szCs w:val="20"/>
              </w:rPr>
              <w:t xml:space="preserve">Silent degradation that compounds before detection (LLM analogue: context or retrieval drift)</w:t>
            </w:r>
          </w:p>
        </w:tc>
      </w:tr>
      <w:tr>
        <w:tc>
          <w:tcPr>
            <w:tcW w:type="dxa" w:w="2600"/>
          </w:tcPr>
          <w:p>
            <w:r>
              <w:rPr>
                <w:rFonts w:ascii="Times New Roman" w:cs="Times New Roman" w:eastAsia="Times New Roman" w:hAnsi="Times New Roman"/>
                <w:b w:val="false"/>
                <w:bCs w:val="false"/>
                <w:sz w:val="20"/>
                <w:szCs w:val="20"/>
              </w:rPr>
              <w:t xml:space="preserve">HTD-IRL (task decomposition)</w:t>
            </w:r>
          </w:p>
        </w:tc>
        <w:tc>
          <w:tcPr>
            <w:tcW w:type="dxa" w:w="3600"/>
          </w:tcPr>
          <w:p>
            <w:r>
              <w:rPr>
                <w:rFonts w:ascii="Times New Roman" w:cs="Times New Roman" w:eastAsia="Times New Roman" w:hAnsi="Times New Roman"/>
                <w:b w:val="false"/>
                <w:bCs w:val="false"/>
                <w:sz w:val="20"/>
                <w:szCs w:val="20"/>
              </w:rPr>
              <w:t xml:space="preserve">Multi-step agentic tasks</w:t>
            </w:r>
          </w:p>
        </w:tc>
        <w:tc>
          <w:tcPr>
            <w:tcW w:type="dxa" w:w="3600"/>
          </w:tcPr>
          <w:p>
            <w:r>
              <w:rPr>
                <w:rFonts w:ascii="Times New Roman" w:cs="Times New Roman" w:eastAsia="Times New Roman" w:hAnsi="Times New Roman"/>
                <w:b w:val="false"/>
                <w:bCs w:val="false"/>
                <w:sz w:val="20"/>
                <w:szCs w:val="20"/>
              </w:rPr>
              <w:t xml:space="preserve">Replanning failure leading to step-efficiency collapse</w:t>
            </w:r>
          </w:p>
        </w:tc>
      </w:tr>
      <w:tr>
        <w:tc>
          <w:tcPr>
            <w:tcW w:type="dxa" w:w="2600"/>
          </w:tcPr>
          <w:p>
            <w:r>
              <w:rPr>
                <w:rFonts w:ascii="Times New Roman" w:cs="Times New Roman" w:eastAsia="Times New Roman" w:hAnsi="Times New Roman"/>
                <w:b w:val="false"/>
                <w:bCs w:val="false"/>
                <w:sz w:val="20"/>
                <w:szCs w:val="20"/>
              </w:rPr>
              <w:t xml:space="preserve">CRL-MRS (multi-robot coordination)</w:t>
            </w:r>
          </w:p>
        </w:tc>
        <w:tc>
          <w:tcPr>
            <w:tcW w:type="dxa" w:w="3600"/>
          </w:tcPr>
          <w:p>
            <w:r>
              <w:rPr>
                <w:rFonts w:ascii="Times New Roman" w:cs="Times New Roman" w:eastAsia="Times New Roman" w:hAnsi="Times New Roman"/>
                <w:b w:val="false"/>
                <w:bCs w:val="false"/>
                <w:sz w:val="20"/>
                <w:szCs w:val="20"/>
              </w:rPr>
              <w:t xml:space="preserve">Out of scope for a single-agent harness this cycle</w:t>
            </w:r>
          </w:p>
        </w:tc>
        <w:tc>
          <w:tcPr>
            <w:tcW w:type="dxa" w:w="3600"/>
          </w:tcPr>
          <w:p>
            <w:r>
              <w:rPr>
                <w:rFonts w:ascii="Times New Roman" w:cs="Times New Roman" w:eastAsia="Times New Roman" w:hAnsi="Times New Roman"/>
                <w:b w:val="false"/>
                <w:bCs w:val="false"/>
                <w:sz w:val="20"/>
                <w:szCs w:val="20"/>
              </w:rPr>
              <w:t xml:space="preserve">Not evaluated this cycle — flagged as future work</w:t>
            </w:r>
          </w:p>
        </w:tc>
      </w:tr>
    </w:tbl>
    <w:p>
      <w:pPr>
        <w:spacing w:after="120" w:line="240"/>
        <w:jc w:val="both"/>
      </w:pPr>
      <w:r>
        <w:rPr>
          <w:rFonts w:ascii="Times New Roman" w:cs="Times New Roman" w:eastAsia="Times New Roman" w:hAnsi="Times New Roman"/>
          <w:sz w:val="24"/>
          <w:szCs w:val="24"/>
        </w:rPr>
        <w:t xml:space="preserve">Two patterns emerge from this mapping. First, four of the six model classes — GRPO, STUM, SEOM, and HTD-IRL — map cleanly onto scenario types this program's Week 1–3 evaluation harness can test directly with a single-agent, single-provider structure. Second, AMDC and CRL-MRS resist direct single-agent evaluation: AMDC's drift-compensation role has no clean language-model analogue beyond treating long-context degradation as a proxy, and CRL-MRS's multi-robot coordination role requires a multi-agent evaluation harness that is out of scope for a four-week program and is accordingly flagged as future work rather than tested this cycle.</w:t>
      </w:r>
    </w:p>
    <w:p>
      <w:pPr>
        <w:pStyle w:val="Heading1"/>
        <w:spacing w:after="100" w:before="200"/>
      </w:pPr>
      <w:r>
        <w:rPr>
          <w:rFonts w:ascii="Times New Roman" w:cs="Times New Roman" w:eastAsia="Times New Roman" w:hAnsi="Times New Roman"/>
          <w:b/>
          <w:bCs/>
          <w:color w:val="000000"/>
          <w:sz w:val="26"/>
          <w:szCs w:val="26"/>
        </w:rPr>
        <w:t xml:space="preserve">4. Synthesis: The Evaluation Gap for Physical AI Deployment</w:t>
      </w:r>
    </w:p>
    <w:p>
      <w:pPr>
        <w:spacing w:after="120" w:line="240"/>
        <w:jc w:val="both"/>
      </w:pPr>
      <w:r>
        <w:rPr>
          <w:rFonts w:ascii="Times New Roman" w:cs="Times New Roman" w:eastAsia="Times New Roman" w:hAnsi="Times New Roman"/>
          <w:sz w:val="24"/>
          <w:szCs w:val="24"/>
        </w:rPr>
        <w:t xml:space="preserve">Reading the six references together surfaces a consistent gap. AgentBench measures agentic capability but not safety. SafeAgentBench adds a safety axis but confines it to household simulation. SREGym adds production-grade fault fidelity but confines it to software infrastructure. HELM standardizes multi-model comparison but has no physical-embodiment or real-time-latency dimension. RAGAS is well suited to the retrieval subset of InGen's evaluation but says nothing about agentic or safety behavior. And PIC 2.0's own platform paper reports strong figures on exactly the dimensions — safety, calibration, task completion — that the other five references treat as open research problems, without the independent verification those same references treat as a baseline requirement.</w:t>
      </w:r>
    </w:p>
    <w:p>
      <w:pPr>
        <w:spacing w:after="120" w:line="240"/>
        <w:jc w:val="both"/>
      </w:pPr>
      <w:r>
        <w:rPr>
          <w:rFonts w:ascii="Times New Roman" w:cs="Times New Roman" w:eastAsia="Times New Roman" w:hAnsi="Times New Roman"/>
          <w:sz w:val="24"/>
          <w:szCs w:val="24"/>
        </w:rPr>
        <w:t xml:space="preserve">No existing published methodology combines physical embodiment, safety-aware scoring, multi-provider comparison, and production-fidelity failure injection in a single evaluation framework. This is the specific gap that motivates the forty-scenario benchmark constructed in the remainder of Week 1: twenty conversational scenarios drawing on RAGAS's reference-free metrics and HELM's standardized grid, and twenty agentic scenarios drawing on SREGym's fault-injection philosophy and SafeAgentBench's dual task/hazard scoring, evaluated across four language model providers to add the multi-provider comparison dimension that none of the five academic references combine with safety scoring.</w:t>
      </w:r>
    </w:p>
    <w:p>
      <w:pPr>
        <w:pStyle w:val="Heading1"/>
        <w:spacing w:after="100" w:before="200"/>
      </w:pPr>
      <w:r>
        <w:rPr>
          <w:rFonts w:ascii="Times New Roman" w:cs="Times New Roman" w:eastAsia="Times New Roman" w:hAnsi="Times New Roman"/>
          <w:b/>
          <w:bCs/>
          <w:color w:val="000000"/>
          <w:sz w:val="26"/>
          <w:szCs w:val="26"/>
        </w:rPr>
        <w:t xml:space="preserve">5. Conclusion and Transition to Benchmark Design</w:t>
      </w:r>
    </w:p>
    <w:p>
      <w:pPr>
        <w:spacing w:after="120" w:line="240"/>
        <w:jc w:val="both"/>
      </w:pPr>
      <w:r>
        <w:rPr>
          <w:rFonts w:ascii="Times New Roman" w:cs="Times New Roman" w:eastAsia="Times New Roman" w:hAnsi="Times New Roman"/>
          <w:sz w:val="24"/>
          <w:szCs w:val="24"/>
        </w:rPr>
        <w:t xml:space="preserve">This review establishes the methodological baseline for InGen's four-week evaluation program. No single reviewed methodology is sufficient on its own: each contributes one axis — capability breadth, retrieval fidelity, standardized comparison, safety awareness, or production-fault realism — that the benchmark constructed in the remainder of Week 1 must combine. The PIC 2.0 platform paper's self-reported metrics are treated throughout as claims requiring independent evaluation rather than as an established baseline, consistent with the standard this brief applies to every other reference reviewed here. The benchmark design that follows operationalizes each of the design choices identified above into forty scenarios spanning InGen's five deployed robot platforms.</w:t>
      </w:r>
    </w:p>
    <w:p>
      <w:pPr>
        <w:pStyle w:val="Heading1"/>
        <w:spacing w:after="100" w:before="200"/>
      </w:pPr>
      <w:r>
        <w:rPr>
          <w:rFonts w:ascii="Times New Roman" w:cs="Times New Roman" w:eastAsia="Times New Roman" w:hAnsi="Times New Roman"/>
          <w:b/>
          <w:bCs/>
          <w:color w:val="000000"/>
          <w:sz w:val="26"/>
          <w:szCs w:val="26"/>
        </w:rPr>
        <w:t xml:space="preserve">References</w:t>
      </w:r>
    </w:p>
    <w:p>
      <w:pPr>
        <w:spacing w:after="80" w:line="240"/>
        <w:ind w:left="360" w:hanging="360"/>
      </w:pPr>
      <w:r>
        <w:rPr>
          <w:rFonts w:ascii="Times New Roman" w:cs="Times New Roman" w:eastAsia="Times New Roman" w:hAnsi="Times New Roman"/>
          <w:sz w:val="24"/>
          <w:szCs w:val="24"/>
        </w:rPr>
        <w:t xml:space="preserve">Clark, J., Su, Y., Pial, S. M. R., Tian, Y., Gniedziejko, L., Jacobsen, H.-A., Chen, Y., &amp; Xu, T. (2026). SREGym: A Live Benchmark for AI SRE Agents with High-Fidelity Failure Scenarios. University of Illinois Urbana-Champaign / University of Toronto. arXiv:2605.07161.</w:t>
      </w:r>
    </w:p>
    <w:p>
      <w:pPr>
        <w:spacing w:after="80" w:line="240"/>
        <w:ind w:left="360" w:hanging="360"/>
      </w:pPr>
      <w:r>
        <w:rPr>
          <w:rFonts w:ascii="Times New Roman" w:cs="Times New Roman" w:eastAsia="Times New Roman" w:hAnsi="Times New Roman"/>
          <w:sz w:val="24"/>
          <w:szCs w:val="24"/>
        </w:rPr>
        <w:t xml:space="preserve">Es, S., James, J., Espinosa-Anke, L., &amp; Schockaert, S. (2024). Ragas: Automated Evaluation of Retrieval Augmented Generation. In Proceedings of the 18th Conference of the European Chapter of the Association for Computational Linguistics (EACL 2024). arXiv:2309.15217.</w:t>
      </w:r>
    </w:p>
    <w:p>
      <w:pPr>
        <w:spacing w:after="80" w:line="240"/>
        <w:ind w:left="360" w:hanging="360"/>
      </w:pPr>
      <w:r>
        <w:rPr>
          <w:rFonts w:ascii="Times New Roman" w:cs="Times New Roman" w:eastAsia="Times New Roman" w:hAnsi="Times New Roman"/>
          <w:sz w:val="24"/>
          <w:szCs w:val="24"/>
        </w:rPr>
        <w:t xml:space="preserve">Hisham, A. (2026). Origami AI: A Unified Physical Intelligence Platform for Safe, Adaptive, Multi-Robot Autonomy. InGen Dynamics Inc., internal platform paper (unpublished; not peer-reviewed).</w:t>
      </w:r>
    </w:p>
    <w:p>
      <w:pPr>
        <w:spacing w:after="80" w:line="240"/>
        <w:ind w:left="360" w:hanging="360"/>
      </w:pPr>
      <w:r>
        <w:rPr>
          <w:rFonts w:ascii="Times New Roman" w:cs="Times New Roman" w:eastAsia="Times New Roman" w:hAnsi="Times New Roman"/>
          <w:sz w:val="24"/>
          <w:szCs w:val="24"/>
        </w:rPr>
        <w:t xml:space="preserve">Liang, P., Bommasani, R., Lee, T., et al. (2023). Holistic Evaluation of Language Models. Transactions on Machine Learning Research. arXiv:2211.09110.</w:t>
      </w:r>
    </w:p>
    <w:p>
      <w:pPr>
        <w:spacing w:after="80" w:line="240"/>
        <w:ind w:left="360" w:hanging="360"/>
      </w:pPr>
      <w:r>
        <w:rPr>
          <w:rFonts w:ascii="Times New Roman" w:cs="Times New Roman" w:eastAsia="Times New Roman" w:hAnsi="Times New Roman"/>
          <w:sz w:val="24"/>
          <w:szCs w:val="24"/>
        </w:rPr>
        <w:t xml:space="preserve">Liu, X., Yu, H., Zhang, H., Xu, Y., Lei, X., Lai, H., Gu, Y., Ding, H., Men, K., Yang, K., Zhang, S., Deng, X., Zeng, A., Du, Z., Zhang, C., Shen, S., Zhang, T., Su, Y., Sun, H., Huang, M., Dong, Y., &amp; Tang, J. (2024). AgentBench: Evaluating LLMs as Agents. In Proceedings of the Twelfth International Conference on Learning Representations (ICLR 2024). arXiv:2308.03688.</w:t>
      </w:r>
    </w:p>
    <w:p>
      <w:pPr>
        <w:spacing w:after="80" w:line="240"/>
        <w:ind w:left="360" w:hanging="360"/>
      </w:pPr>
      <w:r>
        <w:rPr>
          <w:rFonts w:ascii="Times New Roman" w:cs="Times New Roman" w:eastAsia="Times New Roman" w:hAnsi="Times New Roman"/>
          <w:sz w:val="24"/>
          <w:szCs w:val="24"/>
        </w:rPr>
        <w:t xml:space="preserve">Yin, S., Pang, X., Ding, Y., Chen, M., Huang, W., Bi, Y., Xiong, Y., Chen, S., Xiang, Z., &amp; Shao, J. (2024). SafeAgentBench: A Benchmark for Safe Task Planning of Embodied LLM Agents. arXiv:2412.13178.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2026-07-24T07:18:18.404Z</dcterms:created>
  <dcterms:modified xsi:type="dcterms:W3CDTF">2026-07-24T07:18:18.404Z</dcterms:modified>
</cp:coreProperties>
</file>

<file path=docProps/custom.xml><?xml version="1.0" encoding="utf-8"?>
<Properties xmlns="http://schemas.openxmlformats.org/officeDocument/2006/custom-properties" xmlns:vt="http://schemas.openxmlformats.org/officeDocument/2006/docPropsVTypes"/>
</file>