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C9120" w14:textId="77777777" w:rsidR="00A44A2A" w:rsidRDefault="00000000">
      <w:pPr>
        <w:pStyle w:val="Title"/>
      </w:pPr>
      <w:r>
        <w:t>Prises de Notes</w:t>
      </w:r>
    </w:p>
    <w:bookmarkStart w:id="0" w:name="valorisation-de-lactif" w:displacedByCustomXml="next"/>
    <w:sdt>
      <w:sdtPr>
        <w:id w:val="39102258"/>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56A1647" w14:textId="3CF43F3A" w:rsidR="00943FAD" w:rsidRDefault="00943FAD">
          <w:pPr>
            <w:pStyle w:val="TOCHeading"/>
          </w:pPr>
          <w:r>
            <w:t>Table of Contents</w:t>
          </w:r>
        </w:p>
        <w:p w14:paraId="4FAA77D6" w14:textId="3BC73D8E" w:rsidR="00943FAD" w:rsidRDefault="00943FAD">
          <w:pPr>
            <w:pStyle w:val="TOC2"/>
            <w:tabs>
              <w:tab w:val="right" w:leader="dot" w:pos="9350"/>
            </w:tabs>
            <w:rPr>
              <w:rFonts w:eastAsiaTheme="minorEastAsia"/>
              <w:noProof/>
              <w:lang w:val="en-MA"/>
            </w:rPr>
          </w:pPr>
          <w:r>
            <w:fldChar w:fldCharType="begin"/>
          </w:r>
          <w:r>
            <w:instrText xml:space="preserve"> TOC \o "1-3" \h \z \u </w:instrText>
          </w:r>
          <w:r>
            <w:fldChar w:fldCharType="separate"/>
          </w:r>
          <w:hyperlink w:anchor="_Toc131761965" w:history="1">
            <w:r w:rsidRPr="00562F18">
              <w:rPr>
                <w:rStyle w:val="Hyperlink"/>
                <w:noProof/>
                <w:lang w:val="fr-FR"/>
              </w:rPr>
              <w:t>1 Valorisation de l’actif</w:t>
            </w:r>
            <w:r>
              <w:rPr>
                <w:noProof/>
                <w:webHidden/>
              </w:rPr>
              <w:tab/>
            </w:r>
            <w:r>
              <w:rPr>
                <w:noProof/>
                <w:webHidden/>
              </w:rPr>
              <w:fldChar w:fldCharType="begin"/>
            </w:r>
            <w:r>
              <w:rPr>
                <w:noProof/>
                <w:webHidden/>
              </w:rPr>
              <w:instrText xml:space="preserve"> PAGEREF _Toc131761965 \h </w:instrText>
            </w:r>
            <w:r>
              <w:rPr>
                <w:noProof/>
                <w:webHidden/>
              </w:rPr>
            </w:r>
            <w:r>
              <w:rPr>
                <w:noProof/>
                <w:webHidden/>
              </w:rPr>
              <w:fldChar w:fldCharType="separate"/>
            </w:r>
            <w:r>
              <w:rPr>
                <w:noProof/>
                <w:webHidden/>
              </w:rPr>
              <w:t>1</w:t>
            </w:r>
            <w:r>
              <w:rPr>
                <w:noProof/>
                <w:webHidden/>
              </w:rPr>
              <w:fldChar w:fldCharType="end"/>
            </w:r>
          </w:hyperlink>
        </w:p>
        <w:p w14:paraId="59C4289A" w14:textId="2A938815" w:rsidR="00943FAD" w:rsidRDefault="00943FAD">
          <w:pPr>
            <w:pStyle w:val="TOC3"/>
            <w:tabs>
              <w:tab w:val="right" w:leader="dot" w:pos="9350"/>
            </w:tabs>
            <w:rPr>
              <w:noProof/>
            </w:rPr>
          </w:pPr>
          <w:hyperlink w:anchor="_Toc131761966" w:history="1">
            <w:r w:rsidRPr="00562F18">
              <w:rPr>
                <w:rStyle w:val="Hyperlink"/>
                <w:noProof/>
                <w:lang w:val="fr-FR"/>
              </w:rPr>
              <w:t>1.1 Actions cotées à la bourse</w:t>
            </w:r>
            <w:r>
              <w:rPr>
                <w:noProof/>
                <w:webHidden/>
              </w:rPr>
              <w:tab/>
            </w:r>
            <w:r>
              <w:rPr>
                <w:noProof/>
                <w:webHidden/>
              </w:rPr>
              <w:fldChar w:fldCharType="begin"/>
            </w:r>
            <w:r>
              <w:rPr>
                <w:noProof/>
                <w:webHidden/>
              </w:rPr>
              <w:instrText xml:space="preserve"> PAGEREF _Toc131761966 \h </w:instrText>
            </w:r>
            <w:r>
              <w:rPr>
                <w:noProof/>
                <w:webHidden/>
              </w:rPr>
            </w:r>
            <w:r>
              <w:rPr>
                <w:noProof/>
                <w:webHidden/>
              </w:rPr>
              <w:fldChar w:fldCharType="separate"/>
            </w:r>
            <w:r>
              <w:rPr>
                <w:noProof/>
                <w:webHidden/>
              </w:rPr>
              <w:t>1</w:t>
            </w:r>
            <w:r>
              <w:rPr>
                <w:noProof/>
                <w:webHidden/>
              </w:rPr>
              <w:fldChar w:fldCharType="end"/>
            </w:r>
          </w:hyperlink>
        </w:p>
        <w:p w14:paraId="5556904F" w14:textId="1105A23D" w:rsidR="00943FAD" w:rsidRDefault="00943FAD">
          <w:pPr>
            <w:pStyle w:val="TOC3"/>
            <w:tabs>
              <w:tab w:val="right" w:leader="dot" w:pos="9350"/>
            </w:tabs>
            <w:rPr>
              <w:noProof/>
            </w:rPr>
          </w:pPr>
          <w:hyperlink w:anchor="_Toc131761967" w:history="1">
            <w:r w:rsidRPr="00562F18">
              <w:rPr>
                <w:rStyle w:val="Hyperlink"/>
                <w:noProof/>
                <w:lang w:val="fr-FR"/>
              </w:rPr>
              <w:t>1.2 Les titres émis par les OPCVM/OPCI</w:t>
            </w:r>
            <w:r>
              <w:rPr>
                <w:noProof/>
                <w:webHidden/>
              </w:rPr>
              <w:tab/>
            </w:r>
            <w:r>
              <w:rPr>
                <w:noProof/>
                <w:webHidden/>
              </w:rPr>
              <w:fldChar w:fldCharType="begin"/>
            </w:r>
            <w:r>
              <w:rPr>
                <w:noProof/>
                <w:webHidden/>
              </w:rPr>
              <w:instrText xml:space="preserve"> PAGEREF _Toc131761967 \h </w:instrText>
            </w:r>
            <w:r>
              <w:rPr>
                <w:noProof/>
                <w:webHidden/>
              </w:rPr>
            </w:r>
            <w:r>
              <w:rPr>
                <w:noProof/>
                <w:webHidden/>
              </w:rPr>
              <w:fldChar w:fldCharType="separate"/>
            </w:r>
            <w:r>
              <w:rPr>
                <w:noProof/>
                <w:webHidden/>
              </w:rPr>
              <w:t>1</w:t>
            </w:r>
            <w:r>
              <w:rPr>
                <w:noProof/>
                <w:webHidden/>
              </w:rPr>
              <w:fldChar w:fldCharType="end"/>
            </w:r>
          </w:hyperlink>
        </w:p>
        <w:p w14:paraId="74EB03E8" w14:textId="32B25008" w:rsidR="00943FAD" w:rsidRDefault="00943FAD">
          <w:pPr>
            <w:pStyle w:val="TOC3"/>
            <w:tabs>
              <w:tab w:val="right" w:leader="dot" w:pos="9350"/>
            </w:tabs>
            <w:rPr>
              <w:noProof/>
            </w:rPr>
          </w:pPr>
          <w:hyperlink w:anchor="_Toc131761968" w:history="1">
            <w:r w:rsidRPr="00562F18">
              <w:rPr>
                <w:rStyle w:val="Hyperlink"/>
                <w:noProof/>
                <w:lang w:val="fr-FR"/>
              </w:rPr>
              <w:t>1.3 Les titres émis par les OPCC/FPCT</w:t>
            </w:r>
            <w:r>
              <w:rPr>
                <w:noProof/>
                <w:webHidden/>
              </w:rPr>
              <w:tab/>
            </w:r>
            <w:r>
              <w:rPr>
                <w:noProof/>
                <w:webHidden/>
              </w:rPr>
              <w:fldChar w:fldCharType="begin"/>
            </w:r>
            <w:r>
              <w:rPr>
                <w:noProof/>
                <w:webHidden/>
              </w:rPr>
              <w:instrText xml:space="preserve"> PAGEREF _Toc131761968 \h </w:instrText>
            </w:r>
            <w:r>
              <w:rPr>
                <w:noProof/>
                <w:webHidden/>
              </w:rPr>
            </w:r>
            <w:r>
              <w:rPr>
                <w:noProof/>
                <w:webHidden/>
              </w:rPr>
              <w:fldChar w:fldCharType="separate"/>
            </w:r>
            <w:r>
              <w:rPr>
                <w:noProof/>
                <w:webHidden/>
              </w:rPr>
              <w:t>1</w:t>
            </w:r>
            <w:r>
              <w:rPr>
                <w:noProof/>
                <w:webHidden/>
              </w:rPr>
              <w:fldChar w:fldCharType="end"/>
            </w:r>
          </w:hyperlink>
        </w:p>
        <w:p w14:paraId="7701D9FB" w14:textId="5572FCCB" w:rsidR="00943FAD" w:rsidRDefault="00943FAD">
          <w:pPr>
            <w:pStyle w:val="TOC3"/>
            <w:tabs>
              <w:tab w:val="right" w:leader="dot" w:pos="9350"/>
            </w:tabs>
            <w:rPr>
              <w:noProof/>
            </w:rPr>
          </w:pPr>
          <w:hyperlink w:anchor="_Toc131761969" w:history="1">
            <w:r w:rsidRPr="00562F18">
              <w:rPr>
                <w:rStyle w:val="Hyperlink"/>
                <w:noProof/>
                <w:lang w:val="fr-FR"/>
              </w:rPr>
              <w:t>1.4 Les obligations et bons</w:t>
            </w:r>
            <w:r>
              <w:rPr>
                <w:noProof/>
                <w:webHidden/>
              </w:rPr>
              <w:tab/>
            </w:r>
            <w:r>
              <w:rPr>
                <w:noProof/>
                <w:webHidden/>
              </w:rPr>
              <w:fldChar w:fldCharType="begin"/>
            </w:r>
            <w:r>
              <w:rPr>
                <w:noProof/>
                <w:webHidden/>
              </w:rPr>
              <w:instrText xml:space="preserve"> PAGEREF _Toc131761969 \h </w:instrText>
            </w:r>
            <w:r>
              <w:rPr>
                <w:noProof/>
                <w:webHidden/>
              </w:rPr>
            </w:r>
            <w:r>
              <w:rPr>
                <w:noProof/>
                <w:webHidden/>
              </w:rPr>
              <w:fldChar w:fldCharType="separate"/>
            </w:r>
            <w:r>
              <w:rPr>
                <w:noProof/>
                <w:webHidden/>
              </w:rPr>
              <w:t>1</w:t>
            </w:r>
            <w:r>
              <w:rPr>
                <w:noProof/>
                <w:webHidden/>
              </w:rPr>
              <w:fldChar w:fldCharType="end"/>
            </w:r>
          </w:hyperlink>
        </w:p>
        <w:p w14:paraId="1D147862" w14:textId="29D98254" w:rsidR="00943FAD" w:rsidRDefault="00943FAD">
          <w:pPr>
            <w:pStyle w:val="TOC2"/>
            <w:tabs>
              <w:tab w:val="right" w:leader="dot" w:pos="9350"/>
            </w:tabs>
            <w:rPr>
              <w:rFonts w:eastAsiaTheme="minorEastAsia"/>
              <w:noProof/>
              <w:lang w:val="en-MA"/>
            </w:rPr>
          </w:pPr>
          <w:hyperlink w:anchor="_Toc131761970" w:history="1">
            <w:r w:rsidRPr="00562F18">
              <w:rPr>
                <w:rStyle w:val="Hyperlink"/>
                <w:noProof/>
              </w:rPr>
              <w:t>2 Provisions techniques prudentielles</w:t>
            </w:r>
            <w:r>
              <w:rPr>
                <w:noProof/>
                <w:webHidden/>
              </w:rPr>
              <w:tab/>
            </w:r>
            <w:r>
              <w:rPr>
                <w:noProof/>
                <w:webHidden/>
              </w:rPr>
              <w:fldChar w:fldCharType="begin"/>
            </w:r>
            <w:r>
              <w:rPr>
                <w:noProof/>
                <w:webHidden/>
              </w:rPr>
              <w:instrText xml:space="preserve"> PAGEREF _Toc131761970 \h </w:instrText>
            </w:r>
            <w:r>
              <w:rPr>
                <w:noProof/>
                <w:webHidden/>
              </w:rPr>
            </w:r>
            <w:r>
              <w:rPr>
                <w:noProof/>
                <w:webHidden/>
              </w:rPr>
              <w:fldChar w:fldCharType="separate"/>
            </w:r>
            <w:r>
              <w:rPr>
                <w:noProof/>
                <w:webHidden/>
              </w:rPr>
              <w:t>2</w:t>
            </w:r>
            <w:r>
              <w:rPr>
                <w:noProof/>
                <w:webHidden/>
              </w:rPr>
              <w:fldChar w:fldCharType="end"/>
            </w:r>
          </w:hyperlink>
        </w:p>
        <w:p w14:paraId="355B075E" w14:textId="04591BA2" w:rsidR="00943FAD" w:rsidRDefault="00943FAD">
          <w:pPr>
            <w:pStyle w:val="TOC3"/>
            <w:tabs>
              <w:tab w:val="right" w:leader="dot" w:pos="9350"/>
            </w:tabs>
            <w:rPr>
              <w:noProof/>
            </w:rPr>
          </w:pPr>
          <w:hyperlink w:anchor="_Toc131761971" w:history="1">
            <w:r w:rsidRPr="00562F18">
              <w:rPr>
                <w:rStyle w:val="Hyperlink"/>
                <w:noProof/>
                <w:lang w:val="fr-FR"/>
              </w:rPr>
              <w:t>2.1 Opérations d’assurance vie, décès ou capitalisation</w:t>
            </w:r>
            <w:r>
              <w:rPr>
                <w:noProof/>
                <w:webHidden/>
              </w:rPr>
              <w:tab/>
            </w:r>
            <w:r>
              <w:rPr>
                <w:noProof/>
                <w:webHidden/>
              </w:rPr>
              <w:fldChar w:fldCharType="begin"/>
            </w:r>
            <w:r>
              <w:rPr>
                <w:noProof/>
                <w:webHidden/>
              </w:rPr>
              <w:instrText xml:space="preserve"> PAGEREF _Toc131761971 \h </w:instrText>
            </w:r>
            <w:r>
              <w:rPr>
                <w:noProof/>
                <w:webHidden/>
              </w:rPr>
            </w:r>
            <w:r>
              <w:rPr>
                <w:noProof/>
                <w:webHidden/>
              </w:rPr>
              <w:fldChar w:fldCharType="separate"/>
            </w:r>
            <w:r>
              <w:rPr>
                <w:noProof/>
                <w:webHidden/>
              </w:rPr>
              <w:t>3</w:t>
            </w:r>
            <w:r>
              <w:rPr>
                <w:noProof/>
                <w:webHidden/>
              </w:rPr>
              <w:fldChar w:fldCharType="end"/>
            </w:r>
          </w:hyperlink>
        </w:p>
        <w:p w14:paraId="00366ABB" w14:textId="43A62E56" w:rsidR="00943FAD" w:rsidRDefault="00943FAD">
          <w:pPr>
            <w:pStyle w:val="TOC3"/>
            <w:tabs>
              <w:tab w:val="right" w:leader="dot" w:pos="9350"/>
            </w:tabs>
            <w:rPr>
              <w:noProof/>
            </w:rPr>
          </w:pPr>
          <w:hyperlink w:anchor="_Toc131761972" w:history="1">
            <w:r w:rsidRPr="00562F18">
              <w:rPr>
                <w:rStyle w:val="Hyperlink"/>
                <w:noProof/>
              </w:rPr>
              <w:t>2.2 Rentes découlants des opérations non-vie</w:t>
            </w:r>
            <w:r>
              <w:rPr>
                <w:noProof/>
                <w:webHidden/>
              </w:rPr>
              <w:tab/>
            </w:r>
            <w:r>
              <w:rPr>
                <w:noProof/>
                <w:webHidden/>
              </w:rPr>
              <w:fldChar w:fldCharType="begin"/>
            </w:r>
            <w:r>
              <w:rPr>
                <w:noProof/>
                <w:webHidden/>
              </w:rPr>
              <w:instrText xml:space="preserve"> PAGEREF _Toc131761972 \h </w:instrText>
            </w:r>
            <w:r>
              <w:rPr>
                <w:noProof/>
                <w:webHidden/>
              </w:rPr>
            </w:r>
            <w:r>
              <w:rPr>
                <w:noProof/>
                <w:webHidden/>
              </w:rPr>
              <w:fldChar w:fldCharType="separate"/>
            </w:r>
            <w:r>
              <w:rPr>
                <w:noProof/>
                <w:webHidden/>
              </w:rPr>
              <w:t>5</w:t>
            </w:r>
            <w:r>
              <w:rPr>
                <w:noProof/>
                <w:webHidden/>
              </w:rPr>
              <w:fldChar w:fldCharType="end"/>
            </w:r>
          </w:hyperlink>
        </w:p>
        <w:p w14:paraId="42A949A5" w14:textId="44D790E6" w:rsidR="00943FAD" w:rsidRDefault="00943FAD">
          <w:pPr>
            <w:pStyle w:val="TOC3"/>
            <w:tabs>
              <w:tab w:val="right" w:leader="dot" w:pos="9350"/>
            </w:tabs>
            <w:rPr>
              <w:noProof/>
            </w:rPr>
          </w:pPr>
          <w:hyperlink w:anchor="_Toc131761973" w:history="1">
            <w:r w:rsidRPr="00562F18">
              <w:rPr>
                <w:rStyle w:val="Hyperlink"/>
                <w:noProof/>
              </w:rPr>
              <w:t>2.3 Opérations d’assurance non vie hors rentes</w:t>
            </w:r>
            <w:r>
              <w:rPr>
                <w:noProof/>
                <w:webHidden/>
              </w:rPr>
              <w:tab/>
            </w:r>
            <w:r>
              <w:rPr>
                <w:noProof/>
                <w:webHidden/>
              </w:rPr>
              <w:fldChar w:fldCharType="begin"/>
            </w:r>
            <w:r>
              <w:rPr>
                <w:noProof/>
                <w:webHidden/>
              </w:rPr>
              <w:instrText xml:space="preserve"> PAGEREF _Toc131761973 \h </w:instrText>
            </w:r>
            <w:r>
              <w:rPr>
                <w:noProof/>
                <w:webHidden/>
              </w:rPr>
            </w:r>
            <w:r>
              <w:rPr>
                <w:noProof/>
                <w:webHidden/>
              </w:rPr>
              <w:fldChar w:fldCharType="separate"/>
            </w:r>
            <w:r>
              <w:rPr>
                <w:noProof/>
                <w:webHidden/>
              </w:rPr>
              <w:t>6</w:t>
            </w:r>
            <w:r>
              <w:rPr>
                <w:noProof/>
                <w:webHidden/>
              </w:rPr>
              <w:fldChar w:fldCharType="end"/>
            </w:r>
          </w:hyperlink>
        </w:p>
        <w:p w14:paraId="737B243E" w14:textId="7875B6C7" w:rsidR="00943FAD" w:rsidRDefault="00943FAD">
          <w:pPr>
            <w:pStyle w:val="TOC3"/>
            <w:tabs>
              <w:tab w:val="right" w:leader="dot" w:pos="9350"/>
            </w:tabs>
            <w:rPr>
              <w:noProof/>
            </w:rPr>
          </w:pPr>
          <w:hyperlink w:anchor="_Toc131761974" w:history="1">
            <w:r w:rsidRPr="00562F18">
              <w:rPr>
                <w:rStyle w:val="Hyperlink"/>
                <w:noProof/>
              </w:rPr>
              <w:t>2.4 Part des cessionnaires dans les provisions techniques prudentielles</w:t>
            </w:r>
            <w:r>
              <w:rPr>
                <w:noProof/>
                <w:webHidden/>
              </w:rPr>
              <w:tab/>
            </w:r>
            <w:r>
              <w:rPr>
                <w:noProof/>
                <w:webHidden/>
              </w:rPr>
              <w:fldChar w:fldCharType="begin"/>
            </w:r>
            <w:r>
              <w:rPr>
                <w:noProof/>
                <w:webHidden/>
              </w:rPr>
              <w:instrText xml:space="preserve"> PAGEREF _Toc131761974 \h </w:instrText>
            </w:r>
            <w:r>
              <w:rPr>
                <w:noProof/>
                <w:webHidden/>
              </w:rPr>
            </w:r>
            <w:r>
              <w:rPr>
                <w:noProof/>
                <w:webHidden/>
              </w:rPr>
              <w:fldChar w:fldCharType="separate"/>
            </w:r>
            <w:r>
              <w:rPr>
                <w:noProof/>
                <w:webHidden/>
              </w:rPr>
              <w:t>8</w:t>
            </w:r>
            <w:r>
              <w:rPr>
                <w:noProof/>
                <w:webHidden/>
              </w:rPr>
              <w:fldChar w:fldCharType="end"/>
            </w:r>
          </w:hyperlink>
        </w:p>
        <w:p w14:paraId="562A5CED" w14:textId="7EE71173" w:rsidR="00943FAD" w:rsidRDefault="00943FAD">
          <w:pPr>
            <w:pStyle w:val="TOC2"/>
            <w:tabs>
              <w:tab w:val="right" w:leader="dot" w:pos="9350"/>
            </w:tabs>
            <w:rPr>
              <w:rFonts w:eastAsiaTheme="minorEastAsia"/>
              <w:noProof/>
              <w:lang w:val="en-MA"/>
            </w:rPr>
          </w:pPr>
          <w:hyperlink w:anchor="_Toc131761975" w:history="1">
            <w:r w:rsidRPr="00562F18">
              <w:rPr>
                <w:rStyle w:val="Hyperlink"/>
                <w:noProof/>
              </w:rPr>
              <w:t>3 Capital de Solvabilité Requis (CSR):</w:t>
            </w:r>
            <w:r>
              <w:rPr>
                <w:noProof/>
                <w:webHidden/>
              </w:rPr>
              <w:tab/>
            </w:r>
            <w:r>
              <w:rPr>
                <w:noProof/>
                <w:webHidden/>
              </w:rPr>
              <w:fldChar w:fldCharType="begin"/>
            </w:r>
            <w:r>
              <w:rPr>
                <w:noProof/>
                <w:webHidden/>
              </w:rPr>
              <w:instrText xml:space="preserve"> PAGEREF _Toc131761975 \h </w:instrText>
            </w:r>
            <w:r>
              <w:rPr>
                <w:noProof/>
                <w:webHidden/>
              </w:rPr>
            </w:r>
            <w:r>
              <w:rPr>
                <w:noProof/>
                <w:webHidden/>
              </w:rPr>
              <w:fldChar w:fldCharType="separate"/>
            </w:r>
            <w:r>
              <w:rPr>
                <w:noProof/>
                <w:webHidden/>
              </w:rPr>
              <w:t>9</w:t>
            </w:r>
            <w:r>
              <w:rPr>
                <w:noProof/>
                <w:webHidden/>
              </w:rPr>
              <w:fldChar w:fldCharType="end"/>
            </w:r>
          </w:hyperlink>
        </w:p>
        <w:p w14:paraId="323BDA6C" w14:textId="10C921CC" w:rsidR="00943FAD" w:rsidRDefault="00943FAD">
          <w:pPr>
            <w:pStyle w:val="TOC3"/>
            <w:tabs>
              <w:tab w:val="right" w:leader="dot" w:pos="9350"/>
            </w:tabs>
            <w:rPr>
              <w:noProof/>
            </w:rPr>
          </w:pPr>
          <w:hyperlink w:anchor="_Toc131761976" w:history="1">
            <w:r w:rsidRPr="00562F18">
              <w:rPr>
                <w:rStyle w:val="Hyperlink"/>
                <w:noProof/>
              </w:rPr>
              <w:t>3.1 CSR de base (</w:t>
            </w:r>
            <m:oMath>
              <m:r>
                <w:rPr>
                  <w:rStyle w:val="Hyperlink"/>
                  <w:rFonts w:ascii="Cambria Math" w:hAnsi="Cambria Math"/>
                  <w:noProof/>
                </w:rPr>
                <m:t>CSRbase</m:t>
              </m:r>
            </m:oMath>
            <w:r w:rsidRPr="00562F18">
              <w:rPr>
                <w:rStyle w:val="Hyperlink"/>
                <w:noProof/>
              </w:rPr>
              <w:t>)</w:t>
            </w:r>
            <w:r>
              <w:rPr>
                <w:noProof/>
                <w:webHidden/>
              </w:rPr>
              <w:tab/>
            </w:r>
            <w:r>
              <w:rPr>
                <w:noProof/>
                <w:webHidden/>
              </w:rPr>
              <w:fldChar w:fldCharType="begin"/>
            </w:r>
            <w:r>
              <w:rPr>
                <w:noProof/>
                <w:webHidden/>
              </w:rPr>
              <w:instrText xml:space="preserve"> PAGEREF _Toc131761976 \h </w:instrText>
            </w:r>
            <w:r>
              <w:rPr>
                <w:noProof/>
                <w:webHidden/>
              </w:rPr>
            </w:r>
            <w:r>
              <w:rPr>
                <w:noProof/>
                <w:webHidden/>
              </w:rPr>
              <w:fldChar w:fldCharType="separate"/>
            </w:r>
            <w:r>
              <w:rPr>
                <w:noProof/>
                <w:webHidden/>
              </w:rPr>
              <w:t>9</w:t>
            </w:r>
            <w:r>
              <w:rPr>
                <w:noProof/>
                <w:webHidden/>
              </w:rPr>
              <w:fldChar w:fldCharType="end"/>
            </w:r>
          </w:hyperlink>
        </w:p>
        <w:p w14:paraId="3D373168" w14:textId="479813BD" w:rsidR="00943FAD" w:rsidRDefault="00943FAD">
          <w:pPr>
            <w:pStyle w:val="TOC3"/>
            <w:tabs>
              <w:tab w:val="right" w:leader="dot" w:pos="9350"/>
            </w:tabs>
            <w:rPr>
              <w:noProof/>
            </w:rPr>
          </w:pPr>
          <w:hyperlink w:anchor="_Toc131761977" w:history="1">
            <w:r w:rsidRPr="00562F18">
              <w:rPr>
                <w:rStyle w:val="Hyperlink"/>
                <w:noProof/>
              </w:rPr>
              <w:t>3.2 Exigence de capital relative aux risque de marché (</w:t>
            </w:r>
            <m:oMath>
              <m:r>
                <w:rPr>
                  <w:rStyle w:val="Hyperlink"/>
                  <w:rFonts w:ascii="Cambria Math" w:hAnsi="Cambria Math"/>
                  <w:noProof/>
                </w:rPr>
                <m:t>CSRmarche</m:t>
              </m:r>
            </m:oMath>
            <w:r w:rsidRPr="00562F18">
              <w:rPr>
                <w:rStyle w:val="Hyperlink"/>
                <w:noProof/>
              </w:rPr>
              <w:t>)</w:t>
            </w:r>
            <w:r>
              <w:rPr>
                <w:noProof/>
                <w:webHidden/>
              </w:rPr>
              <w:tab/>
            </w:r>
            <w:r>
              <w:rPr>
                <w:noProof/>
                <w:webHidden/>
              </w:rPr>
              <w:fldChar w:fldCharType="begin"/>
            </w:r>
            <w:r>
              <w:rPr>
                <w:noProof/>
                <w:webHidden/>
              </w:rPr>
              <w:instrText xml:space="preserve"> PAGEREF _Toc131761977 \h </w:instrText>
            </w:r>
            <w:r>
              <w:rPr>
                <w:noProof/>
                <w:webHidden/>
              </w:rPr>
            </w:r>
            <w:r>
              <w:rPr>
                <w:noProof/>
                <w:webHidden/>
              </w:rPr>
              <w:fldChar w:fldCharType="separate"/>
            </w:r>
            <w:r>
              <w:rPr>
                <w:noProof/>
                <w:webHidden/>
              </w:rPr>
              <w:t>9</w:t>
            </w:r>
            <w:r>
              <w:rPr>
                <w:noProof/>
                <w:webHidden/>
              </w:rPr>
              <w:fldChar w:fldCharType="end"/>
            </w:r>
          </w:hyperlink>
        </w:p>
        <w:p w14:paraId="61E57842" w14:textId="303A0590" w:rsidR="00943FAD" w:rsidRDefault="00943FAD">
          <w:r>
            <w:rPr>
              <w:b/>
              <w:bCs/>
              <w:noProof/>
            </w:rPr>
            <w:fldChar w:fldCharType="end"/>
          </w:r>
        </w:p>
      </w:sdtContent>
    </w:sdt>
    <w:p w14:paraId="5025715F" w14:textId="477B1F3B" w:rsidR="00943FAD" w:rsidRDefault="00943FAD">
      <w:pPr>
        <w:rPr>
          <w:rFonts w:asciiTheme="majorHAnsi" w:eastAsiaTheme="majorEastAsia" w:hAnsiTheme="majorHAnsi" w:cstheme="majorBidi"/>
          <w:b/>
          <w:bCs/>
          <w:color w:val="4F81BD" w:themeColor="accent1"/>
          <w:sz w:val="28"/>
          <w:szCs w:val="28"/>
          <w:lang w:val="fr-FR"/>
        </w:rPr>
      </w:pPr>
      <w:bookmarkStart w:id="1" w:name="_Toc131761965"/>
      <w:r>
        <w:rPr>
          <w:lang w:val="fr-FR"/>
        </w:rPr>
        <w:br w:type="page"/>
      </w:r>
    </w:p>
    <w:p w14:paraId="5969EC7B" w14:textId="77777777" w:rsidR="00943FAD" w:rsidRDefault="00943FAD">
      <w:pPr>
        <w:pStyle w:val="Heading2"/>
        <w:rPr>
          <w:lang w:val="fr-FR"/>
        </w:rPr>
      </w:pPr>
    </w:p>
    <w:p w14:paraId="7C7C8FC4" w14:textId="3CBA3F91" w:rsidR="00A44A2A" w:rsidRPr="00943FAD" w:rsidRDefault="00000000">
      <w:pPr>
        <w:pStyle w:val="Heading2"/>
        <w:rPr>
          <w:lang w:val="fr-FR"/>
        </w:rPr>
      </w:pPr>
      <w:r w:rsidRPr="00943FAD">
        <w:rPr>
          <w:lang w:val="fr-FR"/>
        </w:rPr>
        <w:t>1 Valorisation de l’actif</w:t>
      </w:r>
      <w:bookmarkEnd w:id="1"/>
    </w:p>
    <w:p w14:paraId="51A45254" w14:textId="77777777" w:rsidR="00A44A2A" w:rsidRPr="00943FAD" w:rsidRDefault="00000000">
      <w:pPr>
        <w:pStyle w:val="Heading3"/>
        <w:rPr>
          <w:lang w:val="fr-FR"/>
        </w:rPr>
      </w:pPr>
      <w:bookmarkStart w:id="2" w:name="actions-cotées-à-la-bourse"/>
      <w:bookmarkStart w:id="3" w:name="_Toc131761966"/>
      <w:r w:rsidRPr="00943FAD">
        <w:rPr>
          <w:lang w:val="fr-FR"/>
        </w:rPr>
        <w:t>1.1 Actions cotées à la bourse</w:t>
      </w:r>
      <w:bookmarkEnd w:id="3"/>
    </w:p>
    <w:p w14:paraId="27F751BC" w14:textId="77777777" w:rsidR="00A44A2A" w:rsidRPr="00943FAD" w:rsidRDefault="00000000">
      <w:pPr>
        <w:pStyle w:val="Compact"/>
        <w:numPr>
          <w:ilvl w:val="0"/>
          <w:numId w:val="2"/>
        </w:numPr>
        <w:rPr>
          <w:lang w:val="fr-FR"/>
        </w:rPr>
      </w:pPr>
      <w:r w:rsidRPr="00943FAD">
        <w:rPr>
          <w:lang w:val="fr-FR"/>
        </w:rPr>
        <w:t>Dernier coté avant la date d’inventaire</w:t>
      </w:r>
    </w:p>
    <w:p w14:paraId="56075E61" w14:textId="77777777" w:rsidR="00A44A2A" w:rsidRPr="00943FAD" w:rsidRDefault="00000000">
      <w:pPr>
        <w:pStyle w:val="Compact"/>
        <w:numPr>
          <w:ilvl w:val="0"/>
          <w:numId w:val="2"/>
        </w:numPr>
        <w:rPr>
          <w:lang w:val="fr-FR"/>
        </w:rPr>
      </w:pPr>
      <w:r w:rsidRPr="00943FAD">
        <w:rPr>
          <w:lang w:val="fr-FR"/>
        </w:rPr>
        <w:t>Moyenne des cours côtés des trois derniers mois précédant la date d’inventaire si le volume ou la quantité journaliers moyens des transactions sur les 3 derniers mois précédant la date d’inventaire sont inférieurs aux seuils fixés par autorité</w:t>
      </w:r>
    </w:p>
    <w:p w14:paraId="73BC9B35" w14:textId="77777777" w:rsidR="00A44A2A" w:rsidRPr="00943FAD" w:rsidRDefault="00000000">
      <w:pPr>
        <w:pStyle w:val="Heading3"/>
        <w:rPr>
          <w:lang w:val="fr-FR"/>
        </w:rPr>
      </w:pPr>
      <w:bookmarkStart w:id="4" w:name="les-titres-émis-par-les-opcvmopci"/>
      <w:bookmarkStart w:id="5" w:name="_Toc131761967"/>
      <w:bookmarkEnd w:id="2"/>
      <w:r w:rsidRPr="00943FAD">
        <w:rPr>
          <w:lang w:val="fr-FR"/>
        </w:rPr>
        <w:t>1.2 Les titres émis par les OPCVM/OPCI</w:t>
      </w:r>
      <w:bookmarkEnd w:id="5"/>
    </w:p>
    <w:p w14:paraId="259B36A4" w14:textId="77777777" w:rsidR="00A44A2A" w:rsidRPr="00943FAD" w:rsidRDefault="00000000">
      <w:pPr>
        <w:pStyle w:val="FirstParagraph"/>
        <w:rPr>
          <w:lang w:val="fr-FR"/>
        </w:rPr>
      </w:pPr>
      <w:r w:rsidRPr="00943FAD">
        <w:rPr>
          <w:lang w:val="fr-FR"/>
        </w:rPr>
        <w:t>Ils sont valoriser à leur dernière valeur de liquidation avant l’inventaire.</w:t>
      </w:r>
    </w:p>
    <w:p w14:paraId="4E8C0B1E" w14:textId="77777777" w:rsidR="00A44A2A" w:rsidRPr="00943FAD" w:rsidRDefault="00000000">
      <w:pPr>
        <w:pStyle w:val="Heading3"/>
        <w:rPr>
          <w:lang w:val="fr-FR"/>
        </w:rPr>
      </w:pPr>
      <w:bookmarkStart w:id="6" w:name="les-titres-émis-par-les-opccfpct"/>
      <w:bookmarkStart w:id="7" w:name="_Toc131761968"/>
      <w:bookmarkEnd w:id="4"/>
      <w:r w:rsidRPr="00943FAD">
        <w:rPr>
          <w:lang w:val="fr-FR"/>
        </w:rPr>
        <w:t>1.3 Les titres émis par les OPCC/FPCT</w:t>
      </w:r>
      <w:bookmarkEnd w:id="7"/>
    </w:p>
    <w:p w14:paraId="6D935A0F" w14:textId="77777777" w:rsidR="00A44A2A" w:rsidRPr="00943FAD" w:rsidRDefault="00000000">
      <w:pPr>
        <w:pStyle w:val="FirstParagraph"/>
        <w:rPr>
          <w:lang w:val="fr-FR"/>
        </w:rPr>
      </w:pPr>
      <w:r w:rsidRPr="00943FAD">
        <w:rPr>
          <w:lang w:val="fr-FR"/>
        </w:rPr>
        <w:t>Ces titres sont valoriser à leur dernière valeur connue avant la date d’inventaire.</w:t>
      </w:r>
    </w:p>
    <w:p w14:paraId="48F2DB53" w14:textId="77777777" w:rsidR="00A44A2A" w:rsidRPr="00943FAD" w:rsidRDefault="00000000">
      <w:pPr>
        <w:pStyle w:val="Heading3"/>
        <w:rPr>
          <w:lang w:val="fr-FR"/>
        </w:rPr>
      </w:pPr>
      <w:bookmarkStart w:id="8" w:name="les-obligations-et-bons"/>
      <w:bookmarkStart w:id="9" w:name="_Toc131761969"/>
      <w:bookmarkEnd w:id="6"/>
      <w:r w:rsidRPr="00943FAD">
        <w:rPr>
          <w:lang w:val="fr-FR"/>
        </w:rPr>
        <w:t>1.4 Les obligations et bons</w:t>
      </w:r>
      <w:bookmarkEnd w:id="9"/>
    </w:p>
    <w:p w14:paraId="27D4CBF5" w14:textId="77777777" w:rsidR="00A44A2A" w:rsidRPr="00943FAD" w:rsidRDefault="00000000">
      <w:pPr>
        <w:pStyle w:val="FirstParagraph"/>
        <w:rPr>
          <w:lang w:val="fr-FR"/>
        </w:rPr>
      </w:pPr>
      <w:r w:rsidRPr="00943FAD">
        <w:rPr>
          <w:lang w:val="fr-FR"/>
        </w:rPr>
        <w:t>Ils sont valorisés par leur valeur de marché. Ce dernier est calculé par un modèle d’évaluation flux futurs actualisés communément admis sur la base de la courbe des taux de référence publiée quotidiennement par Bank Al-Maghrib (en tenant en compte la prime de risque associé). Ci-après un code permettant de télécharger ces données directement sur le site de la BAM.</w:t>
      </w:r>
    </w:p>
    <w:p w14:paraId="29A13073" w14:textId="77777777" w:rsidR="00A44A2A" w:rsidRDefault="00000000">
      <w:pPr>
        <w:pStyle w:val="SourceCode"/>
      </w:pPr>
      <w:r>
        <w:rPr>
          <w:rStyle w:val="FunctionTok"/>
        </w:rPr>
        <w:t>library</w:t>
      </w:r>
      <w:r>
        <w:rPr>
          <w:rStyle w:val="NormalTok"/>
        </w:rPr>
        <w:t>(rvest)</w:t>
      </w:r>
      <w:r>
        <w:br/>
      </w:r>
      <w:r>
        <w:rPr>
          <w:rStyle w:val="NormalTok"/>
        </w:rPr>
        <w:t xml:space="preserve">link </w:t>
      </w:r>
      <w:r>
        <w:rPr>
          <w:rStyle w:val="OtherTok"/>
        </w:rPr>
        <w:t>=</w:t>
      </w:r>
      <w:r>
        <w:rPr>
          <w:rStyle w:val="NormalTok"/>
        </w:rPr>
        <w:t xml:space="preserve"> </w:t>
      </w:r>
      <w:r>
        <w:rPr>
          <w:rStyle w:val="StringTok"/>
        </w:rPr>
        <w:t>"https://www.bkam.ma/Marches/Principaux-indicateurs/Marche-obligataire/Marche-des-bons-de-tresor/Marche-secondaire/Taux-de-reference-des-bons-du-tresor?date=30%2F12%2F2022&amp;block=e1d6b9bbf87f86f8ba53e8518e882982#address-c3367fcefc5f524397748201aee5dab8-e1d6b9bbf87f86f8ba53e8518e882982"</w:t>
      </w:r>
      <w:r>
        <w:br/>
      </w:r>
      <w:r>
        <w:br/>
      </w:r>
      <w:r>
        <w:rPr>
          <w:rStyle w:val="NormalTok"/>
        </w:rPr>
        <w:t xml:space="preserve">TR </w:t>
      </w:r>
      <w:r>
        <w:rPr>
          <w:rStyle w:val="OtherTok"/>
        </w:rPr>
        <w:t>=</w:t>
      </w:r>
      <w:r>
        <w:rPr>
          <w:rStyle w:val="NormalTok"/>
        </w:rPr>
        <w:t xml:space="preserve"> </w:t>
      </w:r>
      <w:r>
        <w:rPr>
          <w:rStyle w:val="FunctionTok"/>
        </w:rPr>
        <w:t>read_html</w:t>
      </w:r>
      <w:r>
        <w:rPr>
          <w:rStyle w:val="NormalTok"/>
        </w:rPr>
        <w:t xml:space="preserve">(link) </w:t>
      </w:r>
      <w:r>
        <w:rPr>
          <w:rStyle w:val="SpecialCharTok"/>
        </w:rPr>
        <w:t>%&gt;%</w:t>
      </w:r>
      <w:r>
        <w:rPr>
          <w:rStyle w:val="NormalTok"/>
        </w:rPr>
        <w:t xml:space="preserve"> </w:t>
      </w:r>
      <w:r>
        <w:br/>
      </w:r>
      <w:r>
        <w:rPr>
          <w:rStyle w:val="NormalTok"/>
        </w:rPr>
        <w:t xml:space="preserve">  </w:t>
      </w:r>
      <w:r>
        <w:rPr>
          <w:rStyle w:val="FunctionTok"/>
        </w:rPr>
        <w:t>html_element</w:t>
      </w:r>
      <w:r>
        <w:rPr>
          <w:rStyle w:val="NormalTok"/>
        </w:rPr>
        <w:t>(</w:t>
      </w:r>
      <w:r>
        <w:rPr>
          <w:rStyle w:val="StringTok"/>
        </w:rPr>
        <w:t>"table"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html_table</w:t>
      </w:r>
      <w:r>
        <w:rPr>
          <w:rStyle w:val="NormalTok"/>
        </w:rPr>
        <w:t>()</w:t>
      </w:r>
    </w:p>
    <w:p w14:paraId="27CC7954" w14:textId="77777777" w:rsidR="00A44A2A" w:rsidRPr="00943FAD" w:rsidRDefault="00000000">
      <w:pPr>
        <w:pStyle w:val="TableCaption"/>
        <w:rPr>
          <w:lang w:val="fr-FR"/>
        </w:rPr>
      </w:pPr>
      <w:bookmarkStart w:id="10" w:name="tbl-taux_ref"/>
      <w:r w:rsidRPr="00943FAD">
        <w:rPr>
          <w:lang w:val="fr-FR"/>
        </w:rPr>
        <w:t>Table 1: Taux de référence des bons du Trésor du 30/12/2022</w:t>
      </w:r>
    </w:p>
    <w:tbl>
      <w:tblPr>
        <w:tblStyle w:val="Table"/>
        <w:tblW w:w="0" w:type="auto"/>
        <w:tblLook w:val="0020" w:firstRow="1" w:lastRow="0" w:firstColumn="0" w:lastColumn="0" w:noHBand="0" w:noVBand="0"/>
        <w:tblCaption w:val="Table 1: Taux de référence des bons du Trésor du 30/12/2022"/>
      </w:tblPr>
      <w:tblGrid>
        <w:gridCol w:w="1880"/>
        <w:gridCol w:w="1445"/>
        <w:gridCol w:w="2391"/>
        <w:gridCol w:w="1934"/>
      </w:tblGrid>
      <w:tr w:rsidR="00A44A2A" w14:paraId="75B4D39E" w14:textId="77777777" w:rsidTr="00A44A2A">
        <w:trPr>
          <w:cnfStyle w:val="100000000000" w:firstRow="1" w:lastRow="0" w:firstColumn="0" w:lastColumn="0" w:oddVBand="0" w:evenVBand="0" w:oddHBand="0" w:evenHBand="0" w:firstRowFirstColumn="0" w:firstRowLastColumn="0" w:lastRowFirstColumn="0" w:lastRowLastColumn="0"/>
          <w:tblHeader/>
        </w:trPr>
        <w:tc>
          <w:tcPr>
            <w:tcW w:w="0" w:type="auto"/>
          </w:tcPr>
          <w:p w14:paraId="6A576547" w14:textId="77777777" w:rsidR="00A44A2A" w:rsidRDefault="00000000">
            <w:pPr>
              <w:pStyle w:val="Compact"/>
            </w:pPr>
            <w:r>
              <w:t>Date d'échéance</w:t>
            </w:r>
          </w:p>
        </w:tc>
        <w:tc>
          <w:tcPr>
            <w:tcW w:w="0" w:type="auto"/>
          </w:tcPr>
          <w:p w14:paraId="35D545DC" w14:textId="77777777" w:rsidR="00A44A2A" w:rsidRDefault="00000000">
            <w:pPr>
              <w:pStyle w:val="Compact"/>
            </w:pPr>
            <w:r>
              <w:t>Transaction</w:t>
            </w:r>
          </w:p>
        </w:tc>
        <w:tc>
          <w:tcPr>
            <w:tcW w:w="0" w:type="auto"/>
          </w:tcPr>
          <w:p w14:paraId="51E5E66E" w14:textId="77777777" w:rsidR="00A44A2A" w:rsidRDefault="00000000">
            <w:pPr>
              <w:pStyle w:val="Compact"/>
            </w:pPr>
            <w:r>
              <w:t>Taux moyen pondéré</w:t>
            </w:r>
          </w:p>
        </w:tc>
        <w:tc>
          <w:tcPr>
            <w:tcW w:w="0" w:type="auto"/>
          </w:tcPr>
          <w:p w14:paraId="7BC5FE2C" w14:textId="77777777" w:rsidR="00A44A2A" w:rsidRDefault="00000000">
            <w:pPr>
              <w:pStyle w:val="Compact"/>
            </w:pPr>
            <w:r>
              <w:t>Date de la valeur</w:t>
            </w:r>
          </w:p>
        </w:tc>
      </w:tr>
      <w:tr w:rsidR="00A44A2A" w14:paraId="0DD40C94" w14:textId="77777777">
        <w:tc>
          <w:tcPr>
            <w:tcW w:w="0" w:type="auto"/>
          </w:tcPr>
          <w:p w14:paraId="35275B7F" w14:textId="77777777" w:rsidR="00A44A2A" w:rsidRDefault="00000000">
            <w:pPr>
              <w:pStyle w:val="Compact"/>
            </w:pPr>
            <w:r>
              <w:t>13/01/2023</w:t>
            </w:r>
          </w:p>
        </w:tc>
        <w:tc>
          <w:tcPr>
            <w:tcW w:w="0" w:type="auto"/>
          </w:tcPr>
          <w:p w14:paraId="41EDDDCB" w14:textId="77777777" w:rsidR="00A44A2A" w:rsidRDefault="00000000">
            <w:pPr>
              <w:pStyle w:val="Compact"/>
            </w:pPr>
            <w:r>
              <w:t>322,40</w:t>
            </w:r>
          </w:p>
        </w:tc>
        <w:tc>
          <w:tcPr>
            <w:tcW w:w="0" w:type="auto"/>
          </w:tcPr>
          <w:p w14:paraId="5D629999" w14:textId="77777777" w:rsidR="00A44A2A" w:rsidRDefault="00000000">
            <w:pPr>
              <w:pStyle w:val="Compact"/>
            </w:pPr>
            <w:r>
              <w:t>2,948 %</w:t>
            </w:r>
          </w:p>
        </w:tc>
        <w:tc>
          <w:tcPr>
            <w:tcW w:w="0" w:type="auto"/>
          </w:tcPr>
          <w:p w14:paraId="2AAB6F28" w14:textId="77777777" w:rsidR="00A44A2A" w:rsidRDefault="00000000">
            <w:pPr>
              <w:pStyle w:val="Compact"/>
            </w:pPr>
            <w:r>
              <w:t>30/12/2022</w:t>
            </w:r>
          </w:p>
        </w:tc>
      </w:tr>
      <w:tr w:rsidR="00A44A2A" w14:paraId="580680DF" w14:textId="77777777">
        <w:tc>
          <w:tcPr>
            <w:tcW w:w="0" w:type="auto"/>
          </w:tcPr>
          <w:p w14:paraId="1AF34257" w14:textId="77777777" w:rsidR="00A44A2A" w:rsidRDefault="00000000">
            <w:pPr>
              <w:pStyle w:val="Compact"/>
            </w:pPr>
            <w:r>
              <w:t>23/01/2023</w:t>
            </w:r>
          </w:p>
        </w:tc>
        <w:tc>
          <w:tcPr>
            <w:tcW w:w="0" w:type="auto"/>
          </w:tcPr>
          <w:p w14:paraId="0144BC68" w14:textId="77777777" w:rsidR="00A44A2A" w:rsidRDefault="00000000">
            <w:pPr>
              <w:pStyle w:val="Compact"/>
            </w:pPr>
            <w:r>
              <w:t>120,47</w:t>
            </w:r>
          </w:p>
        </w:tc>
        <w:tc>
          <w:tcPr>
            <w:tcW w:w="0" w:type="auto"/>
          </w:tcPr>
          <w:p w14:paraId="44FC891E" w14:textId="77777777" w:rsidR="00A44A2A" w:rsidRDefault="00000000">
            <w:pPr>
              <w:pStyle w:val="Compact"/>
            </w:pPr>
            <w:r>
              <w:t>2,930 %</w:t>
            </w:r>
          </w:p>
        </w:tc>
        <w:tc>
          <w:tcPr>
            <w:tcW w:w="0" w:type="auto"/>
          </w:tcPr>
          <w:p w14:paraId="27252B9A" w14:textId="77777777" w:rsidR="00A44A2A" w:rsidRDefault="00000000">
            <w:pPr>
              <w:pStyle w:val="Compact"/>
            </w:pPr>
            <w:r>
              <w:t>30/12/2022</w:t>
            </w:r>
          </w:p>
        </w:tc>
      </w:tr>
      <w:tr w:rsidR="00A44A2A" w14:paraId="6CEA58F6" w14:textId="77777777">
        <w:tc>
          <w:tcPr>
            <w:tcW w:w="0" w:type="auto"/>
          </w:tcPr>
          <w:p w14:paraId="0C8AC142" w14:textId="77777777" w:rsidR="00A44A2A" w:rsidRDefault="00000000">
            <w:pPr>
              <w:pStyle w:val="Compact"/>
            </w:pPr>
            <w:r>
              <w:t>06/03/2023</w:t>
            </w:r>
          </w:p>
        </w:tc>
        <w:tc>
          <w:tcPr>
            <w:tcW w:w="0" w:type="auto"/>
          </w:tcPr>
          <w:p w14:paraId="4224B713" w14:textId="77777777" w:rsidR="00A44A2A" w:rsidRDefault="00000000">
            <w:pPr>
              <w:pStyle w:val="Compact"/>
            </w:pPr>
            <w:r>
              <w:t>30,15</w:t>
            </w:r>
          </w:p>
        </w:tc>
        <w:tc>
          <w:tcPr>
            <w:tcW w:w="0" w:type="auto"/>
          </w:tcPr>
          <w:p w14:paraId="1590334A" w14:textId="77777777" w:rsidR="00A44A2A" w:rsidRDefault="00000000">
            <w:pPr>
              <w:pStyle w:val="Compact"/>
            </w:pPr>
            <w:r>
              <w:t>2,942 %</w:t>
            </w:r>
          </w:p>
        </w:tc>
        <w:tc>
          <w:tcPr>
            <w:tcW w:w="0" w:type="auto"/>
          </w:tcPr>
          <w:p w14:paraId="580C5A20" w14:textId="77777777" w:rsidR="00A44A2A" w:rsidRDefault="00000000">
            <w:pPr>
              <w:pStyle w:val="Compact"/>
            </w:pPr>
            <w:r>
              <w:t>30/12/2022</w:t>
            </w:r>
          </w:p>
        </w:tc>
      </w:tr>
      <w:tr w:rsidR="00A44A2A" w14:paraId="114896C0" w14:textId="77777777">
        <w:tc>
          <w:tcPr>
            <w:tcW w:w="0" w:type="auto"/>
          </w:tcPr>
          <w:p w14:paraId="7563BF50" w14:textId="77777777" w:rsidR="00A44A2A" w:rsidRDefault="00000000">
            <w:pPr>
              <w:pStyle w:val="Compact"/>
            </w:pPr>
            <w:r>
              <w:t>22/05/2023</w:t>
            </w:r>
          </w:p>
        </w:tc>
        <w:tc>
          <w:tcPr>
            <w:tcW w:w="0" w:type="auto"/>
          </w:tcPr>
          <w:p w14:paraId="0EAF5A46" w14:textId="77777777" w:rsidR="00A44A2A" w:rsidRDefault="00000000">
            <w:pPr>
              <w:pStyle w:val="Compact"/>
            </w:pPr>
            <w:r>
              <w:t>168,01</w:t>
            </w:r>
          </w:p>
        </w:tc>
        <w:tc>
          <w:tcPr>
            <w:tcW w:w="0" w:type="auto"/>
          </w:tcPr>
          <w:p w14:paraId="7826ECCB" w14:textId="77777777" w:rsidR="00A44A2A" w:rsidRDefault="00000000">
            <w:pPr>
              <w:pStyle w:val="Compact"/>
            </w:pPr>
            <w:r>
              <w:t>3,172 %</w:t>
            </w:r>
          </w:p>
        </w:tc>
        <w:tc>
          <w:tcPr>
            <w:tcW w:w="0" w:type="auto"/>
          </w:tcPr>
          <w:p w14:paraId="08571EE3" w14:textId="77777777" w:rsidR="00A44A2A" w:rsidRDefault="00000000">
            <w:pPr>
              <w:pStyle w:val="Compact"/>
            </w:pPr>
            <w:r>
              <w:t>30/12/2022</w:t>
            </w:r>
          </w:p>
        </w:tc>
      </w:tr>
      <w:tr w:rsidR="00A44A2A" w14:paraId="1608121A" w14:textId="77777777">
        <w:tc>
          <w:tcPr>
            <w:tcW w:w="0" w:type="auto"/>
          </w:tcPr>
          <w:p w14:paraId="28CC04A4" w14:textId="77777777" w:rsidR="00A44A2A" w:rsidRDefault="00000000">
            <w:pPr>
              <w:pStyle w:val="Compact"/>
            </w:pPr>
            <w:r>
              <w:t>19/06/2023</w:t>
            </w:r>
          </w:p>
        </w:tc>
        <w:tc>
          <w:tcPr>
            <w:tcW w:w="0" w:type="auto"/>
          </w:tcPr>
          <w:p w14:paraId="35DAC698" w14:textId="77777777" w:rsidR="00A44A2A" w:rsidRDefault="00000000">
            <w:pPr>
              <w:pStyle w:val="Compact"/>
            </w:pPr>
            <w:r>
              <w:t>829,46</w:t>
            </w:r>
          </w:p>
        </w:tc>
        <w:tc>
          <w:tcPr>
            <w:tcW w:w="0" w:type="auto"/>
          </w:tcPr>
          <w:p w14:paraId="250185D8" w14:textId="77777777" w:rsidR="00A44A2A" w:rsidRDefault="00000000">
            <w:pPr>
              <w:pStyle w:val="Compact"/>
            </w:pPr>
            <w:r>
              <w:t>3,008 %</w:t>
            </w:r>
          </w:p>
        </w:tc>
        <w:tc>
          <w:tcPr>
            <w:tcW w:w="0" w:type="auto"/>
          </w:tcPr>
          <w:p w14:paraId="46787407" w14:textId="77777777" w:rsidR="00A44A2A" w:rsidRDefault="00000000">
            <w:pPr>
              <w:pStyle w:val="Compact"/>
            </w:pPr>
            <w:r>
              <w:t>30/12/2022</w:t>
            </w:r>
          </w:p>
        </w:tc>
      </w:tr>
      <w:tr w:rsidR="00A44A2A" w14:paraId="3C2E7518" w14:textId="77777777">
        <w:tc>
          <w:tcPr>
            <w:tcW w:w="0" w:type="auto"/>
          </w:tcPr>
          <w:p w14:paraId="4EAB35F4" w14:textId="77777777" w:rsidR="00A44A2A" w:rsidRDefault="00000000">
            <w:pPr>
              <w:pStyle w:val="Compact"/>
            </w:pPr>
            <w:r>
              <w:t>17/07/2023</w:t>
            </w:r>
          </w:p>
        </w:tc>
        <w:tc>
          <w:tcPr>
            <w:tcW w:w="0" w:type="auto"/>
          </w:tcPr>
          <w:p w14:paraId="1941A88F" w14:textId="77777777" w:rsidR="00A44A2A" w:rsidRDefault="00000000">
            <w:pPr>
              <w:pStyle w:val="Compact"/>
            </w:pPr>
            <w:r>
              <w:t>210,28</w:t>
            </w:r>
          </w:p>
        </w:tc>
        <w:tc>
          <w:tcPr>
            <w:tcW w:w="0" w:type="auto"/>
          </w:tcPr>
          <w:p w14:paraId="06EC4467" w14:textId="77777777" w:rsidR="00A44A2A" w:rsidRDefault="00000000">
            <w:pPr>
              <w:pStyle w:val="Compact"/>
            </w:pPr>
            <w:r>
              <w:t>3,002 %</w:t>
            </w:r>
          </w:p>
        </w:tc>
        <w:tc>
          <w:tcPr>
            <w:tcW w:w="0" w:type="auto"/>
          </w:tcPr>
          <w:p w14:paraId="3108DDB7" w14:textId="77777777" w:rsidR="00A44A2A" w:rsidRDefault="00000000">
            <w:pPr>
              <w:pStyle w:val="Compact"/>
            </w:pPr>
            <w:r>
              <w:t>30/12/2022</w:t>
            </w:r>
          </w:p>
        </w:tc>
      </w:tr>
      <w:tr w:rsidR="00A44A2A" w14:paraId="05A362AB" w14:textId="77777777">
        <w:tc>
          <w:tcPr>
            <w:tcW w:w="0" w:type="auto"/>
          </w:tcPr>
          <w:p w14:paraId="5D4EFBB9" w14:textId="77777777" w:rsidR="00A44A2A" w:rsidRDefault="00000000">
            <w:pPr>
              <w:pStyle w:val="Compact"/>
            </w:pPr>
            <w:r>
              <w:t>05/08/2023</w:t>
            </w:r>
          </w:p>
        </w:tc>
        <w:tc>
          <w:tcPr>
            <w:tcW w:w="0" w:type="auto"/>
          </w:tcPr>
          <w:p w14:paraId="3A1BD886" w14:textId="77777777" w:rsidR="00A44A2A" w:rsidRDefault="00000000">
            <w:pPr>
              <w:pStyle w:val="Compact"/>
            </w:pPr>
            <w:r>
              <w:t>116,18</w:t>
            </w:r>
          </w:p>
        </w:tc>
        <w:tc>
          <w:tcPr>
            <w:tcW w:w="0" w:type="auto"/>
          </w:tcPr>
          <w:p w14:paraId="594E713B" w14:textId="77777777" w:rsidR="00A44A2A" w:rsidRDefault="00000000">
            <w:pPr>
              <w:pStyle w:val="Compact"/>
            </w:pPr>
            <w:r>
              <w:t>3,016 %</w:t>
            </w:r>
          </w:p>
        </w:tc>
        <w:tc>
          <w:tcPr>
            <w:tcW w:w="0" w:type="auto"/>
          </w:tcPr>
          <w:p w14:paraId="315ADB7F" w14:textId="77777777" w:rsidR="00A44A2A" w:rsidRDefault="00000000">
            <w:pPr>
              <w:pStyle w:val="Compact"/>
            </w:pPr>
            <w:r>
              <w:t>30/12/2022</w:t>
            </w:r>
          </w:p>
        </w:tc>
      </w:tr>
      <w:tr w:rsidR="00A44A2A" w14:paraId="5C433952" w14:textId="77777777">
        <w:tc>
          <w:tcPr>
            <w:tcW w:w="0" w:type="auto"/>
          </w:tcPr>
          <w:p w14:paraId="680CF131" w14:textId="77777777" w:rsidR="00A44A2A" w:rsidRDefault="00000000">
            <w:pPr>
              <w:pStyle w:val="Compact"/>
            </w:pPr>
            <w:r>
              <w:lastRenderedPageBreak/>
              <w:t>11/09/2023</w:t>
            </w:r>
          </w:p>
        </w:tc>
        <w:tc>
          <w:tcPr>
            <w:tcW w:w="0" w:type="auto"/>
          </w:tcPr>
          <w:p w14:paraId="538DD20C" w14:textId="77777777" w:rsidR="00A44A2A" w:rsidRDefault="00000000">
            <w:pPr>
              <w:pStyle w:val="Compact"/>
            </w:pPr>
            <w:r>
              <w:t>349,31</w:t>
            </w:r>
          </w:p>
        </w:tc>
        <w:tc>
          <w:tcPr>
            <w:tcW w:w="0" w:type="auto"/>
          </w:tcPr>
          <w:p w14:paraId="02BFE9C2" w14:textId="77777777" w:rsidR="00A44A2A" w:rsidRDefault="00000000">
            <w:pPr>
              <w:pStyle w:val="Compact"/>
            </w:pPr>
            <w:r>
              <w:t>3,045 %</w:t>
            </w:r>
          </w:p>
        </w:tc>
        <w:tc>
          <w:tcPr>
            <w:tcW w:w="0" w:type="auto"/>
          </w:tcPr>
          <w:p w14:paraId="17777153" w14:textId="77777777" w:rsidR="00A44A2A" w:rsidRDefault="00000000">
            <w:pPr>
              <w:pStyle w:val="Compact"/>
            </w:pPr>
            <w:r>
              <w:t>30/12/2022</w:t>
            </w:r>
          </w:p>
        </w:tc>
      </w:tr>
      <w:tr w:rsidR="00A44A2A" w14:paraId="4EECCDA2" w14:textId="77777777">
        <w:tc>
          <w:tcPr>
            <w:tcW w:w="0" w:type="auto"/>
          </w:tcPr>
          <w:p w14:paraId="19FAEA2A" w14:textId="77777777" w:rsidR="00A44A2A" w:rsidRDefault="00000000">
            <w:pPr>
              <w:pStyle w:val="Compact"/>
            </w:pPr>
            <w:r>
              <w:t>16/10/2023</w:t>
            </w:r>
          </w:p>
        </w:tc>
        <w:tc>
          <w:tcPr>
            <w:tcW w:w="0" w:type="auto"/>
          </w:tcPr>
          <w:p w14:paraId="49F60BE6" w14:textId="77777777" w:rsidR="00A44A2A" w:rsidRDefault="00000000">
            <w:pPr>
              <w:pStyle w:val="Compact"/>
            </w:pPr>
            <w:r>
              <w:t>57,86</w:t>
            </w:r>
          </w:p>
        </w:tc>
        <w:tc>
          <w:tcPr>
            <w:tcW w:w="0" w:type="auto"/>
          </w:tcPr>
          <w:p w14:paraId="7F334AB2" w14:textId="77777777" w:rsidR="00A44A2A" w:rsidRDefault="00000000">
            <w:pPr>
              <w:pStyle w:val="Compact"/>
            </w:pPr>
            <w:r>
              <w:t>3,130 %</w:t>
            </w:r>
          </w:p>
        </w:tc>
        <w:tc>
          <w:tcPr>
            <w:tcW w:w="0" w:type="auto"/>
          </w:tcPr>
          <w:p w14:paraId="6DC58E31" w14:textId="77777777" w:rsidR="00A44A2A" w:rsidRDefault="00000000">
            <w:pPr>
              <w:pStyle w:val="Compact"/>
            </w:pPr>
            <w:r>
              <w:t>30/12/2022</w:t>
            </w:r>
          </w:p>
        </w:tc>
      </w:tr>
      <w:tr w:rsidR="00A44A2A" w14:paraId="29C7CB80" w14:textId="77777777">
        <w:tc>
          <w:tcPr>
            <w:tcW w:w="0" w:type="auto"/>
          </w:tcPr>
          <w:p w14:paraId="6D99A5FA" w14:textId="77777777" w:rsidR="00A44A2A" w:rsidRDefault="00000000">
            <w:pPr>
              <w:pStyle w:val="Compact"/>
            </w:pPr>
            <w:r>
              <w:t>15/01/2024</w:t>
            </w:r>
          </w:p>
        </w:tc>
        <w:tc>
          <w:tcPr>
            <w:tcW w:w="0" w:type="auto"/>
          </w:tcPr>
          <w:p w14:paraId="3A8157C4" w14:textId="77777777" w:rsidR="00A44A2A" w:rsidRDefault="00000000">
            <w:pPr>
              <w:pStyle w:val="Compact"/>
            </w:pPr>
            <w:r>
              <w:t>62,41</w:t>
            </w:r>
          </w:p>
        </w:tc>
        <w:tc>
          <w:tcPr>
            <w:tcW w:w="0" w:type="auto"/>
          </w:tcPr>
          <w:p w14:paraId="0F10BC12" w14:textId="77777777" w:rsidR="00A44A2A" w:rsidRDefault="00000000">
            <w:pPr>
              <w:pStyle w:val="Compact"/>
            </w:pPr>
            <w:r>
              <w:t>2,967 %</w:t>
            </w:r>
          </w:p>
        </w:tc>
        <w:tc>
          <w:tcPr>
            <w:tcW w:w="0" w:type="auto"/>
          </w:tcPr>
          <w:p w14:paraId="100BA50E" w14:textId="77777777" w:rsidR="00A44A2A" w:rsidRDefault="00000000">
            <w:pPr>
              <w:pStyle w:val="Compact"/>
            </w:pPr>
            <w:r>
              <w:t>30/12/2022</w:t>
            </w:r>
          </w:p>
        </w:tc>
      </w:tr>
    </w:tbl>
    <w:p w14:paraId="70D6B6ED" w14:textId="77777777" w:rsidR="00A44A2A" w:rsidRDefault="00000000">
      <w:pPr>
        <w:pStyle w:val="Heading2"/>
      </w:pPr>
      <w:bookmarkStart w:id="11" w:name="provisions-techniques-prudentielles"/>
      <w:bookmarkStart w:id="12" w:name="_Toc131761970"/>
      <w:bookmarkEnd w:id="0"/>
      <w:bookmarkEnd w:id="8"/>
      <w:bookmarkEnd w:id="10"/>
      <w:r>
        <w:t>2 Provisions techniques prudentielles</w:t>
      </w:r>
      <w:bookmarkEnd w:id="12"/>
    </w:p>
    <w:p w14:paraId="7834A299" w14:textId="77777777" w:rsidR="00A44A2A" w:rsidRPr="00943FAD" w:rsidRDefault="00000000">
      <w:pPr>
        <w:pStyle w:val="FirstParagraph"/>
        <w:rPr>
          <w:lang w:val="fr-FR"/>
        </w:rPr>
      </w:pPr>
      <w:r w:rsidRPr="00943FAD">
        <w:rPr>
          <w:lang w:val="fr-FR"/>
        </w:rPr>
        <w:t>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14:paraId="164EB534" w14:textId="77777777" w:rsidR="00A44A2A" w:rsidRPr="00943FAD" w:rsidRDefault="00000000">
      <w:pPr>
        <w:pStyle w:val="BodyText"/>
        <w:rPr>
          <w:lang w:val="fr-FR"/>
        </w:rPr>
      </w:pPr>
      <w:r w:rsidRPr="00943FAD">
        <w:rPr>
          <w:lang w:val="fr-FR"/>
        </w:rPr>
        <w:t>Elles sont évaluées comme suit :</w:t>
      </w:r>
    </w:p>
    <w:p w14:paraId="648A5BD6" w14:textId="77777777" w:rsidR="00A44A2A" w:rsidRDefault="00000000">
      <w:pPr>
        <w:pStyle w:val="BodyText"/>
      </w:pPr>
      <m:oMathPara>
        <m:oMathParaPr>
          <m:jc m:val="center"/>
        </m:oMathParaPr>
        <m:oMath>
          <m:r>
            <w:rPr>
              <w:rFonts w:ascii="Cambria Math" w:hAnsi="Cambria Math"/>
            </w:rPr>
            <m:t>PT</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engagement</m:t>
              </m:r>
            </m:sub>
          </m:sSub>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r>
            <m:rPr>
              <m:sty m:val="p"/>
            </m:rPr>
            <w:rPr>
              <w:rFonts w:ascii="Cambria Math" w:hAnsi="Cambria Math"/>
            </w:rPr>
            <m:t>+</m:t>
          </m:r>
          <m:r>
            <w:rPr>
              <w:rFonts w:ascii="Cambria Math" w:hAnsi="Cambria Math"/>
            </w:rPr>
            <m:t>MargeRisque</m:t>
          </m:r>
        </m:oMath>
      </m:oMathPara>
    </w:p>
    <w:p w14:paraId="2AF219AE" w14:textId="77777777" w:rsidR="00A44A2A" w:rsidRDefault="00000000">
      <w:pPr>
        <w:pStyle w:val="FirstParagraph"/>
      </w:pPr>
      <w:r>
        <w:t>Avec :</w:t>
      </w:r>
    </w:p>
    <w:p w14:paraId="24CFE222" w14:textId="77777777" w:rsidR="00A44A2A" w:rsidRDefault="00000000">
      <w:pPr>
        <w:pStyle w:val="Compact"/>
        <w:numPr>
          <w:ilvl w:val="0"/>
          <w:numId w:val="3"/>
        </w:numPr>
      </w:pPr>
      <m:oMath>
        <m:r>
          <w:rPr>
            <w:rFonts w:ascii="Cambria Math" w:hAnsi="Cambria Math"/>
          </w:rPr>
          <m:t>PT</m:t>
        </m:r>
      </m:oMath>
      <w:r>
        <w:t>: la provision technique</w:t>
      </w:r>
    </w:p>
    <w:p w14:paraId="5622F57C" w14:textId="77777777" w:rsidR="00A44A2A" w:rsidRPr="00943FAD" w:rsidRDefault="00000000">
      <w:pPr>
        <w:pStyle w:val="Compact"/>
        <w:numPr>
          <w:ilvl w:val="0"/>
          <w:numId w:val="3"/>
        </w:numPr>
        <w:rPr>
          <w:lang w:val="fr-FR"/>
        </w:rPr>
      </w:p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engagement</m:t>
            </m:r>
          </m:sub>
        </m:sSub>
      </m:oMath>
      <w:r w:rsidRPr="00943FAD">
        <w:rPr>
          <w:lang w:val="fr-FR"/>
        </w:rPr>
        <w:t>: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 -</w:t>
      </w: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oMath>
      <w:r w:rsidRPr="00943FAD">
        <w:rPr>
          <w:lang w:val="fr-FR"/>
        </w:rPr>
        <w:t xml:space="preserve"> : La meilleure estimation des frais de gestion correspond à la somme probabilisée et actualisée des flux de frais de gestion des contrats et déterminée, selon la nature des opérations d’assurance.</w:t>
      </w:r>
    </w:p>
    <w:p w14:paraId="16308CA9" w14:textId="77777777" w:rsidR="00A44A2A" w:rsidRPr="00943FAD" w:rsidRDefault="00000000">
      <w:pPr>
        <w:pStyle w:val="Compact"/>
        <w:numPr>
          <w:ilvl w:val="0"/>
          <w:numId w:val="3"/>
        </w:numPr>
        <w:rPr>
          <w:lang w:val="fr-FR"/>
        </w:rPr>
      </w:pPr>
      <m:oMath>
        <m:r>
          <w:rPr>
            <w:rFonts w:ascii="Cambria Math" w:hAnsi="Cambria Math"/>
          </w:rPr>
          <m:t>MargeRisque</m:t>
        </m:r>
      </m:oMath>
      <w:r w:rsidRPr="00943FAD">
        <w:rPr>
          <w:lang w:val="fr-FR"/>
        </w:rPr>
        <w:t>: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p w14:paraId="5F90F779" w14:textId="77777777" w:rsidR="00A44A2A" w:rsidRPr="00943FAD" w:rsidRDefault="00000000">
      <w:pPr>
        <w:pStyle w:val="Heading3"/>
        <w:rPr>
          <w:lang w:val="fr-FR"/>
        </w:rPr>
      </w:pPr>
      <w:bookmarkStart w:id="13" w:name="X32462c7e3a0a11848884f7548d4747bc280232c"/>
      <w:bookmarkStart w:id="14" w:name="_Toc131761971"/>
      <w:r w:rsidRPr="00943FAD">
        <w:rPr>
          <w:lang w:val="fr-FR"/>
        </w:rPr>
        <w:t>2.1 Opérations d’assurance vie, décès ou capitalisation</w:t>
      </w:r>
      <w:bookmarkEnd w:id="14"/>
    </w:p>
    <w:p w14:paraId="5772D31E" w14:textId="77777777" w:rsidR="00A44A2A" w:rsidRPr="00943FAD" w:rsidRDefault="00000000">
      <w:pPr>
        <w:pStyle w:val="Heading4"/>
        <w:rPr>
          <w:lang w:val="fr-FR"/>
        </w:rPr>
      </w:pPr>
      <w:bookmarkStart w:id="15" w:name="Xc53c51e1abf3296dd0041db77db5363caf8f222"/>
      <w:r w:rsidRPr="00943FAD">
        <w:rPr>
          <w:lang w:val="fr-FR"/>
        </w:rPr>
        <w:t>2.1.1 Meilleure estimations des engagements (</w:t>
      </w: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engagement</m:t>
            </m:r>
          </m:sub>
        </m:sSub>
      </m:oMath>
      <w:r w:rsidRPr="00943FAD">
        <w:rPr>
          <w:lang w:val="fr-FR"/>
        </w:rPr>
        <w:t>)</w:t>
      </w:r>
    </w:p>
    <w:p w14:paraId="6B1A10E5" w14:textId="77777777" w:rsidR="00A44A2A" w:rsidRDefault="00000000">
      <w:pPr>
        <w:pStyle w:val="FirstParagraph"/>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vie</m:t>
              </m:r>
            </m:sub>
          </m:sSub>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engagement</m:t>
              </m:r>
            </m:sup>
          </m:sSup>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r>
            <m:rPr>
              <m:sty m:val="p"/>
            </m:rPr>
            <w:rPr>
              <w:rFonts w:ascii="Cambria Math" w:hAnsi="Cambria Math"/>
            </w:rPr>
            <m:t>+</m:t>
          </m:r>
          <m:r>
            <w:rPr>
              <w:rFonts w:ascii="Cambria Math" w:hAnsi="Cambria Math"/>
            </w:rPr>
            <m:t>BDF</m:t>
          </m:r>
        </m:oMath>
      </m:oMathPara>
    </w:p>
    <w:p w14:paraId="620709B7" w14:textId="77777777" w:rsidR="00A44A2A" w:rsidRDefault="00000000">
      <w:pPr>
        <w:pStyle w:val="FirstParagraph"/>
      </w:pPr>
      <w:r>
        <w:t>Avec :</w:t>
      </w:r>
    </w:p>
    <w:p w14:paraId="430C9A4E" w14:textId="77777777" w:rsidR="00A44A2A" w:rsidRPr="00943FAD" w:rsidRDefault="00000000">
      <w:pPr>
        <w:pStyle w:val="Compact"/>
        <w:numPr>
          <w:ilvl w:val="0"/>
          <w:numId w:val="4"/>
        </w:numPr>
        <w:rPr>
          <w:lang w:val="fr-FR"/>
        </w:rPr>
      </w:pPr>
      <m:oMath>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oMath>
      <w:r w:rsidRPr="00943FAD">
        <w:rPr>
          <w:lang w:val="fr-FR"/>
        </w:rPr>
        <w:t>: la meilleure estimation des garanties probabilisées</w:t>
      </w:r>
    </w:p>
    <w:p w14:paraId="55888098" w14:textId="77777777" w:rsidR="00A44A2A" w:rsidRDefault="00000000">
      <w:pPr>
        <w:pStyle w:val="Compact"/>
        <w:numPr>
          <w:ilvl w:val="0"/>
          <w:numId w:val="4"/>
        </w:numPr>
      </w:pPr>
      <m:oMath>
        <m:r>
          <w:rPr>
            <w:rFonts w:ascii="Cambria Math" w:hAnsi="Cambria Math"/>
          </w:rPr>
          <m:t>BDF</m:t>
        </m:r>
      </m:oMath>
      <w:r>
        <w:t>: les bénéfices discrétionnaires futurs</w:t>
      </w:r>
    </w:p>
    <w:p w14:paraId="70BA3463" w14:textId="77777777" w:rsidR="00A44A2A" w:rsidRDefault="00000000">
      <w:pPr>
        <w:pStyle w:val="Heading5"/>
      </w:pPr>
      <w:bookmarkStart w:id="16" w:name="sec-MEGP"/>
      <w:r>
        <w:lastRenderedPageBreak/>
        <w:t>2.1.1.1 Meilleure estimation des garanties probabilisées</w:t>
      </w:r>
    </w:p>
    <w:p w14:paraId="3278ACC2" w14:textId="77777777" w:rsidR="00A44A2A" w:rsidRPr="00943FAD" w:rsidRDefault="00000000">
      <w:pPr>
        <w:pStyle w:val="FirstParagraph"/>
        <w:rPr>
          <w:lang w:val="fr-FR"/>
        </w:rPr>
      </w:pPr>
      <w:r w:rsidRPr="00943FAD">
        <w:rPr>
          <w:lang w:val="fr-FR"/>
        </w:rPr>
        <w:t xml:space="preserve">La meilleure estimation des garanties probabilisées visée à la </w:t>
      </w:r>
      <w:r w:rsidRPr="00943FAD">
        <w:rPr>
          <w:i/>
          <w:iCs/>
          <w:lang w:val="fr-FR"/>
        </w:rPr>
        <w:t>spécification technique 15</w:t>
      </w:r>
      <w:r w:rsidRPr="00943FAD">
        <w:rPr>
          <w:lang w:val="fr-FR"/>
        </w:rPr>
        <w:t xml:space="preserve">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14:paraId="5A884C71" w14:textId="77777777" w:rsidR="00A44A2A" w:rsidRDefault="00000000">
      <w:pPr>
        <w:pStyle w:val="BodyText"/>
      </w:pPr>
      <m:oMathPara>
        <m:oMathParaPr>
          <m:jc m:val="center"/>
        </m:oMathParaPr>
        <m:oMath>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0</m:t>
              </m:r>
            </m:sub>
            <m:sup>
              <m:r>
                <w:rPr>
                  <w:rFonts w:ascii="Cambria Math" w:hAnsi="Cambria Math"/>
                </w:rPr>
                <m:t>t</m:t>
              </m:r>
              <m:r>
                <m:rPr>
                  <m:sty m:val="p"/>
                </m:rPr>
                <w:rPr>
                  <w:rFonts w:ascii="Cambria Math" w:hAnsi="Cambria Math"/>
                </w:rPr>
                <m:t>=</m:t>
              </m:r>
              <m:r>
                <w:rPr>
                  <w:rFonts w:ascii="Cambria Math" w:hAnsi="Cambria Math"/>
                </w:rPr>
                <m:t>N</m:t>
              </m:r>
            </m:sup>
            <m:e>
              <m:f>
                <m:fPr>
                  <m:ctrlPr>
                    <w:rPr>
                      <w:rFonts w:ascii="Cambria Math" w:hAnsi="Cambria Math"/>
                    </w:rPr>
                  </m:ctrlPr>
                </m:fPr>
                <m:num>
                  <m:d>
                    <m:dPr>
                      <m:ctrlPr>
                        <w:rPr>
                          <w:rFonts w:ascii="Cambria Math" w:hAnsi="Cambria Math"/>
                        </w:rPr>
                      </m:ctrlPr>
                    </m:dPr>
                    <m:e>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Dec</m:t>
                          </m:r>
                        </m:sup>
                      </m:sSubSup>
                      <m:r>
                        <m:rPr>
                          <m:sty m:val="p"/>
                        </m:rPr>
                        <w:rPr>
                          <w:rFonts w:ascii="Cambria Math" w:hAnsi="Cambria Math"/>
                        </w:rPr>
                        <m:t>-</m:t>
                      </m:r>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Enc</m:t>
                          </m:r>
                        </m:sup>
                      </m:sSubSup>
                    </m:e>
                  </m:d>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oMath>
      </m:oMathPara>
    </w:p>
    <w:p w14:paraId="39E96D35" w14:textId="77777777" w:rsidR="00A44A2A" w:rsidRDefault="00000000">
      <w:pPr>
        <w:pStyle w:val="FirstParagraph"/>
      </w:pPr>
      <w:r>
        <w:t>Avec :</w:t>
      </w:r>
    </w:p>
    <w:p w14:paraId="4B0F6225" w14:textId="77777777" w:rsidR="00A44A2A" w:rsidRPr="00943FAD" w:rsidRDefault="00000000">
      <w:pPr>
        <w:pStyle w:val="Compact"/>
        <w:numPr>
          <w:ilvl w:val="0"/>
          <w:numId w:val="5"/>
        </w:numPr>
        <w:rPr>
          <w:lang w:val="fr-FR"/>
        </w:rPr>
      </w:pPr>
      <m:oMath>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Enc</m:t>
            </m:r>
          </m:sup>
        </m:sSubSup>
      </m:oMath>
      <w:r w:rsidRPr="00943FAD">
        <w:rPr>
          <w:lang w:val="fr-FR"/>
        </w:rPr>
        <w:t xml:space="preserve">: Les encaissements à la date </w:t>
      </w:r>
      <m:oMath>
        <m:r>
          <w:rPr>
            <w:rFonts w:ascii="Cambria Math" w:hAnsi="Cambria Math"/>
          </w:rPr>
          <m:t>t</m:t>
        </m:r>
      </m:oMath>
      <w:r w:rsidRPr="00943FAD">
        <w:rPr>
          <w:lang w:val="fr-FR"/>
        </w:rPr>
        <w:t xml:space="preserve"> qui correspondent aux engagements des assurés.</w:t>
      </w:r>
    </w:p>
    <w:p w14:paraId="283501C1" w14:textId="77777777" w:rsidR="00A44A2A" w:rsidRPr="00943FAD" w:rsidRDefault="00000000">
      <w:pPr>
        <w:pStyle w:val="Compact"/>
        <w:numPr>
          <w:ilvl w:val="0"/>
          <w:numId w:val="5"/>
        </w:numPr>
        <w:rPr>
          <w:lang w:val="fr-FR"/>
        </w:rPr>
      </w:pPr>
      <m:oMath>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D</m:t>
            </m:r>
            <m:r>
              <w:rPr>
                <w:rFonts w:ascii="Cambria Math" w:hAnsi="Cambria Math"/>
                <w:lang w:val="fr-FR"/>
              </w:rPr>
              <m:t>é</m:t>
            </m:r>
            <m:r>
              <w:rPr>
                <w:rFonts w:ascii="Cambria Math" w:hAnsi="Cambria Math"/>
              </w:rPr>
              <m:t>c</m:t>
            </m:r>
          </m:sup>
        </m:sSubSup>
      </m:oMath>
      <w:r w:rsidRPr="00943FAD">
        <w:rPr>
          <w:lang w:val="fr-FR"/>
        </w:rPr>
        <w:t xml:space="preserve">: Les décaissements à la date </w:t>
      </w:r>
      <m:oMath>
        <m:r>
          <w:rPr>
            <w:rFonts w:ascii="Cambria Math" w:hAnsi="Cambria Math"/>
          </w:rPr>
          <m:t>t</m:t>
        </m:r>
      </m:oMath>
      <w:r w:rsidRPr="00943FAD">
        <w:rPr>
          <w:lang w:val="fr-FR"/>
        </w:rPr>
        <w:t>.</w:t>
      </w:r>
    </w:p>
    <w:p w14:paraId="14911A90" w14:textId="77777777" w:rsidR="00A44A2A" w:rsidRPr="00943FAD" w:rsidRDefault="00000000">
      <w:pPr>
        <w:pStyle w:val="FirstParagraph"/>
        <w:rPr>
          <w:lang w:val="fr-FR"/>
        </w:rPr>
      </w:pPr>
      <w:r w:rsidRPr="00943FAD">
        <w:rPr>
          <w:lang w:val="fr-FR"/>
        </w:rPr>
        <w:t xml:space="preserve">Les décaissements correspondent aux règlements de toutes prestations garanties au titre des contrats tels que définis à la </w:t>
      </w:r>
      <w:r w:rsidRPr="00943FAD">
        <w:rPr>
          <w:i/>
          <w:iCs/>
          <w:lang w:val="fr-FR"/>
        </w:rPr>
        <w:t>spécification technique 13</w:t>
      </w:r>
      <w:r w:rsidRPr="00943FAD">
        <w:rPr>
          <w:lang w:val="fr-FR"/>
        </w:rPr>
        <w:t xml:space="preserve"> de la </w:t>
      </w:r>
      <w:r w:rsidRPr="00943FAD">
        <w:rPr>
          <w:i/>
          <w:iCs/>
          <w:lang w:val="fr-FR"/>
        </w:rPr>
        <w:t>SECTION 4</w:t>
      </w:r>
      <w:r w:rsidRPr="00943FAD">
        <w:rPr>
          <w:lang w:val="fr-FR"/>
        </w:rPr>
        <w:t>, y compris les rachats. Ils sont déterminés en tenant compte des engagements contractuels et en utilisant, le cas échéant, les bases techniques suivantes :</w:t>
      </w:r>
    </w:p>
    <w:p w14:paraId="1DB4CACD" w14:textId="77777777" w:rsidR="00A44A2A" w:rsidRPr="00943FAD" w:rsidRDefault="00000000">
      <w:pPr>
        <w:pStyle w:val="Compact"/>
        <w:numPr>
          <w:ilvl w:val="0"/>
          <w:numId w:val="6"/>
        </w:numPr>
        <w:rPr>
          <w:lang w:val="fr-FR"/>
        </w:rPr>
      </w:pPr>
      <w:r w:rsidRPr="00943FAD">
        <w:rPr>
          <w:lang w:val="fr-FR"/>
        </w:rPr>
        <w:t>La table de mortalité : La table de mortalité TV 88-90 pour les assurances en cas de vie ou la table de mortalité TD 88-90 pour les assurances en cas de décès prévues à l’annexe N°3 de la présente circulaire, auxquelles l’entreprise d’assurances et de réassurance peut substituer une table de mortalité d’expérience, matérialisant la mortalité propre à la population de ses assurés et ce, après accord de l’Autorité ;</w:t>
      </w:r>
    </w:p>
    <w:p w14:paraId="3BD4CEB3" w14:textId="77777777" w:rsidR="00A44A2A" w:rsidRPr="00943FAD" w:rsidRDefault="00000000">
      <w:pPr>
        <w:pStyle w:val="Compact"/>
        <w:numPr>
          <w:ilvl w:val="0"/>
          <w:numId w:val="6"/>
        </w:numPr>
        <w:rPr>
          <w:lang w:val="fr-FR"/>
        </w:rPr>
      </w:pPr>
      <w:r w:rsidRPr="00943FAD">
        <w:rPr>
          <w:lang w:val="fr-FR"/>
        </w:rPr>
        <w:t xml:space="preserve">La table de rachat en montant, déterminée conformément aux dispositions de la </w:t>
      </w:r>
      <w:r w:rsidRPr="00943FAD">
        <w:rPr>
          <w:i/>
          <w:iCs/>
          <w:lang w:val="fr-FR"/>
        </w:rPr>
        <w:t>spécification technique 17</w:t>
      </w:r>
      <w:r w:rsidRPr="00943FAD">
        <w:rPr>
          <w:lang w:val="fr-FR"/>
        </w:rPr>
        <w:t xml:space="preserve"> de la </w:t>
      </w:r>
      <w:r w:rsidRPr="00943FAD">
        <w:rPr>
          <w:i/>
          <w:iCs/>
          <w:lang w:val="fr-FR"/>
        </w:rPr>
        <w:t>SECTION 4</w:t>
      </w:r>
      <w:r w:rsidRPr="00943FAD">
        <w:rPr>
          <w:lang w:val="fr-FR"/>
        </w:rPr>
        <w:t>;</w:t>
      </w:r>
    </w:p>
    <w:p w14:paraId="6E0A73A7" w14:textId="77777777" w:rsidR="00A44A2A" w:rsidRPr="00943FAD" w:rsidRDefault="00000000">
      <w:pPr>
        <w:pStyle w:val="Compact"/>
        <w:numPr>
          <w:ilvl w:val="0"/>
          <w:numId w:val="6"/>
        </w:numPr>
        <w:rPr>
          <w:lang w:val="fr-FR"/>
        </w:rPr>
      </w:pPr>
      <w:r w:rsidRPr="00943FAD">
        <w:rPr>
          <w:lang w:val="fr-FR"/>
        </w:rPr>
        <w:t xml:space="preserve">La table de résiliation, déterminée conformément aux dispositions de la </w:t>
      </w:r>
      <w:r w:rsidRPr="00943FAD">
        <w:rPr>
          <w:i/>
          <w:iCs/>
          <w:lang w:val="fr-FR"/>
        </w:rPr>
        <w:t>spécification technique 18</w:t>
      </w:r>
      <w:r w:rsidRPr="00943FAD">
        <w:rPr>
          <w:lang w:val="fr-FR"/>
        </w:rPr>
        <w:t xml:space="preserve"> de la </w:t>
      </w:r>
      <w:r w:rsidRPr="00943FAD">
        <w:rPr>
          <w:i/>
          <w:iCs/>
          <w:lang w:val="fr-FR"/>
        </w:rPr>
        <w:t>SECTION 4</w:t>
      </w:r>
      <w:r w:rsidRPr="00943FAD">
        <w:rPr>
          <w:lang w:val="fr-FR"/>
        </w:rPr>
        <w:t>;</w:t>
      </w:r>
    </w:p>
    <w:p w14:paraId="2203CA93" w14:textId="77777777" w:rsidR="00A44A2A" w:rsidRPr="00943FAD" w:rsidRDefault="00000000">
      <w:pPr>
        <w:pStyle w:val="Compact"/>
        <w:numPr>
          <w:ilvl w:val="0"/>
          <w:numId w:val="6"/>
        </w:numPr>
        <w:rPr>
          <w:lang w:val="fr-FR"/>
        </w:rPr>
      </w:pPr>
      <w:r w:rsidRPr="00943FAD">
        <w:rPr>
          <w:lang w:val="fr-FR"/>
        </w:rPr>
        <w:t xml:space="preserve">Un taux de sortie en rente, déterminé conformément aux dispositions de la </w:t>
      </w:r>
      <w:r w:rsidRPr="00943FAD">
        <w:rPr>
          <w:i/>
          <w:iCs/>
          <w:lang w:val="fr-FR"/>
        </w:rPr>
        <w:t>spécification technique 19</w:t>
      </w:r>
      <w:r w:rsidRPr="00943FAD">
        <w:rPr>
          <w:lang w:val="fr-FR"/>
        </w:rPr>
        <w:t xml:space="preserve"> de la </w:t>
      </w:r>
      <w:r w:rsidRPr="00943FAD">
        <w:rPr>
          <w:i/>
          <w:iCs/>
          <w:lang w:val="fr-FR"/>
        </w:rPr>
        <w:t>SECTION 4</w:t>
      </w:r>
      <w:r w:rsidRPr="00943FAD">
        <w:rPr>
          <w:lang w:val="fr-FR"/>
        </w:rPr>
        <w:t>.</w:t>
      </w:r>
    </w:p>
    <w:p w14:paraId="067F3B74" w14:textId="77777777" w:rsidR="00A44A2A" w:rsidRPr="00943FAD" w:rsidRDefault="00000000">
      <w:pPr>
        <w:pStyle w:val="FirstParagraph"/>
        <w:rPr>
          <w:lang w:val="fr-FR"/>
        </w:rPr>
      </w:pPr>
      <w:r w:rsidRPr="00943FAD">
        <w:rPr>
          <w:b/>
          <w:bCs/>
          <w:lang w:val="fr-FR"/>
        </w:rPr>
        <w:t>Exemple</w:t>
      </w:r>
      <w:r w:rsidRPr="00943FAD">
        <w:rPr>
          <w:lang w:val="fr-FR"/>
        </w:rPr>
        <w:t xml:space="preserve"> :</w:t>
      </w:r>
    </w:p>
    <w:p w14:paraId="5A1880A5" w14:textId="77777777" w:rsidR="00A44A2A" w:rsidRDefault="00000000">
      <w:pPr>
        <w:pStyle w:val="BodyText"/>
      </w:pPr>
      <w:r w:rsidRPr="00943FAD">
        <w:rPr>
          <w:lang w:val="fr-FR"/>
        </w:rPr>
        <w:t>Si on prend l’exemple d’un contrat d’assurance-vie mixte</w:t>
      </w:r>
      <w:r>
        <w:rPr>
          <w:rStyle w:val="FootnoteReference"/>
        </w:rPr>
        <w:footnoteReference w:id="1"/>
      </w:r>
      <w:r w:rsidRPr="00943FAD">
        <w:rPr>
          <w:lang w:val="fr-FR"/>
        </w:rPr>
        <w:t xml:space="preserve"> de capital en cas de vie égale au capital en cas de décès </w:t>
      </w:r>
      <m:oMath>
        <m:r>
          <w:rPr>
            <w:rFonts w:ascii="Cambria Math" w:hAnsi="Cambria Math"/>
          </w:rPr>
          <m:t>K</m:t>
        </m:r>
      </m:oMath>
      <w:r w:rsidRPr="00943FAD">
        <w:rPr>
          <w:lang w:val="fr-FR"/>
        </w:rPr>
        <w:t xml:space="preserve">. Soit </w:t>
      </w:r>
      <m:oMath>
        <m:sSub>
          <m:sSubPr>
            <m:ctrlPr>
              <w:rPr>
                <w:rFonts w:ascii="Cambria Math" w:hAnsi="Cambria Math"/>
              </w:rPr>
            </m:ctrlPr>
          </m:sSubPr>
          <m:e>
            <m:r>
              <w:rPr>
                <w:rFonts w:ascii="Cambria Math" w:hAnsi="Cambria Math"/>
              </w:rPr>
              <m:t>q</m:t>
            </m:r>
          </m:e>
          <m:sub>
            <m:r>
              <w:rPr>
                <w:rFonts w:ascii="Cambria Math" w:hAnsi="Cambria Math"/>
              </w:rPr>
              <m:t>x</m:t>
            </m:r>
            <m:r>
              <m:rPr>
                <m:sty m:val="p"/>
              </m:rPr>
              <w:rPr>
                <w:rFonts w:ascii="Cambria Math" w:hAnsi="Cambria Math"/>
                <w:lang w:val="fr-FR"/>
              </w:rPr>
              <m:t>+</m:t>
            </m:r>
            <m:r>
              <w:rPr>
                <w:rFonts w:ascii="Cambria Math" w:hAnsi="Cambria Math"/>
              </w:rPr>
              <m:t>t</m:t>
            </m:r>
          </m:sub>
        </m:sSub>
      </m:oMath>
      <w:r w:rsidRPr="00943FAD">
        <w:rPr>
          <w:lang w:val="fr-FR"/>
        </w:rPr>
        <w:t xml:space="preserve"> la probabilité qu’un individu d’âge </w:t>
      </w:r>
      <m:oMath>
        <m:r>
          <w:rPr>
            <w:rFonts w:ascii="Cambria Math" w:hAnsi="Cambria Math"/>
          </w:rPr>
          <m:t>x</m:t>
        </m:r>
      </m:oMath>
      <w:r w:rsidRPr="00943FAD">
        <w:rPr>
          <w:lang w:val="fr-FR"/>
        </w:rPr>
        <w:t xml:space="preserve"> lors de la </w:t>
      </w:r>
      <w:r w:rsidRPr="00943FAD">
        <w:rPr>
          <w:lang w:val="fr-FR"/>
        </w:rPr>
        <w:lastRenderedPageBreak/>
        <w:t xml:space="preserve">souscription décéde entre </w:t>
      </w:r>
      <m:oMath>
        <m:r>
          <w:rPr>
            <w:rFonts w:ascii="Cambria Math" w:hAnsi="Cambria Math"/>
          </w:rPr>
          <m:t>x</m:t>
        </m:r>
        <m:r>
          <m:rPr>
            <m:sty m:val="p"/>
          </m:rPr>
          <w:rPr>
            <w:rFonts w:ascii="Cambria Math" w:hAnsi="Cambria Math"/>
            <w:lang w:val="fr-FR"/>
          </w:rPr>
          <m:t>+</m:t>
        </m:r>
        <m:r>
          <w:rPr>
            <w:rFonts w:ascii="Cambria Math" w:hAnsi="Cambria Math"/>
          </w:rPr>
          <m:t>t</m:t>
        </m:r>
      </m:oMath>
      <w:r w:rsidRPr="00943FAD">
        <w:rPr>
          <w:lang w:val="fr-FR"/>
        </w:rPr>
        <w:t xml:space="preserve"> et </w:t>
      </w:r>
      <m:oMath>
        <m:r>
          <w:rPr>
            <w:rFonts w:ascii="Cambria Math" w:hAnsi="Cambria Math"/>
          </w:rPr>
          <m:t>x</m:t>
        </m:r>
        <m:r>
          <m:rPr>
            <m:sty m:val="p"/>
          </m:rPr>
          <w:rPr>
            <w:rFonts w:ascii="Cambria Math" w:hAnsi="Cambria Math"/>
            <w:lang w:val="fr-FR"/>
          </w:rPr>
          <m:t>+</m:t>
        </m:r>
        <m:r>
          <w:rPr>
            <w:rFonts w:ascii="Cambria Math" w:hAnsi="Cambria Math"/>
          </w:rPr>
          <m:t>t</m:t>
        </m:r>
        <m:r>
          <m:rPr>
            <m:sty m:val="p"/>
          </m:rPr>
          <w:rPr>
            <w:rFonts w:ascii="Cambria Math" w:hAnsi="Cambria Math"/>
            <w:lang w:val="fr-FR"/>
          </w:rPr>
          <m:t>+</m:t>
        </m:r>
        <m:r>
          <w:rPr>
            <w:rFonts w:ascii="Cambria Math" w:hAnsi="Cambria Math"/>
            <w:lang w:val="fr-FR"/>
          </w:rPr>
          <m:t>1</m:t>
        </m:r>
      </m:oMath>
      <w:r w:rsidRPr="00943FAD">
        <w:rPr>
          <w:lang w:val="fr-FR"/>
        </w:rPr>
        <w:t xml:space="preserve">. On note </w:t>
      </w:r>
      <m:oMath>
        <m:r>
          <w:rPr>
            <w:rFonts w:ascii="Cambria Math" w:hAnsi="Cambria Math"/>
          </w:rPr>
          <m:t>NbPolic</m:t>
        </m:r>
        <m:sSub>
          <m:sSubPr>
            <m:ctrlPr>
              <w:rPr>
                <w:rFonts w:ascii="Cambria Math" w:hAnsi="Cambria Math"/>
              </w:rPr>
            </m:ctrlPr>
          </m:sSubPr>
          <m:e>
            <m:r>
              <w:rPr>
                <w:rFonts w:ascii="Cambria Math" w:hAnsi="Cambria Math"/>
              </w:rPr>
              <m:t>e</m:t>
            </m:r>
          </m:e>
          <m:sub>
            <m:r>
              <w:rPr>
                <w:rFonts w:ascii="Cambria Math" w:hAnsi="Cambria Math"/>
              </w:rPr>
              <m:t>t</m:t>
            </m:r>
          </m:sub>
        </m:sSub>
      </m:oMath>
      <w:r w:rsidRPr="00943FAD">
        <w:rPr>
          <w:lang w:val="fr-FR"/>
        </w:rPr>
        <w:t xml:space="preserve"> le nombre de police en début de période </w:t>
      </w:r>
      <m:oMath>
        <m:r>
          <w:rPr>
            <w:rFonts w:ascii="Cambria Math" w:hAnsi="Cambria Math"/>
          </w:rPr>
          <m:t>t</m:t>
        </m:r>
      </m:oMath>
      <w:r w:rsidRPr="00943FAD">
        <w:rPr>
          <w:lang w:val="fr-FR"/>
        </w:rPr>
        <w:t xml:space="preserve"> et </w:t>
      </w:r>
      <m:oMath>
        <m:sSub>
          <m:sSubPr>
            <m:ctrlPr>
              <w:rPr>
                <w:rFonts w:ascii="Cambria Math" w:hAnsi="Cambria Math"/>
              </w:rPr>
            </m:ctrlPr>
          </m:sSubPr>
          <m:e>
            <m:r>
              <w:rPr>
                <w:rFonts w:ascii="Cambria Math" w:hAnsi="Cambria Math"/>
              </w:rPr>
              <m:t>r</m:t>
            </m:r>
          </m:e>
          <m:sub>
            <m:r>
              <w:rPr>
                <w:rFonts w:ascii="Cambria Math" w:hAnsi="Cambria Math"/>
              </w:rPr>
              <m:t>s</m:t>
            </m:r>
          </m:sub>
        </m:sSub>
      </m:oMath>
      <w:r w:rsidRPr="00943FAD">
        <w:rPr>
          <w:lang w:val="fr-FR"/>
        </w:rPr>
        <w:t xml:space="preserve"> le taux ZC. </w:t>
      </w:r>
      <w:r>
        <w:t>La prestation correspondante à ce contrat en date t :</w:t>
      </w:r>
    </w:p>
    <w:p w14:paraId="790C19EC" w14:textId="77777777" w:rsidR="00A44A2A"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décès</m:t>
              </m:r>
            </m:sub>
          </m:sSub>
          <m:r>
            <w:rPr>
              <w:rFonts w:ascii="Cambria Math" w:hAnsi="Cambria Math"/>
            </w:rPr>
            <m:t>C</m:t>
          </m:r>
          <m:sSubSup>
            <m:sSubSupPr>
              <m:ctrlPr>
                <w:rPr>
                  <w:rFonts w:ascii="Cambria Math" w:hAnsi="Cambria Math"/>
                </w:rPr>
              </m:ctrlPr>
            </m:sSubSupPr>
            <m:e>
              <m:r>
                <w:rPr>
                  <w:rFonts w:ascii="Cambria Math" w:hAnsi="Cambria Math"/>
                </w:rPr>
                <m:t>F</m:t>
              </m:r>
            </m:e>
            <m:sub>
              <m:r>
                <w:rPr>
                  <w:rFonts w:ascii="Cambria Math" w:hAnsi="Cambria Math"/>
                </w:rPr>
                <m:t>t</m:t>
              </m:r>
            </m:sub>
            <m:sup>
              <m:r>
                <w:rPr>
                  <w:rFonts w:ascii="Cambria Math" w:hAnsi="Cambria Math"/>
                </w:rPr>
                <m:t>Déc</m:t>
              </m:r>
            </m:sup>
          </m:sSub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NbPolic</m:t>
          </m:r>
          <m:sSub>
            <m:sSubPr>
              <m:ctrlPr>
                <w:rPr>
                  <w:rFonts w:ascii="Cambria Math" w:hAnsi="Cambria Math"/>
                </w:rPr>
              </m:ctrlPr>
            </m:sSubPr>
            <m:e>
              <m:r>
                <w:rPr>
                  <w:rFonts w:ascii="Cambria Math" w:hAnsi="Cambria Math"/>
                </w:rPr>
                <m:t>e</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x</m:t>
              </m:r>
              <m:r>
                <m:rPr>
                  <m:sty m:val="p"/>
                </m:rPr>
                <w:rPr>
                  <w:rFonts w:ascii="Cambria Math" w:hAnsi="Cambria Math"/>
                </w:rPr>
                <m:t>+</m:t>
              </m:r>
              <m:r>
                <w:rPr>
                  <w:rFonts w:ascii="Cambria Math" w:hAnsi="Cambria Math"/>
                </w:rPr>
                <m:t>t</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oMath>
      </m:oMathPara>
    </w:p>
    <w:p w14:paraId="604B66B9" w14:textId="77777777" w:rsidR="00A44A2A" w:rsidRPr="00943FAD" w:rsidRDefault="00000000">
      <w:pPr>
        <w:pStyle w:val="Heading5"/>
        <w:rPr>
          <w:lang w:val="fr-FR"/>
        </w:rPr>
      </w:pPr>
      <w:bookmarkStart w:id="17" w:name="bénéfices-discrétionnaires-futurs"/>
      <w:bookmarkEnd w:id="16"/>
      <w:r w:rsidRPr="00943FAD">
        <w:rPr>
          <w:lang w:val="fr-FR"/>
        </w:rPr>
        <w:t>2.1.1.2 Bénéfices discrétionnaires futurs</w:t>
      </w:r>
    </w:p>
    <w:p w14:paraId="47B0A7F0" w14:textId="77777777" w:rsidR="00A44A2A" w:rsidRPr="00943FAD" w:rsidRDefault="00000000">
      <w:pPr>
        <w:pStyle w:val="FirstParagraph"/>
        <w:rPr>
          <w:lang w:val="fr-FR"/>
        </w:rPr>
      </w:pPr>
      <w:r w:rsidRPr="00943FAD">
        <w:rPr>
          <w:lang w:val="fr-FR"/>
        </w:rPr>
        <w:t>Les bénéfices discrétionnaires futurs sont évalués pour chaque ensemble homogène de contrats.</w:t>
      </w:r>
    </w:p>
    <w:p w14:paraId="5F278F22" w14:textId="77777777" w:rsidR="00A44A2A" w:rsidRDefault="00000000">
      <w:pPr>
        <w:pStyle w:val="BodyText"/>
      </w:pPr>
      <m:oMathPara>
        <m:oMathParaPr>
          <m:jc m:val="center"/>
        </m:oMathParaPr>
        <m:oMath>
          <m:r>
            <w:rPr>
              <w:rFonts w:ascii="Cambria Math" w:hAnsi="Cambria Math"/>
            </w:rPr>
            <m:t>BDF</m:t>
          </m:r>
          <m:r>
            <m:rPr>
              <m:sty m:val="p"/>
            </m:rPr>
            <w:rPr>
              <w:rFonts w:ascii="Cambria Math" w:hAnsi="Cambria Math"/>
            </w:rPr>
            <m:t>=</m:t>
          </m:r>
          <m:r>
            <w:rPr>
              <w:rFonts w:ascii="Cambria Math" w:hAnsi="Cambria Math"/>
            </w:rPr>
            <m:t>PPB</m:t>
          </m:r>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PB</m:t>
              </m:r>
            </m:sup>
          </m:sSup>
          <m:d>
            <m:dPr>
              <m:ctrlPr>
                <w:rPr>
                  <w:rFonts w:ascii="Cambria Math" w:hAnsi="Cambria Math"/>
                </w:rPr>
              </m:ctrlPr>
            </m:dPr>
            <m:e>
              <m:r>
                <w:rPr>
                  <w:rFonts w:ascii="Cambria Math" w:hAnsi="Cambria Math"/>
                </w:rPr>
                <m:t>SoldeT</m:t>
              </m:r>
              <m:r>
                <m:rPr>
                  <m:sty m:val="p"/>
                </m:rPr>
                <w:rPr>
                  <w:rFonts w:ascii="Cambria Math" w:hAnsi="Cambria Math"/>
                </w:rPr>
                <m:t>+</m:t>
              </m:r>
              <m:r>
                <w:rPr>
                  <w:rFonts w:ascii="Cambria Math" w:hAnsi="Cambria Math"/>
                </w:rPr>
                <m:t>SoldeF</m:t>
              </m:r>
            </m:e>
          </m:d>
          <m:r>
            <m:rPr>
              <m:sty m:val="p"/>
            </m:rPr>
            <w:rPr>
              <w:rFonts w:ascii="Cambria Math" w:hAnsi="Cambria Math"/>
            </w:rPr>
            <m:t>×</m:t>
          </m:r>
          <m:sSub>
            <m:sSubPr>
              <m:ctrlPr>
                <w:rPr>
                  <w:rFonts w:ascii="Cambria Math" w:hAnsi="Cambria Math"/>
                </w:rPr>
              </m:ctrlPr>
            </m:sSubPr>
            <m:e>
              <m:r>
                <m:rPr>
                  <m:sty m:val="b"/>
                </m:rPr>
                <w:rPr>
                  <w:rFonts w:ascii="Cambria Math" w:hAnsi="Cambria Math"/>
                </w:rPr>
                <m:t>1</m:t>
              </m:r>
            </m:e>
            <m:sub>
              <m:d>
                <m:dPr>
                  <m:ctrlPr>
                    <w:rPr>
                      <w:rFonts w:ascii="Cambria Math" w:hAnsi="Cambria Math"/>
                    </w:rPr>
                  </m:ctrlPr>
                </m:dPr>
                <m:e>
                  <m:r>
                    <w:rPr>
                      <w:rFonts w:ascii="Cambria Math" w:hAnsi="Cambria Math"/>
                    </w:rPr>
                    <m:t>SoldeT</m:t>
                  </m:r>
                  <m:r>
                    <m:rPr>
                      <m:sty m:val="p"/>
                    </m:rPr>
                    <w:rPr>
                      <w:rFonts w:ascii="Cambria Math" w:hAnsi="Cambria Math"/>
                    </w:rPr>
                    <m:t>+</m:t>
                  </m:r>
                  <m:r>
                    <w:rPr>
                      <w:rFonts w:ascii="Cambria Math" w:hAnsi="Cambria Math"/>
                    </w:rPr>
                    <m:t>SoldeF</m:t>
                  </m:r>
                </m:e>
              </m:d>
              <m:r>
                <m:rPr>
                  <m:sty m:val="p"/>
                </m:rPr>
                <w:rPr>
                  <w:rFonts w:ascii="Cambria Math" w:hAnsi="Cambria Math"/>
                </w:rPr>
                <m:t>&gt;</m:t>
              </m:r>
              <m:r>
                <w:rPr>
                  <w:rFonts w:ascii="Cambria Math" w:hAnsi="Cambria Math"/>
                </w:rPr>
                <m:t>0</m:t>
              </m:r>
            </m:sub>
          </m:sSub>
        </m:oMath>
      </m:oMathPara>
    </w:p>
    <w:p w14:paraId="0BAAE93D" w14:textId="77777777" w:rsidR="00A44A2A" w:rsidRDefault="00000000">
      <w:pPr>
        <w:pStyle w:val="FirstParagraph"/>
      </w:pPr>
      <w:r>
        <w:t>Avec :</w:t>
      </w:r>
    </w:p>
    <w:p w14:paraId="36C2937D" w14:textId="77777777" w:rsidR="00A44A2A" w:rsidRPr="00943FAD" w:rsidRDefault="00000000">
      <w:pPr>
        <w:numPr>
          <w:ilvl w:val="0"/>
          <w:numId w:val="7"/>
        </w:numPr>
        <w:rPr>
          <w:lang w:val="fr-FR"/>
        </w:rPr>
      </w:pPr>
      <m:oMath>
        <m:r>
          <w:rPr>
            <w:rFonts w:ascii="Cambria Math" w:hAnsi="Cambria Math"/>
          </w:rPr>
          <m:t>PPB</m:t>
        </m:r>
      </m:oMath>
      <w:r w:rsidRPr="00943FAD">
        <w:rPr>
          <w:lang w:val="fr-FR"/>
        </w:rPr>
        <w:t xml:space="preserve"> : Le montant de la provision pour participation aux bénéfices, évaluée à la valeur comptable;</w:t>
      </w:r>
    </w:p>
    <w:p w14:paraId="61A10371" w14:textId="77777777" w:rsidR="00A44A2A" w:rsidRDefault="00000000">
      <w:pPr>
        <w:numPr>
          <w:ilvl w:val="0"/>
          <w:numId w:val="7"/>
        </w:numPr>
      </w:pPr>
      <m:oMath>
        <m:r>
          <w:rPr>
            <w:rFonts w:ascii="Cambria Math" w:hAnsi="Cambria Math"/>
          </w:rPr>
          <m:t>SoldeT</m:t>
        </m:r>
      </m:oMath>
      <w:r>
        <w:t xml:space="preserve"> : Somme des soldes techniques</w:t>
      </w:r>
    </w:p>
    <w:p w14:paraId="790DE881" w14:textId="77777777" w:rsidR="00A44A2A" w:rsidRDefault="00000000">
      <w:pPr>
        <w:numPr>
          <w:ilvl w:val="0"/>
          <w:numId w:val="7"/>
        </w:numPr>
      </w:pPr>
      <m:oMath>
        <m:r>
          <w:rPr>
            <w:rFonts w:ascii="Cambria Math" w:hAnsi="Cambria Math"/>
          </w:rPr>
          <m:t>SoldeF</m:t>
        </m:r>
      </m:oMath>
      <w:r>
        <w:t xml:space="preserve"> : Somme des soldes Financiers</w:t>
      </w:r>
    </w:p>
    <w:p w14:paraId="259D90A1" w14:textId="77777777" w:rsidR="00A44A2A" w:rsidRDefault="00000000">
      <w:pPr>
        <w:numPr>
          <w:ilvl w:val="0"/>
          <w:numId w:val="7"/>
        </w:numPr>
      </w:pPr>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PB</m:t>
            </m:r>
          </m:sup>
        </m:sSup>
      </m:oMath>
      <w:r w:rsidRPr="00943FAD">
        <w:rPr>
          <w:lang w:val="fr-FR"/>
        </w:rPr>
        <w:t xml:space="preserve"> : Le taux de participation aux bénéfices moyen servi aux assurés Le taux de participation aux bénéfices moyen servi aux assurés 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desdites opérations sur la même période. </w:t>
      </w:r>
      <w:r>
        <w:t>En notation mathématique ça donne :</w:t>
      </w:r>
    </w:p>
    <w:p w14:paraId="28C23C64" w14:textId="77777777" w:rsidR="00A44A2A" w:rsidRDefault="00000000">
      <w:pPr>
        <w:pStyle w:val="BodyText"/>
      </w:pPr>
      <m:oMathPara>
        <m:oMathParaPr>
          <m:jc m:val="center"/>
        </m:oMathParaPr>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PB</m:t>
              </m:r>
            </m:sup>
          </m:sSup>
          <m:r>
            <m:rPr>
              <m:sty m:val="p"/>
            </m:rPr>
            <w:rPr>
              <w:rFonts w:ascii="Cambria Math" w:hAnsi="Cambria Math"/>
            </w:rPr>
            <m:t>=</m:t>
          </m:r>
          <m:f>
            <m:fPr>
              <m:ctrlPr>
                <w:rPr>
                  <w:rFonts w:ascii="Cambria Math" w:hAnsi="Cambria Math"/>
                </w:rPr>
              </m:ctrlPr>
            </m:fPr>
            <m:num>
              <m:r>
                <w:rPr>
                  <w:rFonts w:ascii="Cambria Math" w:hAnsi="Cambria Math"/>
                </w:rPr>
                <m:t>Dot</m:t>
              </m:r>
            </m:num>
            <m:den>
              <m:r>
                <w:rPr>
                  <w:rFonts w:ascii="Cambria Math" w:hAnsi="Cambria Math"/>
                </w:rPr>
                <m:t>SoldeT</m:t>
              </m:r>
              <m:r>
                <m:rPr>
                  <m:sty m:val="p"/>
                </m:rPr>
                <w:rPr>
                  <w:rFonts w:ascii="Cambria Math" w:hAnsi="Cambria Math"/>
                </w:rPr>
                <m:t>+</m:t>
              </m:r>
              <m:r>
                <w:rPr>
                  <w:rFonts w:ascii="Cambria Math" w:hAnsi="Cambria Math"/>
                </w:rPr>
                <m:t>SoldeF</m:t>
              </m:r>
            </m:den>
          </m:f>
        </m:oMath>
      </m:oMathPara>
    </w:p>
    <w:p w14:paraId="3E93A23E" w14:textId="77777777" w:rsidR="00A44A2A" w:rsidRDefault="00000000">
      <w:pPr>
        <w:numPr>
          <w:ilvl w:val="0"/>
          <w:numId w:val="1"/>
        </w:numPr>
      </w:pPr>
      <w:r>
        <w:t>Avec :</w:t>
      </w:r>
    </w:p>
    <w:p w14:paraId="40C3FD2A" w14:textId="77777777" w:rsidR="00A44A2A" w:rsidRPr="00943FAD" w:rsidRDefault="00000000">
      <w:pPr>
        <w:numPr>
          <w:ilvl w:val="0"/>
          <w:numId w:val="7"/>
        </w:numPr>
        <w:rPr>
          <w:lang w:val="fr-FR"/>
        </w:rPr>
      </w:pPr>
      <m:oMath>
        <m:r>
          <w:rPr>
            <w:rFonts w:ascii="Cambria Math" w:hAnsi="Cambria Math"/>
          </w:rPr>
          <m:t>Dot</m:t>
        </m:r>
      </m:oMath>
      <w:r w:rsidRPr="00943FAD">
        <w:rPr>
          <w:lang w:val="fr-FR"/>
        </w:rPr>
        <w:t xml:space="preserve"> : somme des dotations au titre, des trois derniers exercices clos au moins</w:t>
      </w:r>
    </w:p>
    <w:p w14:paraId="39D40987" w14:textId="77777777" w:rsidR="00A44A2A" w:rsidRPr="00943FAD" w:rsidRDefault="00000000">
      <w:pPr>
        <w:pStyle w:val="Heading4"/>
        <w:rPr>
          <w:lang w:val="fr-FR"/>
        </w:rPr>
      </w:pPr>
      <w:bookmarkStart w:id="18" w:name="X0dedfd34ddaeaf1baa3793d4b4da364b43b18e0"/>
      <w:bookmarkEnd w:id="15"/>
      <w:bookmarkEnd w:id="17"/>
      <w:r w:rsidRPr="00943FAD">
        <w:rPr>
          <w:lang w:val="fr-FR"/>
        </w:rPr>
        <w:t>2.1.2 Meilleure estimation des frais de gestions (</w:t>
      </w: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oMath>
      <w:r w:rsidRPr="00943FAD">
        <w:rPr>
          <w:lang w:val="fr-FR"/>
        </w:rPr>
        <w:t>)</w:t>
      </w:r>
    </w:p>
    <w:p w14:paraId="167E4EA5" w14:textId="77777777" w:rsidR="00A44A2A" w:rsidRDefault="00000000">
      <w:pPr>
        <w:pStyle w:val="FirstParagraph"/>
      </w:pPr>
      <m:oMathPara>
        <m:oMathParaPr>
          <m:jc m:val="center"/>
        </m:oMathParaPr>
        <m:oMath>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FG</m:t>
                  </m:r>
                </m:e>
              </m:acc>
            </m:e>
            <m:sub>
              <m:r>
                <w:rPr>
                  <w:rFonts w:ascii="Cambria Math" w:hAnsi="Cambria Math"/>
                </w:rPr>
                <m:t>t</m:t>
              </m:r>
            </m:sub>
            <m:sup>
              <m:r>
                <w:rPr>
                  <w:rFonts w:ascii="Cambria Math" w:hAnsi="Cambria Math"/>
                </w:rPr>
                <m:t>unitaire</m:t>
              </m:r>
            </m:sup>
          </m:sSubSup>
        </m:oMath>
      </m:oMathPara>
    </w:p>
    <w:p w14:paraId="069BD82D" w14:textId="77777777" w:rsidR="00A44A2A" w:rsidRDefault="00000000">
      <w:pPr>
        <w:pStyle w:val="FirstParagraph"/>
      </w:pPr>
      <m:oMathPara>
        <m:oMathParaPr>
          <m:jc m:val="center"/>
        </m:oMathPara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N</m:t>
              </m:r>
            </m:sup>
            <m:e>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oMath>
      </m:oMathPara>
    </w:p>
    <w:p w14:paraId="23C0EDB9" w14:textId="77777777" w:rsidR="00A44A2A" w:rsidRDefault="00000000">
      <w:pPr>
        <w:pStyle w:val="FirstParagraph"/>
      </w:pPr>
      <w:r>
        <w:t>Avec :</w:t>
      </w:r>
    </w:p>
    <w:p w14:paraId="3B6C8E9A" w14:textId="77777777" w:rsidR="00A44A2A" w:rsidRPr="00943FAD" w:rsidRDefault="00000000">
      <w:pPr>
        <w:pStyle w:val="Compact"/>
        <w:numPr>
          <w:ilvl w:val="0"/>
          <w:numId w:val="8"/>
        </w:numPr>
        <w:rPr>
          <w:lang w:val="fr-FR"/>
        </w:rPr>
      </w:pP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FG</m:t>
                </m:r>
              </m:e>
            </m:acc>
          </m:e>
          <m:sub>
            <m:r>
              <w:rPr>
                <w:rFonts w:ascii="Cambria Math" w:hAnsi="Cambria Math"/>
              </w:rPr>
              <m:t>t</m:t>
            </m:r>
          </m:sub>
          <m:sup>
            <m:r>
              <w:rPr>
                <w:rFonts w:ascii="Cambria Math" w:hAnsi="Cambria Math"/>
              </w:rPr>
              <m:t>unitaire</m:t>
            </m:r>
          </m:sup>
        </m:sSubSup>
      </m:oMath>
      <w:r w:rsidRPr="00943FAD">
        <w:rPr>
          <w:lang w:val="fr-FR"/>
        </w:rPr>
        <w:t xml:space="preserve"> : Le montant de frais de gestion unitaire moyen est estimé en considérant la moyenne sur les trois derniers exercices clos des montants de frais de gestion unitaires.</w:t>
      </w:r>
    </w:p>
    <w:p w14:paraId="4EA76CDB" w14:textId="77777777" w:rsidR="00A44A2A" w:rsidRPr="00943FAD" w:rsidRDefault="00000000">
      <w:pPr>
        <w:pStyle w:val="Compact"/>
        <w:numPr>
          <w:ilvl w:val="0"/>
          <w:numId w:val="8"/>
        </w:numPr>
        <w:rPr>
          <w:lang w:val="fr-FR"/>
        </w:rPr>
      </w:pPr>
      <m:oMath>
        <m:r>
          <w:rPr>
            <w:rFonts w:ascii="Cambria Math" w:hAnsi="Cambria Math"/>
          </w:rPr>
          <w:lastRenderedPageBreak/>
          <m:t>NbContra</m:t>
        </m:r>
        <m:sSub>
          <m:sSubPr>
            <m:ctrlPr>
              <w:rPr>
                <w:rFonts w:ascii="Cambria Math" w:hAnsi="Cambria Math"/>
              </w:rPr>
            </m:ctrlPr>
          </m:sSubPr>
          <m:e>
            <m:r>
              <w:rPr>
                <w:rFonts w:ascii="Cambria Math" w:hAnsi="Cambria Math"/>
              </w:rPr>
              <m:t>t</m:t>
            </m:r>
          </m:e>
          <m:sub>
            <m:r>
              <w:rPr>
                <w:rFonts w:ascii="Cambria Math" w:hAnsi="Cambria Math"/>
              </w:rPr>
              <m:t>t</m:t>
            </m:r>
          </m:sub>
        </m:sSub>
      </m:oMath>
      <w:r w:rsidRPr="00943FAD">
        <w:rPr>
          <w:lang w:val="fr-FR"/>
        </w:rPr>
        <w:t xml:space="preserve"> : Le nombre de contrats précité est estimé par sous-catégories, compte tenu des bases techniques suivantes (La table de mortalité, La table de rachat en nombre, La table de résiliation)</w:t>
      </w:r>
    </w:p>
    <w:p w14:paraId="0807EF45" w14:textId="77777777" w:rsidR="00A44A2A" w:rsidRPr="00943FAD" w:rsidRDefault="00000000">
      <w:pPr>
        <w:pStyle w:val="Compact"/>
        <w:numPr>
          <w:ilvl w:val="0"/>
          <w:numId w:val="8"/>
        </w:numPr>
        <w:rPr>
          <w:lang w:val="fr-FR"/>
        </w:rPr>
      </w:pPr>
      <m:oMath>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sub>
        </m:sSub>
      </m:oMath>
      <w:r w:rsidRPr="00943FAD">
        <w:rPr>
          <w:lang w:val="fr-FR"/>
        </w:rPr>
        <w:t xml:space="preserve"> : Les frais de gestions</w:t>
      </w:r>
    </w:p>
    <w:p w14:paraId="3372D826" w14:textId="77777777" w:rsidR="00A44A2A" w:rsidRPr="00943FAD" w:rsidRDefault="00000000">
      <w:pPr>
        <w:pStyle w:val="FirstParagraph"/>
        <w:rPr>
          <w:lang w:val="fr-FR"/>
        </w:rPr>
      </w:pPr>
      <w:r w:rsidRPr="00943FAD">
        <w:rPr>
          <w:lang w:val="fr-FR"/>
        </w:rPr>
        <w:t>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14:paraId="57DAF87A" w14:textId="77777777" w:rsidR="00A44A2A" w:rsidRPr="00943FAD" w:rsidRDefault="00000000">
      <w:pPr>
        <w:pStyle w:val="BodyText"/>
        <w:rPr>
          <w:lang w:val="fr-FR"/>
        </w:rPr>
      </w:pPr>
      <m:oMathPara>
        <m:oMathParaPr>
          <m:jc m:val="center"/>
        </m:oMathParaP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FG</m:t>
                  </m:r>
                </m:e>
              </m:acc>
            </m:e>
            <m:sub>
              <m:r>
                <w:rPr>
                  <w:rFonts w:ascii="Cambria Math" w:hAnsi="Cambria Math"/>
                </w:rPr>
                <m:t>t</m:t>
              </m:r>
            </m:sub>
            <m:sup>
              <m:r>
                <w:rPr>
                  <w:rFonts w:ascii="Cambria Math" w:hAnsi="Cambria Math"/>
                </w:rPr>
                <m:t>unitaire</m:t>
              </m:r>
            </m:sup>
          </m:sSubSup>
          <m:r>
            <m:rPr>
              <m:sty m:val="p"/>
            </m:rPr>
            <w:rPr>
              <w:rFonts w:ascii="Cambria Math" w:hAnsi="Cambria Math"/>
              <w:lang w:val="fr-FR"/>
            </w:rPr>
            <m:t>=</m:t>
          </m:r>
          <m:f>
            <m:fPr>
              <m:ctrlPr>
                <w:rPr>
                  <w:rFonts w:ascii="Cambria Math" w:hAnsi="Cambria Math"/>
                </w:rPr>
              </m:ctrlPr>
            </m:fPr>
            <m:num>
              <m:limUpp>
                <m:limUppPr>
                  <m:ctrlPr>
                    <w:rPr>
                      <w:rFonts w:ascii="Cambria Math" w:hAnsi="Cambria Math"/>
                    </w:rPr>
                  </m:ctrlPr>
                </m:limUppPr>
                <m:e>
                  <m:groupChr>
                    <m:groupChrPr>
                      <m:chr m:val="⏞"/>
                      <m:pos m:val="top"/>
                      <m:vertJc m:val="bot"/>
                      <m:ctrlPr>
                        <w:rPr>
                          <w:rFonts w:ascii="Cambria Math" w:hAnsi="Cambria Math"/>
                        </w:rPr>
                      </m:ctrlPr>
                    </m:groupChrPr>
                    <m:e>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lang w:val="fr-FR"/>
                                </w:rPr>
                                <m:t>-</m:t>
                              </m:r>
                              <m:r>
                                <w:rPr>
                                  <w:rFonts w:ascii="Cambria Math" w:hAnsi="Cambria Math"/>
                                  <w:lang w:val="fr-FR"/>
                                </w:rPr>
                                <m:t>1</m:t>
                              </m:r>
                            </m:sub>
                          </m:sSub>
                        </m:num>
                        <m:den>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lang w:val="fr-FR"/>
                                </w:rPr>
                                <m:t>-</m:t>
                              </m:r>
                              <m:r>
                                <w:rPr>
                                  <w:rFonts w:ascii="Cambria Math" w:hAnsi="Cambria Math"/>
                                  <w:lang w:val="fr-FR"/>
                                </w:rPr>
                                <m:t>1</m:t>
                              </m:r>
                            </m:sub>
                          </m:sSub>
                        </m:den>
                      </m:f>
                    </m:e>
                  </m:groupChr>
                </m:e>
                <m:lim>
                  <m:r>
                    <m:rPr>
                      <m:nor/>
                    </m:rPr>
                    <w:rPr>
                      <w:lang w:val="fr-FR"/>
                    </w:rPr>
                    <m:t>Frais de gestion unitaire en t-1</m:t>
                  </m:r>
                </m:lim>
              </m:limUpp>
              <m:r>
                <m:rPr>
                  <m:sty m:val="p"/>
                </m:rPr>
                <w:rPr>
                  <w:rFonts w:ascii="Cambria Math" w:hAnsi="Cambria Math"/>
                  <w:lang w:val="fr-FR"/>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lang w:val="fr-FR"/>
                        </w:rPr>
                        <m:t>-</m:t>
                      </m:r>
                      <m:r>
                        <w:rPr>
                          <w:rFonts w:ascii="Cambria Math" w:hAnsi="Cambria Math"/>
                          <w:lang w:val="fr-FR"/>
                        </w:rPr>
                        <m:t>2</m:t>
                      </m:r>
                    </m:sub>
                  </m:sSub>
                </m:num>
                <m:den>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lang w:val="fr-FR"/>
                        </w:rPr>
                        <m:t>-</m:t>
                      </m:r>
                      <m:r>
                        <w:rPr>
                          <w:rFonts w:ascii="Cambria Math" w:hAnsi="Cambria Math"/>
                          <w:lang w:val="fr-FR"/>
                        </w:rPr>
                        <m:t>2</m:t>
                      </m:r>
                    </m:sub>
                  </m:sSub>
                </m:den>
              </m:f>
              <m:r>
                <m:rPr>
                  <m:sty m:val="p"/>
                </m:rPr>
                <w:rPr>
                  <w:rFonts w:ascii="Cambria Math" w:hAnsi="Cambria Math"/>
                  <w:lang w:val="fr-FR"/>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lang w:val="fr-FR"/>
                        </w:rPr>
                        <m:t>-</m:t>
                      </m:r>
                      <m:r>
                        <w:rPr>
                          <w:rFonts w:ascii="Cambria Math" w:hAnsi="Cambria Math"/>
                          <w:lang w:val="fr-FR"/>
                        </w:rPr>
                        <m:t>3</m:t>
                      </m:r>
                    </m:sub>
                  </m:sSub>
                </m:num>
                <m:den>
                  <m:r>
                    <w:rPr>
                      <w:rFonts w:ascii="Cambria Math" w:hAnsi="Cambria Math"/>
                    </w:rPr>
                    <m:t>NbContra</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lang w:val="fr-FR"/>
                        </w:rPr>
                        <m:t>-</m:t>
                      </m:r>
                      <m:r>
                        <w:rPr>
                          <w:rFonts w:ascii="Cambria Math" w:hAnsi="Cambria Math"/>
                          <w:lang w:val="fr-FR"/>
                        </w:rPr>
                        <m:t>3</m:t>
                      </m:r>
                    </m:sub>
                  </m:sSub>
                </m:den>
              </m:f>
            </m:num>
            <m:den>
              <m:r>
                <w:rPr>
                  <w:rFonts w:ascii="Cambria Math" w:hAnsi="Cambria Math"/>
                  <w:lang w:val="fr-FR"/>
                </w:rPr>
                <m:t>3</m:t>
              </m:r>
            </m:den>
          </m:f>
        </m:oMath>
      </m:oMathPara>
    </w:p>
    <w:p w14:paraId="067B55E3" w14:textId="77777777" w:rsidR="00A44A2A" w:rsidRPr="00943FAD" w:rsidRDefault="00000000">
      <w:pPr>
        <w:pStyle w:val="Heading3"/>
        <w:rPr>
          <w:lang w:val="fr-FR"/>
        </w:rPr>
      </w:pPr>
      <w:bookmarkStart w:id="19" w:name="rentes-découlants-des-opérations-non-vie"/>
      <w:bookmarkStart w:id="20" w:name="_Toc131761972"/>
      <w:bookmarkEnd w:id="13"/>
      <w:bookmarkEnd w:id="18"/>
      <w:r w:rsidRPr="00943FAD">
        <w:rPr>
          <w:lang w:val="fr-FR"/>
        </w:rPr>
        <w:t>2.2 Rentes découlants des opérations non-vie</w:t>
      </w:r>
      <w:bookmarkEnd w:id="20"/>
    </w:p>
    <w:p w14:paraId="449A98B7" w14:textId="77777777" w:rsidR="00A44A2A" w:rsidRDefault="00000000">
      <w:pPr>
        <w:pStyle w:val="FirstParagraph"/>
      </w:pPr>
      <m:oMathPara>
        <m:oMathParaPr>
          <m:jc m:val="center"/>
        </m:oMathPara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rnv</m:t>
              </m:r>
            </m:sub>
          </m:sSub>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oMath>
      </m:oMathPara>
    </w:p>
    <w:p w14:paraId="79E1879B" w14:textId="77777777" w:rsidR="00A44A2A" w:rsidRDefault="00000000">
      <w:pPr>
        <w:pStyle w:val="FirstParagraph"/>
      </w:pPr>
      <w:r>
        <w:t>Avec :</w:t>
      </w:r>
    </w:p>
    <w:p w14:paraId="5C1C516C" w14:textId="77777777" w:rsidR="00A44A2A" w:rsidRPr="00943FAD" w:rsidRDefault="00000000">
      <w:pPr>
        <w:pStyle w:val="Compact"/>
        <w:numPr>
          <w:ilvl w:val="0"/>
          <w:numId w:val="9"/>
        </w:numPr>
        <w:rPr>
          <w:lang w:val="fr-FR"/>
        </w:rPr>
      </w:pPr>
      <m:oMath>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rnv</m:t>
            </m:r>
          </m:sub>
        </m:sSub>
      </m:oMath>
      <w:r w:rsidRPr="00943FAD">
        <w:rPr>
          <w:lang w:val="fr-FR"/>
        </w:rPr>
        <w:t xml:space="preserve"> : la meilleure estimation rentes découlant des opérations d’assurance non vie</w:t>
      </w:r>
    </w:p>
    <w:p w14:paraId="456C8FD9" w14:textId="77777777" w:rsidR="00A44A2A" w:rsidRPr="00943FAD" w:rsidRDefault="00000000">
      <w:pPr>
        <w:pStyle w:val="Compact"/>
        <w:numPr>
          <w:ilvl w:val="0"/>
          <w:numId w:val="9"/>
        </w:numPr>
        <w:rPr>
          <w:lang w:val="fr-FR"/>
        </w:rPr>
      </w:pPr>
      <m:oMath>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garantie</m:t>
            </m:r>
          </m:sub>
          <m:sup>
            <m:r>
              <w:rPr>
                <w:rFonts w:ascii="Cambria Math" w:hAnsi="Cambria Math"/>
              </w:rPr>
              <m:t>prob</m:t>
            </m:r>
          </m:sup>
        </m:sSubSup>
      </m:oMath>
      <w:r w:rsidRPr="00943FAD">
        <w:rPr>
          <w:lang w:val="fr-FR"/>
        </w:rPr>
        <w:t xml:space="preserve"> : la meilleure estimation des garanties probabilisées déterminée dans la section </w:t>
      </w:r>
      <w:hyperlink w:anchor="sec-MEGP">
        <w:r w:rsidRPr="00943FAD">
          <w:rPr>
            <w:rStyle w:val="Hyperlink"/>
            <w:lang w:val="fr-FR"/>
          </w:rPr>
          <w:t>Section 2.1.1.1</w:t>
        </w:r>
      </w:hyperlink>
    </w:p>
    <w:p w14:paraId="70D75C15" w14:textId="77777777" w:rsidR="00A44A2A" w:rsidRPr="00943FAD" w:rsidRDefault="00000000">
      <w:pPr>
        <w:pStyle w:val="Heading3"/>
        <w:rPr>
          <w:lang w:val="fr-FR"/>
        </w:rPr>
      </w:pPr>
      <w:bookmarkStart w:id="21" w:name="X95164bc6af2e862e4c417e49c6d46de2a1b5d80"/>
      <w:bookmarkStart w:id="22" w:name="_Toc131761973"/>
      <w:bookmarkEnd w:id="19"/>
      <w:r w:rsidRPr="00943FAD">
        <w:rPr>
          <w:lang w:val="fr-FR"/>
        </w:rPr>
        <w:t>2.3 Opérations d’assurance non vie hors rentes</w:t>
      </w:r>
      <w:bookmarkEnd w:id="22"/>
    </w:p>
    <w:p w14:paraId="10F4932F" w14:textId="77777777" w:rsidR="00A44A2A" w:rsidRPr="00943FAD" w:rsidRDefault="00000000">
      <w:pPr>
        <w:pStyle w:val="Heading4"/>
        <w:rPr>
          <w:lang w:val="fr-FR"/>
        </w:rPr>
      </w:pPr>
      <w:bookmarkStart w:id="23" w:name="la-meilleure-estimation-des-engagements"/>
      <w:r w:rsidRPr="00943FAD">
        <w:rPr>
          <w:lang w:val="fr-FR"/>
        </w:rPr>
        <w:t>2.3.1 La meilleure estimation des engagements</w:t>
      </w:r>
    </w:p>
    <w:p w14:paraId="11BF27CD" w14:textId="77777777" w:rsidR="00A44A2A" w:rsidRPr="00943FAD" w:rsidRDefault="00000000">
      <w:pPr>
        <w:pStyle w:val="FirstParagraph"/>
        <w:rPr>
          <w:lang w:val="fr-FR"/>
        </w:rPr>
      </w:pPr>
      <w:r w:rsidRPr="00943FAD">
        <w:rPr>
          <w:lang w:val="fr-FR"/>
        </w:rPr>
        <w:t>la meilleure estimation des engagements comprend la meilleure estimation des engagements pour sinistres nets de recours et la meilleure estimation des engagements pour primes.</w:t>
      </w:r>
    </w:p>
    <w:p w14:paraId="6D66A003" w14:textId="77777777" w:rsidR="00A44A2A"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engagement</m:t>
              </m:r>
            </m:sub>
          </m:sSub>
          <m:limLow>
            <m:limLowPr>
              <m:ctrlPr>
                <w:rPr>
                  <w:rFonts w:ascii="Cambria Math" w:hAnsi="Cambria Math"/>
                </w:rPr>
              </m:ctrlPr>
            </m:limLowPr>
            <m:e>
              <m:r>
                <m:rPr>
                  <m:sty m:val="p"/>
                </m:rPr>
                <w:rPr>
                  <w:rFonts w:ascii="Cambria Math" w:hAnsi="Cambria Math"/>
                </w:rPr>
                <m:t>=</m:t>
              </m:r>
            </m:e>
            <m:lim>
              <m:r>
                <w:rPr>
                  <w:rFonts w:ascii="Cambria Math" w:hAnsi="Cambria Math"/>
                </w:rPr>
                <m:t>nvhr</m:t>
              </m:r>
            </m:lim>
          </m:limLow>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sinistres</m:t>
              </m:r>
            </m:sub>
            <m:sup>
              <m:r>
                <w:rPr>
                  <w:rFonts w:ascii="Cambria Math" w:hAnsi="Cambria Math"/>
                </w:rPr>
                <m:t>eng</m:t>
              </m:r>
            </m:sup>
          </m:sSubSup>
          <m:limLow>
            <m:limLowPr>
              <m:ctrlPr>
                <w:rPr>
                  <w:rFonts w:ascii="Cambria Math" w:hAnsi="Cambria Math"/>
                </w:rPr>
              </m:ctrlPr>
            </m:limLowPr>
            <m:e>
              <m:r>
                <m:rPr>
                  <m:sty m:val="p"/>
                </m:rPr>
                <w:rPr>
                  <w:rFonts w:ascii="Cambria Math" w:hAnsi="Cambria Math"/>
                </w:rPr>
                <m:t>+</m:t>
              </m:r>
            </m:e>
            <m:lim>
              <m:r>
                <w:rPr>
                  <w:rFonts w:ascii="Cambria Math" w:hAnsi="Cambria Math"/>
                </w:rPr>
                <m:t>nvhr</m:t>
              </m:r>
            </m:lim>
          </m:limLow>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primes</m:t>
              </m:r>
            </m:sub>
            <m:sup>
              <m:r>
                <w:rPr>
                  <w:rFonts w:ascii="Cambria Math" w:hAnsi="Cambria Math"/>
                </w:rPr>
                <m:t>eng</m:t>
              </m:r>
            </m:sup>
          </m:sSubSup>
        </m:oMath>
      </m:oMathPara>
    </w:p>
    <w:p w14:paraId="15158A4E" w14:textId="77777777" w:rsidR="00A44A2A" w:rsidRPr="00943FAD" w:rsidRDefault="00000000">
      <w:pPr>
        <w:pStyle w:val="Heading4"/>
        <w:rPr>
          <w:lang w:val="fr-FR"/>
        </w:rPr>
      </w:pPr>
      <w:bookmarkStart w:id="24" w:name="Xa14e02d98f0a3838cc206baa2ceb635059030af"/>
      <w:bookmarkEnd w:id="23"/>
      <w:r w:rsidRPr="00943FAD">
        <w:rPr>
          <w:lang w:val="fr-FR"/>
        </w:rPr>
        <w:t>2.3.2 La meilleure estimation des engagements pour primes</w:t>
      </w:r>
    </w:p>
    <w:p w14:paraId="76678582" w14:textId="77777777" w:rsidR="00A44A2A" w:rsidRPr="00943FAD" w:rsidRDefault="00000000">
      <w:pPr>
        <w:pStyle w:val="FirstParagraph"/>
        <w:rPr>
          <w:lang w:val="fr-FR"/>
        </w:rPr>
      </w:pPr>
      <w:r w:rsidRPr="00943FAD">
        <w:rPr>
          <w:lang w:val="fr-FR"/>
        </w:rPr>
        <w:t xml:space="preserve">La meilleure estimation des engagements pour primes correspond à la différence entre : - La somme actualisée des flux de règlements futurs probabilisés nets de recours relatifs aux </w:t>
      </w:r>
      <w:r w:rsidRPr="00943FAD">
        <w:rPr>
          <w:i/>
          <w:iCs/>
          <w:lang w:val="fr-FR"/>
        </w:rPr>
        <w:t>sinistres non encore survenus</w:t>
      </w:r>
      <w:r w:rsidRPr="00943FAD">
        <w:rPr>
          <w:lang w:val="fr-FR"/>
        </w:rPr>
        <w:t xml:space="preserve"> afférents aux contrats. - Le montant des primes futures probabilisé et actualisé à la date d’inventaire, net des frais d’acquisition, afférentes aux contrats.</w:t>
      </w:r>
    </w:p>
    <w:p w14:paraId="7C79CEC0" w14:textId="77777777" w:rsidR="00A44A2A"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primes</m:t>
              </m:r>
            </m:sub>
            <m:sup>
              <m:r>
                <w:rPr>
                  <w:rFonts w:ascii="Cambria Math" w:hAnsi="Cambria Math"/>
                </w:rPr>
                <m:t>eng</m:t>
              </m:r>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m:t>
              </m:r>
            </m:sup>
            <m:e>
              <m:f>
                <m:fPr>
                  <m:ctrlPr>
                    <w:rPr>
                      <w:rFonts w:ascii="Cambria Math" w:hAnsi="Cambria Math"/>
                    </w:rPr>
                  </m:ctrlPr>
                </m:fPr>
                <m:num>
                  <m:bar>
                    <m:barPr>
                      <m:pos m:val="top"/>
                      <m:ctrlPr>
                        <w:rPr>
                          <w:rFonts w:ascii="Cambria Math" w:hAnsi="Cambria Math"/>
                        </w:rPr>
                      </m:ctrlPr>
                    </m:barPr>
                    <m:e>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e>
                  </m:bar>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r>
            <m:rPr>
              <m:sty m:val="p"/>
            </m:rPr>
            <w:rPr>
              <w:rFonts w:ascii="Cambria Math" w:hAnsi="Cambria Math"/>
            </w:rPr>
            <m:t>-</m:t>
          </m:r>
          <m:f>
            <m:fPr>
              <m:ctrlPr>
                <w:rPr>
                  <w:rFonts w:ascii="Cambria Math" w:hAnsi="Cambria Math"/>
                </w:rPr>
              </m:ctrlPr>
            </m:fPr>
            <m:num>
              <m:r>
                <w:rPr>
                  <w:rFonts w:ascii="Cambria Math" w:hAnsi="Cambria Math"/>
                </w:rPr>
                <m:t>PF</m:t>
              </m:r>
              <m:sSub>
                <m:sSubPr>
                  <m:ctrlPr>
                    <w:rPr>
                      <w:rFonts w:ascii="Cambria Math" w:hAnsi="Cambria Math"/>
                    </w:rPr>
                  </m:ctrlPr>
                </m:sSubPr>
                <m:e>
                  <m:r>
                    <w:rPr>
                      <w:rFonts w:ascii="Cambria Math" w:hAnsi="Cambria Math"/>
                    </w:rPr>
                    <m:t>P</m:t>
                  </m:r>
                </m:e>
                <m:sub>
                  <m:r>
                    <w:rPr>
                      <w:rFonts w:ascii="Cambria Math" w:hAnsi="Cambria Math"/>
                    </w:rPr>
                    <m:t>t</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oMath>
      </m:oMathPara>
    </w:p>
    <w:p w14:paraId="67FD85C5" w14:textId="77777777" w:rsidR="00A44A2A" w:rsidRDefault="00000000">
      <w:pPr>
        <w:pStyle w:val="FirstParagraph"/>
      </w:pPr>
      <w:r>
        <w:t>avec:</w:t>
      </w:r>
    </w:p>
    <w:p w14:paraId="0401D7AC" w14:textId="77777777" w:rsidR="00A44A2A" w:rsidRPr="00943FAD" w:rsidRDefault="00000000">
      <w:pPr>
        <w:pStyle w:val="Compact"/>
        <w:numPr>
          <w:ilvl w:val="0"/>
          <w:numId w:val="10"/>
        </w:numPr>
        <w:rPr>
          <w:lang w:val="fr-FR"/>
        </w:rPr>
      </w:pPr>
      <m:oMath>
        <m:r>
          <w:rPr>
            <w:rFonts w:ascii="Cambria Math" w:hAnsi="Cambria Math"/>
          </w:rPr>
          <m:t>PFP</m:t>
        </m:r>
      </m:oMath>
      <w:r w:rsidRPr="00943FAD">
        <w:rPr>
          <w:lang w:val="fr-FR"/>
        </w:rPr>
        <w:t>: Le montant des primes futures probabilisé.</w:t>
      </w:r>
    </w:p>
    <w:p w14:paraId="55BB93AF" w14:textId="77777777" w:rsidR="00A44A2A" w:rsidRPr="00943FAD" w:rsidRDefault="00000000">
      <w:pPr>
        <w:pStyle w:val="Compact"/>
        <w:numPr>
          <w:ilvl w:val="0"/>
          <w:numId w:val="10"/>
        </w:numPr>
        <w:rPr>
          <w:lang w:val="fr-FR"/>
        </w:rPr>
      </w:pPr>
      <m:oMath>
        <m:bar>
          <m:barPr>
            <m:pos m:val="top"/>
            <m:ctrlPr>
              <w:rPr>
                <w:rFonts w:ascii="Cambria Math" w:hAnsi="Cambria Math"/>
              </w:rPr>
            </m:ctrlPr>
          </m:barPr>
          <m:e>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e>
        </m:bar>
      </m:oMath>
      <w:r w:rsidRPr="00943FAD">
        <w:rPr>
          <w:lang w:val="fr-FR"/>
        </w:rPr>
        <w:t>: La somme actualisée des flux de règlements futurs probabilisés nets de recours relatifs aux sinistres non encore survenus,telle que pour une année de projection donnée:</w:t>
      </w:r>
    </w:p>
    <w:p w14:paraId="181D953E" w14:textId="77777777" w:rsidR="00A44A2A" w:rsidRDefault="00000000">
      <w:pPr>
        <w:pStyle w:val="FirstParagraph"/>
      </w:pPr>
      <m:oMathPara>
        <m:oMathParaPr>
          <m:jc m:val="center"/>
        </m:oMathParaPr>
        <m:oMath>
          <m:bar>
            <m:barPr>
              <m:pos m:val="top"/>
              <m:ctrlPr>
                <w:rPr>
                  <w:rFonts w:ascii="Cambria Math" w:hAnsi="Cambria Math"/>
                </w:rPr>
              </m:ctrlPr>
            </m:barPr>
            <m:e>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e>
          </m:bar>
          <m:r>
            <m:rPr>
              <m:sty m:val="p"/>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liquidation</m:t>
              </m:r>
            </m:sub>
          </m:sSub>
          <m:r>
            <m:rPr>
              <m:sty m:val="p"/>
            </m:rP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moyen</m:t>
              </m:r>
            </m:sub>
          </m:sSub>
          <m:r>
            <m:rPr>
              <m:sty m:val="p"/>
            </m:rPr>
            <w:rPr>
              <w:rFonts w:ascii="Cambria Math" w:hAnsi="Cambria Math"/>
            </w:rPr>
            <m:t>*</m:t>
          </m:r>
          <m:d>
            <m:dPr>
              <m:ctrlPr>
                <w:rPr>
                  <w:rFonts w:ascii="Cambria Math" w:hAnsi="Cambria Math"/>
                </w:rPr>
              </m:ctrlPr>
            </m:dPr>
            <m:e>
              <m:r>
                <w:rPr>
                  <w:rFonts w:ascii="Cambria Math" w:hAnsi="Cambria Math"/>
                </w:rPr>
                <m:t>PPNA</m:t>
              </m:r>
              <m:r>
                <m:rPr>
                  <m:sty m:val="p"/>
                </m:rPr>
                <w:rPr>
                  <w:rFonts w:ascii="Cambria Math" w:hAnsi="Cambria Math"/>
                </w:rPr>
                <m:t>+</m:t>
              </m:r>
              <m:r>
                <w:rPr>
                  <w:rFonts w:ascii="Cambria Math" w:hAnsi="Cambria Math"/>
                </w:rPr>
                <m:t>PFP</m:t>
              </m:r>
            </m:e>
          </m:d>
        </m:oMath>
      </m:oMathPara>
    </w:p>
    <w:p w14:paraId="41F317E2" w14:textId="77777777" w:rsidR="00A44A2A" w:rsidRDefault="00000000">
      <w:pPr>
        <w:pStyle w:val="FirstParagraph"/>
      </w:pPr>
      <w:r>
        <w:t>avec:</w:t>
      </w:r>
    </w:p>
    <w:p w14:paraId="25E800F6" w14:textId="77777777" w:rsidR="00A44A2A" w:rsidRPr="00943FAD" w:rsidRDefault="00000000">
      <w:pPr>
        <w:pStyle w:val="Compact"/>
        <w:numPr>
          <w:ilvl w:val="0"/>
          <w:numId w:val="11"/>
        </w:numPr>
        <w:rPr>
          <w:lang w:val="fr-FR"/>
        </w:rPr>
      </w:pPr>
      <m:oMath>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liquidation</m:t>
            </m:r>
          </m:sub>
        </m:sSub>
      </m:oMath>
      <w:r w:rsidRPr="00943FAD">
        <w:rPr>
          <w:lang w:val="fr-FR"/>
        </w:rPr>
        <w:t>: le taux de liquidation,il est estimé en fonction de la cadence de liquidation des engagements pour sinistres survenus.</w:t>
      </w:r>
    </w:p>
    <w:p w14:paraId="50799843" w14:textId="77777777" w:rsidR="00A44A2A" w:rsidRPr="00943FAD" w:rsidRDefault="00000000">
      <w:pPr>
        <w:pStyle w:val="Compact"/>
        <w:numPr>
          <w:ilvl w:val="0"/>
          <w:numId w:val="11"/>
        </w:numPr>
        <w:rPr>
          <w:lang w:val="fr-FR"/>
        </w:rPr>
      </w:pPr>
      <m:oMath>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moyen</m:t>
            </m:r>
          </m:sub>
        </m:sSub>
      </m:oMath>
      <w:r w:rsidRPr="00943FAD">
        <w:rPr>
          <w:lang w:val="fr-FR"/>
        </w:rPr>
        <w:t>: le ratio de sinistralité moyen telle que:</w:t>
      </w:r>
    </w:p>
    <w:p w14:paraId="63D31356" w14:textId="77777777" w:rsidR="00A44A2A" w:rsidRDefault="00000000">
      <w:pPr>
        <w:pStyle w:val="Compact"/>
      </w:pPr>
      <m:oMathPara>
        <m:oMathParaPr>
          <m:jc m:val="center"/>
        </m:oMathParaPr>
        <m:oMath>
          <m:r>
            <w:rPr>
              <w:rFonts w:ascii="Cambria Math" w:hAnsi="Cambria Math"/>
            </w:rPr>
            <m:t>R</m:t>
          </m:r>
          <m:sSub>
            <m:sSubPr>
              <m:ctrlPr>
                <w:rPr>
                  <w:rFonts w:ascii="Cambria Math" w:hAnsi="Cambria Math"/>
                </w:rPr>
              </m:ctrlPr>
            </m:sSubPr>
            <m:e>
              <m:r>
                <w:rPr>
                  <w:rFonts w:ascii="Cambria Math" w:hAnsi="Cambria Math"/>
                </w:rPr>
                <m:t>S</m:t>
              </m:r>
            </m:e>
            <m:sub>
              <m:r>
                <w:rPr>
                  <w:rFonts w:ascii="Cambria Math" w:hAnsi="Cambria Math"/>
                </w:rPr>
                <m:t>moye</m:t>
              </m:r>
              <m:sSub>
                <m:sSubPr>
                  <m:ctrlPr>
                    <w:rPr>
                      <w:rFonts w:ascii="Cambria Math" w:hAnsi="Cambria Math"/>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f>
            <m:fPr>
              <m:ctrlPr>
                <w:rPr>
                  <w:rFonts w:ascii="Cambria Math" w:hAnsi="Cambria Math"/>
                </w:rPr>
              </m:ctrlPr>
            </m:fPr>
            <m:num>
              <m:r>
                <w:rPr>
                  <w:rFonts w:ascii="Cambria Math" w:hAnsi="Cambria Math"/>
                </w:rPr>
                <m:t>C</m:t>
              </m:r>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U</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U</m:t>
                  </m:r>
                </m:e>
                <m:sub>
                  <m:r>
                    <w:rPr>
                      <w:rFonts w:ascii="Cambria Math" w:hAnsi="Cambria Math"/>
                    </w:rPr>
                    <m:t>t</m:t>
                  </m:r>
                  <m:r>
                    <m:rPr>
                      <m:sty m:val="p"/>
                    </m:rPr>
                    <w:rPr>
                      <w:rFonts w:ascii="Cambria Math" w:hAnsi="Cambria Math"/>
                    </w:rPr>
                    <m:t>-</m:t>
                  </m:r>
                  <m:r>
                    <w:rPr>
                      <w:rFonts w:ascii="Cambria Math" w:hAnsi="Cambria Math"/>
                    </w:rPr>
                    <m:t>2</m:t>
                  </m:r>
                </m:sub>
              </m:sSub>
            </m:num>
            <m:den>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m:t>
                  </m:r>
                  <m:r>
                    <w:rPr>
                      <w:rFonts w:ascii="Cambria Math" w:hAnsi="Cambria Math"/>
                    </w:rPr>
                    <m:t>2</m:t>
                  </m:r>
                </m:sub>
              </m:sSub>
            </m:den>
          </m:f>
        </m:oMath>
      </m:oMathPara>
    </w:p>
    <w:p w14:paraId="3399B1A5" w14:textId="77777777" w:rsidR="00A44A2A" w:rsidRPr="00943FAD" w:rsidRDefault="00000000">
      <w:pPr>
        <w:pStyle w:val="Compact"/>
        <w:numPr>
          <w:ilvl w:val="0"/>
          <w:numId w:val="1"/>
        </w:numPr>
        <w:rPr>
          <w:lang w:val="fr-FR"/>
        </w:rPr>
      </w:pPr>
      <w:r w:rsidRPr="00943FAD">
        <w:rPr>
          <w:lang w:val="fr-FR"/>
        </w:rPr>
        <w:t xml:space="preserve">où </w:t>
      </w:r>
      <m:oMath>
        <m:r>
          <w:rPr>
            <w:rFonts w:ascii="Cambria Math" w:hAnsi="Cambria Math"/>
          </w:rPr>
          <m:t>CU</m:t>
        </m:r>
      </m:oMath>
      <w:r>
        <w:rPr>
          <w:rStyle w:val="FootnoteReference"/>
        </w:rPr>
        <w:footnoteReference w:id="2"/>
      </w:r>
      <w:r w:rsidRPr="00943FAD">
        <w:rPr>
          <w:lang w:val="fr-FR"/>
        </w:rPr>
        <w:t xml:space="preserve"> représente la charge ultime et </w:t>
      </w:r>
      <m:oMath>
        <m:r>
          <w:rPr>
            <w:rFonts w:ascii="Cambria Math" w:hAnsi="Cambria Math"/>
          </w:rPr>
          <m:t>PA</m:t>
        </m:r>
      </m:oMath>
      <w:r w:rsidRPr="00943FAD">
        <w:rPr>
          <w:lang w:val="fr-FR"/>
        </w:rPr>
        <w:t xml:space="preserve"> les primes acquises. et:</w:t>
      </w:r>
    </w:p>
    <w:p w14:paraId="2A40D3E5" w14:textId="77777777" w:rsidR="00A44A2A" w:rsidRDefault="00000000">
      <w:pPr>
        <w:pStyle w:val="FirstParagraph"/>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r>
            <w:rPr>
              <w:rFonts w:ascii="Cambria Math" w:hAnsi="Cambria Math"/>
            </w:rPr>
            <m:t>RegCumule</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RegFuture</m:t>
          </m:r>
          <m:sSub>
            <m:sSubPr>
              <m:ctrlPr>
                <w:rPr>
                  <w:rFonts w:ascii="Cambria Math" w:hAnsi="Cambria Math"/>
                </w:rPr>
              </m:ctrlPr>
            </m:sSubPr>
            <m:e>
              <m:r>
                <w:rPr>
                  <w:rFonts w:ascii="Cambria Math" w:hAnsi="Cambria Math"/>
                </w:rPr>
                <m:t>s</m:t>
              </m:r>
            </m:e>
            <m:sub>
              <m:r>
                <w:rPr>
                  <w:rFonts w:ascii="Cambria Math" w:hAnsi="Cambria Math"/>
                </w:rPr>
                <m:t>t</m:t>
              </m:r>
            </m:sub>
          </m:sSub>
        </m:oMath>
      </m:oMathPara>
    </w:p>
    <w:p w14:paraId="140DC093" w14:textId="77777777" w:rsidR="00A44A2A" w:rsidRPr="00943FAD" w:rsidRDefault="00000000">
      <w:pPr>
        <w:pStyle w:val="Compact"/>
        <w:numPr>
          <w:ilvl w:val="0"/>
          <w:numId w:val="12"/>
        </w:numPr>
        <w:rPr>
          <w:lang w:val="fr-FR"/>
        </w:rPr>
      </w:pPr>
      <m:oMath>
        <m:r>
          <w:rPr>
            <w:rFonts w:ascii="Cambria Math" w:hAnsi="Cambria Math"/>
          </w:rPr>
          <m:t>RegCumule</m:t>
        </m:r>
        <m:sSub>
          <m:sSubPr>
            <m:ctrlPr>
              <w:rPr>
                <w:rFonts w:ascii="Cambria Math" w:hAnsi="Cambria Math"/>
              </w:rPr>
            </m:ctrlPr>
          </m:sSubPr>
          <m:e>
            <m:r>
              <w:rPr>
                <w:rFonts w:ascii="Cambria Math" w:hAnsi="Cambria Math"/>
              </w:rPr>
              <m:t>s</m:t>
            </m:r>
          </m:e>
          <m:sub>
            <m:r>
              <w:rPr>
                <w:rFonts w:ascii="Cambria Math" w:hAnsi="Cambria Math"/>
              </w:rPr>
              <m:t>t</m:t>
            </m:r>
          </m:sub>
        </m:sSub>
      </m:oMath>
      <w:r w:rsidRPr="00943FAD">
        <w:rPr>
          <w:lang w:val="fr-FR"/>
        </w:rPr>
        <w:t xml:space="preserve"> : les règlements cumulés</w:t>
      </w:r>
    </w:p>
    <w:p w14:paraId="6EA18CB5" w14:textId="77777777" w:rsidR="00A44A2A" w:rsidRPr="00943FAD" w:rsidRDefault="00000000">
      <w:pPr>
        <w:pStyle w:val="Compact"/>
        <w:numPr>
          <w:ilvl w:val="0"/>
          <w:numId w:val="12"/>
        </w:numPr>
        <w:rPr>
          <w:lang w:val="fr-FR"/>
        </w:rPr>
      </w:pPr>
      <m:oMath>
        <m:r>
          <w:rPr>
            <w:rFonts w:ascii="Cambria Math" w:hAnsi="Cambria Math"/>
          </w:rPr>
          <m:t>RegFuture</m:t>
        </m:r>
        <m:sSub>
          <m:sSubPr>
            <m:ctrlPr>
              <w:rPr>
                <w:rFonts w:ascii="Cambria Math" w:hAnsi="Cambria Math"/>
              </w:rPr>
            </m:ctrlPr>
          </m:sSubPr>
          <m:e>
            <m:r>
              <w:rPr>
                <w:rFonts w:ascii="Cambria Math" w:hAnsi="Cambria Math"/>
              </w:rPr>
              <m:t>s</m:t>
            </m:r>
          </m:e>
          <m:sub>
            <m:r>
              <w:rPr>
                <w:rFonts w:ascii="Cambria Math" w:hAnsi="Cambria Math"/>
              </w:rPr>
              <m:t>t</m:t>
            </m:r>
          </m:sub>
        </m:sSub>
      </m:oMath>
      <w:r w:rsidRPr="00943FAD">
        <w:rPr>
          <w:lang w:val="fr-FR"/>
        </w:rPr>
        <w:t>: les règlements futurs</w:t>
      </w:r>
    </w:p>
    <w:p w14:paraId="469FFCA1" w14:textId="77777777" w:rsidR="00A44A2A" w:rsidRPr="00943FAD" w:rsidRDefault="00000000">
      <w:pPr>
        <w:pStyle w:val="Compact"/>
        <w:numPr>
          <w:ilvl w:val="0"/>
          <w:numId w:val="12"/>
        </w:numPr>
        <w:rPr>
          <w:lang w:val="fr-FR"/>
        </w:rPr>
      </w:pPr>
      <m:oMath>
        <m:r>
          <w:rPr>
            <w:rFonts w:ascii="Cambria Math" w:hAnsi="Cambria Math"/>
          </w:rPr>
          <m:t>PPNA</m:t>
        </m:r>
      </m:oMath>
      <w:r w:rsidRPr="00943FAD">
        <w:rPr>
          <w:lang w:val="fr-FR"/>
        </w:rPr>
        <w:t>: La provision pour primes non acquises.</w:t>
      </w:r>
    </w:p>
    <w:p w14:paraId="02AB9684" w14:textId="77777777" w:rsidR="00A44A2A" w:rsidRPr="00943FAD" w:rsidRDefault="00000000">
      <w:pPr>
        <w:pStyle w:val="Compact"/>
        <w:numPr>
          <w:ilvl w:val="0"/>
          <w:numId w:val="12"/>
        </w:numPr>
        <w:rPr>
          <w:lang w:val="fr-FR"/>
        </w:rPr>
      </w:pPr>
      <m:oMath>
        <m:r>
          <w:rPr>
            <w:rFonts w:ascii="Cambria Math" w:hAnsi="Cambria Math"/>
          </w:rPr>
          <m:t>PFP</m:t>
        </m:r>
      </m:oMath>
      <w:r w:rsidRPr="00943FAD">
        <w:rPr>
          <w:lang w:val="fr-FR"/>
        </w:rPr>
        <w:t>: Le montant des primes futures probabilisé.</w:t>
      </w:r>
    </w:p>
    <w:p w14:paraId="0BB9FA42" w14:textId="77777777" w:rsidR="00A44A2A" w:rsidRPr="00943FAD" w:rsidRDefault="00000000">
      <w:pPr>
        <w:pStyle w:val="Heading4"/>
        <w:rPr>
          <w:lang w:val="fr-FR"/>
        </w:rPr>
      </w:pPr>
      <w:bookmarkStart w:id="25" w:name="Xe8325af8adbaa5f327e7caf1bc7f2efbe3ba7b3"/>
      <w:bookmarkEnd w:id="24"/>
      <w:r w:rsidRPr="00943FAD">
        <w:rPr>
          <w:lang w:val="fr-FR"/>
        </w:rPr>
        <w:t>2.3.3 La meilleure estimation des engagements pour sinistres nets</w:t>
      </w:r>
    </w:p>
    <w:p w14:paraId="78C26136" w14:textId="77777777" w:rsidR="00A44A2A" w:rsidRPr="00943FAD" w:rsidRDefault="00000000">
      <w:pPr>
        <w:pStyle w:val="FirstParagraph"/>
        <w:rPr>
          <w:lang w:val="fr-FR"/>
        </w:rPr>
      </w:pPr>
      <w:r w:rsidRPr="00943FAD">
        <w:rPr>
          <w:lang w:val="fr-FR"/>
        </w:rPr>
        <w:t>La meilleure estimation des engagements pour sinistres nets de recours est déterminée en actualisant, les flux de règlements futurs probabilisés nets de recours relatifs aux sinistres survenus afférents aux contrats.</w:t>
      </w:r>
    </w:p>
    <w:p w14:paraId="54183E08" w14:textId="77777777" w:rsidR="00A44A2A"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sinistres</m:t>
              </m:r>
            </m:sub>
            <m:sup>
              <m:r>
                <w:rPr>
                  <w:rFonts w:ascii="Cambria Math" w:hAnsi="Cambria Math"/>
                </w:rPr>
                <m:t>eng</m:t>
              </m:r>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m:t>
              </m:r>
            </m:sup>
            <m:e>
              <m:f>
                <m:fPr>
                  <m:ctrlPr>
                    <w:rPr>
                      <w:rFonts w:ascii="Cambria Math" w:hAnsi="Cambria Math"/>
                    </w:rPr>
                  </m:ctrlPr>
                </m:fPr>
                <m:num>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oMath>
      </m:oMathPara>
    </w:p>
    <w:p w14:paraId="41109957" w14:textId="77777777" w:rsidR="00A44A2A" w:rsidRDefault="00000000">
      <w:pPr>
        <w:pStyle w:val="FirstParagraph"/>
      </w:pPr>
      <w:r>
        <w:t>avec:</w:t>
      </w:r>
    </w:p>
    <w:p w14:paraId="34D76FAE" w14:textId="77777777" w:rsidR="00A44A2A" w:rsidRPr="00943FAD" w:rsidRDefault="00000000">
      <w:pPr>
        <w:pStyle w:val="Compact"/>
        <w:numPr>
          <w:ilvl w:val="0"/>
          <w:numId w:val="13"/>
        </w:numPr>
        <w:rPr>
          <w:lang w:val="fr-FR"/>
        </w:rPr>
      </w:pPr>
      <m:oMath>
        <m:r>
          <w:rPr>
            <w:rFonts w:ascii="Cambria Math" w:hAnsi="Cambria Math"/>
          </w:rPr>
          <m:t>FRF</m:t>
        </m:r>
        <m:sSub>
          <m:sSubPr>
            <m:ctrlPr>
              <w:rPr>
                <w:rFonts w:ascii="Cambria Math" w:hAnsi="Cambria Math"/>
              </w:rPr>
            </m:ctrlPr>
          </m:sSubPr>
          <m:e>
            <m:r>
              <w:rPr>
                <w:rFonts w:ascii="Cambria Math" w:hAnsi="Cambria Math"/>
              </w:rPr>
              <m:t>P</m:t>
            </m:r>
          </m:e>
          <m:sub>
            <m:r>
              <w:rPr>
                <w:rFonts w:ascii="Cambria Math" w:hAnsi="Cambria Math"/>
              </w:rPr>
              <m:t>t</m:t>
            </m:r>
          </m:sub>
        </m:sSub>
      </m:oMath>
      <w:r w:rsidRPr="00943FAD">
        <w:rPr>
          <w:lang w:val="fr-FR"/>
        </w:rPr>
        <w:t xml:space="preserve"> : les flux de règlements futurs probabilisés nets de recours relatifs aux </w:t>
      </w:r>
      <w:r w:rsidRPr="00943FAD">
        <w:rPr>
          <w:i/>
          <w:iCs/>
          <w:lang w:val="fr-FR"/>
        </w:rPr>
        <w:t>sinistres survenus</w:t>
      </w:r>
      <w:r w:rsidRPr="00943FAD">
        <w:rPr>
          <w:lang w:val="fr-FR"/>
        </w:rPr>
        <w:t>, sont estimés sur la base d’un triangle de règlements par année de survenance net de recours conformément à la méthode telle que décrite à l’annexe N°5( a voir).</w:t>
      </w:r>
    </w:p>
    <w:p w14:paraId="47E42E38" w14:textId="77777777" w:rsidR="00A44A2A" w:rsidRPr="00943FAD" w:rsidRDefault="00000000">
      <w:pPr>
        <w:pStyle w:val="Heading4"/>
        <w:rPr>
          <w:lang w:val="fr-FR"/>
        </w:rPr>
      </w:pPr>
      <w:bookmarkStart w:id="26" w:name="X2f4d1e37f32a067609d94273e66a6b1dccec73f"/>
      <w:bookmarkEnd w:id="25"/>
      <w:r w:rsidRPr="00943FAD">
        <w:rPr>
          <w:lang w:val="fr-FR"/>
        </w:rPr>
        <w:t>2.3.4 La meilleure estimation des frais de gestion.</w:t>
      </w:r>
    </w:p>
    <w:p w14:paraId="17CDE32D" w14:textId="77777777" w:rsidR="00A44A2A" w:rsidRDefault="00000000">
      <w:pPr>
        <w:pStyle w:val="FirstParagraph"/>
      </w:pPr>
      <w:r>
        <w:t>la meilleure estimation des frais de gestion correspond à la somme actualisée des flux de frais de gestion futurs liés aux contrats.</w:t>
      </w:r>
    </w:p>
    <w:p w14:paraId="5090FE1A" w14:textId="77777777" w:rsidR="00A44A2A"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
            <m:sSubPr>
              <m:ctrlPr>
                <w:rPr>
                  <w:rFonts w:ascii="Cambria Math" w:hAnsi="Cambria Math"/>
                </w:rPr>
              </m:ctrlPr>
            </m:sSubPr>
            <m:e>
              <m:r>
                <w:rPr>
                  <w:rFonts w:ascii="Cambria Math" w:hAnsi="Cambria Math"/>
                </w:rPr>
                <m:t>E</m:t>
              </m:r>
            </m:e>
            <m:sub>
              <m:r>
                <w:rPr>
                  <w:rFonts w:ascii="Cambria Math" w:hAnsi="Cambria Math"/>
                </w:rPr>
                <m:t>fraisGestion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m:t>
              </m:r>
            </m:sup>
            <m:e>
              <m:f>
                <m:fPr>
                  <m:ctrlPr>
                    <w:rPr>
                      <w:rFonts w:ascii="Cambria Math" w:hAnsi="Cambria Math"/>
                    </w:rPr>
                  </m:ctrlPr>
                </m:fPr>
                <m:num>
                  <m:r>
                    <w:rPr>
                      <w:rFonts w:ascii="Cambria Math" w:hAnsi="Cambria Math"/>
                    </w:rPr>
                    <m:t>FFG</m:t>
                  </m:r>
                  <m:sSub>
                    <m:sSubPr>
                      <m:ctrlPr>
                        <w:rPr>
                          <w:rFonts w:ascii="Cambria Math" w:hAnsi="Cambria Math"/>
                        </w:rPr>
                      </m:ctrlPr>
                    </m:sSubPr>
                    <m:e>
                      <m:r>
                        <w:rPr>
                          <w:rFonts w:ascii="Cambria Math" w:hAnsi="Cambria Math"/>
                        </w:rPr>
                        <m:t>F</m:t>
                      </m:r>
                    </m:e>
                    <m:sub>
                      <m:r>
                        <w:rPr>
                          <w:rFonts w:ascii="Cambria Math" w:hAnsi="Cambria Math"/>
                        </w:rPr>
                        <m:t>t</m:t>
                      </m:r>
                    </m:sub>
                  </m:sSub>
                </m:num>
                <m:den>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e>
                      </m:d>
                    </m:e>
                    <m:sup>
                      <m:r>
                        <w:rPr>
                          <w:rFonts w:ascii="Cambria Math" w:hAnsi="Cambria Math"/>
                        </w:rPr>
                        <m:t>t</m:t>
                      </m:r>
                    </m:sup>
                  </m:sSup>
                </m:den>
              </m:f>
            </m:e>
          </m:nary>
        </m:oMath>
      </m:oMathPara>
    </w:p>
    <w:p w14:paraId="65711398" w14:textId="77777777" w:rsidR="00A44A2A" w:rsidRDefault="00000000">
      <w:pPr>
        <w:pStyle w:val="FirstParagraph"/>
      </w:pPr>
      <w:r>
        <w:t xml:space="preserve">avec: - </w:t>
      </w:r>
      <m:oMath>
        <m:r>
          <w:rPr>
            <w:rFonts w:ascii="Cambria Math" w:hAnsi="Cambria Math"/>
          </w:rPr>
          <m:t>FFGF</m:t>
        </m:r>
      </m:oMath>
      <w:r>
        <w:t>: les flux de frais de gestion futurs. telle que:</w:t>
      </w:r>
    </w:p>
    <w:p w14:paraId="3E099A7E" w14:textId="77777777" w:rsidR="00A44A2A" w:rsidRDefault="00000000">
      <w:pPr>
        <w:pStyle w:val="BodyText"/>
      </w:pPr>
      <m:oMathPara>
        <m:oMathParaPr>
          <m:jc m:val="center"/>
        </m:oMathParaPr>
        <m:oMath>
          <m:r>
            <w:rPr>
              <w:rFonts w:ascii="Cambria Math" w:hAnsi="Cambria Math"/>
            </w:rPr>
            <m:t>FFGF</m:t>
          </m:r>
          <m:r>
            <m:rPr>
              <m:sty m:val="p"/>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moy</m:t>
                  </m:r>
                </m:sub>
              </m:sSub>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sinistres</m:t>
                  </m:r>
                </m:sub>
                <m:sup>
                  <m:r>
                    <w:rPr>
                      <w:rFonts w:ascii="Cambria Math" w:hAnsi="Cambria Math"/>
                    </w:rPr>
                    <m:t>eng</m:t>
                  </m:r>
                </m:sup>
              </m:sSubSup>
              <m:limLow>
                <m:limLowPr>
                  <m:ctrlPr>
                    <w:rPr>
                      <w:rFonts w:ascii="Cambria Math" w:hAnsi="Cambria Math"/>
                    </w:rPr>
                  </m:ctrlPr>
                </m:limLowPr>
                <m:e>
                  <m:r>
                    <m:rPr>
                      <m:sty m:val="p"/>
                    </m:rPr>
                    <w:rPr>
                      <w:rFonts w:ascii="Cambria Math" w:hAnsi="Cambria Math"/>
                    </w:rPr>
                    <m:t>+</m:t>
                  </m:r>
                </m:e>
                <m:lim>
                  <m:r>
                    <w:rPr>
                      <w:rFonts w:ascii="Cambria Math" w:hAnsi="Cambria Math"/>
                    </w:rPr>
                    <m:t>nvhr</m:t>
                  </m:r>
                </m:lim>
              </m:limLow>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primes</m:t>
                  </m:r>
                </m:sub>
                <m:sup>
                  <m:r>
                    <w:rPr>
                      <w:rFonts w:ascii="Cambria Math" w:hAnsi="Cambria Math"/>
                    </w:rPr>
                    <m:t>eng</m:t>
                  </m:r>
                </m:sup>
              </m:sSubSup>
            </m:e>
          </m:d>
        </m:oMath>
      </m:oMathPara>
    </w:p>
    <w:p w14:paraId="1178994F" w14:textId="77777777" w:rsidR="00A44A2A" w:rsidRDefault="00000000">
      <w:pPr>
        <w:pStyle w:val="FirstParagraph"/>
      </w:pPr>
      <w:r>
        <w:t xml:space="preserve">et: - </w:t>
      </w:r>
      <m:oMath>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moy</m:t>
                </m:r>
              </m:sub>
            </m:sSub>
          </m:sub>
        </m:sSub>
      </m:oMath>
      <w:r>
        <w:t xml:space="preserve"> : Le taux de frais de gestion moyen,il est estimé, par sous-catégories d’opérations d’assurance, en considérant la moyenne sur les trois derniers exercices clos des taux de frais de gestion.</w:t>
      </w:r>
    </w:p>
    <w:p w14:paraId="5A9E34C1" w14:textId="77777777" w:rsidR="00A44A2A" w:rsidRDefault="00000000">
      <w:pPr>
        <w:pStyle w:val="BodyText"/>
      </w:pPr>
      <w:r>
        <w:t>Donc:</w:t>
      </w:r>
    </w:p>
    <w:p w14:paraId="025AADC7" w14:textId="77777777" w:rsidR="00A44A2A" w:rsidRDefault="00000000">
      <w:pPr>
        <w:pStyle w:val="BodyText"/>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t</m:t>
              </m:r>
            </m:sub>
          </m:sSub>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moy</m:t>
                  </m:r>
                </m:sub>
              </m:sSub>
            </m:sub>
          </m:sSub>
          <m:r>
            <m:rPr>
              <m:sty m:val="p"/>
            </m:rP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1</m:t>
                      </m:r>
                    </m:sub>
                  </m:sSub>
                </m:sub>
              </m:sSub>
              <m:r>
                <m:rPr>
                  <m:sty m:val="p"/>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2</m:t>
                      </m:r>
                    </m:sub>
                  </m:sSub>
                </m:sub>
              </m:sSub>
            </m:num>
            <m:den>
              <m:r>
                <w:rPr>
                  <w:rFonts w:ascii="Cambria Math" w:hAnsi="Cambria Math"/>
                </w:rPr>
                <m:t>3</m:t>
              </m:r>
            </m:den>
          </m:f>
        </m:oMath>
      </m:oMathPara>
    </w:p>
    <w:p w14:paraId="6BC960B7" w14:textId="77777777" w:rsidR="00A44A2A" w:rsidRDefault="00000000">
      <w:pPr>
        <w:pStyle w:val="FirstParagraph"/>
      </w:pPr>
      <w:r>
        <w:t>ainsi que :</w:t>
      </w:r>
    </w:p>
    <w:p w14:paraId="279039E1" w14:textId="77777777" w:rsidR="00A44A2A" w:rsidRDefault="00000000">
      <w:pPr>
        <w:pStyle w:val="BodyText"/>
      </w:pPr>
      <m:oMathPara>
        <m:oMathParaPr>
          <m:jc m:val="center"/>
        </m:oMathParaPr>
        <m:oMath>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fraisgestio</m:t>
              </m:r>
              <m:sSub>
                <m:sSubPr>
                  <m:ctrlPr>
                    <w:rPr>
                      <w:rFonts w:ascii="Cambria Math" w:hAnsi="Cambria Math"/>
                    </w:rPr>
                  </m:ctrlPr>
                </m:sSubPr>
                <m:e>
                  <m:r>
                    <w:rPr>
                      <w:rFonts w:ascii="Cambria Math" w:hAnsi="Cambria Math"/>
                    </w:rPr>
                    <m:t>n</m:t>
                  </m:r>
                </m:e>
                <m:sub>
                  <m:r>
                    <w:rPr>
                      <w:rFonts w:ascii="Cambria Math" w:hAnsi="Cambria Math"/>
                    </w:rPr>
                    <m:t>t</m:t>
                  </m:r>
                </m:sub>
              </m:sSub>
            </m:sub>
          </m:sSub>
          <m:r>
            <m:rPr>
              <m:sty m:val="p"/>
            </m:rPr>
            <w:rPr>
              <w:rFonts w:ascii="Cambria Math" w:hAnsi="Cambria Math"/>
            </w:rPr>
            <m:t>=</m:t>
          </m:r>
          <m:f>
            <m:fPr>
              <m:ctrlPr>
                <w:rPr>
                  <w:rFonts w:ascii="Cambria Math" w:hAnsi="Cambria Math"/>
                </w:rPr>
              </m:ctrlPr>
            </m:fPr>
            <m:num>
              <m:r>
                <w:rPr>
                  <w:rFonts w:ascii="Cambria Math" w:hAnsi="Cambria Math"/>
                </w:rPr>
                <m:t>FG</m:t>
              </m:r>
            </m:num>
            <m:den>
              <m:sSub>
                <m:sSubPr>
                  <m:ctrlPr>
                    <w:rPr>
                      <w:rFonts w:ascii="Cambria Math" w:hAnsi="Cambria Math"/>
                    </w:rPr>
                  </m:ctrlPr>
                </m:sSubPr>
                <m:e>
                  <m:r>
                    <w:rPr>
                      <w:rFonts w:ascii="Cambria Math" w:hAnsi="Cambria Math"/>
                    </w:rPr>
                    <m:t>​</m:t>
                  </m:r>
                </m:e>
                <m:sub>
                  <m:r>
                    <w:rPr>
                      <w:rFonts w:ascii="Cambria Math" w:hAnsi="Cambria Math"/>
                    </w:rPr>
                    <m:t>nvhr</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sinistres</m:t>
                  </m:r>
                </m:sub>
                <m:sup>
                  <m:r>
                    <w:rPr>
                      <w:rFonts w:ascii="Cambria Math" w:hAnsi="Cambria Math"/>
                    </w:rPr>
                    <m:t>eng</m:t>
                  </m:r>
                </m:sup>
              </m:sSubSup>
              <m:r>
                <m:rPr>
                  <m:sty m:val="p"/>
                </m:rPr>
                <w:rPr>
                  <w:rFonts w:ascii="Cambria Math" w:hAnsi="Cambria Math"/>
                </w:rPr>
                <m:t>+</m:t>
              </m:r>
              <m:r>
                <w:rPr>
                  <w:rFonts w:ascii="Cambria Math" w:hAnsi="Cambria Math"/>
                </w:rPr>
                <m:t>Reglement</m:t>
              </m:r>
              <m:sSub>
                <m:sSubPr>
                  <m:ctrlPr>
                    <w:rPr>
                      <w:rFonts w:ascii="Cambria Math" w:hAnsi="Cambria Math"/>
                    </w:rPr>
                  </m:ctrlPr>
                </m:sSubPr>
                <m:e>
                  <m:r>
                    <w:rPr>
                      <w:rFonts w:ascii="Cambria Math" w:hAnsi="Cambria Math"/>
                    </w:rPr>
                    <m:t>s</m:t>
                  </m:r>
                </m:e>
                <m:sub>
                  <m:r>
                    <w:rPr>
                      <w:rFonts w:ascii="Cambria Math" w:hAnsi="Cambria Math"/>
                    </w:rPr>
                    <m:t>Clos</m:t>
                  </m:r>
                </m:sub>
              </m:sSub>
            </m:den>
          </m:f>
        </m:oMath>
      </m:oMathPara>
    </w:p>
    <w:p w14:paraId="63093EC8" w14:textId="77777777" w:rsidR="00A44A2A" w:rsidRDefault="00000000">
      <w:pPr>
        <w:pStyle w:val="Compact"/>
        <w:numPr>
          <w:ilvl w:val="0"/>
          <w:numId w:val="14"/>
        </w:numPr>
      </w:pPr>
      <m:oMath>
        <m:r>
          <w:rPr>
            <w:rFonts w:ascii="Cambria Math" w:hAnsi="Cambria Math"/>
          </w:rPr>
          <m:t>FG</m:t>
        </m:r>
      </m:oMath>
      <w:r>
        <w:t>: le montant frais de gestion</w:t>
      </w:r>
    </w:p>
    <w:p w14:paraId="74BA7AE2" w14:textId="77777777" w:rsidR="00A44A2A" w:rsidRDefault="00000000">
      <w:pPr>
        <w:pStyle w:val="Compact"/>
        <w:numPr>
          <w:ilvl w:val="0"/>
          <w:numId w:val="14"/>
        </w:numPr>
      </w:pPr>
      <m:oMath>
        <m:r>
          <w:rPr>
            <w:rFonts w:ascii="Cambria Math" w:hAnsi="Cambria Math"/>
          </w:rPr>
          <m:t>Reglement</m:t>
        </m:r>
        <m:sSub>
          <m:sSubPr>
            <m:ctrlPr>
              <w:rPr>
                <w:rFonts w:ascii="Cambria Math" w:hAnsi="Cambria Math"/>
              </w:rPr>
            </m:ctrlPr>
          </m:sSubPr>
          <m:e>
            <m:r>
              <w:rPr>
                <w:rFonts w:ascii="Cambria Math" w:hAnsi="Cambria Math"/>
              </w:rPr>
              <m:t>s</m:t>
            </m:r>
          </m:e>
          <m:sub>
            <m:r>
              <w:rPr>
                <w:rFonts w:ascii="Cambria Math" w:hAnsi="Cambria Math"/>
              </w:rPr>
              <m:t>Clos</m:t>
            </m:r>
          </m:sub>
        </m:sSub>
      </m:oMath>
      <w:r>
        <w:t xml:space="preserve"> : les règlements au titre de l’exercice clos</w:t>
      </w:r>
    </w:p>
    <w:p w14:paraId="31093673" w14:textId="77777777" w:rsidR="00A44A2A" w:rsidRDefault="00000000">
      <w:pPr>
        <w:pStyle w:val="Heading3"/>
      </w:pPr>
      <w:bookmarkStart w:id="27" w:name="Xf3f8abd7a5710234231d4d992dd0ccf8ee2969b"/>
      <w:bookmarkStart w:id="28" w:name="_Toc131761974"/>
      <w:bookmarkEnd w:id="21"/>
      <w:bookmarkEnd w:id="26"/>
      <w:r>
        <w:t>2.4 Part des cessionnaires dans les provisions techniques prudentielles</w:t>
      </w:r>
      <w:bookmarkEnd w:id="28"/>
    </w:p>
    <w:p w14:paraId="497AA77A" w14:textId="77777777" w:rsidR="00A44A2A" w:rsidRDefault="00000000">
      <w:pPr>
        <w:pStyle w:val="FirstParagraph"/>
      </w:pPr>
      <w:r>
        <w:t>La part des cessionnaires dans les provisions techniques prudentielles est évaluée en considérant la différence entre d’une part, la meilleure estimation des engagements cédés et d’autre part, l’ajustement pour défaut de contrepartie.</w:t>
      </w:r>
    </w:p>
    <w:p w14:paraId="0177DB06" w14:textId="77777777" w:rsidR="00A44A2A" w:rsidRDefault="00000000">
      <w:pPr>
        <w:pStyle w:val="BodyText"/>
      </w:pPr>
      <m:oMathPara>
        <m:oMathParaPr>
          <m:jc m:val="center"/>
        </m:oMathParaPr>
        <m:oMath>
          <m:r>
            <w:rPr>
              <w:rFonts w:ascii="Cambria Math" w:hAnsi="Cambria Math"/>
            </w:rPr>
            <m:t>Par</m:t>
          </m:r>
          <m:sSub>
            <m:sSubPr>
              <m:ctrlPr>
                <w:rPr>
                  <w:rFonts w:ascii="Cambria Math" w:hAnsi="Cambria Math"/>
                </w:rPr>
              </m:ctrlPr>
            </m:sSubPr>
            <m:e>
              <m:r>
                <w:rPr>
                  <w:rFonts w:ascii="Cambria Math" w:hAnsi="Cambria Math"/>
                </w:rPr>
                <m:t>t</m:t>
              </m:r>
            </m:e>
            <m:sub>
              <m:r>
                <w:rPr>
                  <w:rFonts w:ascii="Cambria Math" w:hAnsi="Cambria Math"/>
                </w:rPr>
                <m:t>cess</m:t>
              </m:r>
            </m:sub>
          </m:sSub>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m:rPr>
              <m:sty m:val="p"/>
            </m:rPr>
            <w:rPr>
              <w:rFonts w:ascii="Cambria Math" w:hAnsi="Cambria Math"/>
            </w:rPr>
            <m:t>-</m:t>
          </m:r>
          <m:r>
            <w:rPr>
              <w:rFonts w:ascii="Cambria Math" w:hAnsi="Cambria Math"/>
            </w:rPr>
            <m:t>Ajus</m:t>
          </m:r>
          <m:sSub>
            <m:sSubPr>
              <m:ctrlPr>
                <w:rPr>
                  <w:rFonts w:ascii="Cambria Math" w:hAnsi="Cambria Math"/>
                </w:rPr>
              </m:ctrlPr>
            </m:sSubPr>
            <m:e>
              <m:r>
                <w:rPr>
                  <w:rFonts w:ascii="Cambria Math" w:hAnsi="Cambria Math"/>
                </w:rPr>
                <m:t>t</m:t>
              </m:r>
            </m:e>
            <m:sub>
              <m:r>
                <w:rPr>
                  <w:rFonts w:ascii="Cambria Math" w:hAnsi="Cambria Math"/>
                </w:rPr>
                <m:t>DC</m:t>
              </m:r>
            </m:sub>
          </m:sSub>
        </m:oMath>
      </m:oMathPara>
    </w:p>
    <w:p w14:paraId="6E1A37A3" w14:textId="77777777" w:rsidR="00A44A2A" w:rsidRDefault="00000000">
      <w:pPr>
        <w:pStyle w:val="Heading4"/>
      </w:pPr>
      <w:bookmarkStart w:id="29" w:name="Xd8cee755a10c6c188b3bd0cdb248919b22e3c37"/>
      <w:r>
        <w:t>2.4.1 La meilleure estimation des engagements cédés</w:t>
      </w:r>
    </w:p>
    <w:p w14:paraId="7ED56CD6" w14:textId="77777777" w:rsidR="00A44A2A" w:rsidRDefault="00000000">
      <w:pPr>
        <w:pStyle w:val="Heading5"/>
      </w:pPr>
      <w:bookmarkStart w:id="30" w:name="X0f00ae71319169104bfd1725b5f02737fc4d35e"/>
      <w:r>
        <w:t>Les opérations d’assurance vie, décès ou de capitalisation</w:t>
      </w:r>
    </w:p>
    <w:p w14:paraId="5CBD4673" w14:textId="77777777" w:rsidR="00A44A2A" w:rsidRDefault="00000000">
      <w:pPr>
        <w:pStyle w:val="FirstParagraph"/>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vie</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m:rPr>
              <m:sty m:val="p"/>
            </m:rPr>
            <w:rPr>
              <w:rFonts w:ascii="Cambria Math" w:hAnsi="Cambria Math"/>
            </w:rPr>
            <m:t>=</m:t>
          </m:r>
          <m:r>
            <w:rPr>
              <w:rFonts w:ascii="Cambria Math" w:hAnsi="Cambria Math"/>
            </w:rPr>
            <m:t>tau</m:t>
          </m:r>
          <m:sSub>
            <m:sSubPr>
              <m:ctrlPr>
                <w:rPr>
                  <w:rFonts w:ascii="Cambria Math" w:hAnsi="Cambria Math"/>
                </w:rPr>
              </m:ctrlPr>
            </m:sSubPr>
            <m:e>
              <m:r>
                <w:rPr>
                  <w:rFonts w:ascii="Cambria Math" w:hAnsi="Cambria Math"/>
                </w:rPr>
                <m:t>x</m:t>
              </m:r>
            </m:e>
            <m:sub>
              <m:r>
                <w:rPr>
                  <w:rFonts w:ascii="Cambria Math" w:hAnsi="Cambria Math"/>
                </w:rPr>
                <m:t>c</m:t>
              </m:r>
            </m:sub>
          </m:sSub>
          <m:limLow>
            <m:limLowPr>
              <m:ctrlPr>
                <w:rPr>
                  <w:rFonts w:ascii="Cambria Math" w:hAnsi="Cambria Math"/>
                </w:rPr>
              </m:ctrlPr>
            </m:limLowPr>
            <m:e>
              <m:r>
                <m:rPr>
                  <m:sty m:val="p"/>
                </m:rPr>
                <w:rPr>
                  <w:rFonts w:ascii="Cambria Math" w:hAnsi="Cambria Math"/>
                </w:rPr>
                <m:t>×</m:t>
              </m:r>
            </m:e>
            <m:lim>
              <m:r>
                <w:rPr>
                  <w:rFonts w:ascii="Cambria Math" w:hAnsi="Cambria Math"/>
                </w:rPr>
                <m:t>vie</m:t>
              </m:r>
            </m:lim>
          </m:limLow>
          <m:r>
            <w:rPr>
              <w:rFonts w:ascii="Cambria Math" w:hAnsi="Cambria Math"/>
            </w:rPr>
            <m:t>B</m:t>
          </m:r>
          <m:sSup>
            <m:sSupPr>
              <m:ctrlPr>
                <w:rPr>
                  <w:rFonts w:ascii="Cambria Math" w:hAnsi="Cambria Math"/>
                </w:rPr>
              </m:ctrlPr>
            </m:sSupPr>
            <m:e>
              <m:r>
                <w:rPr>
                  <w:rFonts w:ascii="Cambria Math" w:hAnsi="Cambria Math"/>
                </w:rPr>
                <m:t>E</m:t>
              </m:r>
            </m:e>
            <m:sup>
              <m:r>
                <w:rPr>
                  <w:rFonts w:ascii="Cambria Math" w:hAnsi="Cambria Math"/>
                </w:rPr>
                <m:t>eng</m:t>
              </m:r>
            </m:sup>
          </m:sSup>
        </m:oMath>
      </m:oMathPara>
    </w:p>
    <w:p w14:paraId="64449B97" w14:textId="77777777" w:rsidR="00A44A2A" w:rsidRDefault="00000000">
      <w:pPr>
        <w:pStyle w:val="FirstParagraph"/>
      </w:pPr>
      <w:r>
        <w:t>Avec :</w:t>
      </w:r>
    </w:p>
    <w:p w14:paraId="3711ECB0" w14:textId="77777777" w:rsidR="00A44A2A" w:rsidRDefault="00000000">
      <w:pPr>
        <w:pStyle w:val="Compact"/>
        <w:numPr>
          <w:ilvl w:val="0"/>
          <w:numId w:val="15"/>
        </w:numPr>
      </w:pPr>
      <m:oMath>
        <m:r>
          <w:rPr>
            <w:rFonts w:ascii="Cambria Math" w:hAnsi="Cambria Math"/>
          </w:rPr>
          <m:t>tau</m:t>
        </m:r>
        <m:sSub>
          <m:sSubPr>
            <m:ctrlPr>
              <w:rPr>
                <w:rFonts w:ascii="Cambria Math" w:hAnsi="Cambria Math"/>
              </w:rPr>
            </m:ctrlPr>
          </m:sSubPr>
          <m:e>
            <m:r>
              <w:rPr>
                <w:rFonts w:ascii="Cambria Math" w:hAnsi="Cambria Math"/>
              </w:rPr>
              <m:t>x</m:t>
            </m:r>
          </m:e>
          <m:sub>
            <m:r>
              <w:rPr>
                <w:rFonts w:ascii="Cambria Math" w:hAnsi="Cambria Math"/>
              </w:rPr>
              <m:t>c</m:t>
            </m:r>
          </m:sub>
        </m:sSub>
      </m:oMath>
      <w:r>
        <w:t xml:space="preserve"> (taux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p w14:paraId="45B1E6F1" w14:textId="77777777" w:rsidR="00A44A2A" w:rsidRDefault="00000000">
      <w:pPr>
        <w:pStyle w:val="Heading5"/>
      </w:pPr>
      <w:bookmarkStart w:id="31" w:name="les-opérations-non-vie"/>
      <w:bookmarkEnd w:id="30"/>
      <w:r>
        <w:t>Les opérations non vie</w:t>
      </w:r>
    </w:p>
    <w:p w14:paraId="54F57E92" w14:textId="77777777" w:rsidR="00A44A2A" w:rsidRDefault="00000000">
      <w:pPr>
        <w:pStyle w:val="FirstParagraph"/>
      </w:pPr>
      <m:oMathPara>
        <m:oMathParaPr>
          <m:jc m:val="center"/>
        </m:oMathParaPr>
        <m:oMath>
          <m:sSub>
            <m:sSubPr>
              <m:ctrlPr>
                <w:rPr>
                  <w:rFonts w:ascii="Cambria Math" w:hAnsi="Cambria Math"/>
                </w:rPr>
              </m:ctrlPr>
            </m:sSubPr>
            <m:e>
              <m:r>
                <w:rPr>
                  <w:rFonts w:ascii="Cambria Math" w:hAnsi="Cambria Math"/>
                </w:rPr>
                <m:t>​</m:t>
              </m:r>
            </m:e>
            <m:sub>
              <m:r>
                <w:rPr>
                  <w:rFonts w:ascii="Cambria Math" w:hAnsi="Cambria Math"/>
                </w:rPr>
                <m:t>nvie</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m:rPr>
              <m:sty m:val="p"/>
            </m:rPr>
            <w:rPr>
              <w:rFonts w:ascii="Cambria Math" w:hAnsi="Cambria Math"/>
            </w:rPr>
            <m:t>=</m:t>
          </m:r>
          <m:sSub>
            <m:sSubPr>
              <m:ctrlPr>
                <w:rPr>
                  <w:rFonts w:ascii="Cambria Math" w:hAnsi="Cambria Math"/>
                </w:rPr>
              </m:ctrlPr>
            </m:sSubPr>
            <m:e>
              <m:r>
                <w:rPr>
                  <w:rFonts w:ascii="Cambria Math" w:hAnsi="Cambria Math"/>
                </w:rPr>
                <m:t> </m:t>
              </m:r>
            </m:e>
            <m:sub>
              <m:r>
                <w:rPr>
                  <w:rFonts w:ascii="Cambria Math" w:hAnsi="Cambria Math"/>
                </w:rPr>
                <m:t>sinsitres</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m:rPr>
              <m:sty m:val="p"/>
            </m:rPr>
            <w:rPr>
              <w:rFonts w:ascii="Cambria Math" w:hAnsi="Cambria Math"/>
            </w:rPr>
            <m:t>+</m:t>
          </m:r>
          <m:sSub>
            <m:sSubPr>
              <m:ctrlPr>
                <w:rPr>
                  <w:rFonts w:ascii="Cambria Math" w:hAnsi="Cambria Math"/>
                </w:rPr>
              </m:ctrlPr>
            </m:sSubPr>
            <m:e>
              <m:r>
                <w:rPr>
                  <w:rFonts w:ascii="Cambria Math" w:hAnsi="Cambria Math"/>
                </w:rPr>
                <m:t> </m:t>
              </m:r>
            </m:e>
            <m:sub>
              <m:r>
                <w:rPr>
                  <w:rFonts w:ascii="Cambria Math" w:hAnsi="Cambria Math"/>
                </w:rPr>
                <m:t>primes</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oMath>
      </m:oMathPara>
    </w:p>
    <w:p w14:paraId="69058AC4" w14:textId="77777777" w:rsidR="00A44A2A" w:rsidRDefault="00000000">
      <w:pPr>
        <w:pStyle w:val="FirstParagraph"/>
      </w:pPr>
      <w:r>
        <w:t>Avec :</w:t>
      </w:r>
    </w:p>
    <w:p w14:paraId="14A97858" w14:textId="77777777" w:rsidR="00A44A2A" w:rsidRDefault="00000000">
      <w:pPr>
        <w:pStyle w:val="BlockText"/>
      </w:pPr>
      <m:oMath>
        <m:sSub>
          <m:sSubPr>
            <m:ctrlPr>
              <w:rPr>
                <w:rFonts w:ascii="Cambria Math" w:hAnsi="Cambria Math"/>
              </w:rPr>
            </m:ctrlPr>
          </m:sSubPr>
          <m:e>
            <m:r>
              <w:rPr>
                <w:rFonts w:ascii="Cambria Math" w:hAnsi="Cambria Math"/>
              </w:rPr>
              <m:t>​</m:t>
            </m:r>
          </m:e>
          <m:sub>
            <m:r>
              <w:rPr>
                <w:rFonts w:ascii="Cambria Math" w:hAnsi="Cambria Math"/>
              </w:rPr>
              <m:t>sinsitres</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m:rPr>
            <m:sty m:val="p"/>
          </m:rPr>
          <w:rPr>
            <w:rFonts w:ascii="Cambria Math" w:hAnsi="Cambria Math"/>
          </w:rPr>
          <m:t>=</m:t>
        </m:r>
        <m:r>
          <w:rPr>
            <w:rFonts w:ascii="Cambria Math" w:hAnsi="Cambria Math"/>
          </w:rPr>
          <m:t>tau</m:t>
        </m:r>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sinsitres</m:t>
            </m:r>
          </m:sub>
          <m:sup>
            <m:r>
              <w:rPr>
                <w:rFonts w:ascii="Cambria Math" w:hAnsi="Cambria Math"/>
              </w:rPr>
              <m:t>eng</m:t>
            </m:r>
          </m:sup>
        </m:sSubSup>
      </m:oMath>
      <w:r>
        <w:t xml:space="preserve"> : La meilleure estimation des engagements pour sinistres cédés visée à la spécification technique 33 ci- dessus est évaluée en multipliant la meilleure estimation des engagements pour sinistres nets de recours visée à par (</w:t>
      </w:r>
      <m:oMath>
        <m:r>
          <w:rPr>
            <w:rFonts w:ascii="Cambria Math" w:hAnsi="Cambria Math"/>
          </w:rPr>
          <m:t>tau</m:t>
        </m:r>
        <m:sSub>
          <m:sSubPr>
            <m:ctrlPr>
              <w:rPr>
                <w:rFonts w:ascii="Cambria Math" w:hAnsi="Cambria Math"/>
              </w:rPr>
            </m:ctrlPr>
          </m:sSubPr>
          <m:e>
            <m:r>
              <w:rPr>
                <w:rFonts w:ascii="Cambria Math" w:hAnsi="Cambria Math"/>
              </w:rPr>
              <m:t>x</m:t>
            </m:r>
          </m:e>
          <m:sub>
            <m:r>
              <w:rPr>
                <w:rFonts w:ascii="Cambria Math" w:hAnsi="Cambria Math"/>
              </w:rPr>
              <m:t>s</m:t>
            </m:r>
          </m:sub>
        </m:sSub>
      </m:oMath>
      <w:r>
        <w:t>) le rapport entre la part des cessionnaires dans les provisions pour sinistres à payer et la provision pour sinistres à payer brute de réassurance.</w:t>
      </w:r>
    </w:p>
    <w:p w14:paraId="447A741A" w14:textId="77777777" w:rsidR="00A44A2A" w:rsidRDefault="00000000">
      <w:pPr>
        <w:pStyle w:val="BlockText"/>
      </w:pPr>
      <m:oMath>
        <m:sSub>
          <m:sSubPr>
            <m:ctrlPr>
              <w:rPr>
                <w:rFonts w:ascii="Cambria Math" w:hAnsi="Cambria Math"/>
              </w:rPr>
            </m:ctrlPr>
          </m:sSubPr>
          <m:e>
            <m:r>
              <w:rPr>
                <w:rFonts w:ascii="Cambria Math" w:hAnsi="Cambria Math"/>
              </w:rPr>
              <m:t>​</m:t>
            </m:r>
          </m:e>
          <m:sub>
            <m:r>
              <w:rPr>
                <w:rFonts w:ascii="Cambria Math" w:hAnsi="Cambria Math"/>
              </w:rPr>
              <m:t>primes</m:t>
            </m:r>
          </m:sub>
        </m:sSub>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cedes</m:t>
            </m:r>
          </m:sub>
          <m:sup>
            <m:r>
              <w:rPr>
                <w:rFonts w:ascii="Cambria Math" w:hAnsi="Cambria Math"/>
              </w:rPr>
              <m:t>eng</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cession</m:t>
            </m:r>
          </m:sub>
          <m:sup>
            <m:r>
              <w:rPr>
                <w:rFonts w:ascii="Cambria Math" w:hAnsi="Cambria Math"/>
              </w:rPr>
              <m:t>primes</m:t>
            </m:r>
          </m:sup>
        </m:sSubSup>
        <m:r>
          <m:rPr>
            <m:sty m:val="p"/>
          </m:rPr>
          <w:rPr>
            <w:rFonts w:ascii="Cambria Math" w:hAnsi="Cambria Math"/>
          </w:rPr>
          <m:t>×</m:t>
        </m:r>
        <m:r>
          <w:rPr>
            <w:rFonts w:ascii="Cambria Math" w:hAnsi="Cambria Math"/>
          </w:rPr>
          <m:t>B</m:t>
        </m:r>
        <m:sSubSup>
          <m:sSubSupPr>
            <m:ctrlPr>
              <w:rPr>
                <w:rFonts w:ascii="Cambria Math" w:hAnsi="Cambria Math"/>
              </w:rPr>
            </m:ctrlPr>
          </m:sSubSupPr>
          <m:e>
            <m:r>
              <w:rPr>
                <w:rFonts w:ascii="Cambria Math" w:hAnsi="Cambria Math"/>
              </w:rPr>
              <m:t>E</m:t>
            </m:r>
          </m:e>
          <m:sub>
            <m:r>
              <w:rPr>
                <w:rFonts w:ascii="Cambria Math" w:hAnsi="Cambria Math"/>
              </w:rPr>
              <m:t>primes</m:t>
            </m:r>
          </m:sub>
          <m:sup>
            <m:r>
              <w:rPr>
                <w:rFonts w:ascii="Cambria Math" w:hAnsi="Cambria Math"/>
              </w:rPr>
              <m:t>eng</m:t>
            </m:r>
          </m:sup>
        </m:sSubSup>
      </m:oMath>
      <w:r>
        <w:t xml:space="preserve"> : La meilleure estimation des engagements pour primes cédés visée est évaluée en multipliant la meilleure estimation des engagements pour primes visée par le taux de cession de primes. Le taux de cession (</w:t>
      </w:r>
      <m:oMath>
        <m:sSubSup>
          <m:sSubSupPr>
            <m:ctrlPr>
              <w:rPr>
                <w:rFonts w:ascii="Cambria Math" w:hAnsi="Cambria Math"/>
              </w:rPr>
            </m:ctrlPr>
          </m:sSubSupPr>
          <m:e>
            <m:r>
              <w:rPr>
                <w:rFonts w:ascii="Cambria Math" w:hAnsi="Cambria Math"/>
              </w:rPr>
              <m:t>r</m:t>
            </m:r>
          </m:e>
          <m:sub>
            <m:r>
              <w:rPr>
                <w:rFonts w:ascii="Cambria Math" w:hAnsi="Cambria Math"/>
              </w:rPr>
              <m:t>cession</m:t>
            </m:r>
          </m:sub>
          <m:sup>
            <m:r>
              <w:rPr>
                <w:rFonts w:ascii="Cambria Math" w:hAnsi="Cambria Math"/>
              </w:rPr>
              <m:t>primes</m:t>
            </m:r>
          </m:sup>
        </m:sSubSup>
      </m:oMath>
      <w:r>
        <w:t>) de primes précité correspond au rapport entre les primes brutes non vie (cessions) et les primes émises de l’exercice.</w:t>
      </w:r>
    </w:p>
    <w:p w14:paraId="28C4E2C3" w14:textId="77777777" w:rsidR="00A44A2A" w:rsidRDefault="00000000">
      <w:pPr>
        <w:pStyle w:val="Heading4"/>
      </w:pPr>
      <w:bookmarkStart w:id="32" w:name="lajustement-pour-défaut-de-contrepartie"/>
      <w:bookmarkEnd w:id="29"/>
      <w:bookmarkEnd w:id="31"/>
      <w:r>
        <w:t>2.4.2 L’ajustement pour défaut de contrepartie</w:t>
      </w:r>
    </w:p>
    <w:p w14:paraId="243C1A19" w14:textId="77777777" w:rsidR="00A44A2A" w:rsidRDefault="00000000">
      <w:pPr>
        <w:pStyle w:val="FirstParagraph"/>
      </w:pPr>
      <w:r>
        <w:t xml:space="preserve">L’ajustement pour défaut de contrepartie est déterminé en actualisant les flux d’ajustement futurs sur la base de la courbe des taux fixée par l’Autorité. Les flux d’ajustement futurs sont déterminés conformément à la méthode, telle que décrite à </w:t>
      </w:r>
      <w:r>
        <w:rPr>
          <w:b/>
          <w:bCs/>
        </w:rPr>
        <w:t>l’annexe N°6</w:t>
      </w:r>
      <w:r>
        <w:t xml:space="preserve"> de la présente circulaire.</w:t>
      </w:r>
    </w:p>
    <w:p w14:paraId="30C200F5" w14:textId="77777777" w:rsidR="00A44A2A" w:rsidRDefault="00000000">
      <w:pPr>
        <w:pStyle w:val="Heading2"/>
      </w:pPr>
      <w:bookmarkStart w:id="33" w:name="capital-de-solvabilité-requis-csr"/>
      <w:bookmarkStart w:id="34" w:name="_Toc131761975"/>
      <w:bookmarkEnd w:id="11"/>
      <w:bookmarkEnd w:id="27"/>
      <w:bookmarkEnd w:id="32"/>
      <w:r>
        <w:t>3 Capital de Solvabilité Requis (CSR):</w:t>
      </w:r>
      <w:bookmarkEnd w:id="34"/>
    </w:p>
    <w:p w14:paraId="1DAB829C" w14:textId="77777777" w:rsidR="00A44A2A" w:rsidRDefault="00000000">
      <w:pPr>
        <w:pStyle w:val="FirstParagraph"/>
      </w:pPr>
      <w:r>
        <w:t>Le capital de solvabilité requis du présent chapitre est constitué de la somme des éléments suivants: - Le capital de solvabilité requis de base; - L’exigence de capital relative au risque opérationnel; - L’ajustement visant à tenir compte de la capacité d’absorption des pertes par les assurés; - L’ajustement visant à tenir compte de la capacité d’absorption des pertes par les impôts différés;</w:t>
      </w:r>
    </w:p>
    <w:p w14:paraId="57BE58B6" w14:textId="77777777" w:rsidR="00A44A2A" w:rsidRDefault="00000000">
      <w:pPr>
        <w:pStyle w:val="Heading3"/>
      </w:pPr>
      <w:bookmarkStart w:id="35" w:name="csr-de-base-csr_base"/>
      <w:bookmarkStart w:id="36" w:name="_Toc131761976"/>
      <w:r>
        <w:lastRenderedPageBreak/>
        <w:t>3.1 CSR de base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base</m:t>
            </m:r>
          </m:sub>
        </m:sSub>
      </m:oMath>
      <w:r>
        <w:t>)</w:t>
      </w:r>
      <w:bookmarkEnd w:id="36"/>
    </w:p>
    <w:p w14:paraId="3C5E273E" w14:textId="77777777" w:rsidR="00A44A2A" w:rsidRDefault="00000000">
      <w:pPr>
        <w:pStyle w:val="FirstParagraph"/>
      </w:pPr>
      <w:r>
        <w:t>Le capital de solvabilité requis de base correspond à la somme agrégée des exigences de capitaux relatives aux risques de marché, de concentration, de contrepartie, de souscription vie et de souscription non-vie et ce, après application des coefficients de corrélations.</w:t>
      </w:r>
    </w:p>
    <w:p w14:paraId="0314494C" w14:textId="77777777" w:rsidR="00A44A2A"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base</m:t>
              </m:r>
            </m:sub>
          </m:sSub>
          <m:r>
            <m:rPr>
              <m:sty m:val="p"/>
            </m:rP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Risk</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14:paraId="3C4C9EEF" w14:textId="77777777" w:rsidR="00A44A2A" w:rsidRDefault="00000000">
      <w:pPr>
        <w:pStyle w:val="FirstParagraph"/>
      </w:pPr>
      <w:r>
        <w:t xml:space="preserve">Avec </w:t>
      </w:r>
      <m:oMath>
        <m:r>
          <w:rPr>
            <w:rFonts w:ascii="Cambria Math" w:hAnsi="Cambria Math"/>
          </w:rPr>
          <m:t>Risk</m:t>
        </m:r>
        <m:r>
          <m:rPr>
            <m:sty m:val="p"/>
          </m:rPr>
          <w:rPr>
            <w:rFonts w:ascii="Cambria Math" w:hAnsi="Cambria Math"/>
          </w:rPr>
          <m:t>=</m:t>
        </m:r>
      </m:oMath>
      <w:r>
        <w:t xml:space="preserve"> {risques de marché, de concentration, de contrepartie, de souscription vie, de souscription non-vie} et </w:t>
      </w:r>
      <m:oMath>
        <m:r>
          <w:rPr>
            <w:rFonts w:ascii="Cambria Math" w:hAnsi="Cambria Math"/>
          </w:rPr>
          <m:t>ρ</m:t>
        </m:r>
      </m:oMath>
      <w:r>
        <w:t xml:space="preserve"> le coefficient de corrélation.</w:t>
      </w:r>
    </w:p>
    <w:p w14:paraId="627A04C0" w14:textId="77777777" w:rsidR="00A44A2A" w:rsidRDefault="00000000">
      <w:pPr>
        <w:pStyle w:val="Heading3"/>
      </w:pPr>
      <w:bookmarkStart w:id="37" w:name="X706db001b0972477fcaaf4eb5bb198b1a0b8bfe"/>
      <w:bookmarkStart w:id="38" w:name="_Toc131761977"/>
      <w:bookmarkEnd w:id="35"/>
      <w:r>
        <w:t>3.2 Exigence de capital relative aux risque de marché (</w:t>
      </w:r>
      <m:oMath>
        <m:r>
          <m:rPr>
            <m:sty m:val="bi"/>
          </m:rPr>
          <w:rPr>
            <w:rFonts w:ascii="Cambria Math" w:hAnsi="Cambria Math"/>
          </w:rPr>
          <m:t>CS</m:t>
        </m:r>
        <m:sSub>
          <m:sSubPr>
            <m:ctrlPr>
              <w:rPr>
                <w:rFonts w:ascii="Cambria Math" w:hAnsi="Cambria Math"/>
              </w:rPr>
            </m:ctrlPr>
          </m:sSubPr>
          <m:e>
            <m:r>
              <m:rPr>
                <m:sty m:val="bi"/>
              </m:rPr>
              <w:rPr>
                <w:rFonts w:ascii="Cambria Math" w:hAnsi="Cambria Math"/>
              </w:rPr>
              <m:t>R</m:t>
            </m:r>
          </m:e>
          <m:sub>
            <m:r>
              <m:rPr>
                <m:sty m:val="bi"/>
              </m:rPr>
              <w:rPr>
                <w:rFonts w:ascii="Cambria Math" w:hAnsi="Cambria Math"/>
              </w:rPr>
              <m:t>marche</m:t>
            </m:r>
          </m:sub>
        </m:sSub>
      </m:oMath>
      <w:r>
        <w:t>)</w:t>
      </w:r>
      <w:bookmarkEnd w:id="38"/>
    </w:p>
    <w:p w14:paraId="7E1526FE" w14:textId="77777777" w:rsidR="00A44A2A" w:rsidRDefault="00000000">
      <w:pPr>
        <w:pStyle w:val="FirstParagraph"/>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marche</m:t>
              </m:r>
            </m:sub>
          </m:sSub>
          <m:r>
            <m:rPr>
              <m:sty m:val="p"/>
            </m:rPr>
            <w:rPr>
              <w:rFonts w:ascii="Cambria Math" w:hAnsi="Cambria Math"/>
            </w:rPr>
            <m:t>=</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j</m:t>
                          </m:r>
                        </m:sub>
                      </m:sSub>
                    </m:e>
                  </m:d>
                </m:e>
              </m:nary>
            </m:e>
          </m:rad>
        </m:oMath>
      </m:oMathPara>
    </w:p>
    <w:p w14:paraId="0C85D809" w14:textId="77777777" w:rsidR="00A44A2A" w:rsidRDefault="00000000">
      <w:pPr>
        <w:pStyle w:val="FirstParagraph"/>
      </w:pPr>
      <w:r>
        <w:t xml:space="preserve">Avec </w:t>
      </w:r>
      <m:oMath>
        <m:r>
          <w:rPr>
            <w:rFonts w:ascii="Cambria Math" w:hAnsi="Cambria Math"/>
          </w:rPr>
          <m:t>RM</m:t>
        </m:r>
        <m:r>
          <m:rPr>
            <m:sty m:val="p"/>
          </m:rPr>
          <w:rPr>
            <w:rFonts w:ascii="Cambria Math" w:hAnsi="Cambria Math"/>
          </w:rPr>
          <m:t>=</m:t>
        </m:r>
      </m:oMath>
      <w:r>
        <w:t xml:space="preserve"> {sous-risques action, taux, immobilier, écart de taux et change}</w:t>
      </w:r>
    </w:p>
    <w:p w14:paraId="05BD8B31" w14:textId="77777777" w:rsidR="00A44A2A" w:rsidRDefault="00000000">
      <w:pPr>
        <w:pStyle w:val="Heading4"/>
      </w:pPr>
      <w:bookmarkStart w:id="39" w:name="X2c79973d2630aed6670898c3e1e9048c589322c"/>
      <w:r>
        <w:t>3.2.1 Exigence de capital relative au risque action</w:t>
      </w:r>
    </w:p>
    <w:p w14:paraId="539199F0" w14:textId="77777777" w:rsidR="00A44A2A" w:rsidRDefault="00000000">
      <w:pPr>
        <w:pStyle w:val="FirstParagraph"/>
      </w:pPr>
      <w:r>
        <w:t>L’exigence de capital relative au risque action visée à la spécification technique 39 ci-dessus correspond à la perte de fonds propres résultant des baisses simultanées des valeurs des actions, valorisées conformément à la section 2 du chapitre I de la présente circulaire. Les taux de baisse à appliquer pour le calcul de l’exigence précitée sont fixés pour les catégories d’actions suivantes: - Actions cotées à long terme - Autres actions cotées - Actions non cotées à long terme - Autres actions non cotées - Entités d’infrastructures et ce, conformément à l’annexe n°8 de la présente circulaire.</w:t>
      </w:r>
    </w:p>
    <w:p w14:paraId="13CB5C70" w14:textId="77777777" w:rsidR="00A44A2A" w:rsidRDefault="00000000">
      <w:pPr>
        <w:pStyle w:val="BodyText"/>
      </w:pPr>
      <w:r>
        <w:t>L’exigence de capital relative au risque action est donnée par :</w:t>
      </w:r>
    </w:p>
    <w:p w14:paraId="7BA5FCC4" w14:textId="77777777" w:rsidR="00A44A2A" w:rsidRDefault="00000000">
      <w:pPr>
        <w:pStyle w:val="BodyText"/>
      </w:pPr>
      <m:oMathPara>
        <m:oMathParaPr>
          <m:jc m:val="center"/>
        </m:oMathParaPr>
        <m:oMath>
          <m:r>
            <w:rPr>
              <w:rFonts w:ascii="Cambria Math" w:hAnsi="Cambria Math"/>
            </w:rPr>
            <m:t>CS</m:t>
          </m:r>
          <m:sSub>
            <m:sSubPr>
              <m:ctrlPr>
                <w:rPr>
                  <w:rFonts w:ascii="Cambria Math" w:hAnsi="Cambria Math"/>
                </w:rPr>
              </m:ctrlPr>
            </m:sSubPr>
            <m:e>
              <m:r>
                <w:rPr>
                  <w:rFonts w:ascii="Cambria Math" w:hAnsi="Cambria Math"/>
                </w:rPr>
                <m:t>R</m:t>
              </m:r>
            </m:e>
            <m:sub>
              <m:r>
                <w:rPr>
                  <w:rFonts w:ascii="Cambria Math" w:hAnsi="Cambria Math"/>
                </w:rPr>
                <m:t>action</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Va</m:t>
          </m:r>
          <m:sSub>
            <m:sSubPr>
              <m:ctrlPr>
                <w:rPr>
                  <w:rFonts w:ascii="Cambria Math" w:hAnsi="Cambria Math"/>
                </w:rPr>
              </m:ctrlPr>
            </m:sSubPr>
            <m:e>
              <m:r>
                <w:rPr>
                  <w:rFonts w:ascii="Cambria Math" w:hAnsi="Cambria Math"/>
                </w:rPr>
                <m:t>R</m:t>
              </m:r>
            </m:e>
            <m:sub>
              <m:r>
                <w:rPr>
                  <w:rFonts w:ascii="Cambria Math" w:hAnsi="Cambria Math"/>
                </w:rPr>
                <m:t>action</m:t>
              </m:r>
            </m:sub>
          </m:sSub>
        </m:oMath>
      </m:oMathPara>
    </w:p>
    <w:p w14:paraId="29DEE15E" w14:textId="77777777" w:rsidR="00A44A2A" w:rsidRDefault="00000000">
      <w:pPr>
        <w:pStyle w:val="FirstParagraph"/>
      </w:pPr>
      <w:r>
        <w:t>où :</w:t>
      </w:r>
    </w:p>
    <w:p w14:paraId="667897DB" w14:textId="77777777" w:rsidR="00A44A2A" w:rsidRDefault="00000000">
      <w:pPr>
        <w:pStyle w:val="BodyText"/>
      </w:pPr>
      <m:oMath>
        <m:r>
          <w:rPr>
            <w:rFonts w:ascii="Cambria Math" w:hAnsi="Cambria Math"/>
          </w:rPr>
          <m:t>K</m:t>
        </m:r>
      </m:oMath>
      <w:r>
        <w:t xml:space="preserve"> représente le coefficient de risque pour les actions, qui est fixé par l’autorité de contrôle ; </w:t>
      </w:r>
      <m:oMath>
        <m:r>
          <w:rPr>
            <w:rFonts w:ascii="Cambria Math" w:hAnsi="Cambria Math"/>
          </w:rPr>
          <m:t>VaR</m:t>
        </m:r>
      </m:oMath>
      <w:r>
        <w:t xml:space="preserve"> correspond à la valeur à risque, qui est calculée à partir de la perte potentielle en capital résultant de baisses simultanées des valeurs des actions, valorisées au dernier cours avant la date d’inventaire ; </w:t>
      </w:r>
      <m:oMath>
        <m:r>
          <w:rPr>
            <w:rFonts w:ascii="Cambria Math" w:hAnsi="Cambria Math"/>
          </w:rPr>
          <m:t>Va</m:t>
        </m:r>
        <m:sSub>
          <m:sSubPr>
            <m:ctrlPr>
              <w:rPr>
                <w:rFonts w:ascii="Cambria Math" w:hAnsi="Cambria Math"/>
              </w:rPr>
            </m:ctrlPr>
          </m:sSubPr>
          <m:e>
            <m:r>
              <w:rPr>
                <w:rFonts w:ascii="Cambria Math" w:hAnsi="Cambria Math"/>
              </w:rPr>
              <m:t>R</m:t>
            </m:r>
          </m:e>
          <m:sub>
            <m:r>
              <w:rPr>
                <w:rFonts w:ascii="Cambria Math" w:hAnsi="Cambria Math"/>
              </w:rPr>
              <m:t>action</m:t>
            </m:r>
          </m:sub>
        </m:sSub>
      </m:oMath>
      <w:r>
        <w:t>: La VaR (Value at Risk) est une mesure de risque financier qui évalue la perte maximale probable (en termes de valeur ou de pourcentage) que pourrait subir un portefeuille d’actifs ou un instrument financier sur une période de temps donnée, avec un certain niveau de confiance.</w:t>
      </w:r>
      <w:bookmarkEnd w:id="33"/>
      <w:bookmarkEnd w:id="37"/>
      <w:bookmarkEnd w:id="39"/>
    </w:p>
    <w:sectPr w:rsidR="00A44A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BDBEC" w14:textId="77777777" w:rsidR="00641104" w:rsidRDefault="00641104">
      <w:pPr>
        <w:spacing w:after="0"/>
      </w:pPr>
      <w:r>
        <w:separator/>
      </w:r>
    </w:p>
  </w:endnote>
  <w:endnote w:type="continuationSeparator" w:id="0">
    <w:p w14:paraId="060D89C1" w14:textId="77777777" w:rsidR="00641104" w:rsidRDefault="00641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D6151" w14:textId="77777777" w:rsidR="00641104" w:rsidRDefault="00641104">
      <w:r>
        <w:separator/>
      </w:r>
    </w:p>
  </w:footnote>
  <w:footnote w:type="continuationSeparator" w:id="0">
    <w:p w14:paraId="229B73DD" w14:textId="77777777" w:rsidR="00641104" w:rsidRDefault="00641104">
      <w:r>
        <w:continuationSeparator/>
      </w:r>
    </w:p>
  </w:footnote>
  <w:footnote w:id="1">
    <w:p w14:paraId="1B649CC8" w14:textId="77777777" w:rsidR="00A44A2A" w:rsidRDefault="00000000">
      <w:pPr>
        <w:pStyle w:val="FootnoteText"/>
      </w:pPr>
      <w:r>
        <w:rPr>
          <w:rStyle w:val="FootnoteReference"/>
        </w:rPr>
        <w:footnoteRef/>
      </w:r>
      <w:r>
        <w:t xml:space="preserve"> Un contrat d’assurance mixte à prime unique sur </w:t>
      </w:r>
      <m:oMath>
        <m:r>
          <w:rPr>
            <w:rFonts w:ascii="Cambria Math" w:hAnsi="Cambria Math"/>
          </w:rPr>
          <m:t>N</m:t>
        </m:r>
      </m:oMath>
      <w:r>
        <w:t xml:space="preserve"> 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 w:id="2">
    <w:p w14:paraId="7DDF7799" w14:textId="77777777" w:rsidR="00A44A2A" w:rsidRDefault="00000000">
      <w:pPr>
        <w:pStyle w:val="FootnoteText"/>
      </w:pPr>
      <w:r>
        <w:rPr>
          <w:rStyle w:val="FootnoteReference"/>
        </w:rPr>
        <w:footnoteRef/>
      </w:r>
      <w:r>
        <w:t xml:space="preserve"> La charge ultime visée correspond, par exercice de survenance, à la somme des règlements cumulés et des règlements futurs au titre de l’année de survenance considérée.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43869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3F896C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28681555">
    <w:abstractNumId w:val="0"/>
  </w:num>
  <w:num w:numId="2" w16cid:durableId="1919897141">
    <w:abstractNumId w:val="1"/>
  </w:num>
  <w:num w:numId="3" w16cid:durableId="583610270">
    <w:abstractNumId w:val="1"/>
  </w:num>
  <w:num w:numId="4" w16cid:durableId="534775807">
    <w:abstractNumId w:val="1"/>
  </w:num>
  <w:num w:numId="5" w16cid:durableId="1358236681">
    <w:abstractNumId w:val="1"/>
  </w:num>
  <w:num w:numId="6" w16cid:durableId="1175414877">
    <w:abstractNumId w:val="1"/>
  </w:num>
  <w:num w:numId="7" w16cid:durableId="758598689">
    <w:abstractNumId w:val="1"/>
  </w:num>
  <w:num w:numId="8" w16cid:durableId="1606956808">
    <w:abstractNumId w:val="1"/>
  </w:num>
  <w:num w:numId="9" w16cid:durableId="1220171190">
    <w:abstractNumId w:val="1"/>
  </w:num>
  <w:num w:numId="10" w16cid:durableId="369771518">
    <w:abstractNumId w:val="1"/>
  </w:num>
  <w:num w:numId="11" w16cid:durableId="1233856801">
    <w:abstractNumId w:val="1"/>
  </w:num>
  <w:num w:numId="12" w16cid:durableId="744455486">
    <w:abstractNumId w:val="1"/>
  </w:num>
  <w:num w:numId="13" w16cid:durableId="1044603105">
    <w:abstractNumId w:val="1"/>
  </w:num>
  <w:num w:numId="14" w16cid:durableId="1288589896">
    <w:abstractNumId w:val="1"/>
  </w:num>
  <w:num w:numId="15" w16cid:durableId="802163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4A2A"/>
    <w:rsid w:val="00641104"/>
    <w:rsid w:val="00943FAD"/>
    <w:rsid w:val="00A44A2A"/>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DA3D92B"/>
  <w15:docId w15:val="{68F7FCAD-ED5F-9D47-9FEF-0B7369E6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unhideWhenUsed/>
    <w:rsid w:val="00943FAD"/>
    <w:pPr>
      <w:spacing w:before="120" w:after="0"/>
      <w:ind w:left="240"/>
    </w:pPr>
    <w:rPr>
      <w:rFonts w:cs="Times New Roman"/>
      <w:i/>
      <w:iCs/>
      <w:sz w:val="20"/>
    </w:rPr>
  </w:style>
  <w:style w:type="paragraph" w:styleId="TOC3">
    <w:name w:val="toc 3"/>
    <w:basedOn w:val="Normal"/>
    <w:next w:val="Normal"/>
    <w:autoRedefine/>
    <w:uiPriority w:val="39"/>
    <w:unhideWhenUsed/>
    <w:rsid w:val="00943FAD"/>
    <w:pPr>
      <w:spacing w:after="0"/>
      <w:ind w:left="480"/>
    </w:pPr>
    <w:rPr>
      <w:rFonts w:cs="Times New Roman"/>
      <w:sz w:val="20"/>
    </w:rPr>
  </w:style>
  <w:style w:type="paragraph" w:styleId="TOC1">
    <w:name w:val="toc 1"/>
    <w:basedOn w:val="Normal"/>
    <w:next w:val="Normal"/>
    <w:autoRedefine/>
    <w:semiHidden/>
    <w:unhideWhenUsed/>
    <w:rsid w:val="00943FAD"/>
    <w:pPr>
      <w:spacing w:before="240" w:after="120"/>
    </w:pPr>
    <w:rPr>
      <w:rFonts w:cs="Times New Roman"/>
      <w:b/>
      <w:bCs/>
      <w:sz w:val="20"/>
    </w:rPr>
  </w:style>
  <w:style w:type="paragraph" w:styleId="TOC4">
    <w:name w:val="toc 4"/>
    <w:basedOn w:val="Normal"/>
    <w:next w:val="Normal"/>
    <w:autoRedefine/>
    <w:semiHidden/>
    <w:unhideWhenUsed/>
    <w:rsid w:val="00943FAD"/>
    <w:pPr>
      <w:spacing w:after="0"/>
      <w:ind w:left="720"/>
    </w:pPr>
    <w:rPr>
      <w:rFonts w:cs="Times New Roman"/>
      <w:sz w:val="20"/>
    </w:rPr>
  </w:style>
  <w:style w:type="paragraph" w:styleId="TOC5">
    <w:name w:val="toc 5"/>
    <w:basedOn w:val="Normal"/>
    <w:next w:val="Normal"/>
    <w:autoRedefine/>
    <w:semiHidden/>
    <w:unhideWhenUsed/>
    <w:rsid w:val="00943FAD"/>
    <w:pPr>
      <w:spacing w:after="0"/>
      <w:ind w:left="960"/>
    </w:pPr>
    <w:rPr>
      <w:rFonts w:cs="Times New Roman"/>
      <w:sz w:val="20"/>
    </w:rPr>
  </w:style>
  <w:style w:type="paragraph" w:styleId="TOC6">
    <w:name w:val="toc 6"/>
    <w:basedOn w:val="Normal"/>
    <w:next w:val="Normal"/>
    <w:autoRedefine/>
    <w:semiHidden/>
    <w:unhideWhenUsed/>
    <w:rsid w:val="00943FAD"/>
    <w:pPr>
      <w:spacing w:after="0"/>
      <w:ind w:left="1200"/>
    </w:pPr>
    <w:rPr>
      <w:rFonts w:cs="Times New Roman"/>
      <w:sz w:val="20"/>
    </w:rPr>
  </w:style>
  <w:style w:type="paragraph" w:styleId="TOC7">
    <w:name w:val="toc 7"/>
    <w:basedOn w:val="Normal"/>
    <w:next w:val="Normal"/>
    <w:autoRedefine/>
    <w:semiHidden/>
    <w:unhideWhenUsed/>
    <w:rsid w:val="00943FAD"/>
    <w:pPr>
      <w:spacing w:after="0"/>
      <w:ind w:left="1440"/>
    </w:pPr>
    <w:rPr>
      <w:rFonts w:cs="Times New Roman"/>
      <w:sz w:val="20"/>
    </w:rPr>
  </w:style>
  <w:style w:type="paragraph" w:styleId="TOC8">
    <w:name w:val="toc 8"/>
    <w:basedOn w:val="Normal"/>
    <w:next w:val="Normal"/>
    <w:autoRedefine/>
    <w:semiHidden/>
    <w:unhideWhenUsed/>
    <w:rsid w:val="00943FAD"/>
    <w:pPr>
      <w:spacing w:after="0"/>
      <w:ind w:left="1680"/>
    </w:pPr>
    <w:rPr>
      <w:rFonts w:cs="Times New Roman"/>
      <w:sz w:val="20"/>
    </w:rPr>
  </w:style>
  <w:style w:type="paragraph" w:styleId="TOC9">
    <w:name w:val="toc 9"/>
    <w:basedOn w:val="Normal"/>
    <w:next w:val="Normal"/>
    <w:autoRedefine/>
    <w:semiHidden/>
    <w:unhideWhenUsed/>
    <w:rsid w:val="00943FAD"/>
    <w:pPr>
      <w:spacing w:after="0"/>
      <w:ind w:left="1920"/>
    </w:pPr>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6D2E5-A96D-0F4B-A6AA-9D13CF9B6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2783</Words>
  <Characters>15867</Characters>
  <Application>Microsoft Office Word</Application>
  <DocSecurity>0</DocSecurity>
  <Lines>132</Lines>
  <Paragraphs>37</Paragraphs>
  <ScaleCrop>false</ScaleCrop>
  <Company/>
  <LinksUpToDate>false</LinksUpToDate>
  <CharactersWithSpaces>18613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Prises de Notes</dc:title>
  <dc:creator/>
  <cp:keywords/>
  <cp:lastModifiedBy>Abdoul Oudouss Diakité</cp:lastModifiedBy>
  <cp:revision>2</cp:revision>
  <dcterms:created xsi:type="dcterms:W3CDTF">2023-04-07T12:10:00Z</dcterms:created>
  <dcterms:modified xsi:type="dcterms:W3CDTF">2023-04-07T12:12:00Z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