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Prises</w:t>
      </w:r>
      <w:r>
        <w:t xml:space="preserve"> </w:t>
      </w:r>
      <w:r>
        <w:t xml:space="preserve">de</w:t>
      </w:r>
      <w:r>
        <w:t xml:space="preserve"> </w:t>
      </w:r>
      <w:r>
        <w:t xml:space="preserve">Notes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valorisation-de-lactif"/>
    <w:p>
      <w:pPr>
        <w:pStyle w:val="Heading2"/>
      </w:pPr>
      <w:r>
        <w:t xml:space="preserve">1 Valorisation de l’actif</w:t>
      </w:r>
    </w:p>
    <w:bookmarkStart w:id="20" w:name="actions-cotées-à-la-bourse"/>
    <w:p>
      <w:pPr>
        <w:pStyle w:val="Heading3"/>
      </w:pPr>
      <w:r>
        <w:t xml:space="preserve">1.1 Actions cotées à la bourse</w:t>
      </w:r>
    </w:p>
    <w:p>
      <w:pPr>
        <w:numPr>
          <w:ilvl w:val="0"/>
          <w:numId w:val="1001"/>
        </w:numPr>
        <w:pStyle w:val="Compact"/>
      </w:pPr>
      <w:r>
        <w:t xml:space="preserve">Dernier coté avant la date d’inventaire</w:t>
      </w:r>
    </w:p>
    <w:p>
      <w:pPr>
        <w:numPr>
          <w:ilvl w:val="0"/>
          <w:numId w:val="1001"/>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End w:id="20"/>
    <w:bookmarkStart w:id="21" w:name="les-titres-émis-par-les-opcvmopci"/>
    <w:p>
      <w:pPr>
        <w:pStyle w:val="Heading3"/>
      </w:pPr>
      <w:r>
        <w:t xml:space="preserve">1.2 Les titres émis par les OPCVM/OPCI</w:t>
      </w:r>
    </w:p>
    <w:p>
      <w:pPr>
        <w:pStyle w:val="FirstParagraph"/>
      </w:pPr>
      <w:r>
        <w:t xml:space="preserve">Ils sont valoriser à leur dernière valeur de liquidation avant l’inventaire.</w:t>
      </w:r>
    </w:p>
    <w:bookmarkEnd w:id="21"/>
    <w:bookmarkStart w:id="22" w:name="les-titres-émis-par-les-opccfpct"/>
    <w:p>
      <w:pPr>
        <w:pStyle w:val="Heading3"/>
      </w:pPr>
      <w:r>
        <w:t xml:space="preserve">1.3 Les titres émis par les OPCC/FPCT</w:t>
      </w:r>
    </w:p>
    <w:p>
      <w:pPr>
        <w:pStyle w:val="FirstParagraph"/>
      </w:pPr>
      <w:r>
        <w:t xml:space="preserve">Ces titres sont valoriser à leur dernière valeur connue avant la date d’inventaire.</w:t>
      </w:r>
    </w:p>
    <w:bookmarkEnd w:id="22"/>
    <w:bookmarkStart w:id="24" w:name="les-obligations-et-bons"/>
    <w:p>
      <w:pPr>
        <w:pStyle w:val="Heading3"/>
      </w:pPr>
      <w:r>
        <w:t xml:space="preserve">1.4 Les obligations et bons</w:t>
      </w:r>
    </w:p>
    <w:p>
      <w:pPr>
        <w:pStyle w:val="FirstParagraph"/>
      </w:pPr>
      <w:r>
        <w:t xml:space="preserve">Ils sont valorisés par leur valeur de marché. Ce dernier est calculé par un modèle d’évaluation flux futurs actualisés communément admis sur la base de la courbe des taux de référence publiée quotidiennement par Bank Al-Maghrib (en tenant en compte la prime de risque associé). Ci-après un code permettant de télécharger ces données directement sur le site de la BAM.</w:t>
      </w:r>
    </w:p>
    <w:p>
      <w:pPr>
        <w:pStyle w:val="SourceCode"/>
      </w:pPr>
      <w:r>
        <w:rPr>
          <w:rStyle w:val="FunctionTok"/>
        </w:rPr>
        <w:t xml:space="preserve">library</w:t>
      </w:r>
      <w:r>
        <w:rPr>
          <w:rStyle w:val="NormalTok"/>
        </w:rPr>
        <w:t xml:space="preserve">(rvest)</w:t>
      </w:r>
      <w:r>
        <w:br/>
      </w:r>
      <w:r>
        <w:rPr>
          <w:rStyle w:val="NormalTok"/>
        </w:rPr>
        <w:t xml:space="preserve">link </w:t>
      </w:r>
      <w:r>
        <w:rPr>
          <w:rStyle w:val="OtherTok"/>
        </w:rPr>
        <w:t xml:space="preserve">=</w:t>
      </w:r>
      <w:r>
        <w:rPr>
          <w:rStyle w:val="NormalTok"/>
        </w:rPr>
        <w:t xml:space="preserve"> </w:t>
      </w:r>
      <w:r>
        <w:rPr>
          <w:rStyle w:val="StringTok"/>
        </w:rPr>
        <w:t xml:space="preserve">"https://www.bkam.ma/Marches/Principaux-indicateurs/Marche-obligataire/Marche-des-bons-de-tresor/Marche-secondaire/Taux-de-reference-des-bons-du-tresor?date=30%2F12%2F2022&amp;block=e1d6b9bbf87f86f8ba53e8518e882982#address-c3367fcefc5f524397748201aee5dab8-e1d6b9bbf87f86f8ba53e8518e882982"</w:t>
      </w:r>
      <w:r>
        <w:br/>
      </w:r>
      <w:r>
        <w:br/>
      </w:r>
      <w:r>
        <w:rPr>
          <w:rStyle w:val="NormalTok"/>
        </w:rPr>
        <w:t xml:space="preserve">TR </w:t>
      </w:r>
      <w:r>
        <w:rPr>
          <w:rStyle w:val="OtherTok"/>
        </w:rPr>
        <w:t xml:space="preserve">=</w:t>
      </w:r>
      <w:r>
        <w:rPr>
          <w:rStyle w:val="NormalTok"/>
        </w:rPr>
        <w:t xml:space="preserve"> </w:t>
      </w:r>
      <w:r>
        <w:rPr>
          <w:rStyle w:val="FunctionTok"/>
        </w:rPr>
        <w:t xml:space="preserve">read_html</w:t>
      </w:r>
      <w:r>
        <w:rPr>
          <w:rStyle w:val="NormalTok"/>
        </w:rPr>
        <w:t xml:space="preserve">(link) </w:t>
      </w:r>
      <w:r>
        <w:rPr>
          <w:rStyle w:val="SpecialCharTok"/>
        </w:rPr>
        <w:t xml:space="preserve">%&gt;%</w:t>
      </w:r>
      <w:r>
        <w:rPr>
          <w:rStyle w:val="NormalTok"/>
        </w:rPr>
        <w:t xml:space="preserve"> </w:t>
      </w:r>
      <w:r>
        <w:br/>
      </w:r>
      <w:r>
        <w:rPr>
          <w:rStyle w:val="NormalTok"/>
        </w:rPr>
        <w:t xml:space="preserve">  </w:t>
      </w:r>
      <w:r>
        <w:rPr>
          <w:rStyle w:val="FunctionTok"/>
        </w:rPr>
        <w:t xml:space="preserve">html_element</w:t>
      </w:r>
      <w:r>
        <w:rPr>
          <w:rStyle w:val="NormalTok"/>
        </w:rPr>
        <w:t xml:space="preserve">(</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p>
    <w:bookmarkStart w:id="23" w:name="tbl-taux_ref"/>
    <w:p>
      <w:pPr>
        <w:pStyle w:val="TableCaption"/>
      </w:pPr>
      <w:r>
        <w:t xml:space="preserve">Table 1: Taux de référence des bons du Trésor du 30/12/2022</w:t>
      </w:r>
    </w:p>
    <w:tbl>
      <w:tblPr>
        <w:tblStyle w:val="Table"/>
        <w:tblW w:type="auto" w:w="0"/>
        <w:tblLook w:firstRow="1" w:lastRow="0" w:firstColumn="0" w:lastColumn="0" w:noHBand="0" w:noVBand="0" w:val="0020"/>
        <w:tblCaption w:val="Table 1: Taux de référence des bons du Trésor du 30/12/2022"/>
      </w:tblPr>
      <w:tblGrid>
        <w:gridCol w:w="1980"/>
        <w:gridCol w:w="1980"/>
        <w:gridCol w:w="1980"/>
        <w:gridCol w:w="198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left"/>
            </w:pPr>
            <w:r>
              <w:t xml:space="preserve">Taux moyen pondéré</w:t>
            </w:r>
          </w:p>
        </w:tc>
        <w:tc>
          <w:tcPr/>
          <w:p>
            <w:pPr>
              <w:pStyle w:val="Compact"/>
              <w:jc w:val="left"/>
            </w:pPr>
            <w:r>
              <w:t xml:space="preserve">Date de la valeur</w:t>
            </w:r>
          </w:p>
        </w:tc>
      </w:tr>
      <w:tr>
        <w:tc>
          <w:tcPr/>
          <w:p>
            <w:pPr>
              <w:pStyle w:val="Compact"/>
              <w:jc w:val="left"/>
            </w:pPr>
            <w:r>
              <w:t xml:space="preserve">13/01/2023</w:t>
            </w:r>
          </w:p>
        </w:tc>
        <w:tc>
          <w:tcPr/>
          <w:p>
            <w:pPr>
              <w:pStyle w:val="Compact"/>
              <w:jc w:val="left"/>
            </w:pPr>
            <w:r>
              <w:t xml:space="preserve">322,40</w:t>
            </w:r>
          </w:p>
        </w:tc>
        <w:tc>
          <w:tcPr/>
          <w:p>
            <w:pPr>
              <w:pStyle w:val="Compact"/>
              <w:jc w:val="left"/>
            </w:pPr>
            <w:r>
              <w:t xml:space="preserve">2,948 %</w:t>
            </w:r>
          </w:p>
        </w:tc>
        <w:tc>
          <w:tcPr/>
          <w:p>
            <w:pPr>
              <w:pStyle w:val="Compact"/>
              <w:jc w:val="left"/>
            </w:pPr>
            <w:r>
              <w:t xml:space="preserve">30/12/2022</w:t>
            </w:r>
          </w:p>
        </w:tc>
      </w:tr>
      <w:tr>
        <w:tc>
          <w:tcPr/>
          <w:p>
            <w:pPr>
              <w:pStyle w:val="Compact"/>
              <w:jc w:val="left"/>
            </w:pPr>
            <w:r>
              <w:t xml:space="preserve">23/01/2023</w:t>
            </w:r>
          </w:p>
        </w:tc>
        <w:tc>
          <w:tcPr/>
          <w:p>
            <w:pPr>
              <w:pStyle w:val="Compact"/>
              <w:jc w:val="left"/>
            </w:pPr>
            <w:r>
              <w:t xml:space="preserve">120,47</w:t>
            </w:r>
          </w:p>
        </w:tc>
        <w:tc>
          <w:tcPr/>
          <w:p>
            <w:pPr>
              <w:pStyle w:val="Compact"/>
              <w:jc w:val="left"/>
            </w:pPr>
            <w:r>
              <w:t xml:space="preserve">2,930 %</w:t>
            </w:r>
          </w:p>
        </w:tc>
        <w:tc>
          <w:tcPr/>
          <w:p>
            <w:pPr>
              <w:pStyle w:val="Compact"/>
              <w:jc w:val="left"/>
            </w:pPr>
            <w:r>
              <w:t xml:space="preserve">30/12/2022</w:t>
            </w:r>
          </w:p>
        </w:tc>
      </w:tr>
      <w:tr>
        <w:tc>
          <w:tcPr/>
          <w:p>
            <w:pPr>
              <w:pStyle w:val="Compact"/>
              <w:jc w:val="left"/>
            </w:pPr>
            <w:r>
              <w:t xml:space="preserve">06/03/2023</w:t>
            </w:r>
          </w:p>
        </w:tc>
        <w:tc>
          <w:tcPr/>
          <w:p>
            <w:pPr>
              <w:pStyle w:val="Compact"/>
              <w:jc w:val="left"/>
            </w:pPr>
            <w:r>
              <w:t xml:space="preserve">30,15</w:t>
            </w:r>
          </w:p>
        </w:tc>
        <w:tc>
          <w:tcPr/>
          <w:p>
            <w:pPr>
              <w:pStyle w:val="Compact"/>
              <w:jc w:val="left"/>
            </w:pPr>
            <w:r>
              <w:t xml:space="preserve">2,942 %</w:t>
            </w:r>
          </w:p>
        </w:tc>
        <w:tc>
          <w:tcPr/>
          <w:p>
            <w:pPr>
              <w:pStyle w:val="Compact"/>
              <w:jc w:val="left"/>
            </w:pPr>
            <w:r>
              <w:t xml:space="preserve">30/12/2022</w:t>
            </w:r>
          </w:p>
        </w:tc>
      </w:tr>
      <w:tr>
        <w:tc>
          <w:tcPr/>
          <w:p>
            <w:pPr>
              <w:pStyle w:val="Compact"/>
              <w:jc w:val="left"/>
            </w:pPr>
            <w:r>
              <w:t xml:space="preserve">22/05/2023</w:t>
            </w:r>
          </w:p>
        </w:tc>
        <w:tc>
          <w:tcPr/>
          <w:p>
            <w:pPr>
              <w:pStyle w:val="Compact"/>
              <w:jc w:val="left"/>
            </w:pPr>
            <w:r>
              <w:t xml:space="preserve">168,01</w:t>
            </w:r>
          </w:p>
        </w:tc>
        <w:tc>
          <w:tcPr/>
          <w:p>
            <w:pPr>
              <w:pStyle w:val="Compact"/>
              <w:jc w:val="left"/>
            </w:pPr>
            <w:r>
              <w:t xml:space="preserve">3,172 %</w:t>
            </w:r>
          </w:p>
        </w:tc>
        <w:tc>
          <w:tcPr/>
          <w:p>
            <w:pPr>
              <w:pStyle w:val="Compact"/>
              <w:jc w:val="left"/>
            </w:pPr>
            <w:r>
              <w:t xml:space="preserve">30/12/2022</w:t>
            </w:r>
          </w:p>
        </w:tc>
      </w:tr>
      <w:tr>
        <w:tc>
          <w:tcPr/>
          <w:p>
            <w:pPr>
              <w:pStyle w:val="Compact"/>
              <w:jc w:val="left"/>
            </w:pPr>
            <w:r>
              <w:t xml:space="preserve">19/06/2023</w:t>
            </w:r>
          </w:p>
        </w:tc>
        <w:tc>
          <w:tcPr/>
          <w:p>
            <w:pPr>
              <w:pStyle w:val="Compact"/>
              <w:jc w:val="left"/>
            </w:pPr>
            <w:r>
              <w:t xml:space="preserve">829,46</w:t>
            </w:r>
          </w:p>
        </w:tc>
        <w:tc>
          <w:tcPr/>
          <w:p>
            <w:pPr>
              <w:pStyle w:val="Compact"/>
              <w:jc w:val="left"/>
            </w:pPr>
            <w:r>
              <w:t xml:space="preserve">3,008 %</w:t>
            </w:r>
          </w:p>
        </w:tc>
        <w:tc>
          <w:tcPr/>
          <w:p>
            <w:pPr>
              <w:pStyle w:val="Compact"/>
              <w:jc w:val="left"/>
            </w:pPr>
            <w:r>
              <w:t xml:space="preserve">30/12/2022</w:t>
            </w:r>
          </w:p>
        </w:tc>
      </w:tr>
      <w:tr>
        <w:tc>
          <w:tcPr/>
          <w:p>
            <w:pPr>
              <w:pStyle w:val="Compact"/>
              <w:jc w:val="left"/>
            </w:pPr>
            <w:r>
              <w:t xml:space="preserve">17/07/2023</w:t>
            </w:r>
          </w:p>
        </w:tc>
        <w:tc>
          <w:tcPr/>
          <w:p>
            <w:pPr>
              <w:pStyle w:val="Compact"/>
              <w:jc w:val="left"/>
            </w:pPr>
            <w:r>
              <w:t xml:space="preserve">210,28</w:t>
            </w:r>
          </w:p>
        </w:tc>
        <w:tc>
          <w:tcPr/>
          <w:p>
            <w:pPr>
              <w:pStyle w:val="Compact"/>
              <w:jc w:val="left"/>
            </w:pPr>
            <w:r>
              <w:t xml:space="preserve">3,002 %</w:t>
            </w:r>
          </w:p>
        </w:tc>
        <w:tc>
          <w:tcPr/>
          <w:p>
            <w:pPr>
              <w:pStyle w:val="Compact"/>
              <w:jc w:val="left"/>
            </w:pPr>
            <w:r>
              <w:t xml:space="preserve">30/12/2022</w:t>
            </w:r>
          </w:p>
        </w:tc>
      </w:tr>
      <w:tr>
        <w:tc>
          <w:tcPr/>
          <w:p>
            <w:pPr>
              <w:pStyle w:val="Compact"/>
              <w:jc w:val="left"/>
            </w:pPr>
            <w:r>
              <w:t xml:space="preserve">05/08/2023</w:t>
            </w:r>
          </w:p>
        </w:tc>
        <w:tc>
          <w:tcPr/>
          <w:p>
            <w:pPr>
              <w:pStyle w:val="Compact"/>
              <w:jc w:val="left"/>
            </w:pPr>
            <w:r>
              <w:t xml:space="preserve">116,18</w:t>
            </w:r>
          </w:p>
        </w:tc>
        <w:tc>
          <w:tcPr/>
          <w:p>
            <w:pPr>
              <w:pStyle w:val="Compact"/>
              <w:jc w:val="left"/>
            </w:pPr>
            <w:r>
              <w:t xml:space="preserve">3,016 %</w:t>
            </w:r>
          </w:p>
        </w:tc>
        <w:tc>
          <w:tcPr/>
          <w:p>
            <w:pPr>
              <w:pStyle w:val="Compact"/>
              <w:jc w:val="left"/>
            </w:pPr>
            <w:r>
              <w:t xml:space="preserve">30/12/2022</w:t>
            </w:r>
          </w:p>
        </w:tc>
      </w:tr>
      <w:tr>
        <w:tc>
          <w:tcPr/>
          <w:p>
            <w:pPr>
              <w:pStyle w:val="Compact"/>
              <w:jc w:val="left"/>
            </w:pPr>
            <w:r>
              <w:t xml:space="preserve">11/09/2023</w:t>
            </w:r>
          </w:p>
        </w:tc>
        <w:tc>
          <w:tcPr/>
          <w:p>
            <w:pPr>
              <w:pStyle w:val="Compact"/>
              <w:jc w:val="left"/>
            </w:pPr>
            <w:r>
              <w:t xml:space="preserve">349,31</w:t>
            </w:r>
          </w:p>
        </w:tc>
        <w:tc>
          <w:tcPr/>
          <w:p>
            <w:pPr>
              <w:pStyle w:val="Compact"/>
              <w:jc w:val="left"/>
            </w:pPr>
            <w:r>
              <w:t xml:space="preserve">3,045 %</w:t>
            </w:r>
          </w:p>
        </w:tc>
        <w:tc>
          <w:tcPr/>
          <w:p>
            <w:pPr>
              <w:pStyle w:val="Compact"/>
              <w:jc w:val="left"/>
            </w:pPr>
            <w:r>
              <w:t xml:space="preserve">30/12/2022</w:t>
            </w:r>
          </w:p>
        </w:tc>
      </w:tr>
      <w:tr>
        <w:tc>
          <w:tcPr/>
          <w:p>
            <w:pPr>
              <w:pStyle w:val="Compact"/>
              <w:jc w:val="left"/>
            </w:pPr>
            <w:r>
              <w:t xml:space="preserve">16/10/2023</w:t>
            </w:r>
          </w:p>
        </w:tc>
        <w:tc>
          <w:tcPr/>
          <w:p>
            <w:pPr>
              <w:pStyle w:val="Compact"/>
              <w:jc w:val="left"/>
            </w:pPr>
            <w:r>
              <w:t xml:space="preserve">57,86</w:t>
            </w:r>
          </w:p>
        </w:tc>
        <w:tc>
          <w:tcPr/>
          <w:p>
            <w:pPr>
              <w:pStyle w:val="Compact"/>
              <w:jc w:val="left"/>
            </w:pPr>
            <w:r>
              <w:t xml:space="preserve">3,130 %</w:t>
            </w:r>
          </w:p>
        </w:tc>
        <w:tc>
          <w:tcPr/>
          <w:p>
            <w:pPr>
              <w:pStyle w:val="Compact"/>
              <w:jc w:val="left"/>
            </w:pPr>
            <w:r>
              <w:t xml:space="preserve">30/12/2022</w:t>
            </w:r>
          </w:p>
        </w:tc>
      </w:tr>
      <w:tr>
        <w:tc>
          <w:tcPr/>
          <w:p>
            <w:pPr>
              <w:pStyle w:val="Compact"/>
              <w:jc w:val="left"/>
            </w:pPr>
            <w:r>
              <w:t xml:space="preserve">15/01/2024</w:t>
            </w:r>
          </w:p>
        </w:tc>
        <w:tc>
          <w:tcPr/>
          <w:p>
            <w:pPr>
              <w:pStyle w:val="Compact"/>
              <w:jc w:val="left"/>
            </w:pPr>
            <w:r>
              <w:t xml:space="preserve">62,41</w:t>
            </w:r>
          </w:p>
        </w:tc>
        <w:tc>
          <w:tcPr/>
          <w:p>
            <w:pPr>
              <w:pStyle w:val="Compact"/>
              <w:jc w:val="left"/>
            </w:pPr>
            <w:r>
              <w:t xml:space="preserve">2,967 %</w:t>
            </w:r>
          </w:p>
        </w:tc>
        <w:tc>
          <w:tcPr/>
          <w:p>
            <w:pPr>
              <w:pStyle w:val="Compact"/>
              <w:jc w:val="left"/>
            </w:pPr>
            <w:r>
              <w:t xml:space="preserve">30/12/2022</w:t>
            </w:r>
          </w:p>
        </w:tc>
      </w:tr>
      <w:tr>
        <w:tc>
          <w:tcPr/>
          <w:p>
            <w:pPr>
              <w:pStyle w:val="Compact"/>
              <w:jc w:val="left"/>
            </w:pPr>
            <w:r>
              <w:t xml:space="preserve">18/03/2024</w:t>
            </w:r>
          </w:p>
        </w:tc>
        <w:tc>
          <w:tcPr/>
          <w:p>
            <w:pPr>
              <w:pStyle w:val="Compact"/>
              <w:jc w:val="left"/>
            </w:pPr>
            <w:r>
              <w:t xml:space="preserve">100,37</w:t>
            </w:r>
          </w:p>
        </w:tc>
        <w:tc>
          <w:tcPr/>
          <w:p>
            <w:pPr>
              <w:pStyle w:val="Compact"/>
              <w:jc w:val="left"/>
            </w:pPr>
            <w:r>
              <w:t xml:space="preserve">2,987 %</w:t>
            </w:r>
          </w:p>
        </w:tc>
        <w:tc>
          <w:tcPr/>
          <w:p>
            <w:pPr>
              <w:pStyle w:val="Compact"/>
              <w:jc w:val="left"/>
            </w:pPr>
            <w:r>
              <w:t xml:space="preserve">30/12/2022</w:t>
            </w:r>
          </w:p>
        </w:tc>
      </w:tr>
      <w:tr>
        <w:tc>
          <w:tcPr/>
          <w:p>
            <w:pPr>
              <w:pStyle w:val="Compact"/>
              <w:jc w:val="left"/>
            </w:pPr>
            <w:r>
              <w:t xml:space="preserve">15/04/2024</w:t>
            </w:r>
          </w:p>
        </w:tc>
        <w:tc>
          <w:tcPr/>
          <w:p>
            <w:pPr>
              <w:pStyle w:val="Compact"/>
              <w:jc w:val="left"/>
            </w:pPr>
            <w:r>
              <w:t xml:space="preserve">261,82</w:t>
            </w:r>
          </w:p>
        </w:tc>
        <w:tc>
          <w:tcPr/>
          <w:p>
            <w:pPr>
              <w:pStyle w:val="Compact"/>
              <w:jc w:val="left"/>
            </w:pPr>
            <w:r>
              <w:t xml:space="preserve">2,961 %</w:t>
            </w:r>
          </w:p>
        </w:tc>
        <w:tc>
          <w:tcPr/>
          <w:p>
            <w:pPr>
              <w:pStyle w:val="Compact"/>
              <w:jc w:val="left"/>
            </w:pPr>
            <w:r>
              <w:t xml:space="preserve">30/12/2022</w:t>
            </w:r>
          </w:p>
        </w:tc>
      </w:tr>
      <w:tr>
        <w:tc>
          <w:tcPr/>
          <w:p>
            <w:pPr>
              <w:pStyle w:val="Compact"/>
              <w:jc w:val="left"/>
            </w:pPr>
            <w:r>
              <w:t xml:space="preserve">17/06/2024</w:t>
            </w:r>
          </w:p>
        </w:tc>
        <w:tc>
          <w:tcPr/>
          <w:p>
            <w:pPr>
              <w:pStyle w:val="Compact"/>
              <w:jc w:val="left"/>
            </w:pPr>
            <w:r>
              <w:t xml:space="preserve">53,19</w:t>
            </w:r>
          </w:p>
        </w:tc>
        <w:tc>
          <w:tcPr/>
          <w:p>
            <w:pPr>
              <w:pStyle w:val="Compact"/>
              <w:jc w:val="left"/>
            </w:pPr>
            <w:r>
              <w:t xml:space="preserve">2,991 %</w:t>
            </w:r>
          </w:p>
        </w:tc>
        <w:tc>
          <w:tcPr/>
          <w:p>
            <w:pPr>
              <w:pStyle w:val="Compact"/>
              <w:jc w:val="left"/>
            </w:pPr>
            <w:r>
              <w:t xml:space="preserve">30/12/2022</w:t>
            </w:r>
          </w:p>
        </w:tc>
      </w:tr>
      <w:tr>
        <w:tc>
          <w:tcPr/>
          <w:p>
            <w:pPr>
              <w:pStyle w:val="Compact"/>
              <w:jc w:val="left"/>
            </w:pPr>
            <w:r>
              <w:t xml:space="preserve">15/07/2024</w:t>
            </w:r>
          </w:p>
        </w:tc>
        <w:tc>
          <w:tcPr/>
          <w:p>
            <w:pPr>
              <w:pStyle w:val="Compact"/>
              <w:jc w:val="left"/>
            </w:pPr>
            <w:r>
              <w:t xml:space="preserve">149,79</w:t>
            </w:r>
          </w:p>
        </w:tc>
        <w:tc>
          <w:tcPr/>
          <w:p>
            <w:pPr>
              <w:pStyle w:val="Compact"/>
              <w:jc w:val="left"/>
            </w:pPr>
            <w:r>
              <w:t xml:space="preserve">2,989 %</w:t>
            </w:r>
          </w:p>
        </w:tc>
        <w:tc>
          <w:tcPr/>
          <w:p>
            <w:pPr>
              <w:pStyle w:val="Compact"/>
              <w:jc w:val="left"/>
            </w:pPr>
            <w:r>
              <w:t xml:space="preserve">30/12/2022</w:t>
            </w:r>
          </w:p>
        </w:tc>
      </w:tr>
      <w:tr>
        <w:tc>
          <w:tcPr/>
          <w:p>
            <w:pPr>
              <w:pStyle w:val="Compact"/>
              <w:jc w:val="left"/>
            </w:pPr>
            <w:r>
              <w:t xml:space="preserve">16/09/2024</w:t>
            </w:r>
          </w:p>
        </w:tc>
        <w:tc>
          <w:tcPr/>
          <w:p>
            <w:pPr>
              <w:pStyle w:val="Compact"/>
              <w:jc w:val="left"/>
            </w:pPr>
            <w:r>
              <w:t xml:space="preserve">69,58</w:t>
            </w:r>
          </w:p>
        </w:tc>
        <w:tc>
          <w:tcPr/>
          <w:p>
            <w:pPr>
              <w:pStyle w:val="Compact"/>
              <w:jc w:val="left"/>
            </w:pPr>
            <w:r>
              <w:t xml:space="preserve">3,050 %</w:t>
            </w:r>
          </w:p>
        </w:tc>
        <w:tc>
          <w:tcPr/>
          <w:p>
            <w:pPr>
              <w:pStyle w:val="Compact"/>
              <w:jc w:val="left"/>
            </w:pPr>
            <w:r>
              <w:t xml:space="preserve">30/12/2022</w:t>
            </w:r>
          </w:p>
        </w:tc>
      </w:tr>
      <w:tr>
        <w:tc>
          <w:tcPr/>
          <w:p>
            <w:pPr>
              <w:pStyle w:val="Compact"/>
              <w:jc w:val="left"/>
            </w:pPr>
            <w:r>
              <w:t xml:space="preserve">20/10/2025</w:t>
            </w:r>
          </w:p>
        </w:tc>
        <w:tc>
          <w:tcPr/>
          <w:p>
            <w:pPr>
              <w:pStyle w:val="Compact"/>
              <w:jc w:val="left"/>
            </w:pPr>
            <w:r>
              <w:t xml:space="preserve">100,50</w:t>
            </w:r>
          </w:p>
        </w:tc>
        <w:tc>
          <w:tcPr/>
          <w:p>
            <w:pPr>
              <w:pStyle w:val="Compact"/>
              <w:jc w:val="left"/>
            </w:pPr>
            <w:r>
              <w:t xml:space="preserve">2,980 %</w:t>
            </w:r>
          </w:p>
        </w:tc>
        <w:tc>
          <w:tcPr/>
          <w:p>
            <w:pPr>
              <w:pStyle w:val="Compact"/>
              <w:jc w:val="left"/>
            </w:pPr>
            <w:r>
              <w:t xml:space="preserve">30/12/2022</w:t>
            </w:r>
          </w:p>
        </w:tc>
      </w:tr>
      <w:tr>
        <w:tc>
          <w:tcPr/>
          <w:p>
            <w:pPr>
              <w:pStyle w:val="Compact"/>
              <w:jc w:val="left"/>
            </w:pPr>
            <w:r>
              <w:t xml:space="preserve">20/04/2026</w:t>
            </w:r>
          </w:p>
        </w:tc>
        <w:tc>
          <w:tcPr/>
          <w:p>
            <w:pPr>
              <w:pStyle w:val="Compact"/>
              <w:jc w:val="left"/>
            </w:pPr>
            <w:r>
              <w:t xml:space="preserve">138,51</w:t>
            </w:r>
          </w:p>
        </w:tc>
        <w:tc>
          <w:tcPr/>
          <w:p>
            <w:pPr>
              <w:pStyle w:val="Compact"/>
              <w:jc w:val="left"/>
            </w:pPr>
            <w:r>
              <w:t xml:space="preserve">2,941 %</w:t>
            </w:r>
          </w:p>
        </w:tc>
        <w:tc>
          <w:tcPr/>
          <w:p>
            <w:pPr>
              <w:pStyle w:val="Compact"/>
              <w:jc w:val="left"/>
            </w:pPr>
            <w:r>
              <w:t xml:space="preserve">30/12/2022</w:t>
            </w:r>
          </w:p>
        </w:tc>
      </w:tr>
      <w:tr>
        <w:tc>
          <w:tcPr/>
          <w:p>
            <w:pPr>
              <w:pStyle w:val="Compact"/>
              <w:jc w:val="left"/>
            </w:pPr>
            <w:r>
              <w:t xml:space="preserve">16/04/2029</w:t>
            </w:r>
          </w:p>
        </w:tc>
        <w:tc>
          <w:tcPr/>
          <w:p>
            <w:pPr>
              <w:pStyle w:val="Compact"/>
              <w:jc w:val="left"/>
            </w:pPr>
            <w:r>
              <w:t xml:space="preserve">118,63</w:t>
            </w:r>
          </w:p>
        </w:tc>
        <w:tc>
          <w:tcPr/>
          <w:p>
            <w:pPr>
              <w:pStyle w:val="Compact"/>
              <w:jc w:val="left"/>
            </w:pPr>
            <w:r>
              <w:t xml:space="preserve">3,003 %</w:t>
            </w:r>
          </w:p>
        </w:tc>
        <w:tc>
          <w:tcPr/>
          <w:p>
            <w:pPr>
              <w:pStyle w:val="Compact"/>
              <w:jc w:val="left"/>
            </w:pPr>
            <w:r>
              <w:t xml:space="preserve">30/12/2022</w:t>
            </w:r>
          </w:p>
        </w:tc>
      </w:tr>
      <w:tr>
        <w:tc>
          <w:tcPr/>
          <w:p>
            <w:pPr>
              <w:pStyle w:val="Compact"/>
              <w:jc w:val="left"/>
            </w:pPr>
            <w:r>
              <w:t xml:space="preserve">18/06/2029</w:t>
            </w:r>
          </w:p>
        </w:tc>
        <w:tc>
          <w:tcPr/>
          <w:p>
            <w:pPr>
              <w:pStyle w:val="Compact"/>
              <w:jc w:val="left"/>
            </w:pPr>
            <w:r>
              <w:t xml:space="preserve">115,57</w:t>
            </w:r>
          </w:p>
        </w:tc>
        <w:tc>
          <w:tcPr/>
          <w:p>
            <w:pPr>
              <w:pStyle w:val="Compact"/>
              <w:jc w:val="left"/>
            </w:pPr>
            <w:r>
              <w:t xml:space="preserve">3,011 %</w:t>
            </w:r>
          </w:p>
        </w:tc>
        <w:tc>
          <w:tcPr/>
          <w:p>
            <w:pPr>
              <w:pStyle w:val="Compact"/>
              <w:jc w:val="left"/>
            </w:pPr>
            <w:r>
              <w:t xml:space="preserve">30/12/2022</w:t>
            </w:r>
          </w:p>
        </w:tc>
      </w:tr>
      <w:tr>
        <w:tc>
          <w:tcPr/>
          <w:p>
            <w:pPr>
              <w:pStyle w:val="Compact"/>
              <w:jc w:val="left"/>
            </w:pPr>
            <w:r>
              <w:t xml:space="preserve">16/06/2031</w:t>
            </w:r>
          </w:p>
        </w:tc>
        <w:tc>
          <w:tcPr/>
          <w:p>
            <w:pPr>
              <w:pStyle w:val="Compact"/>
              <w:jc w:val="left"/>
            </w:pPr>
            <w:r>
              <w:t xml:space="preserve">274,67</w:t>
            </w:r>
          </w:p>
        </w:tc>
        <w:tc>
          <w:tcPr/>
          <w:p>
            <w:pPr>
              <w:pStyle w:val="Compact"/>
              <w:jc w:val="left"/>
            </w:pPr>
            <w:r>
              <w:t xml:space="preserve">3,126 %</w:t>
            </w:r>
          </w:p>
        </w:tc>
        <w:tc>
          <w:tcPr/>
          <w:p>
            <w:pPr>
              <w:pStyle w:val="Compact"/>
              <w:jc w:val="left"/>
            </w:pPr>
            <w:r>
              <w:t xml:space="preserve">30/12/2022</w:t>
            </w:r>
          </w:p>
        </w:tc>
      </w:tr>
      <w:tr>
        <w:tc>
          <w:tcPr/>
          <w:p>
            <w:pPr>
              <w:pStyle w:val="Compact"/>
              <w:jc w:val="left"/>
            </w:pPr>
            <w:r>
              <w:t xml:space="preserve">18/07/2033</w:t>
            </w:r>
          </w:p>
        </w:tc>
        <w:tc>
          <w:tcPr/>
          <w:p>
            <w:pPr>
              <w:pStyle w:val="Compact"/>
              <w:jc w:val="left"/>
            </w:pPr>
            <w:r>
              <w:t xml:space="preserve">317,93</w:t>
            </w:r>
          </w:p>
        </w:tc>
        <w:tc>
          <w:tcPr/>
          <w:p>
            <w:pPr>
              <w:pStyle w:val="Compact"/>
              <w:jc w:val="left"/>
            </w:pPr>
            <w:r>
              <w:t xml:space="preserve">3,211 %</w:t>
            </w:r>
          </w:p>
        </w:tc>
        <w:tc>
          <w:tcPr/>
          <w:p>
            <w:pPr>
              <w:pStyle w:val="Compact"/>
              <w:jc w:val="left"/>
            </w:pPr>
            <w:r>
              <w:t xml:space="preserve">30/12/2022</w:t>
            </w:r>
          </w:p>
        </w:tc>
      </w:tr>
      <w:tr>
        <w:tc>
          <w:tcPr/>
          <w:p>
            <w:pPr>
              <w:pStyle w:val="Compact"/>
              <w:jc w:val="left"/>
            </w:pPr>
            <w:r>
              <w:t xml:space="preserve">17/07/2034</w:t>
            </w:r>
          </w:p>
        </w:tc>
        <w:tc>
          <w:tcPr/>
          <w:p>
            <w:pPr>
              <w:pStyle w:val="Compact"/>
              <w:jc w:val="left"/>
            </w:pPr>
            <w:r>
              <w:t xml:space="preserve">61,82</w:t>
            </w:r>
          </w:p>
        </w:tc>
        <w:tc>
          <w:tcPr/>
          <w:p>
            <w:pPr>
              <w:pStyle w:val="Compact"/>
              <w:jc w:val="left"/>
            </w:pPr>
            <w:r>
              <w:t xml:space="preserve">3,346 %</w:t>
            </w:r>
          </w:p>
        </w:tc>
        <w:tc>
          <w:tcPr/>
          <w:p>
            <w:pPr>
              <w:pStyle w:val="Compact"/>
              <w:jc w:val="left"/>
            </w:pPr>
            <w:r>
              <w:t xml:space="preserve">30/12/2022</w:t>
            </w:r>
          </w:p>
        </w:tc>
      </w:tr>
      <w:tr>
        <w:tc>
          <w:tcPr/>
          <w:p>
            <w:pPr>
              <w:pStyle w:val="Compact"/>
              <w:jc w:val="left"/>
            </w:pPr>
            <w:r>
              <w:t xml:space="preserve">16/07/2035</w:t>
            </w:r>
          </w:p>
        </w:tc>
        <w:tc>
          <w:tcPr/>
          <w:p>
            <w:pPr>
              <w:pStyle w:val="Compact"/>
              <w:jc w:val="left"/>
            </w:pPr>
            <w:r>
              <w:t xml:space="preserve">356,46</w:t>
            </w:r>
          </w:p>
        </w:tc>
        <w:tc>
          <w:tcPr/>
          <w:p>
            <w:pPr>
              <w:pStyle w:val="Compact"/>
              <w:jc w:val="left"/>
            </w:pPr>
            <w:r>
              <w:t xml:space="preserve">3,279 %</w:t>
            </w:r>
          </w:p>
        </w:tc>
        <w:tc>
          <w:tcPr/>
          <w:p>
            <w:pPr>
              <w:pStyle w:val="Compact"/>
              <w:jc w:val="left"/>
            </w:pPr>
            <w:r>
              <w:t xml:space="preserve">30/12/2022</w:t>
            </w:r>
          </w:p>
        </w:tc>
      </w:tr>
      <w:tr>
        <w:tc>
          <w:tcPr/>
          <w:p>
            <w:pPr>
              <w:pStyle w:val="Compact"/>
              <w:jc w:val="left"/>
            </w:pPr>
            <w:r>
              <w:t xml:space="preserve">18/08/2036</w:t>
            </w:r>
          </w:p>
        </w:tc>
        <w:tc>
          <w:tcPr/>
          <w:p>
            <w:pPr>
              <w:pStyle w:val="Compact"/>
              <w:jc w:val="left"/>
            </w:pPr>
            <w:r>
              <w:t xml:space="preserve">36,32</w:t>
            </w:r>
          </w:p>
        </w:tc>
        <w:tc>
          <w:tcPr/>
          <w:p>
            <w:pPr>
              <w:pStyle w:val="Compact"/>
              <w:jc w:val="left"/>
            </w:pPr>
            <w:r>
              <w:t xml:space="preserve">3,374 %</w:t>
            </w:r>
          </w:p>
        </w:tc>
        <w:tc>
          <w:tcPr/>
          <w:p>
            <w:pPr>
              <w:pStyle w:val="Compact"/>
              <w:jc w:val="left"/>
            </w:pPr>
            <w:r>
              <w:t xml:space="preserve">30/12/2022</w:t>
            </w:r>
          </w:p>
        </w:tc>
      </w:tr>
      <w:tr>
        <w:tc>
          <w:tcPr/>
          <w:p>
            <w:pPr>
              <w:pStyle w:val="Compact"/>
              <w:jc w:val="left"/>
            </w:pPr>
            <w:r>
              <w:t xml:space="preserve">16/08/2038</w:t>
            </w:r>
          </w:p>
        </w:tc>
        <w:tc>
          <w:tcPr/>
          <w:p>
            <w:pPr>
              <w:pStyle w:val="Compact"/>
              <w:jc w:val="left"/>
            </w:pPr>
            <w:r>
              <w:t xml:space="preserve">135,19</w:t>
            </w:r>
          </w:p>
        </w:tc>
        <w:tc>
          <w:tcPr/>
          <w:p>
            <w:pPr>
              <w:pStyle w:val="Compact"/>
              <w:jc w:val="left"/>
            </w:pPr>
            <w:r>
              <w:t xml:space="preserve">3,433 %</w:t>
            </w:r>
          </w:p>
        </w:tc>
        <w:tc>
          <w:tcPr/>
          <w:p>
            <w:pPr>
              <w:pStyle w:val="Compact"/>
              <w:jc w:val="left"/>
            </w:pPr>
            <w:r>
              <w:t xml:space="preserve">30/12/2022</w:t>
            </w:r>
          </w:p>
        </w:tc>
      </w:tr>
      <w:tr>
        <w:tc>
          <w:tcPr/>
          <w:p>
            <w:pPr>
              <w:pStyle w:val="Compact"/>
              <w:jc w:val="left"/>
            </w:pPr>
            <w:r>
              <w:t xml:space="preserve">16/04/2040</w:t>
            </w:r>
          </w:p>
        </w:tc>
        <w:tc>
          <w:tcPr/>
          <w:p>
            <w:pPr>
              <w:pStyle w:val="Compact"/>
              <w:jc w:val="left"/>
            </w:pPr>
            <w:r>
              <w:t xml:space="preserve">15,09</w:t>
            </w:r>
          </w:p>
        </w:tc>
        <w:tc>
          <w:tcPr/>
          <w:p>
            <w:pPr>
              <w:pStyle w:val="Compact"/>
              <w:jc w:val="left"/>
            </w:pPr>
            <w:r>
              <w:t xml:space="preserve">3,488 %</w:t>
            </w:r>
          </w:p>
        </w:tc>
        <w:tc>
          <w:tcPr/>
          <w:p>
            <w:pPr>
              <w:pStyle w:val="Compact"/>
              <w:jc w:val="left"/>
            </w:pPr>
            <w:r>
              <w:t xml:space="preserve">30/12/2022</w:t>
            </w:r>
          </w:p>
        </w:tc>
      </w:tr>
      <w:tr>
        <w:tc>
          <w:tcPr/>
          <w:p>
            <w:pPr>
              <w:pStyle w:val="Compact"/>
              <w:jc w:val="left"/>
            </w:pPr>
            <w:r>
              <w:t xml:space="preserve">19/02/2046</w:t>
            </w:r>
          </w:p>
        </w:tc>
        <w:tc>
          <w:tcPr/>
          <w:p>
            <w:pPr>
              <w:pStyle w:val="Compact"/>
              <w:jc w:val="left"/>
            </w:pPr>
            <w:r>
              <w:t xml:space="preserve">21,09</w:t>
            </w:r>
          </w:p>
        </w:tc>
        <w:tc>
          <w:tcPr/>
          <w:p>
            <w:pPr>
              <w:pStyle w:val="Compact"/>
              <w:jc w:val="left"/>
            </w:pPr>
            <w:r>
              <w:t xml:space="preserve">3,614 %</w:t>
            </w:r>
          </w:p>
        </w:tc>
        <w:tc>
          <w:tcPr/>
          <w:p>
            <w:pPr>
              <w:pStyle w:val="Compact"/>
              <w:jc w:val="left"/>
            </w:pPr>
            <w:r>
              <w:t xml:space="preserve">30/12/2022</w:t>
            </w:r>
          </w:p>
        </w:tc>
      </w:tr>
      <w:tr>
        <w:tc>
          <w:tcPr/>
          <w:p>
            <w:pPr>
              <w:pStyle w:val="Compact"/>
              <w:jc w:val="left"/>
            </w:pPr>
            <w:r>
              <w:t xml:space="preserve">14/02/2050</w:t>
            </w:r>
          </w:p>
        </w:tc>
        <w:tc>
          <w:tcPr/>
          <w:p>
            <w:pPr>
              <w:pStyle w:val="Compact"/>
              <w:jc w:val="left"/>
            </w:pPr>
            <w:r>
              <w:t xml:space="preserve">13,91</w:t>
            </w:r>
          </w:p>
        </w:tc>
        <w:tc>
          <w:tcPr/>
          <w:p>
            <w:pPr>
              <w:pStyle w:val="Compact"/>
              <w:jc w:val="left"/>
            </w:pPr>
            <w:r>
              <w:t xml:space="preserve">3,789 %</w:t>
            </w:r>
          </w:p>
        </w:tc>
        <w:tc>
          <w:tcPr/>
          <w:p>
            <w:pPr>
              <w:pStyle w:val="Compact"/>
              <w:jc w:val="left"/>
            </w:pPr>
            <w:r>
              <w:t xml:space="preserve">30/12/2022</w:t>
            </w:r>
          </w:p>
        </w:tc>
      </w:tr>
      <w:tr>
        <w:tc>
          <w:tcPr/>
          <w:p>
            <w:pPr>
              <w:pStyle w:val="Compact"/>
              <w:jc w:val="left"/>
            </w:pPr>
            <w:r>
              <w:t xml:space="preserve">20/02/2051</w:t>
            </w:r>
          </w:p>
        </w:tc>
        <w:tc>
          <w:tcPr/>
          <w:p>
            <w:pPr>
              <w:pStyle w:val="Compact"/>
              <w:jc w:val="left"/>
            </w:pPr>
            <w:r>
              <w:t xml:space="preserve">135,76</w:t>
            </w:r>
          </w:p>
        </w:tc>
        <w:tc>
          <w:tcPr/>
          <w:p>
            <w:pPr>
              <w:pStyle w:val="Compact"/>
              <w:jc w:val="left"/>
            </w:pPr>
            <w:r>
              <w:t xml:space="preserve">3,612 %</w:t>
            </w:r>
          </w:p>
        </w:tc>
        <w:tc>
          <w:tcPr/>
          <w:p>
            <w:pPr>
              <w:pStyle w:val="Compact"/>
              <w:jc w:val="left"/>
            </w:pPr>
            <w:r>
              <w:t xml:space="preserve">30/12/2022</w:t>
            </w:r>
          </w:p>
        </w:tc>
      </w:tr>
      <w:tr>
        <w:tc>
          <w:tcPr/>
          <w:p>
            <w:pPr>
              <w:pStyle w:val="Compact"/>
              <w:jc w:val="left"/>
            </w:pPr>
            <w:r>
              <w:t xml:space="preserve">Total</w:t>
            </w:r>
          </w:p>
        </w:tc>
        <w:tc>
          <w:tcPr/>
          <w:p>
            <w:pPr>
              <w:pStyle w:val="Compact"/>
              <w:jc w:val="left"/>
            </w:pPr>
            <w:r>
              <w:t xml:space="preserve">4 742,73</w:t>
            </w:r>
          </w:p>
        </w:tc>
        <w:tc>
          <w:tcPr/>
          <w:p>
            <w:pPr>
              <w:pStyle w:val="Compact"/>
            </w:pPr>
          </w:p>
        </w:tc>
        <w:tc>
          <w:tcPr/>
          <w:p>
            <w:pPr>
              <w:pStyle w:val="Compact"/>
            </w:pPr>
          </w:p>
        </w:tc>
      </w:tr>
    </w:tbl>
    <w:bookmarkEnd w:id="23"/>
    <w:bookmarkEnd w:id="24"/>
    <w:bookmarkEnd w:id="25"/>
    <w:bookmarkStart w:id="40" w:name="provisions-techniques-prudentielles"/>
    <w:p>
      <w:pPr>
        <w:pStyle w:val="Heading2"/>
      </w:pPr>
      <w:r>
        <w:t xml:space="preserve">2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02"/>
        </w:numPr>
        <w:pStyle w:val="Compact"/>
      </w:pPr>
      <m:oMath>
        <m:r>
          <m:t>P</m:t>
        </m:r>
        <m:r>
          <m:t>T</m:t>
        </m:r>
      </m:oMath>
      <w:r>
        <w:t xml:space="preserve">: la provision technique</w:t>
      </w:r>
    </w:p>
    <w:p>
      <w:pPr>
        <w:numPr>
          <w:ilvl w:val="0"/>
          <w:numId w:val="1002"/>
        </w:numPr>
        <w:pStyle w:val="Compact"/>
      </w:pPr>
      <m:oMath>
        <m:r>
          <m:t>B</m:t>
        </m:r>
        <m:sSub>
          <m:e>
            <m:r>
              <m:t>E</m:t>
            </m:r>
          </m:e>
          <m:sub>
            <m:r>
              <m:t>e</m:t>
            </m:r>
            <m:r>
              <m:t>n</m:t>
            </m:r>
            <m:r>
              <m:t>g</m:t>
            </m:r>
            <m:r>
              <m:t>a</m:t>
            </m:r>
            <m:r>
              <m:t>g</m:t>
            </m:r>
            <m:r>
              <m:t>e</m:t>
            </m:r>
            <m:r>
              <m:t>m</m:t>
            </m:r>
            <m:r>
              <m:t>e</m:t>
            </m:r>
            <m:r>
              <m:t>n</m:t>
            </m:r>
            <m:r>
              <m:t>t</m:t>
            </m:r>
          </m:sub>
        </m:sSub>
      </m:oMath>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r>
        <w:t xml:space="preserve"> </w:t>
      </w:r>
      <w:r>
        <w:t xml:space="preserve">-</w:t>
      </w: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02"/>
        </w:numPr>
        <w:pStyle w:val="Compact"/>
      </w:pPr>
      <m:oMath>
        <m:r>
          <m:t>M</m:t>
        </m:r>
        <m:r>
          <m:t>a</m:t>
        </m:r>
        <m:r>
          <m:t>r</m:t>
        </m:r>
        <m:r>
          <m:t>g</m:t>
        </m:r>
        <m:r>
          <m:t>e</m:t>
        </m:r>
        <m:r>
          <m:t>R</m:t>
        </m:r>
        <m:r>
          <m:t>i</m:t>
        </m:r>
        <m:r>
          <m:t>s</m:t>
        </m:r>
        <m:r>
          <m:t>q</m:t>
        </m:r>
        <m:r>
          <m:t>u</m:t>
        </m:r>
        <m:r>
          <m:t>e</m:t>
        </m:r>
      </m:oMath>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32" w:name="X32462c7e3a0a11848884f7548d4747bc280232c"/>
    <w:p>
      <w:pPr>
        <w:pStyle w:val="Heading3"/>
      </w:pPr>
      <w:r>
        <w:t xml:space="preserve">2.1 Opérations d’assurance vie, décès ou capitalisation</w:t>
      </w:r>
    </w:p>
    <w:bookmarkStart w:id="30" w:name="Xc53c51e1abf3296dd0041db77db5363caf8f222"/>
    <w:p>
      <w:pPr>
        <w:pStyle w:val="Heading4"/>
      </w:pPr>
      <w:r>
        <w:t xml:space="preserve">2.1.1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03"/>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03"/>
        </w:numPr>
        <w:pStyle w:val="Compact"/>
      </w:pPr>
      <m:oMath>
        <m:r>
          <m:t>B</m:t>
        </m:r>
        <m:r>
          <m:t>D</m:t>
        </m:r>
        <m:r>
          <m:t>F</m:t>
        </m:r>
      </m:oMath>
      <w:r>
        <w:t xml:space="preserve">: les bénéfices discrétionnaires futurs</w:t>
      </w:r>
    </w:p>
    <w:bookmarkStart w:id="28" w:name="sec-MEGP"/>
    <w:p>
      <w:pPr>
        <w:pStyle w:val="Heading5"/>
      </w:pPr>
      <w:r>
        <w:t xml:space="preserve">2.1.1.1 Meilleure estimation des garanties probabilisées</w:t>
      </w:r>
    </w:p>
    <w:p>
      <w:pPr>
        <w:pStyle w:val="FirstParagraph"/>
      </w:pPr>
      <w:r>
        <w:t xml:space="preserve">La meilleure estimation des garanties probabilisées visée à la</w:t>
      </w:r>
      <w:r>
        <w:t xml:space="preserve"> </w:t>
      </w:r>
      <w:r>
        <w:rPr>
          <w:iCs/>
          <w:i/>
        </w:rPr>
        <w:t xml:space="preserve">spécification technique 15</w:t>
      </w:r>
      <w:r>
        <w:t xml:space="preserve"> </w:t>
      </w:r>
      <w:r>
        <w:t xml:space="preserve">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04"/>
        </w:numPr>
        <w:pStyle w:val="Compact"/>
      </w:pPr>
      <m:oMath>
        <m:sSup>
          <m:e>
            <m:r>
              <m:rPr>
                <m:sty m:val="p"/>
                <m:scr m:val="double-struck"/>
              </m:rPr>
              <m:t>Q</m:t>
            </m:r>
          </m:e>
          <m:sup>
            <m:r>
              <m:rPr>
                <m:sty m:val="p"/>
                <m:scr m:val="double-struck"/>
              </m:rPr>
              <m:t>T</m:t>
            </m:r>
          </m:sup>
        </m:sSup>
      </m:oMath>
      <w:r>
        <w:t xml:space="preserve">: La probabilité</w:t>
      </w:r>
      <w:r>
        <w:t xml:space="preserve"> </w:t>
      </w:r>
      <m:oMath>
        <m:r>
          <m:t>f</m:t>
        </m:r>
        <m:r>
          <m:t>o</m:t>
        </m:r>
        <m:r>
          <m:t>r</m:t>
        </m:r>
        <m:r>
          <m:t>w</m:t>
        </m:r>
        <m:r>
          <m:t>a</m:t>
        </m:r>
        <m:r>
          <m:t>r</m:t>
        </m:r>
        <m:r>
          <m:t>d</m:t>
        </m:r>
        <m:r>
          <m:rPr>
            <m:sty m:val="p"/>
          </m:rPr>
          <m:t>−</m:t>
        </m:r>
        <m:r>
          <m:t>n</m:t>
        </m:r>
        <m:r>
          <m:t>e</m:t>
        </m:r>
        <m:r>
          <m:t>u</m:t>
        </m:r>
        <m:r>
          <m:t>t</m:t>
        </m:r>
        <m:r>
          <m:t>r</m:t>
        </m:r>
        <m:r>
          <m:t>e</m:t>
        </m:r>
      </m:oMath>
      <w:r>
        <w:rPr>
          <w:rStyle w:val="FootnoteReference"/>
        </w:rPr>
        <w:footnoteReference w:id="26"/>
      </w:r>
    </w:p>
    <w:p>
      <w:pPr>
        <w:numPr>
          <w:ilvl w:val="0"/>
          <w:numId w:val="1004"/>
        </w:numPr>
        <w:pStyle w:val="Compact"/>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04"/>
        </w:numPr>
        <w:pStyle w:val="Compact"/>
      </w:pPr>
      <m:oMath>
        <m:r>
          <m:t>C</m:t>
        </m:r>
        <m:sSubSup>
          <m:e>
            <m:r>
              <m:t>F</m:t>
            </m:r>
          </m:e>
          <m:sub>
            <m:r>
              <m:t>t</m:t>
            </m:r>
          </m:sub>
          <m:sup>
            <m:r>
              <m:t>D</m:t>
            </m:r>
            <m:r>
              <m:t>é</m:t>
            </m:r>
            <m:r>
              <m:t>c</m:t>
            </m:r>
          </m:sup>
        </m:sSubSup>
      </m:oMath>
      <w:r>
        <w:t xml:space="preserve">: Les décaissements à la date</w:t>
      </w:r>
      <w:r>
        <w:t xml:space="preserve"> </w:t>
      </w:r>
      <m:oMath>
        <m:r>
          <m:t>t</m:t>
        </m:r>
      </m:oMath>
      <w:r>
        <w:t xml:space="preserve">.</w:t>
      </w:r>
    </w:p>
    <w:p>
      <w:pPr>
        <w:pStyle w:val="FirstParagraph"/>
      </w:pPr>
      <w:r>
        <w:t xml:space="preserve">Les décaissements correspondent aux règlements de toutes prestations garanties au titre des contrats tels que définis à la</w:t>
      </w:r>
      <w:r>
        <w:t xml:space="preserve"> </w:t>
      </w:r>
      <w:r>
        <w:rPr>
          <w:iCs/>
          <w:i/>
        </w:rPr>
        <w:t xml:space="preserve">spécification technique 13</w:t>
      </w:r>
      <w:r>
        <w:t xml:space="preserve"> </w:t>
      </w:r>
      <w:r>
        <w:t xml:space="preserve">de la</w:t>
      </w:r>
      <w:r>
        <w:t xml:space="preserve"> </w:t>
      </w:r>
      <w:r>
        <w:rPr>
          <w:iCs/>
          <w:i/>
        </w:rPr>
        <w:t xml:space="preserve">SECTION 4</w:t>
      </w:r>
      <w:r>
        <w:t xml:space="preserve">, y compris les rachats. Ils sont déterminés en tenant compte des engagements contractuels et en utilisant, le cas échéant, les bases techniques suivantes :</w:t>
      </w:r>
    </w:p>
    <w:p>
      <w:pPr>
        <w:numPr>
          <w:ilvl w:val="0"/>
          <w:numId w:val="1005"/>
        </w:numPr>
        <w:pStyle w:val="Compact"/>
      </w:pPr>
      <w:r>
        <w:t xml:space="preserve">La table de mortalité : La table de mortalité TV 88-90 pour les assurances en cas de vie ou la table de mortalité TD 88-90 pour les assurances en cas de décès prévues à l’annexe N°3 de la présente circulaire, auxquelles l’entreprise d’assurances et de réassurance peut substituer une table de mortalité d’expérience, matérialisant la mortalité propre à la population de ses assurés et ce, après accord de l’Autorité ;</w:t>
      </w:r>
    </w:p>
    <w:p>
      <w:pPr>
        <w:numPr>
          <w:ilvl w:val="0"/>
          <w:numId w:val="1005"/>
        </w:numPr>
        <w:pStyle w:val="Compact"/>
      </w:pPr>
      <w:r>
        <w:t xml:space="preserve">La table de rachat en montant, déterminée conformément aux dispositions de la</w:t>
      </w:r>
      <w:r>
        <w:t xml:space="preserve"> </w:t>
      </w:r>
      <w:r>
        <w:rPr>
          <w:iCs/>
          <w:i/>
        </w:rPr>
        <w:t xml:space="preserve">spécification technique 17</w:t>
      </w:r>
      <w:r>
        <w:t xml:space="preserve"> </w:t>
      </w:r>
      <w:r>
        <w:t xml:space="preserve">de la</w:t>
      </w:r>
      <w:r>
        <w:t xml:space="preserve"> </w:t>
      </w:r>
      <w:r>
        <w:rPr>
          <w:iCs/>
          <w:i/>
        </w:rPr>
        <w:t xml:space="preserve">SECTION 4</w:t>
      </w:r>
      <w:r>
        <w:t xml:space="preserve">;</w:t>
      </w:r>
    </w:p>
    <w:p>
      <w:pPr>
        <w:numPr>
          <w:ilvl w:val="0"/>
          <w:numId w:val="1005"/>
        </w:numPr>
        <w:pStyle w:val="Compact"/>
      </w:pPr>
      <w:r>
        <w:t xml:space="preserve">La table de résiliation, déterminée conformément aux dispositions de la</w:t>
      </w:r>
      <w:r>
        <w:t xml:space="preserve"> </w:t>
      </w:r>
      <w:r>
        <w:rPr>
          <w:iCs/>
          <w:i/>
        </w:rPr>
        <w:t xml:space="preserve">spécification technique 18</w:t>
      </w:r>
      <w:r>
        <w:t xml:space="preserve"> </w:t>
      </w:r>
      <w:r>
        <w:t xml:space="preserve">de la</w:t>
      </w:r>
      <w:r>
        <w:t xml:space="preserve"> </w:t>
      </w:r>
      <w:r>
        <w:rPr>
          <w:iCs/>
          <w:i/>
        </w:rPr>
        <w:t xml:space="preserve">SECTION 4</w:t>
      </w:r>
      <w:r>
        <w:t xml:space="preserve">;</w:t>
      </w:r>
    </w:p>
    <w:p>
      <w:pPr>
        <w:numPr>
          <w:ilvl w:val="0"/>
          <w:numId w:val="1005"/>
        </w:numPr>
        <w:pStyle w:val="Compact"/>
      </w:pPr>
      <w:r>
        <w:t xml:space="preserve">Un taux de sortie en rente, déterminé conformément aux dispositions de la</w:t>
      </w:r>
      <w:r>
        <w:t xml:space="preserve"> </w:t>
      </w:r>
      <w:r>
        <w:rPr>
          <w:iCs/>
          <w:i/>
        </w:rPr>
        <w:t xml:space="preserve">spécification technique 19</w:t>
      </w:r>
      <w:r>
        <w:t xml:space="preserve"> </w:t>
      </w:r>
      <w:r>
        <w:t xml:space="preserve">de la</w:t>
      </w:r>
      <w:r>
        <w:t xml:space="preserve"> </w:t>
      </w:r>
      <w:r>
        <w:rPr>
          <w:iCs/>
          <w:i/>
        </w:rPr>
        <w:t xml:space="preserve">SECTION 4</w:t>
      </w:r>
      <w:r>
        <w:t xml:space="preserve">.</w:t>
      </w:r>
    </w:p>
    <w:p>
      <w:pPr>
        <w:pStyle w:val="FirstParagraph"/>
      </w:pPr>
      <w:r>
        <w:rPr>
          <w:bCs/>
          <w:b/>
        </w:rPr>
        <w:t xml:space="preserve">Exemple</w:t>
      </w:r>
      <w:r>
        <w:t xml:space="preserve"> </w:t>
      </w:r>
      <w:r>
        <w:t xml:space="preserve">:</w:t>
      </w:r>
    </w:p>
    <w:p>
      <w:pPr>
        <w:pStyle w:val="BodyText"/>
      </w:pPr>
      <w:r>
        <w:t xml:space="preserve">Si on prend l’exemple d’un contrat d’assurance-vie mixte</w:t>
      </w:r>
      <w:r>
        <w:rPr>
          <w:rStyle w:val="FootnoteReference"/>
        </w:rPr>
        <w:footnoteReference w:id="27"/>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bookmarkEnd w:id="28"/>
    <w:bookmarkStart w:id="29" w:name="bénéfices-discrétionnaires-futurs"/>
    <w:p>
      <w:pPr>
        <w:pStyle w:val="Heading5"/>
      </w:pPr>
      <w:r>
        <w:t xml:space="preserve">2.1.1.2 Bénéfices discrétionnaires futurs</w:t>
      </w:r>
    </w:p>
    <w:p>
      <w:pPr>
        <w:pStyle w:val="FirstParagraph"/>
      </w:pPr>
      <w:r>
        <w:t xml:space="preserve">Les bénéfices discrétionnaires futurs sont évalués pour</w:t>
      </w:r>
      <w:r>
        <w:t xml:space="preserve"> </w:t>
      </w:r>
      <w:r>
        <w:t xml:space="preserve">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06"/>
        </w:numPr>
      </w:pPr>
      <m:oMath>
        <m:r>
          <m:t>P</m:t>
        </m:r>
        <m:r>
          <m:t>P</m:t>
        </m:r>
        <m:r>
          <m:t>B</m:t>
        </m:r>
      </m:oMath>
      <w:r>
        <w:t xml:space="preserve"> </w:t>
      </w:r>
      <w:r>
        <w:t xml:space="preserve">: Le montant de la provision pour participation aux bénéfices, évaluée à la valeur comptable;</w:t>
      </w:r>
    </w:p>
    <w:p>
      <w:pPr>
        <w:numPr>
          <w:ilvl w:val="0"/>
          <w:numId w:val="1006"/>
        </w:numPr>
      </w:pPr>
      <m:oMath>
        <m:r>
          <m:t>S</m:t>
        </m:r>
        <m:r>
          <m:t>o</m:t>
        </m:r>
        <m:r>
          <m:t>l</m:t>
        </m:r>
        <m:r>
          <m:t>d</m:t>
        </m:r>
        <m:r>
          <m:t>e</m:t>
        </m:r>
        <m:r>
          <m:t>T</m:t>
        </m:r>
      </m:oMath>
      <w:r>
        <w:t xml:space="preserve"> </w:t>
      </w:r>
      <w:r>
        <w:t xml:space="preserve">: Somme des soldes techniques</w:t>
      </w:r>
    </w:p>
    <w:p>
      <w:pPr>
        <w:numPr>
          <w:ilvl w:val="0"/>
          <w:numId w:val="1006"/>
        </w:numPr>
      </w:pPr>
      <m:oMath>
        <m:r>
          <m:t>S</m:t>
        </m:r>
        <m:r>
          <m:t>o</m:t>
        </m:r>
        <m:r>
          <m:t>l</m:t>
        </m:r>
        <m:r>
          <m:t>d</m:t>
        </m:r>
        <m:r>
          <m:t>e</m:t>
        </m:r>
        <m:r>
          <m:t>F</m:t>
        </m:r>
      </m:oMath>
      <w:r>
        <w:t xml:space="preserve"> </w:t>
      </w:r>
      <w:r>
        <w:t xml:space="preserve">: Somme des soldes Financiers</w:t>
      </w:r>
    </w:p>
    <w:p>
      <w:pPr>
        <w:numPr>
          <w:ilvl w:val="0"/>
          <w:numId w:val="1006"/>
        </w:numPr>
      </w:pPr>
      <m:oMath>
        <m:sSup>
          <m:e>
            <m:acc>
              <m:accPr>
                <m:chr m:val="‾"/>
              </m:accPr>
              <m:e>
                <m:r>
                  <m:t>r</m:t>
                </m:r>
              </m:e>
            </m:acc>
          </m:e>
          <m:sup>
            <m:r>
              <m:t>P</m:t>
            </m:r>
            <m:r>
              <m:t>B</m:t>
            </m:r>
          </m:sup>
        </m:sSup>
      </m:oMath>
      <w:r>
        <w:t xml:space="preserve"> </w:t>
      </w:r>
      <w:r>
        <w:t xml:space="preserve">: Le taux de participation aux bénéfices moyen servi aux assurés</w:t>
      </w:r>
      <w:r>
        <w:t xml:space="preserve"> </w:t>
      </w:r>
      <w:r>
        <w:t xml:space="preserve">Le taux de participation aux bénéfices moyen servi aux assurés 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desdites opérations sur la même période.</w:t>
      </w:r>
      <w:r>
        <w:t xml:space="preserve"> </w:t>
      </w: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r>
                <m:t>t</m:t>
              </m:r>
            </m:num>
            <m:den>
              <m:r>
                <m:t>S</m:t>
              </m:r>
              <m:r>
                <m:t>o</m:t>
              </m:r>
              <m:r>
                <m:t>l</m:t>
              </m:r>
              <m:r>
                <m:t>d</m:t>
              </m:r>
              <m:r>
                <m:t>e</m:t>
              </m:r>
              <m:r>
                <m:t>T</m:t>
              </m:r>
              <m:r>
                <m:rPr>
                  <m:sty m:val="p"/>
                </m:rPr>
                <m:t>+</m:t>
              </m:r>
              <m:r>
                <m:t>S</m:t>
              </m:r>
              <m:r>
                <m:t>o</m:t>
              </m:r>
              <m:r>
                <m:t>l</m:t>
              </m:r>
              <m:r>
                <m:t>d</m:t>
              </m:r>
              <m:r>
                <m:t>e</m:t>
              </m:r>
              <m:r>
                <m:t>F</m:t>
              </m:r>
            </m:den>
          </m:f>
        </m:oMath>
      </m:oMathPara>
    </w:p>
    <w:p>
      <w:pPr>
        <w:numPr>
          <w:ilvl w:val="0"/>
          <w:numId w:val="1000"/>
        </w:numPr>
      </w:pPr>
      <w:r>
        <w:t xml:space="preserve">Avec :</w:t>
      </w:r>
    </w:p>
    <w:p>
      <w:pPr>
        <w:numPr>
          <w:ilvl w:val="0"/>
          <w:numId w:val="1006"/>
        </w:numPr>
      </w:pPr>
      <m:oMath>
        <m:r>
          <m:t>D</m:t>
        </m:r>
        <m:r>
          <m:t>o</m:t>
        </m:r>
        <m:r>
          <m:t>t</m:t>
        </m:r>
      </m:oMath>
      <w:r>
        <w:t xml:space="preserve"> </w:t>
      </w:r>
      <w:r>
        <w:t xml:space="preserve">: somme des dotations au titre, des trois derniers exercices clos au moins</w:t>
      </w:r>
    </w:p>
    <w:bookmarkEnd w:id="29"/>
    <w:bookmarkEnd w:id="30"/>
    <w:bookmarkStart w:id="31" w:name="X0dedfd34ddaeaf1baa3793d4b4da364b43b18e0"/>
    <w:p>
      <w:pPr>
        <w:pStyle w:val="Heading4"/>
      </w:pPr>
      <w:r>
        <w:t xml:space="preserve">2.1.2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07"/>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w:t>
      </w:r>
      <w:r>
        <w:t xml:space="preserve"> </w:t>
      </w:r>
      <w:r>
        <w:t xml:space="preserve">derniers exercices clos des montants de frais de gestion unitaires.</w:t>
      </w:r>
    </w:p>
    <w:p>
      <w:pPr>
        <w:numPr>
          <w:ilvl w:val="0"/>
          <w:numId w:val="1007"/>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07"/>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31"/>
    <w:bookmarkEnd w:id="32"/>
    <w:bookmarkStart w:id="33" w:name="rentes-découlants-des-opérations-non-vie"/>
    <w:p>
      <w:pPr>
        <w:pStyle w:val="Heading3"/>
      </w:pPr>
      <w:r>
        <w:t xml:space="preserve">2.2 Rentes découlants des opérations non-vie</w:t>
      </w:r>
    </w:p>
    <w:p>
      <w:pPr>
        <w:pStyle w:val="FirstParagraph"/>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08"/>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08"/>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 déterminée dans la section</w:t>
      </w:r>
      <w:r>
        <w:t xml:space="preserve"> </w:t>
      </w:r>
      <w:hyperlink w:anchor="sec-MEGP">
        <w:r>
          <w:rPr>
            <w:rStyle w:val="Hyperlink"/>
          </w:rPr>
          <w:t xml:space="preserve">Section 2.1.1.1</w:t>
        </w:r>
      </w:hyperlink>
    </w:p>
    <w:bookmarkEnd w:id="33"/>
    <w:bookmarkStart w:id="34" w:name="X95164bc6af2e862e4c417e49c6d46de2a1b5d80"/>
    <w:p>
      <w:pPr>
        <w:pStyle w:val="Heading3"/>
      </w:pPr>
      <w:r>
        <w:t xml:space="preserve">2.3 Opérations d’assurance non vie hors rentes</w:t>
      </w:r>
    </w:p>
    <w:p>
      <w:pPr>
        <w:pStyle w:val="FirstParagraph"/>
      </w:pPr>
      <w:r>
        <w:t xml:space="preserve">À prendre dans la circulaire</w:t>
      </w:r>
    </w:p>
    <w:bookmarkEnd w:id="34"/>
    <w:bookmarkStart w:id="39" w:name="Xf3f8abd7a5710234231d4d992dd0ccf8ee2969b"/>
    <w:p>
      <w:pPr>
        <w:pStyle w:val="Heading3"/>
      </w:pPr>
      <w:r>
        <w:t xml:space="preserve">2.4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37" w:name="Xd8cee755a10c6c188b3bd0cdb248919b22e3c37"/>
    <w:p>
      <w:pPr>
        <w:pStyle w:val="Heading4"/>
      </w:pPr>
      <w:r>
        <w:t xml:space="preserve">2.4.1 La meilleure estimation des engagements cédés</w:t>
      </w:r>
    </w:p>
    <w:bookmarkStart w:id="35" w:name="X0f00ae71319169104bfd1725b5f02737fc4d35e"/>
    <w:p>
      <w:pPr>
        <w:pStyle w:val="Heading5"/>
      </w:pPr>
      <w:r>
        <w:t xml:space="preserve">Les opérations d’assurance vie, décès ou de capitalisation</w:t>
      </w:r>
    </w:p>
    <w:p>
      <w:pPr>
        <w:pStyle w:val="FirstParagraph"/>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09"/>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35"/>
    <w:bookmarkStart w:id="36" w:name="les-opérations-non-vie"/>
    <w:p>
      <w:pPr>
        <w:pStyle w:val="Heading5"/>
      </w:pPr>
      <w:r>
        <w:t xml:space="preserve">Les opérations non vie</w:t>
      </w:r>
    </w:p>
    <w:p>
      <w:pPr>
        <w:pStyle w:val="FirstParagraph"/>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36"/>
    <w:bookmarkEnd w:id="37"/>
    <w:bookmarkStart w:id="38" w:name="lajustement-pour-défaut-de-contrepartie"/>
    <w:p>
      <w:pPr>
        <w:pStyle w:val="Heading4"/>
      </w:pPr>
      <w:r>
        <w:t xml:space="preserve">2.4.2 L’ajustement pour défaut de contrepartie</w:t>
      </w:r>
    </w:p>
    <w:p>
      <w:pPr>
        <w:pStyle w:val="FirstParagraph"/>
      </w:pPr>
      <w:r>
        <w:t xml:space="preserve">L’ajustement pour défaut de contrepartie est déterminé en actualisant les flux d’ajustement futurs sur la base de la courbe des taux fixée par l’Autorité.</w:t>
      </w:r>
      <w:r>
        <w:t xml:space="preserve"> </w:t>
      </w:r>
      <w:r>
        <w:t xml:space="preserve">Les flux d’ajustement futurs sont déterminés conformément à la méthode, telle que décrite à</w:t>
      </w:r>
      <w:r>
        <w:t xml:space="preserve"> </w:t>
      </w:r>
      <w:r>
        <w:rPr>
          <w:bCs/>
          <w:b/>
        </w:rPr>
        <w:t xml:space="preserve">l’annexe N°6</w:t>
      </w:r>
      <w:r>
        <w:t xml:space="preserve"> </w:t>
      </w:r>
      <w:r>
        <w:t xml:space="preserve">de la présente circulaire.</w:t>
      </w:r>
    </w:p>
    <w:bookmarkEnd w:id="38"/>
    <w:bookmarkEnd w:id="39"/>
    <w:bookmarkEnd w:id="40"/>
    <w:bookmarkStart w:id="43" w:name="capital-de-solvabilité-requis-csr"/>
    <w:p>
      <w:pPr>
        <w:pStyle w:val="Heading2"/>
      </w:pPr>
      <w:r>
        <w:t xml:space="preserve">3 Capital de Solvabilité Requis (CSR):</w:t>
      </w:r>
    </w:p>
    <w:p>
      <w:pPr>
        <w:pStyle w:val="FirstParagraph"/>
      </w:pPr>
      <w:r>
        <w:t xml:space="preserve">Le capital de solvabilité requis du présent chapitre est constitué de la somme des éléments suivants:</w:t>
      </w:r>
      <w:r>
        <w:t xml:space="preserve"> </w:t>
      </w:r>
      <w:r>
        <w:t xml:space="preserve">- Le capital de solvabilité requis de base;</w:t>
      </w:r>
      <w:r>
        <w:t xml:space="preserve"> </w:t>
      </w:r>
      <w:r>
        <w:t xml:space="preserve">- L’exigence de capital relative au risque opérationnel;</w:t>
      </w:r>
      <w:r>
        <w:t xml:space="preserve"> </w:t>
      </w:r>
      <w:r>
        <w:t xml:space="preserve">- L’ajustement visant à tenir compte de la capacité d’absorption des pertes par les assurés;</w:t>
      </w:r>
      <w:r>
        <w:t xml:space="preserve"> </w:t>
      </w:r>
      <w:r>
        <w:t xml:space="preserve">- L’ajustement visant à tenir compte de la capacité d’absorption des pertes par les impôts différés;</w:t>
      </w:r>
    </w:p>
    <w:bookmarkStart w:id="41" w:name="csr-de-base-csr_base"/>
    <w:p>
      <w:pPr>
        <w:pStyle w:val="Heading3"/>
      </w:pPr>
      <w:r>
        <w:t xml:space="preserve">3.1 CSR de base (</w:t>
      </w:r>
      <m:oMath>
        <m:r>
          <m:t>C</m:t>
        </m:r>
        <m:r>
          <m:t>S</m:t>
        </m:r>
        <m:sSub>
          <m:e>
            <m:r>
              <m:t>R</m:t>
            </m:r>
          </m:e>
          <m:sub>
            <m:r>
              <m:t>b</m:t>
            </m:r>
            <m:r>
              <m:t>a</m:t>
            </m:r>
            <m:r>
              <m:t>s</m:t>
            </m:r>
            <m:r>
              <m:t>e</m:t>
            </m:r>
          </m:sub>
        </m:sSub>
      </m:oMath>
      <w:r>
        <w:t xml:space="preserve">)</w:t>
      </w:r>
    </w:p>
    <w:p>
      <w:pPr>
        <w:pStyle w:val="FirstParagraph"/>
      </w:pPr>
      <w:r>
        <w:t xml:space="preserve">Le capital de solvabilité requis de base correspond à la somme agrégée des exigences de capitaux relatives aux risques de marché, de concentration, de contrepartie, de souscription vie et de souscription non-vie 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w:t>
      </w:r>
      <w:r>
        <w:t xml:space="preserve"> </w:t>
      </w:r>
      <m:oMath>
        <m:r>
          <m:t>R</m:t>
        </m:r>
        <m:r>
          <m:t>i</m:t>
        </m:r>
        <m:r>
          <m:t>s</m:t>
        </m:r>
        <m:r>
          <m:t>k</m:t>
        </m:r>
        <m:r>
          <m:rPr>
            <m:sty m:val="p"/>
          </m:rPr>
          <m:t>=</m:t>
        </m:r>
      </m:oMath>
      <w:r>
        <w:t xml:space="preserve"> </w:t>
      </w:r>
      <w:r>
        <w:t xml:space="preserve">{risques de marché, de concentration, de contrepartie, de souscription vie, de souscription non-vie} et</w:t>
      </w:r>
      <w:r>
        <w:t xml:space="preserve"> </w:t>
      </w:r>
      <m:oMath>
        <m:r>
          <m:t>ρ</m:t>
        </m:r>
      </m:oMath>
      <w:r>
        <w:t xml:space="preserve"> </w:t>
      </w:r>
      <w:r>
        <w:t xml:space="preserve">le coefficient de corrélation.</w:t>
      </w:r>
    </w:p>
    <w:bookmarkEnd w:id="41"/>
    <w:bookmarkStart w:id="42" w:name="X706db001b0972477fcaaf4eb5bb198b1a0b8bfe"/>
    <w:p>
      <w:pPr>
        <w:pStyle w:val="Heading3"/>
      </w:pPr>
      <w:r>
        <w:t xml:space="preserve">3.2 Exigence de capital relative aux risque de marché (</w:t>
      </w:r>
      <m:oMath>
        <m:r>
          <m:t>C</m:t>
        </m:r>
        <m:r>
          <m:t>S</m:t>
        </m:r>
        <m:sSub>
          <m:e>
            <m:r>
              <m:t>R</m:t>
            </m:r>
          </m:e>
          <m:sub>
            <m:r>
              <m:t>m</m:t>
            </m:r>
            <m:r>
              <m:t>a</m:t>
            </m:r>
            <m:r>
              <m:t>r</m:t>
            </m:r>
            <m:r>
              <m:t>c</m:t>
            </m:r>
            <m:r>
              <m:t>h</m:t>
            </m:r>
            <m:r>
              <m:t>e</m:t>
            </m:r>
          </m:sub>
        </m:sSub>
      </m:oMath>
      <w:r>
        <w:t xml:space="preserve">)</w:t>
      </w:r>
    </w:p>
    <w:p>
      <w:pPr>
        <w:pStyle w:val="FirstParagraph"/>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w:t>
      </w:r>
      <w:r>
        <w:t xml:space="preserve"> </w:t>
      </w:r>
      <m:oMath>
        <m:r>
          <m:t>R</m:t>
        </m:r>
        <m:r>
          <m:t>M</m:t>
        </m:r>
        <m:r>
          <m:rPr>
            <m:sty m:val="p"/>
          </m:rPr>
          <m:t>=</m:t>
        </m:r>
      </m:oMath>
      <w:r>
        <w:t xml:space="preserve"> </w:t>
      </w:r>
      <w:r>
        <w:t xml:space="preserve">{sous-risques action, taux, immobilier, écart de taux et change}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La probabilité forward neutre est la probabilité future qui rendra la valeur actuelle de l’actif dérivé égale à son prix actuel, sans qu’il y ait d’opportunité d’arbitrage. En d’autres termes, elle représente la probabilité implicite de l’évolution future du marché sous-jacent, qui permettrait de justifier le prix actuel de l’actif dérivé.</w:t>
      </w:r>
    </w:p>
  </w:footnote>
  <w:footnote w:id="27">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Prises de Notes</dc:title>
  <dc:creator/>
  <cp:keywords/>
  <dcterms:created xsi:type="dcterms:W3CDTF">2023-04-04T15:44:19Z</dcterms:created>
  <dcterms:modified xsi:type="dcterms:W3CDTF">2023-04-04T15:44:19Z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