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png" ContentType="image/png"/>
  <Override PartName="/word/media/rId29.png" ContentType="image/png"/>
  <Override PartName="/word/media/rId50.png" ContentType="image/png"/>
  <Override PartName="/word/media/rId40.png" ContentType="image/png"/>
  <Override PartName="/word/media/rId59.png" ContentType="image/png"/>
  <Override PartName="/word/media/rId65.png" ContentType="image/png"/>
  <Override PartName="/word/media/rId134.png" ContentType="image/png"/>
  <Override PartName="/word/media/rId5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liste-des-abréviations"/>
    <w:p>
      <w:pPr>
        <w:pStyle w:val="Heading2"/>
      </w:pPr>
      <w:r>
        <w:t xml:space="preserve">1 Liste des abréviations: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Abréviation</w:t>
            </w:r>
          </w:p>
        </w:tc>
        <w:tc>
          <w:tcPr/>
          <w:p>
            <w:pPr>
              <w:pStyle w:val="Compact"/>
              <w:jc w:val="left"/>
            </w:pPr>
            <w:r>
              <w:t xml:space="preserve">Désignation</w:t>
            </w:r>
          </w:p>
        </w:tc>
      </w:tr>
      <w:tr>
        <w:tc>
          <w:tcPr/>
          <w:p>
            <w:pPr>
              <w:pStyle w:val="Compact"/>
              <w:jc w:val="left"/>
            </w:pPr>
            <w:r>
              <w:t xml:space="preserve">SBR</w:t>
            </w:r>
          </w:p>
        </w:tc>
        <w:tc>
          <w:tcPr/>
          <w:p>
            <w:pPr>
              <w:pStyle w:val="Compact"/>
              <w:jc w:val="left"/>
            </w:pPr>
            <w:r>
              <w:t xml:space="preserve">Solvabilité Basée sur les risques</w:t>
            </w:r>
          </w:p>
        </w:tc>
      </w:tr>
      <w:tr>
        <w:tc>
          <w:tcPr/>
          <w:p>
            <w:pPr>
              <w:pStyle w:val="Compact"/>
              <w:jc w:val="left"/>
            </w:pPr>
            <w:r>
              <w:t xml:space="preserve">ACAPS</w:t>
            </w:r>
          </w:p>
        </w:tc>
        <w:tc>
          <w:tcPr/>
          <w:p>
            <w:pPr>
              <w:pStyle w:val="Compact"/>
              <w:jc w:val="left"/>
            </w:pPr>
            <w:r>
              <w:t xml:space="preserve">Autorité de contrôle des Assurances et de la Prévoyance Sociale</w:t>
            </w:r>
          </w:p>
        </w:tc>
      </w:tr>
      <w:tr>
        <w:tc>
          <w:tcPr/>
          <w:p>
            <w:pPr>
              <w:pStyle w:val="Compact"/>
              <w:jc w:val="left"/>
            </w:pPr>
            <w:r>
              <w:t xml:space="preserve">AT</w:t>
            </w:r>
          </w:p>
        </w:tc>
        <w:tc>
          <w:tcPr/>
          <w:p>
            <w:pPr>
              <w:pStyle w:val="Compact"/>
              <w:jc w:val="left"/>
            </w:pPr>
            <w:r>
              <w:t xml:space="preserve">Accident de travail</w:t>
            </w:r>
          </w:p>
        </w:tc>
      </w:tr>
      <w:tr>
        <w:tc>
          <w:tcPr/>
          <w:p>
            <w:pPr>
              <w:pStyle w:val="Compact"/>
              <w:jc w:val="left"/>
            </w:pPr>
            <w:r>
              <w:t xml:space="preserve">RNN</w:t>
            </w:r>
          </w:p>
        </w:tc>
        <w:tc>
          <w:tcPr/>
          <w:p>
            <w:pPr>
              <w:pStyle w:val="Compact"/>
              <w:jc w:val="left"/>
            </w:pPr>
            <w:r>
              <w:t xml:space="preserve">Réseaux de neurones récurrents</w:t>
            </w:r>
          </w:p>
        </w:tc>
      </w:tr>
      <w:tr>
        <w:tc>
          <w:tcPr/>
          <w:p>
            <w:pPr>
              <w:pStyle w:val="Compact"/>
              <w:jc w:val="left"/>
            </w:pPr>
            <w:r>
              <w:t xml:space="preserve">LSTM</w:t>
            </w:r>
          </w:p>
        </w:tc>
        <w:tc>
          <w:tcPr/>
          <w:p>
            <w:pPr>
              <w:pStyle w:val="Compact"/>
              <w:jc w:val="left"/>
            </w:pPr>
            <w:r>
              <w:t xml:space="preserve">Long short-term memory</w:t>
            </w:r>
          </w:p>
        </w:tc>
      </w:tr>
      <w:tr>
        <w:tc>
          <w:tcPr/>
          <w:p>
            <w:pPr>
              <w:pStyle w:val="Compact"/>
              <w:jc w:val="left"/>
            </w:pPr>
            <w:r>
              <w:t xml:space="preserve">MASI</w:t>
            </w:r>
          </w:p>
        </w:tc>
        <w:tc>
          <w:tcPr/>
          <w:p>
            <w:pPr>
              <w:pStyle w:val="Compact"/>
              <w:jc w:val="left"/>
            </w:pPr>
            <w:r>
              <w:t xml:space="preserve">Moroccan All Shares index</w:t>
            </w:r>
          </w:p>
        </w:tc>
      </w:tr>
      <w:tr>
        <w:tc>
          <w:tcPr/>
          <w:p>
            <w:pPr>
              <w:pStyle w:val="Compact"/>
              <w:jc w:val="left"/>
            </w:pPr>
            <w:r>
              <w:t xml:space="preserve">CSR</w:t>
            </w:r>
          </w:p>
        </w:tc>
        <w:tc>
          <w:tcPr/>
          <w:p>
            <w:pPr>
              <w:pStyle w:val="Compact"/>
              <w:jc w:val="left"/>
            </w:pPr>
            <w:r>
              <w:t xml:space="preserve">Capital de Solvabilité Requis</w:t>
            </w:r>
          </w:p>
        </w:tc>
      </w:tr>
      <w:tr>
        <w:tc>
          <w:tcPr/>
          <w:p>
            <w:pPr>
              <w:pStyle w:val="Compact"/>
              <w:jc w:val="left"/>
            </w:pPr>
            <w:r>
              <w:t xml:space="preserve">BE</w:t>
            </w:r>
          </w:p>
        </w:tc>
        <w:tc>
          <w:tcPr/>
          <w:p>
            <w:pPr>
              <w:pStyle w:val="Compact"/>
              <w:jc w:val="left"/>
            </w:pPr>
            <w:r>
              <w:t xml:space="preserve">Best Estimate</w:t>
            </w:r>
          </w:p>
        </w:tc>
      </w:tr>
      <w:tr>
        <w:tc>
          <w:tcPr/>
          <w:p>
            <w:pPr>
              <w:pStyle w:val="Compact"/>
              <w:jc w:val="left"/>
            </w:pPr>
            <w:r>
              <w:t xml:space="preserve">PPNA</w:t>
            </w:r>
          </w:p>
        </w:tc>
        <w:tc>
          <w:tcPr/>
          <w:p>
            <w:pPr>
              <w:pStyle w:val="Compact"/>
              <w:jc w:val="left"/>
            </w:pPr>
            <w:r>
              <w:t xml:space="preserve">Provision pour primes non Acquises</w:t>
            </w:r>
          </w:p>
        </w:tc>
      </w:tr>
      <w:tr>
        <w:tc>
          <w:tcPr/>
          <w:p>
            <w:pPr>
              <w:pStyle w:val="Compact"/>
              <w:jc w:val="left"/>
            </w:pPr>
            <w:r>
              <w:t xml:space="preserve">PSAP</w:t>
            </w:r>
          </w:p>
        </w:tc>
        <w:tc>
          <w:tcPr/>
          <w:p>
            <w:pPr>
              <w:pStyle w:val="Compact"/>
              <w:jc w:val="left"/>
            </w:pPr>
            <w:r>
              <w:t xml:space="preserve">Provision pour Sinistre à Payer</w:t>
            </w:r>
          </w:p>
        </w:tc>
      </w:tr>
      <w:tr>
        <w:tc>
          <w:tcPr/>
          <w:p>
            <w:pPr>
              <w:pStyle w:val="Compact"/>
              <w:jc w:val="left"/>
            </w:pPr>
            <w:r>
              <w:t xml:space="preserve">BAM</w:t>
            </w:r>
          </w:p>
        </w:tc>
        <w:tc>
          <w:tcPr/>
          <w:p>
            <w:pPr>
              <w:pStyle w:val="Compact"/>
              <w:jc w:val="left"/>
            </w:pPr>
            <w:r>
              <w:t xml:space="preserve">Bank Al Maghrib</w:t>
            </w:r>
          </w:p>
        </w:tc>
      </w:tr>
      <w:tr>
        <w:tc>
          <w:tcPr/>
          <w:p>
            <w:pPr>
              <w:pStyle w:val="Compact"/>
              <w:jc w:val="left"/>
            </w:pPr>
            <w:r>
              <w:t xml:space="preserve">CSRB</w:t>
            </w:r>
          </w:p>
        </w:tc>
        <w:tc>
          <w:tcPr/>
          <w:p>
            <w:pPr>
              <w:pStyle w:val="Compact"/>
              <w:jc w:val="left"/>
            </w:pPr>
            <w:r>
              <w:t xml:space="preserve">Capital de solvabilité requis de base</w:t>
            </w:r>
          </w:p>
        </w:tc>
      </w:tr>
      <w:tr>
        <w:tc>
          <w:tcPr/>
          <w:p>
            <w:pPr>
              <w:pStyle w:val="Compact"/>
              <w:jc w:val="left"/>
            </w:pPr>
            <w:r>
              <w:t xml:space="preserve">CSRO</w:t>
            </w:r>
          </w:p>
        </w:tc>
        <w:tc>
          <w:tcPr/>
          <w:p>
            <w:pPr>
              <w:pStyle w:val="Compact"/>
              <w:jc w:val="left"/>
            </w:pPr>
            <w:r>
              <w:t xml:space="preserve">Capital de solvabilité requis de base relative au risque Operationnel</w:t>
            </w:r>
          </w:p>
        </w:tc>
      </w:tr>
      <w:tr>
        <w:tc>
          <w:tcPr/>
          <w:p>
            <w:pPr>
              <w:pStyle w:val="Compact"/>
              <w:jc w:val="left"/>
            </w:pPr>
            <w:r>
              <w:t xml:space="preserve">MR</w:t>
            </w:r>
          </w:p>
        </w:tc>
        <w:tc>
          <w:tcPr/>
          <w:p>
            <w:pPr>
              <w:pStyle w:val="Compact"/>
              <w:jc w:val="left"/>
            </w:pPr>
            <w:r>
              <w:t xml:space="preserve">Marge de Risque</w:t>
            </w:r>
          </w:p>
        </w:tc>
      </w:tr>
      <w:tr>
        <w:tc>
          <w:tcPr/>
          <w:p>
            <w:pPr>
              <w:pStyle w:val="Compact"/>
              <w:jc w:val="left"/>
            </w:pPr>
            <w:r>
              <w:t xml:space="preserve">EDS</w:t>
            </w:r>
          </w:p>
        </w:tc>
        <w:tc>
          <w:tcPr/>
          <w:p>
            <w:pPr>
              <w:pStyle w:val="Compact"/>
              <w:jc w:val="left"/>
            </w:pPr>
            <w:r>
              <w:t xml:space="preserve">Equation Différentielle Stochastique</w:t>
            </w:r>
          </w:p>
        </w:tc>
      </w:tr>
      <w:tr>
        <w:tc>
          <w:tcPr/>
          <w:p>
            <w:pPr>
              <w:pStyle w:val="Compact"/>
              <w:jc w:val="left"/>
            </w:pPr>
            <w:r>
              <w:t xml:space="preserve">GBM</w:t>
            </w:r>
          </w:p>
        </w:tc>
        <w:tc>
          <w:tcPr/>
          <w:p>
            <w:pPr>
              <w:pStyle w:val="Compact"/>
              <w:jc w:val="left"/>
            </w:pPr>
            <w:r>
              <w:t xml:space="preserve">Geometric Brownian Motion</w:t>
            </w:r>
          </w:p>
        </w:tc>
      </w:tr>
      <w:tr>
        <w:tc>
          <w:tcPr/>
          <w:p>
            <w:pPr>
              <w:pStyle w:val="Compact"/>
              <w:jc w:val="left"/>
            </w:pPr>
            <w:r>
              <w:t xml:space="preserve">OPCVM</w:t>
            </w:r>
          </w:p>
        </w:tc>
        <w:tc>
          <w:tcPr/>
          <w:p>
            <w:pPr>
              <w:pStyle w:val="Compact"/>
              <w:jc w:val="left"/>
            </w:pPr>
            <w:r>
              <w:t xml:space="preserve">Organisme de Placement Collectif en Valeurs Mobilières</w:t>
            </w:r>
          </w:p>
        </w:tc>
      </w:tr>
      <w:tr>
        <w:tc>
          <w:tcPr/>
          <w:p>
            <w:pPr>
              <w:pStyle w:val="Compact"/>
              <w:jc w:val="left"/>
            </w:pPr>
            <w:r>
              <w:t xml:space="preserve">OPCI</w:t>
            </w:r>
          </w:p>
        </w:tc>
        <w:tc>
          <w:tcPr/>
          <w:p>
            <w:pPr>
              <w:pStyle w:val="Compact"/>
              <w:jc w:val="left"/>
            </w:pPr>
            <w:r>
              <w:t xml:space="preserve">Organisme de Placement Collectif Immobilier</w:t>
            </w:r>
          </w:p>
        </w:tc>
      </w:tr>
      <w:tr>
        <w:tc>
          <w:tcPr/>
          <w:p>
            <w:pPr>
              <w:pStyle w:val="Compact"/>
              <w:jc w:val="left"/>
            </w:pPr>
            <w:r>
              <w:t xml:space="preserve">OPCC</w:t>
            </w:r>
          </w:p>
        </w:tc>
        <w:tc>
          <w:tcPr/>
          <w:p>
            <w:pPr>
              <w:pStyle w:val="Compact"/>
              <w:jc w:val="left"/>
            </w:pPr>
            <w:r>
              <w:t xml:space="preserve">Organismes de Placement Collectif en Capital</w:t>
            </w:r>
          </w:p>
        </w:tc>
      </w:tr>
      <w:tr>
        <w:tc>
          <w:tcPr/>
          <w:p>
            <w:pPr>
              <w:pStyle w:val="Compact"/>
              <w:jc w:val="left"/>
            </w:pPr>
            <w:r>
              <w:t xml:space="preserve">FPCT</w:t>
            </w:r>
          </w:p>
        </w:tc>
        <w:tc>
          <w:tcPr/>
          <w:p>
            <w:pPr>
              <w:pStyle w:val="Compact"/>
              <w:jc w:val="left"/>
            </w:pPr>
            <w:r>
              <w:t xml:space="preserve">Fonds de Placement Collectifs en Titrisation</w:t>
            </w:r>
          </w:p>
        </w:tc>
      </w:tr>
    </w:tbl>
    <w:bookmarkEnd w:id="20"/>
    <w:bookmarkStart w:id="22" w:name="introduction"/>
    <w:p>
      <w:pPr>
        <w:pStyle w:val="Heading2"/>
      </w:pPr>
      <w:r>
        <w:t xml:space="preserve">2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1"/>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2"/>
    <w:bookmarkStart w:id="38" w:name="cadre-réglementaire-marocain"/>
    <w:p>
      <w:pPr>
        <w:pStyle w:val="Heading2"/>
      </w:pPr>
      <w:r>
        <w:t xml:space="preserve">3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3">
        <w:r>
          <w:rPr>
            <w:rStyle w:val="Hyperlink"/>
          </w:rPr>
          <w:t xml:space="preserve">Atlas Mag</w:t>
        </w:r>
      </w:hyperlink>
      <w:r>
        <w:rPr>
          <w:rStyle w:val="FootnoteReference"/>
        </w:rPr>
        <w:footnoteReference w:id="24"/>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5"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5"/>
    <w:p>
      <w:pPr>
        <w:pStyle w:val="BodyText"/>
      </w:pPr>
      <w:r>
        <w:t xml:space="preserve">Le Royaume doit ce succès à la rigueur de sont dispositif prudentiel qui se consolide de plus en plus.</w:t>
      </w:r>
      <w:r>
        <w:t xml:space="preserve"> </w:t>
      </w:r>
      <w:r>
        <w:t xml:space="preserve">La SBR (Solvabilité basée sur les risques) est une réforme prudentielle qui vient en ce sens renforcer cette dynamique. elle vise à conoslider la résilience des compagnies d’assurances face aux différents risques qu’elles encourent. Elle repose sur trois piliers : le pilier quantitatif, le pilier qualitatif et le pilier informatif</w:t>
      </w:r>
      <w:r>
        <w:rPr>
          <w:rStyle w:val="FootnoteReference"/>
        </w:rPr>
        <w:footnoteReference w:id="26"/>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7"/>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8"/>
      </w:r>
      <w:r>
        <w:t xml:space="preserve">). Il applique aussi le principe de « personne prudente » pour la politique d’investissement des assureurs.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1\RStudio\RESOUR~1\app\bin\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principe de « personne prudente »</w:t>
            </w:r>
          </w:p>
        </w:tc>
      </w:tr>
      <w:tr>
        <w:trPr>
          <w:cantSplit/>
        </w:trPr>
        <w:tc>
          <w:tcPr>
            <w:tcMar>
              <w:top w:w="108" w:type="dxa"/>
              <w:bottom w:w="108" w:type="dxa"/>
            </w:tcMar>
          </w:tcPr>
          <w:p>
            <w:pPr>
              <w:pStyle w:val="BodyText"/>
            </w:pPr>
            <w:pPr>
              <w:spacing w:before="16" w:after="16"/>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32"/>
      </w:r>
      <w:r>
        <w:t xml:space="preserve">.</w:t>
      </w:r>
    </w:p>
    <w:tbl>
      <w:tblPr>
        <w:tblStyle w:val="Table"/>
        <w:tblW w:type="pct" w:w="5000"/>
        <w:tblLook w:firstRow="0" w:lastRow="0" w:firstColumn="0" w:lastColumn="0" w:noHBand="0" w:noVBand="0" w:val="0000"/>
      </w:tblPr>
      <w:tblGrid>
        <w:gridCol w:w="7920"/>
      </w:tblGrid>
      <w:tr>
        <w:tc>
          <w:tcPr/>
          <w:bookmarkStart w:id="37" w:name="fig-piliers"/>
          <w:p>
            <w:pPr>
              <w:pStyle w:val="Figure"/>
              <w:jc w:val="center"/>
            </w:pPr>
            <w:r>
              <w:drawing>
                <wp:inline>
                  <wp:extent cx="5334000" cy="3000375"/>
                  <wp:effectExtent b="0" l="0" r="0" t="0"/>
                  <wp:docPr descr="" title="" id="35" name="Picture"/>
                  <a:graphic>
                    <a:graphicData uri="http://schemas.openxmlformats.org/drawingml/2006/picture">
                      <pic:pic>
                        <pic:nvPicPr>
                          <pic:cNvPr descr="Rapport-PFE_files/figure-html/piliers.png" id="36"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7"/>
        </w:tc>
      </w:tr>
    </w:tbl>
    <w:bookmarkEnd w:id="38"/>
    <w:bookmarkStart w:id="44" w:name="piliers-1-exigences-quantitatives"/>
    <w:p>
      <w:pPr>
        <w:pStyle w:val="Heading2"/>
      </w:pPr>
      <w:r>
        <w:t xml:space="preserve">4 Piliers 1: Exigences quantitatives</w:t>
      </w:r>
    </w:p>
    <w:p>
      <w:pPr>
        <w:pStyle w:val="FirstParagraph"/>
      </w:pPr>
      <w:r>
        <w:t xml:space="preserve">Sur les trois piliers de la normes SBR, notre rapport de stage se concentre essentiellement sur le pilier 1. Ce dernier spécifie toutes les dipositions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une analyse économique annuel du bilan prudentiel. L’organisme d’assurance ou de réassurance doit disposer d’une richesse nette suffisante pour faire face à ses risques dans</w:t>
      </w:r>
      <w:r>
        <w:t xml:space="preserve"> </w:t>
      </w:r>
      <m:oMath>
        <m:r>
          <m:t>X</m:t>
        </m:r>
        <m:r>
          <m:rPr>
            <m:sty m:val="p"/>
          </m:rPr>
          <m:t>%</m:t>
        </m:r>
      </m:oMath>
      <w:r>
        <w:rPr>
          <w:rStyle w:val="FootnoteReference"/>
        </w:rPr>
        <w:footnoteReference w:id="39"/>
      </w:r>
      <w:r>
        <w:t xml:space="preserve"> </w:t>
      </w:r>
      <w:r>
        <w:t xml:space="preserve">des situations possibles. Cela implique que sa richesse nette soit supérieure ou égale à l’exigence de solvabilité.</w:t>
      </w:r>
      <w:r>
        <w:t xml:space="preserve"> </w:t>
      </w:r>
      <w:r>
        <w:t xml:space="preserve">Le bilan prudentiel SBR est un bilan qui reflète la situation économique des assureurs, et non pas uniquement leur situation comptable. Il se base sur une valorisation des actifs à leur prix de marché, c’est-à-dire le prix auquel ils pourraient être vendus ou transférés.</w:t>
      </w:r>
      <w:r>
        <w:t xml:space="preserve"> </w:t>
      </w:r>
      <w:r>
        <w:t xml:space="preserve">Les passifs sont constitués essentiellement de dettes et des provisions techniques, qui représentent le coût estimé des engagements pris par les assureurs envers les assurés. Les provisions techniques se décomposent en deux éléments :</w:t>
      </w:r>
    </w:p>
    <w:p>
      <w:pPr>
        <w:numPr>
          <w:ilvl w:val="0"/>
          <w:numId w:val="1002"/>
        </w:numPr>
      </w:pPr>
      <w:r>
        <w:t xml:space="preserve">Le Best Estimate, qui n’est rien d’aute que la valeur actualisée des flux futurs attendus liés aux contrats en cours. L’actualisation se fait en utilisant une courbe de taux sans risque de référence, qui reflète les conditions du marché.</w:t>
      </w:r>
    </w:p>
    <w:p>
      <w:pPr>
        <w:numPr>
          <w:ilvl w:val="0"/>
          <w:numId w:val="1002"/>
        </w:numPr>
      </w:pPr>
      <w:r>
        <w:t xml:space="preserve">La marge de risque, qui correspond au coût du capital nécessaire pour couvrir les risques liés aux passifs jusqu’à leur extinction. Le coût du capital est calculé en appliquant un taux fixe aux exigences de fonds propres futures.</w:t>
      </w:r>
    </w:p>
    <w:p>
      <w:pPr>
        <w:pStyle w:val="FirstParagraph"/>
      </w:pPr>
      <w:r>
        <w:t xml:space="preserve">Le montant des provisions techniques a une influence importante sur la solvabilité des assureurs et sur leurs fonds propres. Plus les provisions techniques sont élevées, plus les assureurs doivent avoir de fonds propres pour couvrir leurs risques.</w:t>
      </w:r>
    </w:p>
    <w:tbl>
      <w:tblPr>
        <w:tblStyle w:val="Table"/>
        <w:tblW w:type="pct" w:w="5000"/>
        <w:tblLook w:firstRow="0" w:lastRow="0" w:firstColumn="0" w:lastColumn="0" w:noHBand="0" w:noVBand="0" w:val="0000"/>
      </w:tblPr>
      <w:tblGrid>
        <w:gridCol w:w="7920"/>
      </w:tblGrid>
      <w:tr>
        <w:tc>
          <w:tcPr/>
          <w:bookmarkStart w:id="43" w:name="fig-bilan"/>
          <w:p>
            <w:pPr>
              <w:pStyle w:val="Figure"/>
              <w:jc w:val="center"/>
            </w:pPr>
            <w:r>
              <w:drawing>
                <wp:inline>
                  <wp:extent cx="5334000" cy="2993010"/>
                  <wp:effectExtent b="0" l="0" r="0" t="0"/>
                  <wp:docPr descr="" title="" id="41" name="Picture"/>
                  <a:graphic>
                    <a:graphicData uri="http://schemas.openxmlformats.org/drawingml/2006/picture">
                      <pic:pic>
                        <pic:nvPicPr>
                          <pic:cNvPr descr="Rapport-PFE_files/figure-html/Bilan.png" id="42" name="Picture"/>
                          <pic:cNvPicPr>
                            <a:picLocks noChangeArrowheads="1" noChangeAspect="1"/>
                          </pic:cNvPicPr>
                        </pic:nvPicPr>
                        <pic:blipFill>
                          <a:blip r:embed="rId40"/>
                          <a:stretch>
                            <a:fillRect/>
                          </a:stretch>
                        </pic:blipFill>
                        <pic:spPr bwMode="auto">
                          <a:xfrm>
                            <a:off x="0" y="0"/>
                            <a:ext cx="5334000" cy="2993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Structure d’un bilan</w:t>
            </w:r>
          </w:p>
          <w:bookmarkEnd w:id="43"/>
        </w:tc>
      </w:tr>
    </w:tbl>
    <w:p>
      <w:pPr>
        <w:pStyle w:val="BodyText"/>
      </w:pPr>
      <w:r>
        <w:t xml:space="preserve">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pPr>
        <w:pStyle w:val="BodyText"/>
      </w:pPr>
      <w:r>
        <w:t xml:space="preserve">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pPr>
        <w:numPr>
          <w:ilvl w:val="0"/>
          <w:numId w:val="1003"/>
        </w:numPr>
      </w:pPr>
      <w:r>
        <w:rPr>
          <w:iCs/>
          <w:i/>
        </w:rPr>
        <w:t xml:space="preserve">L’approche par scénario</w:t>
      </w:r>
      <w:r>
        <w:t xml:space="preserve">,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pPr>
        <w:numPr>
          <w:ilvl w:val="0"/>
          <w:numId w:val="1003"/>
        </w:numPr>
      </w:pPr>
      <w:r>
        <w:rPr>
          <w:iCs/>
          <w:i/>
        </w:rPr>
        <w:t xml:space="preserve">L’approche par facteurs</w:t>
      </w:r>
      <w:r>
        <w:t xml:space="preserve">, qui consiste à appliquer une formule mathématique qui détermine la charge en capital en fonction de paramètres prédéfinis. Par exemple, on peut utiliser un pourcentage des primes ou des provisions pour calculer le risque de souscription.</w:t>
      </w:r>
    </w:p>
    <w:p>
      <w:pPr>
        <w:pStyle w:val="FirstParagraph"/>
      </w:pPr>
      <w:r>
        <w:t xml:space="preserve">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pPr>
        <w:pStyle w:val="BodyText"/>
      </w:pPr>
      <w:r>
        <w:t xml:space="preserve">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pPr>
        <w:pStyle w:val="BodyText"/>
      </w:pPr>
      <w:r>
        <w:t xml:space="preserve">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pPr>
        <w:pStyle w:val="BodyText"/>
      </w:pPr>
      <w:r>
        <w:t xml:space="preserve">Enfin, les assureurs peuvent bénéficier d’un ajustement pour capacité d’absorption des pertes par les impôts différés. Cela signifie qu’en cas de perte, ils peuvent réduire leur base imposable et donc leur impôt à payer. Cet ajustement diminue le SCR des assureurs.</w:t>
      </w:r>
    </w:p>
    <w:p>
      <w:pPr>
        <w:pStyle w:val="BodyText"/>
      </w:pPr>
      <w: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Parmi ces règles et principes, on peut citer :</w:t>
      </w:r>
    </w:p>
    <w:p>
      <w:pPr>
        <w:numPr>
          <w:ilvl w:val="0"/>
          <w:numId w:val="1004"/>
        </w:numPr>
        <w:pStyle w:val="Compact"/>
      </w:pPr>
      <w:r>
        <w:t xml:space="preserve">L’approche réglementaire vs la liberté de modélisation : il s’agit du choix entre utiliser une méthode standardisée définie par le régulateur, ou utiliser une méthode propre à l’assureur, qui doit être validée par le régulateur.</w:t>
      </w:r>
    </w:p>
    <w:p>
      <w:pPr>
        <w:numPr>
          <w:ilvl w:val="0"/>
          <w:numId w:val="1004"/>
        </w:numPr>
        <w:pStyle w:val="Compact"/>
      </w:pPr>
      <w:r>
        <w:t xml:space="preserve">La qualité des données et la segmentation : il s’agit de s’assurer que les données utilisées pour l’évaluation sont complètes, exactes et pertinentes, et qu’elles permettent de distinguer les différents types de contrats et de risques.</w:t>
      </w:r>
    </w:p>
    <w:p>
      <w:pPr>
        <w:numPr>
          <w:ilvl w:val="0"/>
          <w:numId w:val="1004"/>
        </w:numPr>
        <w:pStyle w:val="Compact"/>
      </w:pPr>
      <w:r>
        <w:t xml:space="preserve">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pPr>
        <w:numPr>
          <w:ilvl w:val="0"/>
          <w:numId w:val="1004"/>
        </w:numPr>
        <w:pStyle w:val="Compact"/>
      </w:pPr>
      <w:r>
        <w:t xml:space="preserve">La possibilité de recourir aux</w:t>
      </w:r>
      <w:r>
        <w:t xml:space="preserve"> </w:t>
      </w:r>
      <w:r>
        <w:t xml:space="preserve">“</w:t>
      </w:r>
      <w:r>
        <w:t xml:space="preserve">dires d’experts</w:t>
      </w:r>
      <w:r>
        <w:t xml:space="preserve">”</w:t>
      </w:r>
      <w:r>
        <w:t xml:space="preserve"> </w:t>
      </w:r>
      <w:r>
        <w:t xml:space="preserve">: il s’agit de la possibilité d’utiliser le jugement professionnel des experts actuariels pour compléter ou ajuster les données ou les hypothèses, en cas de manque d’information ou d’incertitude.</w:t>
      </w:r>
    </w:p>
    <w:p>
      <w:pPr>
        <w:numPr>
          <w:ilvl w:val="0"/>
          <w:numId w:val="1004"/>
        </w:numPr>
        <w:pStyle w:val="Compact"/>
      </w:pPr>
      <w:r>
        <w:t xml:space="preserve">La modélisation des frais récurrents en adéquation avec les frontières des contrats : il s’agit de prendre en compte les frais liés à la gestion des contrats, en fonction de leur durée et de leur contenu.</w:t>
      </w:r>
    </w:p>
    <w:p>
      <w:pPr>
        <w:numPr>
          <w:ilvl w:val="0"/>
          <w:numId w:val="1004"/>
        </w:numPr>
        <w:pStyle w:val="Compact"/>
      </w:pPr>
      <w:r>
        <w:t xml:space="preserve">L’intégration des</w:t>
      </w:r>
      <w:r>
        <w:t xml:space="preserve"> </w:t>
      </w:r>
      <w:r>
        <w:t xml:space="preserve">“</w:t>
      </w:r>
      <w:r>
        <w:t xml:space="preserve">management actions</w:t>
      </w:r>
      <w:r>
        <w:t xml:space="preserve">”</w:t>
      </w:r>
      <w:r>
        <w:t xml:space="preserve"> </w:t>
      </w:r>
      <w:r>
        <w:t xml:space="preserve">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pPr>
        <w:numPr>
          <w:ilvl w:val="0"/>
          <w:numId w:val="1004"/>
        </w:numPr>
        <w:pStyle w:val="Compact"/>
      </w:pPr>
      <w:r>
        <w:t xml:space="preserve">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pPr>
        <w:pStyle w:val="FirstParagraph"/>
      </w:pPr>
      <w:r>
        <w:t xml:space="preserve">L’évaluation des risques financiers est aussi une étape importante du bilan prudentiel, car elle détermine la valeur de marché des actifs détenus par les assureurs. Ainsi, cette évalution repose sur un certains nombre de principes parmi lesquels nous pouvons citer :</w:t>
      </w:r>
    </w:p>
    <w:p>
      <w:pPr>
        <w:numPr>
          <w:ilvl w:val="0"/>
          <w:numId w:val="1005"/>
        </w:numPr>
        <w:pStyle w:val="Compact"/>
      </w:pPr>
      <w:r>
        <w:t xml:space="preserve">La valorisation de l’immobilier et du non coté : il s’agit de déterminer le prix auquel les actifs immobiliers ou non cotés en bourse pourraient être vendus ou transférés sur le marché.</w:t>
      </w:r>
    </w:p>
    <w:p>
      <w:pPr>
        <w:numPr>
          <w:ilvl w:val="0"/>
          <w:numId w:val="1005"/>
        </w:numPr>
        <w:pStyle w:val="Compact"/>
      </w:pPr>
      <w:r>
        <w:t xml:space="preserve">La mise en transparence des OPCVM : connaître la composition détaillée des organismes de placement collectif en valeurs mobilières (OPCVM), qui sont des fonds d’investissement regroupant plusieurs actifs financiers.</w:t>
      </w:r>
    </w:p>
    <w:p>
      <w:pPr>
        <w:numPr>
          <w:ilvl w:val="0"/>
          <w:numId w:val="1005"/>
        </w:numPr>
        <w:pStyle w:val="Compact"/>
      </w:pPr>
      <w:r>
        <w:t xml:space="preserve">L’ajustement des chocs en fonction de la situation du marché financier et de la géographie du capital : il s’agit d’adapter l’intensité des chocs appliqués aux actifs financiers en fonction du contexte économique et du lieu où ils sont investis.</w:t>
      </w:r>
    </w:p>
    <w:p>
      <w:pPr>
        <w:numPr>
          <w:ilvl w:val="0"/>
          <w:numId w:val="1005"/>
        </w:numPr>
        <w:pStyle w:val="Compact"/>
      </w:pPr>
      <w:r>
        <w:t xml:space="preserve">La problématique des notations externes : il s’agit du problème lié à l’utilisation des notations attribuées par les agences externes pour évaluer le risque de défaut des actifs financiers, qui peuvent être biaisées ou imprécises.</w:t>
      </w:r>
    </w:p>
    <w:p>
      <w:pPr>
        <w:numPr>
          <w:ilvl w:val="0"/>
          <w:numId w:val="1005"/>
        </w:numPr>
        <w:pStyle w:val="Compact"/>
      </w:pPr>
      <w:r>
        <w:t xml:space="preserve">La définition des</w:t>
      </w:r>
      <w:r>
        <w:t xml:space="preserve"> </w:t>
      </w:r>
      <w:r>
        <w:t xml:space="preserve">“</w:t>
      </w:r>
      <w:r>
        <w:t xml:space="preserve">groupes</w:t>
      </w:r>
      <w:r>
        <w:t xml:space="preserve">”</w:t>
      </w:r>
      <w:r>
        <w:t xml:space="preserve"> </w:t>
      </w:r>
      <w:r>
        <w:t xml:space="preserve">et actifs</w:t>
      </w:r>
      <w:r>
        <w:t xml:space="preserve"> </w:t>
      </w:r>
      <w:r>
        <w:t xml:space="preserve">“</w:t>
      </w:r>
      <w:r>
        <w:t xml:space="preserve">stratégiques</w:t>
      </w:r>
      <w:r>
        <w:t xml:space="preserve">”</w:t>
      </w:r>
      <w:r>
        <w:t xml:space="preserve"> </w:t>
      </w:r>
      <w:r>
        <w:t xml:space="preserve">: il s’agit de définir quels sont les groupes ou les actifs financiers qui ont une importance particulière pour l’assureur, et qui doivent donc être traités différemment.</w:t>
      </w:r>
    </w:p>
    <w:p>
      <w:pPr>
        <w:pStyle w:val="FirstParagraph"/>
      </w:pPr>
      <w:r>
        <w:t xml:space="preserve">L’évaluation des impôts différés est également une étape importante du bilan prudentiel, car elle détermine le montant d’impôt que l’assureur peut économiser ou payer en cas de perte ou de bénéfice. L’évalution aps par un test de recouvrabilité et la capacité d’absorption des pertes par les impôts différés. L’objecif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pPr>
        <w:pStyle w:val="BodyText"/>
      </w:pPr>
      <w:r>
        <w:t xml:space="preserve">L’évaluation du capital de solvabilité requis (SCR) est la dernière étape du bilan prudentiel, car elle détermine le montant minimum de fonds propres que l’assureur doit avoir pour couvrir ses risques. Il existe deux approches possibles pour calculer le SCR :</w:t>
      </w:r>
    </w:p>
    <w:p>
      <w:pPr>
        <w:numPr>
          <w:ilvl w:val="0"/>
          <w:numId w:val="1006"/>
        </w:numPr>
      </w:pPr>
      <w:r>
        <w:t xml:space="preserve">La formule standard, qui est une méthode standardisée définie par le régulateur, qui prend en compte les différents types de risques auxquels les assureurs sont exposés, et qui utilise des paramètres prédéfinis.</w:t>
      </w:r>
    </w:p>
    <w:p>
      <w:pPr>
        <w:numPr>
          <w:ilvl w:val="0"/>
          <w:numId w:val="1006"/>
        </w:numPr>
      </w:pPr>
      <w:r>
        <w:t xml:space="preserve">Le modèle interne, qui est une méthode propre à l’assureur, qui prend en compte les spécificités de son profil de risque, et qui utilise ses propres paramètres. Le modèle interne doit être validé par le régulateur.</w:t>
      </w:r>
    </w:p>
    <w:bookmarkEnd w:id="44"/>
    <w:bookmarkStart w:id="71" w:name="valorisation-de-lactif"/>
    <w:p>
      <w:pPr>
        <w:pStyle w:val="Heading2"/>
      </w:pPr>
      <w:r>
        <w:t xml:space="preserve">5 Valorisation de l’actif:</w:t>
      </w:r>
    </w:p>
    <w:p>
      <w:pPr>
        <w:pStyle w:val="FirstParagraph"/>
      </w:pPr>
      <w:r>
        <w:t xml:space="preserve">Selon les directions de l’autorité de contrôle des Assurances et de la Prévoyance Sociale, les actifs doivent être évaluer comme suit :</w:t>
      </w:r>
    </w:p>
    <w:p>
      <w:pPr>
        <w:numPr>
          <w:ilvl w:val="0"/>
          <w:numId w:val="1007"/>
        </w:numPr>
        <w:pStyle w:val="Compact"/>
      </w:pPr>
      <w:r>
        <w:t xml:space="preserve">Titres OPCVM et OPCI : Dernière valeur liquidative.</w:t>
      </w:r>
    </w:p>
    <w:p>
      <w:pPr>
        <w:numPr>
          <w:ilvl w:val="0"/>
          <w:numId w:val="1007"/>
        </w:numPr>
        <w:pStyle w:val="Compact"/>
      </w:pPr>
      <w:r>
        <w:t xml:space="preserve">Titres OPCC et FPCT : Dernière valeur connue.</w:t>
      </w:r>
    </w:p>
    <w:p>
      <w:pPr>
        <w:numPr>
          <w:ilvl w:val="0"/>
          <w:numId w:val="1007"/>
        </w:numPr>
        <w:pStyle w:val="Compact"/>
      </w:pPr>
      <w:r>
        <w:t xml:space="preserve">Titres de créances négociables, obligations et bons : Valeur de marché.</w:t>
      </w:r>
    </w:p>
    <w:p>
      <w:pPr>
        <w:numPr>
          <w:ilvl w:val="0"/>
          <w:numId w:val="1007"/>
        </w:numPr>
        <w:pStyle w:val="Compact"/>
      </w:pPr>
      <w:r>
        <w:t xml:space="preserve">Immobilisations corporelles : Valeur comptable.</w:t>
      </w:r>
    </w:p>
    <w:p>
      <w:pPr>
        <w:numPr>
          <w:ilvl w:val="0"/>
          <w:numId w:val="1007"/>
        </w:numPr>
        <w:pStyle w:val="Compact"/>
      </w:pPr>
      <w:r>
        <w:t xml:space="preserve">Autres créances : Valeur comptable.</w:t>
      </w:r>
    </w:p>
    <w:p>
      <w:pPr>
        <w:numPr>
          <w:ilvl w:val="0"/>
          <w:numId w:val="1007"/>
        </w:numPr>
        <w:pStyle w:val="Compact"/>
      </w:pPr>
      <w:r>
        <w:t xml:space="preserve">Immobilisations en non-valeur : Valeur nulle.</w:t>
      </w:r>
    </w:p>
    <w:p>
      <w:pPr>
        <w:numPr>
          <w:ilvl w:val="0"/>
          <w:numId w:val="1007"/>
        </w:numPr>
        <w:pStyle w:val="Compact"/>
      </w:pPr>
      <w:r>
        <w:t xml:space="preserve">Immobilisations incorporelles : Valeur nulle.</w:t>
      </w:r>
    </w:p>
    <w:p>
      <w:pPr>
        <w:numPr>
          <w:ilvl w:val="0"/>
          <w:numId w:val="1007"/>
        </w:numPr>
        <w:pStyle w:val="Compact"/>
      </w:pPr>
      <w:r>
        <w:t xml:space="preserve">Actifs immobiliers hors OPCI : Valeur de transaction (sinon valeur comptable).</w:t>
      </w:r>
    </w:p>
    <w:p>
      <w:pPr>
        <w:numPr>
          <w:ilvl w:val="0"/>
          <w:numId w:val="1007"/>
        </w:numPr>
        <w:pStyle w:val="Compact"/>
      </w:pPr>
      <w:r>
        <w:t xml:space="preserve">Autres actifs : Valeur d’expert (sinon valeur comptable)</w:t>
      </w:r>
    </w:p>
    <w:p>
      <w:pPr>
        <w:pStyle w:val="FirstParagraph"/>
      </w:pPr>
      <w:r>
        <w:t xml:space="preserve">Pour les actions cotées à la bourse de Casablanca,ils sont valorisées à leur dernier cours coté avant la date d’inventaire, ou le moyenne des cours côtés des trois derniers mois précédant la date d’inventaire, si le volume ou la quantité journaliers moyens des transactions sur les 3 derniers mois précédant la date d’inventaire sont inférieurs aux seuils fixés par L’ACAPS.</w:t>
      </w:r>
    </w:p>
    <w:bookmarkStart w:id="70" w:name="actions-cotées-à-la-bourse"/>
    <w:p>
      <w:pPr>
        <w:pStyle w:val="Heading3"/>
      </w:pPr>
      <w:r>
        <w:t xml:space="preserve">5.1 Actions cotées à la bourse:</w:t>
      </w:r>
    </w:p>
    <w:p>
      <w:pPr>
        <w:pStyle w:val="FirstParagraph"/>
      </w:pPr>
      <w:r>
        <w:t xml:space="preserve">Dans ce qui suit, on va on va présente les méthodes qu’on a utilisées pour la valorisation des actions cotées à la bourse de Casablanca. La première méthode était le modèle classique de Black &amp; Scholes.</w:t>
      </w:r>
    </w:p>
    <w:p>
      <w:pPr>
        <w:pStyle w:val="BodyText"/>
      </w:pPr>
      <w:r>
        <w:t xml:space="preserve">Pour la deuxième méthode, on a choisi d’entraîner un module de réseaux de neurones récurrents, plus précisément le module LSTM, avec des données historiques afin de prédire les cours futurs.</w:t>
      </w:r>
    </w:p>
    <w:bookmarkStart w:id="54" w:name="modélisation-du-prix-des-actions"/>
    <w:p>
      <w:pPr>
        <w:pStyle w:val="Heading4"/>
      </w:pPr>
      <w:r>
        <w:t xml:space="preserve">5.1.1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53" w:name="modèle-de-black-scholes"/>
    <w:p>
      <w:pPr>
        <w:pStyle w:val="Heading5"/>
      </w:pPr>
      <w:r>
        <w:t xml:space="preserve">5.1.1.1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45"/>
      </w:r>
    </w:p>
    <w:p>
      <w:pPr>
        <w:pStyle w:val="BodyText"/>
      </w:pPr>
      <w:bookmarkStart w:id="46"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46"/>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47"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47"/>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48"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48"/>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49"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49"/>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51" name="Picture"/>
                  <a:graphic>
                    <a:graphicData uri="http://schemas.openxmlformats.org/drawingml/2006/picture">
                      <pic:pic>
                        <pic:nvPicPr>
                          <pic:cNvPr descr="Rapport-PFE_files/figure-docx/unnamed-chunk-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53"/>
    <w:bookmarkEnd w:id="54"/>
    <w:bookmarkStart w:id="69" w:name="réseaux-de-neurones-récurrents"/>
    <w:p>
      <w:pPr>
        <w:pStyle w:val="Heading4"/>
      </w:pPr>
      <w:r>
        <w:t xml:space="preserve">5.1.2 Réseaux de neurones récurrents:</w:t>
      </w:r>
    </w:p>
    <w:p>
      <w:pPr>
        <w:pStyle w:val="FirstParagraph"/>
      </w:pPr>
      <w:r>
        <w:t xml:space="preserve">Dans cette partie on va s’intéressé à l’entrainement d’un module de réseaux de neurones récurrents, spécifiquement le module LSTM (Long short-term memory) avec des données historiques de l’indice MASI (Moroccan All Shares index) afin de préparer un module efficace pour la prédiction des cours journaliers futures.</w:t>
      </w:r>
    </w:p>
    <w:p>
      <w:pPr>
        <w:pStyle w:val="BodyText"/>
      </w:pPr>
      <w:r>
        <w:t xml:space="preserve">D’abord, un réseau neuronal récurrent (RNN) est un type de réseau neuronal artificiel qui utilise des données séquentielles ou des données de séries chronologiques. Ces algorithmes d’apprentissage en profondeur sont couramment utilisés pour les problèmes ordinaux ou temporels, tels que la traduction linguistique, le traitement du langage naturel, la reconnaissance vocale et le sous-titrage d’images, la prédiction des séries chronologiques,</w:t>
      </w:r>
      <m:oMath>
        <m:r>
          <m:rPr>
            <m:sty m:val="p"/>
          </m:rPr>
          <m:t>…</m:t>
        </m:r>
      </m:oMath>
    </w:p>
    <w:p>
      <w:pPr>
        <w:pStyle w:val="BodyText"/>
      </w:pPr>
      <w:r>
        <w:t xml:space="preserve">Les réseaux de neurones récurrents utilisent des données de formation pour apprendre. Ils se distinguent par leur</w:t>
      </w:r>
      <w:r>
        <w:t xml:space="preserve"> </w:t>
      </w:r>
      <w:r>
        <w:t xml:space="preserve">“</w:t>
      </w:r>
      <w:r>
        <w:t xml:space="preserve">mémoire</w:t>
      </w:r>
      <w:r>
        <w:t xml:space="preserve">”</w:t>
      </w:r>
      <w:r>
        <w:t xml:space="preserve"> </w:t>
      </w:r>
      <w:r>
        <w:t xml:space="preserve">car ils prennent des informations d’entrées précédentes pour influencer l’entrée et la sortie actuelles. Alors que les réseaux de neurones profonds traditionnels supposent que les entrées et les sorties sont indépendantes les unes des autres, la sortie des réseaux de neurones récurrents dépend des éléments antérieurs de la séquence. Alors que les événements futurs seraient également utiles pour déterminer la sortie d’une séquence donnée.</w:t>
      </w:r>
    </w:p>
    <w:p>
      <w:pPr>
        <w:pStyle w:val="BodyText"/>
      </w:pPr>
      <w:r>
        <w:t xml:space="preserve">Une autre caractéristique distinctive des réseaux récurrents est qu’ils partagent des paramètres à travers chaque couche du réseau, alors que les réseaux feedforward (des réseaux de neurones artificiels qui traitent les informations dans une seule direction) ont des poids différents sur chaque nœud. Les réseaux de neurones récurrents partagent le même paramètre de poids dans chaque couche du réseau. Cela dit, ces poids sont toujours ajustés au cours des processus de rétropropagation et de descente de gradient pour faciliter l’apprentissage par renforcement.</w:t>
      </w:r>
    </w:p>
    <w:tbl>
      <w:tblPr>
        <w:tblStyle w:val="Table"/>
        <w:tblW w:type="pct" w:w="5000"/>
        <w:tblLook w:firstRow="0" w:lastRow="0" w:firstColumn="0" w:lastColumn="0" w:noHBand="0" w:noVBand="0" w:val="0000"/>
      </w:tblPr>
      <w:tblGrid>
        <w:gridCol w:w="7920"/>
      </w:tblGrid>
      <w:tr>
        <w:tc>
          <w:tcPr/>
          <w:bookmarkStart w:id="58" w:name="fig-piliers"/>
          <w:p>
            <w:pPr>
              <w:pStyle w:val="Figure"/>
              <w:jc w:val="center"/>
            </w:pPr>
            <w:r>
              <w:drawing>
                <wp:inline>
                  <wp:extent cx="5334000" cy="2051050"/>
                  <wp:effectExtent b="0" l="0" r="0" t="0"/>
                  <wp:docPr descr="" title="" id="56" name="Picture"/>
                  <a:graphic>
                    <a:graphicData uri="http://schemas.openxmlformats.org/drawingml/2006/picture">
                      <pic:pic>
                        <pic:nvPicPr>
                          <pic:cNvPr descr="Rapport-PFE_files/figure-html/Shema_RNN.png" id="57" name="Picture"/>
                          <pic:cNvPicPr>
                            <a:picLocks noChangeArrowheads="1" noChangeAspect="1"/>
                          </pic:cNvPicPr>
                        </pic:nvPicPr>
                        <pic:blipFill>
                          <a:blip r:embed="rId55"/>
                          <a:stretch>
                            <a:fillRect/>
                          </a:stretch>
                        </pic:blipFill>
                        <pic:spPr bwMode="auto">
                          <a:xfrm>
                            <a:off x="0" y="0"/>
                            <a:ext cx="5334000" cy="2051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Fonctionnement des réseaux de neurones récurrents</w:t>
            </w:r>
          </w:p>
          <w:bookmarkEnd w:id="58"/>
        </w:tc>
      </w:tr>
    </w:tbl>
    <w:p>
      <w:pPr>
        <w:pStyle w:val="BodyText"/>
      </w:pPr>
      <w:r>
        <w:t xml:space="preserve">Un inconvénient des RNN standard est le problème du gradient de fuite, dans lequel les performances du réseau de neurones souffrent car il ne peut pas être formé correctement. Cela se produit avec des réseaux de neurones en couches profondes, qui sont utilisés pour traiter des données complexes.</w:t>
      </w:r>
    </w:p>
    <w:p>
      <w:pPr>
        <w:pStyle w:val="BodyText"/>
      </w:pPr>
      <w:r>
        <w:t xml:space="preserve">Les RNN standard qui utilisent une méthode d’apprentissage basée sur le gradient se dégradent à mesure qu’ils grandissent et deviennent plus complexes. Le réglage efficace des paramètres aux premières couches devient trop long et coûteux en calculs.</w:t>
      </w:r>
    </w:p>
    <w:p>
      <w:pPr>
        <w:pStyle w:val="BodyText"/>
      </w:pPr>
      <w:r>
        <w:t xml:space="preserve">Une solution au problème s’appelle les réseaux de mémoire longue à court terme (LSTM), que les informaticiens Sepp Hochreiter et Jurgen Schmidhuber ont inventés en 1997. Les RNN construits avec des unités LSTM classent les données en cellules de mémoire à court terme et à long terme. Cela permet aux RNN de déterminer quelles données sont importantes et doivent être mémorisées et renvoyées dans le réseau. Cela permet également aux RNN de déterminer quelles données peuvent être oubliées.</w:t>
      </w:r>
    </w:p>
    <w:p>
      <w:pPr>
        <w:pStyle w:val="BodyText"/>
      </w:pPr>
      <w:r>
        <w:t xml:space="preserve">Dans notre cas, Nous nous sommes focalisés sur l’application de modèle LSTM sur les données de l’indice MASI. Notre échantillon contenu 5000 observations journalière du cours d’ouverture, cours Dernier, le cours le plus bas, le cours plus haut et la variation du cours entre deux dates successives.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Date</w:t>
            </w:r>
          </w:p>
        </w:tc>
        <w:tc>
          <w:tcPr/>
          <w:p>
            <w:pPr>
              <w:pStyle w:val="Compact"/>
              <w:jc w:val="right"/>
            </w:pPr>
            <w:r>
              <w:t xml:space="preserve">Dernier</w:t>
            </w:r>
          </w:p>
        </w:tc>
        <w:tc>
          <w:tcPr/>
          <w:p>
            <w:pPr>
              <w:pStyle w:val="Compact"/>
              <w:jc w:val="right"/>
            </w:pPr>
            <w:r>
              <w:t xml:space="preserve">Ouverture</w:t>
            </w:r>
          </w:p>
        </w:tc>
        <w:tc>
          <w:tcPr/>
          <w:p>
            <w:pPr>
              <w:pStyle w:val="Compact"/>
              <w:jc w:val="right"/>
            </w:pPr>
            <w:r>
              <w:t xml:space="preserve">PlusHaut</w:t>
            </w:r>
          </w:p>
        </w:tc>
        <w:tc>
          <w:tcPr/>
          <w:p>
            <w:pPr>
              <w:pStyle w:val="Compact"/>
              <w:jc w:val="right"/>
            </w:pPr>
            <w:r>
              <w:t xml:space="preserve">PlusBas</w:t>
            </w:r>
          </w:p>
        </w:tc>
        <w:tc>
          <w:tcPr/>
          <w:p>
            <w:pPr>
              <w:pStyle w:val="Compact"/>
              <w:jc w:val="right"/>
            </w:pPr>
            <w:r>
              <w:t xml:space="preserve">variation</w:t>
            </w:r>
          </w:p>
        </w:tc>
      </w:tr>
      <w:tr>
        <w:tc>
          <w:tcPr/>
          <w:p>
            <w:pPr>
              <w:pStyle w:val="Compact"/>
              <w:jc w:val="left"/>
            </w:pPr>
            <w:r>
              <w:t xml:space="preserve">2022-01-24</w:t>
            </w:r>
          </w:p>
        </w:tc>
        <w:tc>
          <w:tcPr/>
          <w:p>
            <w:pPr>
              <w:pStyle w:val="Compact"/>
              <w:jc w:val="right"/>
            </w:pPr>
            <w:r>
              <w:t xml:space="preserve">13753.50</w:t>
            </w:r>
          </w:p>
        </w:tc>
        <w:tc>
          <w:tcPr/>
          <w:p>
            <w:pPr>
              <w:pStyle w:val="Compact"/>
              <w:jc w:val="right"/>
            </w:pPr>
            <w:r>
              <w:t xml:space="preserve">13783.81</w:t>
            </w:r>
          </w:p>
        </w:tc>
        <w:tc>
          <w:tcPr/>
          <w:p>
            <w:pPr>
              <w:pStyle w:val="Compact"/>
              <w:jc w:val="right"/>
            </w:pPr>
            <w:r>
              <w:t xml:space="preserve">13815.59</w:t>
            </w:r>
          </w:p>
        </w:tc>
        <w:tc>
          <w:tcPr/>
          <w:p>
            <w:pPr>
              <w:pStyle w:val="Compact"/>
              <w:jc w:val="right"/>
            </w:pPr>
            <w:r>
              <w:t xml:space="preserve">13753.05</w:t>
            </w:r>
          </w:p>
        </w:tc>
        <w:tc>
          <w:tcPr/>
          <w:p>
            <w:pPr>
              <w:pStyle w:val="Compact"/>
              <w:jc w:val="right"/>
            </w:pPr>
            <w:r>
              <w:t xml:space="preserve">-0.0022</w:t>
            </w:r>
          </w:p>
        </w:tc>
      </w:tr>
      <w:tr>
        <w:tc>
          <w:tcPr/>
          <w:p>
            <w:pPr>
              <w:pStyle w:val="Compact"/>
              <w:jc w:val="left"/>
            </w:pPr>
            <w:r>
              <w:t xml:space="preserve">2022-01-21</w:t>
            </w:r>
          </w:p>
        </w:tc>
        <w:tc>
          <w:tcPr/>
          <w:p>
            <w:pPr>
              <w:pStyle w:val="Compact"/>
              <w:jc w:val="right"/>
            </w:pPr>
            <w:r>
              <w:t xml:space="preserve">13783.81</w:t>
            </w:r>
          </w:p>
        </w:tc>
        <w:tc>
          <w:tcPr/>
          <w:p>
            <w:pPr>
              <w:pStyle w:val="Compact"/>
              <w:jc w:val="right"/>
            </w:pPr>
            <w:r>
              <w:t xml:space="preserve">13777.59</w:t>
            </w:r>
          </w:p>
        </w:tc>
        <w:tc>
          <w:tcPr/>
          <w:p>
            <w:pPr>
              <w:pStyle w:val="Compact"/>
              <w:jc w:val="right"/>
            </w:pPr>
            <w:r>
              <w:t xml:space="preserve">13812.43</w:t>
            </w:r>
          </w:p>
        </w:tc>
        <w:tc>
          <w:tcPr/>
          <w:p>
            <w:pPr>
              <w:pStyle w:val="Compact"/>
              <w:jc w:val="right"/>
            </w:pPr>
            <w:r>
              <w:t xml:space="preserve">13769.84</w:t>
            </w:r>
          </w:p>
        </w:tc>
        <w:tc>
          <w:tcPr/>
          <w:p>
            <w:pPr>
              <w:pStyle w:val="Compact"/>
              <w:jc w:val="right"/>
            </w:pPr>
            <w:r>
              <w:t xml:space="preserve">0.0005</w:t>
            </w:r>
          </w:p>
        </w:tc>
      </w:tr>
      <w:tr>
        <w:tc>
          <w:tcPr/>
          <w:p>
            <w:pPr>
              <w:pStyle w:val="Compact"/>
              <w:jc w:val="left"/>
            </w:pPr>
            <w:r>
              <w:t xml:space="preserve">2022-01-20</w:t>
            </w:r>
          </w:p>
        </w:tc>
        <w:tc>
          <w:tcPr/>
          <w:p>
            <w:pPr>
              <w:pStyle w:val="Compact"/>
              <w:jc w:val="right"/>
            </w:pPr>
            <w:r>
              <w:t xml:space="preserve">13777.59</w:t>
            </w:r>
          </w:p>
        </w:tc>
        <w:tc>
          <w:tcPr/>
          <w:p>
            <w:pPr>
              <w:pStyle w:val="Compact"/>
              <w:jc w:val="right"/>
            </w:pPr>
            <w:r>
              <w:t xml:space="preserve">13737.71</w:t>
            </w:r>
          </w:p>
        </w:tc>
        <w:tc>
          <w:tcPr/>
          <w:p>
            <w:pPr>
              <w:pStyle w:val="Compact"/>
              <w:jc w:val="right"/>
            </w:pPr>
            <w:r>
              <w:t xml:space="preserve">13814.82</w:t>
            </w:r>
          </w:p>
        </w:tc>
        <w:tc>
          <w:tcPr/>
          <w:p>
            <w:pPr>
              <w:pStyle w:val="Compact"/>
              <w:jc w:val="right"/>
            </w:pPr>
            <w:r>
              <w:t xml:space="preserve">13734.73</w:t>
            </w:r>
          </w:p>
        </w:tc>
        <w:tc>
          <w:tcPr/>
          <w:p>
            <w:pPr>
              <w:pStyle w:val="Compact"/>
              <w:jc w:val="right"/>
            </w:pPr>
            <w:r>
              <w:t xml:space="preserve">0.0029</w:t>
            </w:r>
          </w:p>
        </w:tc>
      </w:tr>
      <w:tr>
        <w:tc>
          <w:tcPr/>
          <w:p>
            <w:pPr>
              <w:pStyle w:val="Compact"/>
              <w:jc w:val="left"/>
            </w:pPr>
            <w:r>
              <w:t xml:space="preserve">2022-01-19</w:t>
            </w:r>
          </w:p>
        </w:tc>
        <w:tc>
          <w:tcPr/>
          <w:p>
            <w:pPr>
              <w:pStyle w:val="Compact"/>
              <w:jc w:val="right"/>
            </w:pPr>
            <w:r>
              <w:t xml:space="preserve">13737.71</w:t>
            </w:r>
          </w:p>
        </w:tc>
        <w:tc>
          <w:tcPr/>
          <w:p>
            <w:pPr>
              <w:pStyle w:val="Compact"/>
              <w:jc w:val="right"/>
            </w:pPr>
            <w:r>
              <w:t xml:space="preserve">13768.05</w:t>
            </w:r>
          </w:p>
        </w:tc>
        <w:tc>
          <w:tcPr/>
          <w:p>
            <w:pPr>
              <w:pStyle w:val="Compact"/>
              <w:jc w:val="right"/>
            </w:pPr>
            <w:r>
              <w:t xml:space="preserve">13817.94</w:t>
            </w:r>
          </w:p>
        </w:tc>
        <w:tc>
          <w:tcPr/>
          <w:p>
            <w:pPr>
              <w:pStyle w:val="Compact"/>
              <w:jc w:val="right"/>
            </w:pPr>
            <w:r>
              <w:t xml:space="preserve">13734.76</w:t>
            </w:r>
          </w:p>
        </w:tc>
        <w:tc>
          <w:tcPr/>
          <w:p>
            <w:pPr>
              <w:pStyle w:val="Compact"/>
              <w:jc w:val="right"/>
            </w:pPr>
            <w:r>
              <w:t xml:space="preserve">-0.0022</w:t>
            </w:r>
          </w:p>
        </w:tc>
      </w:tr>
      <w:tr>
        <w:tc>
          <w:tcPr/>
          <w:p>
            <w:pPr>
              <w:pStyle w:val="Compact"/>
              <w:jc w:val="left"/>
            </w:pPr>
            <w:r>
              <w:t xml:space="preserve">2022-01-18</w:t>
            </w:r>
          </w:p>
        </w:tc>
        <w:tc>
          <w:tcPr/>
          <w:p>
            <w:pPr>
              <w:pStyle w:val="Compact"/>
              <w:jc w:val="right"/>
            </w:pPr>
            <w:r>
              <w:t xml:space="preserve">13768.05</w:t>
            </w:r>
          </w:p>
        </w:tc>
        <w:tc>
          <w:tcPr/>
          <w:p>
            <w:pPr>
              <w:pStyle w:val="Compact"/>
              <w:jc w:val="right"/>
            </w:pPr>
            <w:r>
              <w:t xml:space="preserve">13770.78</w:t>
            </w:r>
          </w:p>
        </w:tc>
        <w:tc>
          <w:tcPr/>
          <w:p>
            <w:pPr>
              <w:pStyle w:val="Compact"/>
              <w:jc w:val="right"/>
            </w:pPr>
            <w:r>
              <w:t xml:space="preserve">13815.37</w:t>
            </w:r>
          </w:p>
        </w:tc>
        <w:tc>
          <w:tcPr/>
          <w:p>
            <w:pPr>
              <w:pStyle w:val="Compact"/>
              <w:jc w:val="right"/>
            </w:pPr>
            <w:r>
              <w:t xml:space="preserve">13767.98</w:t>
            </w:r>
          </w:p>
        </w:tc>
        <w:tc>
          <w:tcPr/>
          <w:p>
            <w:pPr>
              <w:pStyle w:val="Compact"/>
              <w:jc w:val="right"/>
            </w:pPr>
            <w:r>
              <w:t xml:space="preserve">-0.0002</w:t>
            </w:r>
          </w:p>
        </w:tc>
      </w:tr>
      <w:tr>
        <w:tc>
          <w:tcPr/>
          <w:p>
            <w:pPr>
              <w:pStyle w:val="Compact"/>
              <w:jc w:val="left"/>
            </w:pPr>
            <w:r>
              <w:t xml:space="preserve">2022-01-17</w:t>
            </w:r>
          </w:p>
        </w:tc>
        <w:tc>
          <w:tcPr/>
          <w:p>
            <w:pPr>
              <w:pStyle w:val="Compact"/>
              <w:jc w:val="right"/>
            </w:pPr>
            <w:r>
              <w:t xml:space="preserve">13770.78</w:t>
            </w:r>
          </w:p>
        </w:tc>
        <w:tc>
          <w:tcPr/>
          <w:p>
            <w:pPr>
              <w:pStyle w:val="Compact"/>
              <w:jc w:val="right"/>
            </w:pPr>
            <w:r>
              <w:t xml:space="preserve">13784.31</w:t>
            </w:r>
          </w:p>
        </w:tc>
        <w:tc>
          <w:tcPr/>
          <w:p>
            <w:pPr>
              <w:pStyle w:val="Compact"/>
              <w:jc w:val="right"/>
            </w:pPr>
            <w:r>
              <w:t xml:space="preserve">13784.31</w:t>
            </w:r>
          </w:p>
        </w:tc>
        <w:tc>
          <w:tcPr/>
          <w:p>
            <w:pPr>
              <w:pStyle w:val="Compact"/>
              <w:jc w:val="right"/>
            </w:pPr>
            <w:r>
              <w:t xml:space="preserve">13748.24</w:t>
            </w:r>
          </w:p>
        </w:tc>
        <w:tc>
          <w:tcPr/>
          <w:p>
            <w:pPr>
              <w:pStyle w:val="Compact"/>
              <w:jc w:val="right"/>
            </w:pPr>
            <w:r>
              <w:t xml:space="preserve">-0.0010</w:t>
            </w:r>
          </w:p>
        </w:tc>
      </w:tr>
      <w:tr>
        <w:tc>
          <w:tcPr/>
          <w:p>
            <w:pPr>
              <w:pStyle w:val="Compact"/>
              <w:jc w:val="left"/>
            </w:pPr>
            <w:r>
              <w:t xml:space="preserve">2022-01-14</w:t>
            </w:r>
          </w:p>
        </w:tc>
        <w:tc>
          <w:tcPr/>
          <w:p>
            <w:pPr>
              <w:pStyle w:val="Compact"/>
              <w:jc w:val="right"/>
            </w:pPr>
            <w:r>
              <w:t xml:space="preserve">13784.31</w:t>
            </w:r>
          </w:p>
        </w:tc>
        <w:tc>
          <w:tcPr/>
          <w:p>
            <w:pPr>
              <w:pStyle w:val="Compact"/>
              <w:jc w:val="right"/>
            </w:pPr>
            <w:r>
              <w:t xml:space="preserve">13588.24</w:t>
            </w:r>
          </w:p>
        </w:tc>
        <w:tc>
          <w:tcPr/>
          <w:p>
            <w:pPr>
              <w:pStyle w:val="Compact"/>
              <w:jc w:val="right"/>
            </w:pPr>
            <w:r>
              <w:t xml:space="preserve">13784.72</w:t>
            </w:r>
          </w:p>
        </w:tc>
        <w:tc>
          <w:tcPr/>
          <w:p>
            <w:pPr>
              <w:pStyle w:val="Compact"/>
              <w:jc w:val="right"/>
            </w:pPr>
            <w:r>
              <w:t xml:space="preserve">13551.04</w:t>
            </w:r>
          </w:p>
        </w:tc>
        <w:tc>
          <w:tcPr/>
          <w:p>
            <w:pPr>
              <w:pStyle w:val="Compact"/>
              <w:jc w:val="right"/>
            </w:pPr>
            <w:r>
              <w:t xml:space="preserve">0.0144</w:t>
            </w:r>
          </w:p>
        </w:tc>
      </w:tr>
      <w:tr>
        <w:tc>
          <w:tcPr/>
          <w:p>
            <w:pPr>
              <w:pStyle w:val="Compact"/>
              <w:jc w:val="left"/>
            </w:pPr>
            <w:r>
              <w:t xml:space="preserve">2022-01-13</w:t>
            </w:r>
          </w:p>
        </w:tc>
        <w:tc>
          <w:tcPr/>
          <w:p>
            <w:pPr>
              <w:pStyle w:val="Compact"/>
              <w:jc w:val="right"/>
            </w:pPr>
            <w:r>
              <w:t xml:space="preserve">13588.24</w:t>
            </w:r>
          </w:p>
        </w:tc>
        <w:tc>
          <w:tcPr/>
          <w:p>
            <w:pPr>
              <w:pStyle w:val="Compact"/>
              <w:jc w:val="right"/>
            </w:pPr>
            <w:r>
              <w:t xml:space="preserve">13531.26</w:t>
            </w:r>
          </w:p>
        </w:tc>
        <w:tc>
          <w:tcPr/>
          <w:p>
            <w:pPr>
              <w:pStyle w:val="Compact"/>
              <w:jc w:val="right"/>
            </w:pPr>
            <w:r>
              <w:t xml:space="preserve">13588.24</w:t>
            </w:r>
          </w:p>
        </w:tc>
        <w:tc>
          <w:tcPr/>
          <w:p>
            <w:pPr>
              <w:pStyle w:val="Compact"/>
              <w:jc w:val="right"/>
            </w:pPr>
            <w:r>
              <w:t xml:space="preserve">13506.23</w:t>
            </w:r>
          </w:p>
        </w:tc>
        <w:tc>
          <w:tcPr/>
          <w:p>
            <w:pPr>
              <w:pStyle w:val="Compact"/>
              <w:jc w:val="right"/>
            </w:pPr>
            <w:r>
              <w:t xml:space="preserve">0.0042</w:t>
            </w:r>
          </w:p>
        </w:tc>
      </w:tr>
      <w:tr>
        <w:tc>
          <w:tcPr/>
          <w:p>
            <w:pPr>
              <w:pStyle w:val="Compact"/>
              <w:jc w:val="left"/>
            </w:pPr>
            <w:r>
              <w:t xml:space="preserve">2022-01-12</w:t>
            </w:r>
          </w:p>
        </w:tc>
        <w:tc>
          <w:tcPr/>
          <w:p>
            <w:pPr>
              <w:pStyle w:val="Compact"/>
              <w:jc w:val="right"/>
            </w:pPr>
            <w:r>
              <w:t xml:space="preserve">13531.26</w:t>
            </w:r>
          </w:p>
        </w:tc>
        <w:tc>
          <w:tcPr/>
          <w:p>
            <w:pPr>
              <w:pStyle w:val="Compact"/>
              <w:jc w:val="right"/>
            </w:pPr>
            <w:r>
              <w:t xml:space="preserve">13486.31</w:t>
            </w:r>
          </w:p>
        </w:tc>
        <w:tc>
          <w:tcPr/>
          <w:p>
            <w:pPr>
              <w:pStyle w:val="Compact"/>
              <w:jc w:val="right"/>
            </w:pPr>
            <w:r>
              <w:t xml:space="preserve">13532.13</w:t>
            </w:r>
          </w:p>
        </w:tc>
        <w:tc>
          <w:tcPr/>
          <w:p>
            <w:pPr>
              <w:pStyle w:val="Compact"/>
              <w:jc w:val="right"/>
            </w:pPr>
            <w:r>
              <w:t xml:space="preserve">13481.22</w:t>
            </w:r>
          </w:p>
        </w:tc>
        <w:tc>
          <w:tcPr/>
          <w:p>
            <w:pPr>
              <w:pStyle w:val="Compact"/>
              <w:jc w:val="right"/>
            </w:pPr>
            <w:r>
              <w:t xml:space="preserve">0.0033</w:t>
            </w:r>
          </w:p>
        </w:tc>
      </w:tr>
      <w:tr>
        <w:tc>
          <w:tcPr/>
          <w:p>
            <w:pPr>
              <w:pStyle w:val="Compact"/>
              <w:jc w:val="left"/>
            </w:pPr>
            <w:r>
              <w:t xml:space="preserve">2022-01-10</w:t>
            </w:r>
          </w:p>
        </w:tc>
        <w:tc>
          <w:tcPr/>
          <w:p>
            <w:pPr>
              <w:pStyle w:val="Compact"/>
              <w:jc w:val="right"/>
            </w:pPr>
            <w:r>
              <w:t xml:space="preserve">13486.31</w:t>
            </w:r>
          </w:p>
        </w:tc>
        <w:tc>
          <w:tcPr/>
          <w:p>
            <w:pPr>
              <w:pStyle w:val="Compact"/>
              <w:jc w:val="right"/>
            </w:pPr>
            <w:r>
              <w:t xml:space="preserve">13477.25</w:t>
            </w:r>
          </w:p>
        </w:tc>
        <w:tc>
          <w:tcPr/>
          <w:p>
            <w:pPr>
              <w:pStyle w:val="Compact"/>
              <w:jc w:val="right"/>
            </w:pPr>
            <w:r>
              <w:t xml:space="preserve">13503.15</w:t>
            </w:r>
          </w:p>
        </w:tc>
        <w:tc>
          <w:tcPr/>
          <w:p>
            <w:pPr>
              <w:pStyle w:val="Compact"/>
              <w:jc w:val="right"/>
            </w:pPr>
            <w:r>
              <w:t xml:space="preserve">13441.78</w:t>
            </w:r>
          </w:p>
        </w:tc>
        <w:tc>
          <w:tcPr/>
          <w:p>
            <w:pPr>
              <w:pStyle w:val="Compact"/>
              <w:jc w:val="right"/>
            </w:pPr>
            <w:r>
              <w:t xml:space="preserve">0.0007</w:t>
            </w:r>
          </w:p>
        </w:tc>
      </w:tr>
      <w:tr>
        <w:tc>
          <w:tcPr/>
          <w:p>
            <w:pPr>
              <w:pStyle w:val="Compact"/>
              <w:jc w:val="left"/>
            </w:pPr>
            <w:r>
              <w:t xml:space="preserve">2022-01-07</w:t>
            </w:r>
          </w:p>
        </w:tc>
        <w:tc>
          <w:tcPr/>
          <w:p>
            <w:pPr>
              <w:pStyle w:val="Compact"/>
              <w:jc w:val="right"/>
            </w:pPr>
            <w:r>
              <w:t xml:space="preserve">13477.25</w:t>
            </w:r>
          </w:p>
        </w:tc>
        <w:tc>
          <w:tcPr/>
          <w:p>
            <w:pPr>
              <w:pStyle w:val="Compact"/>
              <w:jc w:val="right"/>
            </w:pPr>
            <w:r>
              <w:t xml:space="preserve">13368.77</w:t>
            </w:r>
          </w:p>
        </w:tc>
        <w:tc>
          <w:tcPr/>
          <w:p>
            <w:pPr>
              <w:pStyle w:val="Compact"/>
              <w:jc w:val="right"/>
            </w:pPr>
            <w:r>
              <w:t xml:space="preserve">13477.25</w:t>
            </w:r>
          </w:p>
        </w:tc>
        <w:tc>
          <w:tcPr/>
          <w:p>
            <w:pPr>
              <w:pStyle w:val="Compact"/>
              <w:jc w:val="right"/>
            </w:pPr>
            <w:r>
              <w:t xml:space="preserve">13335.97</w:t>
            </w:r>
          </w:p>
        </w:tc>
        <w:tc>
          <w:tcPr/>
          <w:p>
            <w:pPr>
              <w:pStyle w:val="Compact"/>
              <w:jc w:val="right"/>
            </w:pPr>
            <w:r>
              <w:t xml:space="preserve">0.0081</w:t>
            </w:r>
          </w:p>
        </w:tc>
      </w:tr>
      <w:tr>
        <w:tc>
          <w:tcPr/>
          <w:p>
            <w:pPr>
              <w:pStyle w:val="Compact"/>
              <w:jc w:val="left"/>
            </w:pPr>
            <w:r>
              <w:t xml:space="preserve">2022-01-06</w:t>
            </w:r>
          </w:p>
        </w:tc>
        <w:tc>
          <w:tcPr/>
          <w:p>
            <w:pPr>
              <w:pStyle w:val="Compact"/>
              <w:jc w:val="right"/>
            </w:pPr>
            <w:r>
              <w:t xml:space="preserve">13368.77</w:t>
            </w:r>
          </w:p>
        </w:tc>
        <w:tc>
          <w:tcPr/>
          <w:p>
            <w:pPr>
              <w:pStyle w:val="Compact"/>
              <w:jc w:val="right"/>
            </w:pPr>
            <w:r>
              <w:t xml:space="preserve">13290.62</w:t>
            </w:r>
          </w:p>
        </w:tc>
        <w:tc>
          <w:tcPr/>
          <w:p>
            <w:pPr>
              <w:pStyle w:val="Compact"/>
              <w:jc w:val="right"/>
            </w:pPr>
            <w:r>
              <w:t xml:space="preserve">13369.02</w:t>
            </w:r>
          </w:p>
        </w:tc>
        <w:tc>
          <w:tcPr/>
          <w:p>
            <w:pPr>
              <w:pStyle w:val="Compact"/>
              <w:jc w:val="right"/>
            </w:pPr>
            <w:r>
              <w:t xml:space="preserve">13290.62</w:t>
            </w:r>
          </w:p>
        </w:tc>
        <w:tc>
          <w:tcPr/>
          <w:p>
            <w:pPr>
              <w:pStyle w:val="Compact"/>
              <w:jc w:val="right"/>
            </w:pPr>
            <w:r>
              <w:t xml:space="preserve">0.0059</w:t>
            </w:r>
          </w:p>
        </w:tc>
      </w:tr>
      <w:tr>
        <w:tc>
          <w:tcPr/>
          <w:p>
            <w:pPr>
              <w:pStyle w:val="Compact"/>
              <w:jc w:val="left"/>
            </w:pPr>
            <w:r>
              <w:t xml:space="preserve">2022-01-05</w:t>
            </w:r>
          </w:p>
        </w:tc>
        <w:tc>
          <w:tcPr/>
          <w:p>
            <w:pPr>
              <w:pStyle w:val="Compact"/>
              <w:jc w:val="right"/>
            </w:pPr>
            <w:r>
              <w:t xml:space="preserve">13290.62</w:t>
            </w:r>
          </w:p>
        </w:tc>
        <w:tc>
          <w:tcPr/>
          <w:p>
            <w:pPr>
              <w:pStyle w:val="Compact"/>
              <w:jc w:val="right"/>
            </w:pPr>
            <w:r>
              <w:t xml:space="preserve">13278.48</w:t>
            </w:r>
          </w:p>
        </w:tc>
        <w:tc>
          <w:tcPr/>
          <w:p>
            <w:pPr>
              <w:pStyle w:val="Compact"/>
              <w:jc w:val="right"/>
            </w:pPr>
            <w:r>
              <w:t xml:space="preserve">13306.00</w:t>
            </w:r>
          </w:p>
        </w:tc>
        <w:tc>
          <w:tcPr/>
          <w:p>
            <w:pPr>
              <w:pStyle w:val="Compact"/>
              <w:jc w:val="right"/>
            </w:pPr>
            <w:r>
              <w:t xml:space="preserve">13269.36</w:t>
            </w:r>
          </w:p>
        </w:tc>
        <w:tc>
          <w:tcPr/>
          <w:p>
            <w:pPr>
              <w:pStyle w:val="Compact"/>
              <w:jc w:val="right"/>
            </w:pPr>
            <w:r>
              <w:t xml:space="preserve">0.0009</w:t>
            </w:r>
          </w:p>
        </w:tc>
      </w:tr>
      <w:tr>
        <w:tc>
          <w:tcPr/>
          <w:p>
            <w:pPr>
              <w:pStyle w:val="Compact"/>
              <w:jc w:val="left"/>
            </w:pPr>
            <w:r>
              <w:t xml:space="preserve">2022-01-04</w:t>
            </w:r>
          </w:p>
        </w:tc>
        <w:tc>
          <w:tcPr/>
          <w:p>
            <w:pPr>
              <w:pStyle w:val="Compact"/>
              <w:jc w:val="right"/>
            </w:pPr>
            <w:r>
              <w:t xml:space="preserve">13278.48</w:t>
            </w:r>
          </w:p>
        </w:tc>
        <w:tc>
          <w:tcPr/>
          <w:p>
            <w:pPr>
              <w:pStyle w:val="Compact"/>
              <w:jc w:val="right"/>
            </w:pPr>
            <w:r>
              <w:t xml:space="preserve">13296.29</w:t>
            </w:r>
          </w:p>
        </w:tc>
        <w:tc>
          <w:tcPr/>
          <w:p>
            <w:pPr>
              <w:pStyle w:val="Compact"/>
              <w:jc w:val="right"/>
            </w:pPr>
            <w:r>
              <w:t xml:space="preserve">13328.50</w:t>
            </w:r>
          </w:p>
        </w:tc>
        <w:tc>
          <w:tcPr/>
          <w:p>
            <w:pPr>
              <w:pStyle w:val="Compact"/>
              <w:jc w:val="right"/>
            </w:pPr>
            <w:r>
              <w:t xml:space="preserve">13278.48</w:t>
            </w:r>
          </w:p>
        </w:tc>
        <w:tc>
          <w:tcPr/>
          <w:p>
            <w:pPr>
              <w:pStyle w:val="Compact"/>
              <w:jc w:val="right"/>
            </w:pPr>
            <w:r>
              <w:t xml:space="preserve">-0.0013</w:t>
            </w:r>
          </w:p>
        </w:tc>
      </w:tr>
      <w:tr>
        <w:tc>
          <w:tcPr/>
          <w:p>
            <w:pPr>
              <w:pStyle w:val="Compact"/>
              <w:jc w:val="left"/>
            </w:pPr>
            <w:r>
              <w:t xml:space="preserve">2022-01-03</w:t>
            </w:r>
          </w:p>
        </w:tc>
        <w:tc>
          <w:tcPr/>
          <w:p>
            <w:pPr>
              <w:pStyle w:val="Compact"/>
              <w:jc w:val="right"/>
            </w:pPr>
            <w:r>
              <w:t xml:space="preserve">13296.29</w:t>
            </w:r>
          </w:p>
        </w:tc>
        <w:tc>
          <w:tcPr/>
          <w:p>
            <w:pPr>
              <w:pStyle w:val="Compact"/>
              <w:jc w:val="right"/>
            </w:pPr>
            <w:r>
              <w:t xml:space="preserve">13358.32</w:t>
            </w:r>
          </w:p>
        </w:tc>
        <w:tc>
          <w:tcPr/>
          <w:p>
            <w:pPr>
              <w:pStyle w:val="Compact"/>
              <w:jc w:val="right"/>
            </w:pPr>
            <w:r>
              <w:t xml:space="preserve">13363.06</w:t>
            </w:r>
          </w:p>
        </w:tc>
        <w:tc>
          <w:tcPr/>
          <w:p>
            <w:pPr>
              <w:pStyle w:val="Compact"/>
              <w:jc w:val="right"/>
            </w:pPr>
            <w:r>
              <w:t xml:space="preserve">13277.80</w:t>
            </w:r>
          </w:p>
        </w:tc>
        <w:tc>
          <w:tcPr/>
          <w:p>
            <w:pPr>
              <w:pStyle w:val="Compact"/>
              <w:jc w:val="right"/>
            </w:pPr>
            <w:r>
              <w:t xml:space="preserve">-0.0046</w:t>
            </w:r>
          </w:p>
        </w:tc>
      </w:tr>
    </w:tbl>
    <w:p>
      <w:pPr>
        <w:pStyle w:val="BodyText"/>
      </w:pPr>
      <w:r>
        <w:t xml:space="preserve">La figure suivante donne un aperçu de Dernier cours de cet indice entre les années 2002 et 2022.</w:t>
      </w:r>
    </w:p>
    <w:tbl>
      <w:tblPr>
        <w:tblStyle w:val="Table"/>
        <w:tblW w:type="pct" w:w="5000"/>
        <w:tblLook w:firstRow="0" w:lastRow="0" w:firstColumn="0" w:lastColumn="0" w:noHBand="0" w:noVBand="0" w:val="0000"/>
      </w:tblPr>
      <w:tblGrid>
        <w:gridCol w:w="7920"/>
      </w:tblGrid>
      <w:tr>
        <w:tc>
          <w:tcPr/>
          <w:bookmarkStart w:id="62" w:name="fig-piliers"/>
          <w:p>
            <w:pPr>
              <w:pStyle w:val="Figure"/>
              <w:jc w:val="center"/>
            </w:pPr>
            <w:r>
              <w:drawing>
                <wp:inline>
                  <wp:extent cx="5334000" cy="3627782"/>
                  <wp:effectExtent b="0" l="0" r="0" t="0"/>
                  <wp:docPr descr="" title="" id="60" name="Picture"/>
                  <a:graphic>
                    <a:graphicData uri="http://schemas.openxmlformats.org/drawingml/2006/picture">
                      <pic:pic>
                        <pic:nvPicPr>
                          <pic:cNvPr descr="Rapport-PFE_files/figure-html/Derniere.png" id="61" name="Picture"/>
                          <pic:cNvPicPr>
                            <a:picLocks noChangeArrowheads="1" noChangeAspect="1"/>
                          </pic:cNvPicPr>
                        </pic:nvPicPr>
                        <pic:blipFill>
                          <a:blip r:embed="rId59"/>
                          <a:stretch>
                            <a:fillRect/>
                          </a:stretch>
                        </pic:blipFill>
                        <pic:spPr bwMode="auto">
                          <a:xfrm>
                            <a:off x="0" y="0"/>
                            <a:ext cx="5334000" cy="36277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Le cours Historiques de Clôture pour l’indice MASI</w:t>
            </w:r>
          </w:p>
          <w:bookmarkEnd w:id="62"/>
        </w:tc>
      </w:tr>
    </w:tbl>
    <w:p>
      <w:pPr>
        <w:pStyle w:val="BodyText"/>
      </w:pPr>
      <w:r>
        <w:t xml:space="preserve">Les réseaux de neurones récurrents sont réputés être plus performants comparer aux autres méthodes. Ainsi, il est tout naturelle de s’attendre à un excellent score lord d’une application du modèle LSTM, nous allons voir plus de détails sur la méthode de ce modèle sur le langage python la section Application</w:t>
      </w:r>
      <w:r>
        <w:rPr>
          <w:rStyle w:val="FootnoteReference"/>
        </w:rPr>
        <w:footnoteReference w:id="63"/>
      </w:r>
      <w:r>
        <w:t xml:space="preserve">.</w:t>
      </w:r>
    </w:p>
    <w:p>
      <w:pPr>
        <w:pStyle w:val="BodyText"/>
      </w:pPr>
      <w:r>
        <w:t xml:space="preserve">Le graphique suivant est une représentation conjointe du dernier cours observe (en bleu) et le cours prédit (en orange) sur la même période.</w:t>
      </w:r>
    </w:p>
    <w:tbl>
      <w:tblPr>
        <w:tblStyle w:val="Table"/>
        <w:tblW w:type="pct" w:w="5000"/>
        <w:tblLook w:firstRow="0" w:lastRow="0" w:firstColumn="0" w:lastColumn="0" w:noHBand="0" w:noVBand="0" w:val="0000"/>
      </w:tblPr>
      <w:tblGrid>
        <w:gridCol w:w="7920"/>
      </w:tblGrid>
      <w:tr>
        <w:tc>
          <w:tcPr/>
          <w:bookmarkStart w:id="68" w:name="fig-piliers"/>
          <w:p>
            <w:pPr>
              <w:pStyle w:val="Figure"/>
              <w:jc w:val="center"/>
            </w:pPr>
            <w:r>
              <w:drawing>
                <wp:inline>
                  <wp:extent cx="5334000" cy="3765683"/>
                  <wp:effectExtent b="0" l="0" r="0" t="0"/>
                  <wp:docPr descr="" title="" id="66" name="Picture"/>
                  <a:graphic>
                    <a:graphicData uri="http://schemas.openxmlformats.org/drawingml/2006/picture">
                      <pic:pic>
                        <pic:nvPicPr>
                          <pic:cNvPr descr="Rapport-PFE_files/figure-html/Prediction.png" id="67" name="Picture"/>
                          <pic:cNvPicPr>
                            <a:picLocks noChangeArrowheads="1" noChangeAspect="1"/>
                          </pic:cNvPicPr>
                        </pic:nvPicPr>
                        <pic:blipFill>
                          <a:blip r:embed="rId65"/>
                          <a:stretch>
                            <a:fillRect/>
                          </a:stretch>
                        </pic:blipFill>
                        <pic:spPr bwMode="auto">
                          <a:xfrm>
                            <a:off x="0" y="0"/>
                            <a:ext cx="5334000" cy="3765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Courbe de cours prédit et de cours observé</w:t>
            </w:r>
          </w:p>
          <w:bookmarkEnd w:id="68"/>
        </w:tc>
      </w:tr>
    </w:tbl>
    <w:p>
      <w:pPr>
        <w:pStyle w:val="BodyText"/>
      </w:pPr>
      <w:r>
        <w:t xml:space="preserve">Une remarque flagrante est que les deux courbes sont presque confondus, ce constat s’explique par la faiblesse de la valeur de RMSE qui veut 29,44.</w:t>
      </w:r>
    </w:p>
    <w:p>
      <w:pPr>
        <w:pStyle w:val="BodyText"/>
      </w:pPr>
      <w:r>
        <w:t xml:space="preserve">La racine de l’erreur quadratique moyenne (en anglais, root-mean-square error ou RMSE) est une mesure de l’écart type des résidus, ça veut dire il mesure la différence entre les valeurs prédites par le modèle et les valeurs observées.</w:t>
      </w:r>
      <w:r>
        <w:t xml:space="preserve"> </w:t>
      </w:r>
      <w:r>
        <w:t xml:space="preserve">Tous ces raisons, prouve l’efficacité du modèle LSTM comparé à celui de Black&amp;sholes.</w:t>
      </w:r>
    </w:p>
    <w:bookmarkEnd w:id="69"/>
    <w:bookmarkEnd w:id="70"/>
    <w:bookmarkEnd w:id="71"/>
    <w:bookmarkStart w:id="81" w:name="X07868ea8b9ac752e9889fc2a9eede4b2fc4d338"/>
    <w:p>
      <w:pPr>
        <w:pStyle w:val="Heading2"/>
      </w:pPr>
      <w:r>
        <w:t xml:space="preserve">6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72">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73"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13/01/2023</w:t>
            </w:r>
          </w:p>
        </w:tc>
        <w:tc>
          <w:tcPr/>
          <w:p>
            <w:pPr>
              <w:pStyle w:val="Compact"/>
              <w:jc w:val="left"/>
            </w:pPr>
            <w:r>
              <w:t xml:space="preserve">322,40</w:t>
            </w:r>
          </w:p>
        </w:tc>
        <w:tc>
          <w:tcPr/>
          <w:p>
            <w:pPr>
              <w:pStyle w:val="Compact"/>
              <w:jc w:val="right"/>
            </w:pPr>
            <w:r>
              <w:t xml:space="preserve">0.02948</w:t>
            </w:r>
          </w:p>
        </w:tc>
        <w:tc>
          <w:tcPr/>
          <w:p>
            <w:pPr>
              <w:pStyle w:val="Compact"/>
              <w:jc w:val="left"/>
            </w:pPr>
            <w:r>
              <w:t xml:space="preserve">2,948 %</w:t>
            </w:r>
          </w:p>
        </w:tc>
        <w:tc>
          <w:tcPr/>
          <w:p>
            <w:pPr>
              <w:pStyle w:val="Compact"/>
              <w:jc w:val="left"/>
            </w:pPr>
            <w:r>
              <w:t xml:space="preserve">30/12/2022</w:t>
            </w:r>
          </w:p>
        </w:tc>
        <w:tc>
          <w:tcPr/>
          <w:p>
            <w:pPr>
              <w:pStyle w:val="Compact"/>
              <w:jc w:val="right"/>
            </w:pPr>
            <w:r>
              <w:t xml:space="preserve">0.039</w:t>
            </w:r>
          </w:p>
        </w:tc>
      </w:tr>
      <w:tr>
        <w:tc>
          <w:tcPr/>
          <w:p>
            <w:pPr>
              <w:pStyle w:val="Compact"/>
              <w:jc w:val="left"/>
            </w:pPr>
            <w:r>
              <w:t xml:space="preserve">23/01/2023</w:t>
            </w:r>
          </w:p>
        </w:tc>
        <w:tc>
          <w:tcPr/>
          <w:p>
            <w:pPr>
              <w:pStyle w:val="Compact"/>
              <w:jc w:val="left"/>
            </w:pPr>
            <w:r>
              <w:t xml:space="preserve">120,47</w:t>
            </w:r>
          </w:p>
        </w:tc>
        <w:tc>
          <w:tcPr/>
          <w:p>
            <w:pPr>
              <w:pStyle w:val="Compact"/>
              <w:jc w:val="right"/>
            </w:pPr>
            <w:r>
              <w:t xml:space="preserve">0.02930</w:t>
            </w:r>
          </w:p>
        </w:tc>
        <w:tc>
          <w:tcPr/>
          <w:p>
            <w:pPr>
              <w:pStyle w:val="Compact"/>
              <w:jc w:val="left"/>
            </w:pPr>
            <w:r>
              <w:t xml:space="preserve">2,930 %</w:t>
            </w:r>
          </w:p>
        </w:tc>
        <w:tc>
          <w:tcPr/>
          <w:p>
            <w:pPr>
              <w:pStyle w:val="Compact"/>
              <w:jc w:val="left"/>
            </w:pPr>
            <w:r>
              <w:t xml:space="preserve">30/12/2022</w:t>
            </w:r>
          </w:p>
        </w:tc>
        <w:tc>
          <w:tcPr/>
          <w:p>
            <w:pPr>
              <w:pStyle w:val="Compact"/>
              <w:jc w:val="right"/>
            </w:pPr>
            <w:r>
              <w:t xml:space="preserve">0.067</w:t>
            </w:r>
          </w:p>
        </w:tc>
      </w:tr>
      <w:tr>
        <w:tc>
          <w:tcPr/>
          <w:p>
            <w:pPr>
              <w:pStyle w:val="Compact"/>
              <w:jc w:val="left"/>
            </w:pPr>
            <w:r>
              <w:t xml:space="preserve">06/03/2023</w:t>
            </w:r>
          </w:p>
        </w:tc>
        <w:tc>
          <w:tcPr/>
          <w:p>
            <w:pPr>
              <w:pStyle w:val="Compact"/>
              <w:jc w:val="left"/>
            </w:pPr>
            <w:r>
              <w:t xml:space="preserve">30,15</w:t>
            </w:r>
          </w:p>
        </w:tc>
        <w:tc>
          <w:tcPr/>
          <w:p>
            <w:pPr>
              <w:pStyle w:val="Compact"/>
              <w:jc w:val="right"/>
            </w:pPr>
            <w:r>
              <w:t xml:space="preserve">0.02942</w:t>
            </w:r>
          </w:p>
        </w:tc>
        <w:tc>
          <w:tcPr/>
          <w:p>
            <w:pPr>
              <w:pStyle w:val="Compact"/>
              <w:jc w:val="left"/>
            </w:pPr>
            <w:r>
              <w:t xml:space="preserve">2,942 %</w:t>
            </w:r>
          </w:p>
        </w:tc>
        <w:tc>
          <w:tcPr/>
          <w:p>
            <w:pPr>
              <w:pStyle w:val="Compact"/>
              <w:jc w:val="left"/>
            </w:pPr>
            <w:r>
              <w:t xml:space="preserve">30/12/2022</w:t>
            </w:r>
          </w:p>
        </w:tc>
        <w:tc>
          <w:tcPr/>
          <w:p>
            <w:pPr>
              <w:pStyle w:val="Compact"/>
              <w:jc w:val="right"/>
            </w:pPr>
            <w:r>
              <w:t xml:space="preserve">0.183</w:t>
            </w:r>
          </w:p>
        </w:tc>
      </w:tr>
      <w:tr>
        <w:tc>
          <w:tcPr/>
          <w:p>
            <w:pPr>
              <w:pStyle w:val="Compact"/>
              <w:jc w:val="left"/>
            </w:pPr>
            <w:r>
              <w:t xml:space="preserve">22/05/2023</w:t>
            </w:r>
          </w:p>
        </w:tc>
        <w:tc>
          <w:tcPr/>
          <w:p>
            <w:pPr>
              <w:pStyle w:val="Compact"/>
              <w:jc w:val="left"/>
            </w:pPr>
            <w:r>
              <w:t xml:space="preserve">168,01</w:t>
            </w:r>
          </w:p>
        </w:tc>
        <w:tc>
          <w:tcPr/>
          <w:p>
            <w:pPr>
              <w:pStyle w:val="Compact"/>
              <w:jc w:val="right"/>
            </w:pPr>
            <w:r>
              <w:t xml:space="preserve">0.03172</w:t>
            </w:r>
          </w:p>
        </w:tc>
        <w:tc>
          <w:tcPr/>
          <w:p>
            <w:pPr>
              <w:pStyle w:val="Compact"/>
              <w:jc w:val="left"/>
            </w:pPr>
            <w:r>
              <w:t xml:space="preserve">3,172 %</w:t>
            </w:r>
          </w:p>
        </w:tc>
        <w:tc>
          <w:tcPr/>
          <w:p>
            <w:pPr>
              <w:pStyle w:val="Compact"/>
              <w:jc w:val="left"/>
            </w:pPr>
            <w:r>
              <w:t xml:space="preserve">30/12/2022</w:t>
            </w:r>
          </w:p>
        </w:tc>
        <w:tc>
          <w:tcPr/>
          <w:p>
            <w:pPr>
              <w:pStyle w:val="Compact"/>
              <w:jc w:val="right"/>
            </w:pPr>
            <w:r>
              <w:t xml:space="preserve">0.397</w:t>
            </w:r>
          </w:p>
        </w:tc>
      </w:tr>
      <w:tr>
        <w:tc>
          <w:tcPr/>
          <w:p>
            <w:pPr>
              <w:pStyle w:val="Compact"/>
              <w:jc w:val="left"/>
            </w:pPr>
            <w:r>
              <w:t xml:space="preserve">19/06/2023</w:t>
            </w:r>
          </w:p>
        </w:tc>
        <w:tc>
          <w:tcPr/>
          <w:p>
            <w:pPr>
              <w:pStyle w:val="Compact"/>
              <w:jc w:val="left"/>
            </w:pPr>
            <w:r>
              <w:t xml:space="preserve">829,46</w:t>
            </w:r>
          </w:p>
        </w:tc>
        <w:tc>
          <w:tcPr/>
          <w:p>
            <w:pPr>
              <w:pStyle w:val="Compact"/>
              <w:jc w:val="right"/>
            </w:pPr>
            <w:r>
              <w:t xml:space="preserve">0.03008</w:t>
            </w:r>
          </w:p>
        </w:tc>
        <w:tc>
          <w:tcPr/>
          <w:p>
            <w:pPr>
              <w:pStyle w:val="Compact"/>
              <w:jc w:val="left"/>
            </w:pPr>
            <w:r>
              <w:t xml:space="preserve">3,008 %</w:t>
            </w:r>
          </w:p>
        </w:tc>
        <w:tc>
          <w:tcPr/>
          <w:p>
            <w:pPr>
              <w:pStyle w:val="Compact"/>
              <w:jc w:val="left"/>
            </w:pPr>
            <w:r>
              <w:t xml:space="preserve">30/12/2022</w:t>
            </w:r>
          </w:p>
        </w:tc>
        <w:tc>
          <w:tcPr/>
          <w:p>
            <w:pPr>
              <w:pStyle w:val="Compact"/>
              <w:jc w:val="right"/>
            </w:pPr>
            <w:r>
              <w:t xml:space="preserve">0.475</w:t>
            </w:r>
          </w:p>
        </w:tc>
      </w:tr>
      <w:tr>
        <w:tc>
          <w:tcPr/>
          <w:p>
            <w:pPr>
              <w:pStyle w:val="Compact"/>
              <w:jc w:val="left"/>
            </w:pPr>
            <w:r>
              <w:t xml:space="preserve">17/07/2023</w:t>
            </w:r>
          </w:p>
        </w:tc>
        <w:tc>
          <w:tcPr/>
          <w:p>
            <w:pPr>
              <w:pStyle w:val="Compact"/>
              <w:jc w:val="left"/>
            </w:pPr>
            <w:r>
              <w:t xml:space="preserve">210,28</w:t>
            </w:r>
          </w:p>
        </w:tc>
        <w:tc>
          <w:tcPr/>
          <w:p>
            <w:pPr>
              <w:pStyle w:val="Compact"/>
              <w:jc w:val="right"/>
            </w:pPr>
            <w:r>
              <w:t xml:space="preserve">0.03002</w:t>
            </w:r>
          </w:p>
        </w:tc>
        <w:tc>
          <w:tcPr/>
          <w:p>
            <w:pPr>
              <w:pStyle w:val="Compact"/>
              <w:jc w:val="left"/>
            </w:pPr>
            <w:r>
              <w:t xml:space="preserve">3,002 %</w:t>
            </w:r>
          </w:p>
        </w:tc>
        <w:tc>
          <w:tcPr/>
          <w:p>
            <w:pPr>
              <w:pStyle w:val="Compact"/>
              <w:jc w:val="left"/>
            </w:pPr>
            <w:r>
              <w:t xml:space="preserve">30/12/2022</w:t>
            </w:r>
          </w:p>
        </w:tc>
        <w:tc>
          <w:tcPr/>
          <w:p>
            <w:pPr>
              <w:pStyle w:val="Compact"/>
              <w:jc w:val="right"/>
            </w:pPr>
            <w:r>
              <w:t xml:space="preserve">0.553</w:t>
            </w:r>
          </w:p>
        </w:tc>
      </w:tr>
      <w:tr>
        <w:tc>
          <w:tcPr/>
          <w:p>
            <w:pPr>
              <w:pStyle w:val="Compact"/>
              <w:jc w:val="left"/>
            </w:pPr>
            <w:r>
              <w:t xml:space="preserve">05/08/2023</w:t>
            </w:r>
          </w:p>
        </w:tc>
        <w:tc>
          <w:tcPr/>
          <w:p>
            <w:pPr>
              <w:pStyle w:val="Compact"/>
              <w:jc w:val="left"/>
            </w:pPr>
            <w:r>
              <w:t xml:space="preserve">116,18</w:t>
            </w:r>
          </w:p>
        </w:tc>
        <w:tc>
          <w:tcPr/>
          <w:p>
            <w:pPr>
              <w:pStyle w:val="Compact"/>
              <w:jc w:val="right"/>
            </w:pPr>
            <w:r>
              <w:t xml:space="preserve">0.03016</w:t>
            </w:r>
          </w:p>
        </w:tc>
        <w:tc>
          <w:tcPr/>
          <w:p>
            <w:pPr>
              <w:pStyle w:val="Compact"/>
              <w:jc w:val="left"/>
            </w:pPr>
            <w:r>
              <w:t xml:space="preserve">3,016 %</w:t>
            </w:r>
          </w:p>
        </w:tc>
        <w:tc>
          <w:tcPr/>
          <w:p>
            <w:pPr>
              <w:pStyle w:val="Compact"/>
              <w:jc w:val="left"/>
            </w:pPr>
            <w:r>
              <w:t xml:space="preserve">30/12/2022</w:t>
            </w:r>
          </w:p>
        </w:tc>
        <w:tc>
          <w:tcPr/>
          <w:p>
            <w:pPr>
              <w:pStyle w:val="Compact"/>
              <w:jc w:val="right"/>
            </w:pPr>
            <w:r>
              <w:t xml:space="preserve">0.606</w:t>
            </w:r>
          </w:p>
        </w:tc>
      </w:tr>
      <w:tr>
        <w:tc>
          <w:tcPr/>
          <w:p>
            <w:pPr>
              <w:pStyle w:val="Compact"/>
              <w:jc w:val="left"/>
            </w:pPr>
            <w:r>
              <w:t xml:space="preserve">11/09/2023</w:t>
            </w:r>
          </w:p>
        </w:tc>
        <w:tc>
          <w:tcPr/>
          <w:p>
            <w:pPr>
              <w:pStyle w:val="Compact"/>
              <w:jc w:val="left"/>
            </w:pPr>
            <w:r>
              <w:t xml:space="preserve">349,31</w:t>
            </w:r>
          </w:p>
        </w:tc>
        <w:tc>
          <w:tcPr/>
          <w:p>
            <w:pPr>
              <w:pStyle w:val="Compact"/>
              <w:jc w:val="right"/>
            </w:pPr>
            <w:r>
              <w:t xml:space="preserve">0.03045</w:t>
            </w:r>
          </w:p>
        </w:tc>
        <w:tc>
          <w:tcPr/>
          <w:p>
            <w:pPr>
              <w:pStyle w:val="Compact"/>
              <w:jc w:val="left"/>
            </w:pPr>
            <w:r>
              <w:t xml:space="preserve">3,045 %</w:t>
            </w:r>
          </w:p>
        </w:tc>
        <w:tc>
          <w:tcPr/>
          <w:p>
            <w:pPr>
              <w:pStyle w:val="Compact"/>
              <w:jc w:val="left"/>
            </w:pPr>
            <w:r>
              <w:t xml:space="preserve">30/12/2022</w:t>
            </w:r>
          </w:p>
        </w:tc>
        <w:tc>
          <w:tcPr/>
          <w:p>
            <w:pPr>
              <w:pStyle w:val="Compact"/>
              <w:jc w:val="right"/>
            </w:pPr>
            <w:r>
              <w:t xml:space="preserve">0.708</w:t>
            </w:r>
          </w:p>
        </w:tc>
      </w:tr>
      <w:tr>
        <w:tc>
          <w:tcPr/>
          <w:p>
            <w:pPr>
              <w:pStyle w:val="Compact"/>
              <w:jc w:val="left"/>
            </w:pPr>
            <w:r>
              <w:t xml:space="preserve">16/10/2023</w:t>
            </w:r>
          </w:p>
        </w:tc>
        <w:tc>
          <w:tcPr/>
          <w:p>
            <w:pPr>
              <w:pStyle w:val="Compact"/>
              <w:jc w:val="left"/>
            </w:pPr>
            <w:r>
              <w:t xml:space="preserve">57,86</w:t>
            </w:r>
          </w:p>
        </w:tc>
        <w:tc>
          <w:tcPr/>
          <w:p>
            <w:pPr>
              <w:pStyle w:val="Compact"/>
              <w:jc w:val="right"/>
            </w:pPr>
            <w:r>
              <w:t xml:space="preserve">0.03130</w:t>
            </w:r>
          </w:p>
        </w:tc>
        <w:tc>
          <w:tcPr/>
          <w:p>
            <w:pPr>
              <w:pStyle w:val="Compact"/>
              <w:jc w:val="left"/>
            </w:pPr>
            <w:r>
              <w:t xml:space="preserve">3,130 %</w:t>
            </w:r>
          </w:p>
        </w:tc>
        <w:tc>
          <w:tcPr/>
          <w:p>
            <w:pPr>
              <w:pStyle w:val="Compact"/>
              <w:jc w:val="left"/>
            </w:pPr>
            <w:r>
              <w:t xml:space="preserve">30/12/2022</w:t>
            </w:r>
          </w:p>
        </w:tc>
        <w:tc>
          <w:tcPr/>
          <w:p>
            <w:pPr>
              <w:pStyle w:val="Compact"/>
              <w:jc w:val="right"/>
            </w:pPr>
            <w:r>
              <w:t xml:space="preserve">0.806</w:t>
            </w:r>
          </w:p>
        </w:tc>
      </w:tr>
      <w:tr>
        <w:tc>
          <w:tcPr/>
          <w:p>
            <w:pPr>
              <w:pStyle w:val="Compact"/>
              <w:jc w:val="left"/>
            </w:pPr>
            <w:r>
              <w:t xml:space="preserve">15/01/2024</w:t>
            </w:r>
          </w:p>
        </w:tc>
        <w:tc>
          <w:tcPr/>
          <w:p>
            <w:pPr>
              <w:pStyle w:val="Compact"/>
              <w:jc w:val="left"/>
            </w:pPr>
            <w:r>
              <w:t xml:space="preserve">62,41</w:t>
            </w:r>
          </w:p>
        </w:tc>
        <w:tc>
          <w:tcPr/>
          <w:p>
            <w:pPr>
              <w:pStyle w:val="Compact"/>
              <w:jc w:val="right"/>
            </w:pPr>
            <w:r>
              <w:t xml:space="preserve">0.02967</w:t>
            </w:r>
          </w:p>
        </w:tc>
        <w:tc>
          <w:tcPr/>
          <w:p>
            <w:pPr>
              <w:pStyle w:val="Compact"/>
              <w:jc w:val="left"/>
            </w:pPr>
            <w:r>
              <w:t xml:space="preserve">2,967 %</w:t>
            </w:r>
          </w:p>
        </w:tc>
        <w:tc>
          <w:tcPr/>
          <w:p>
            <w:pPr>
              <w:pStyle w:val="Compact"/>
              <w:jc w:val="left"/>
            </w:pPr>
            <w:r>
              <w:t xml:space="preserve">30/12/2022</w:t>
            </w:r>
          </w:p>
        </w:tc>
        <w:tc>
          <w:tcPr/>
          <w:p>
            <w:pPr>
              <w:pStyle w:val="Compact"/>
              <w:jc w:val="right"/>
            </w:pPr>
            <w:r>
              <w:t xml:space="preserve">1.058</w:t>
            </w:r>
          </w:p>
        </w:tc>
      </w:tr>
    </w:tbl>
    <w:bookmarkEnd w:id="73"/>
    <w:p>
      <w:pPr>
        <w:pStyle w:val="BodyText"/>
      </w:pPr>
      <w:r>
        <w:t xml:space="preserve">Pour cette raison on va suivre les étapes suivantes pour la construction de la courbe des taux zéro-coupon :</w:t>
      </w:r>
    </w:p>
    <w:p>
      <w:pPr>
        <w:numPr>
          <w:ilvl w:val="0"/>
          <w:numId w:val="1008"/>
        </w:numPr>
        <w:pStyle w:val="Compact"/>
      </w:pPr>
      <w:r>
        <w:t xml:space="preserve">1ere étape : Transformation des taux monétaires en taux actuariels.</w:t>
      </w:r>
    </w:p>
    <w:p>
      <w:pPr>
        <w:numPr>
          <w:ilvl w:val="0"/>
          <w:numId w:val="1008"/>
        </w:numPr>
        <w:pStyle w:val="Compact"/>
      </w:pPr>
      <w:r>
        <w:t xml:space="preserve">2eme étape : Interpolation linéaire afin d’obtenir des taux actuariels pour des maturités pleines.</w:t>
      </w:r>
    </w:p>
    <w:p>
      <w:pPr>
        <w:numPr>
          <w:ilvl w:val="0"/>
          <w:numId w:val="1008"/>
        </w:numPr>
        <w:pStyle w:val="Compact"/>
      </w:pPr>
      <w:r>
        <w:t xml:space="preserve">3eme étape : Calcule des taux zéro coupons à partir des taux actuariels des maturités pleines par la Méthode du Bootstrap.</w:t>
      </w:r>
    </w:p>
    <w:p>
      <w:pPr>
        <w:numPr>
          <w:ilvl w:val="0"/>
          <w:numId w:val="1008"/>
        </w:numPr>
        <w:pStyle w:val="Compact"/>
      </w:pPr>
      <w:r>
        <w:t xml:space="preserve">4eme étape : Extrapolation de la courbe des taux zéro-coupon pour des maturités non observées lointaines par la méthode de Smith-Wilson</w:t>
      </w:r>
    </w:p>
    <w:bookmarkStart w:id="75" w:name="Xcbe522a13d0cf3ed962fdea859902dd7c035635"/>
    <w:p>
      <w:pPr>
        <w:pStyle w:val="Heading3"/>
      </w:pPr>
      <w:r>
        <w:t xml:space="preserve">6.1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74"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0.039</w:t>
            </w:r>
          </w:p>
        </w:tc>
        <w:tc>
          <w:tcPr/>
          <w:p>
            <w:pPr>
              <w:pStyle w:val="Compact"/>
              <w:jc w:val="right"/>
            </w:pPr>
            <w:r>
              <w:t xml:space="preserve">0.03032</w:t>
            </w:r>
          </w:p>
        </w:tc>
        <w:tc>
          <w:tcPr/>
          <w:p>
            <w:pPr>
              <w:pStyle w:val="Compact"/>
              <w:jc w:val="left"/>
            </w:pPr>
            <w:r>
              <w:t xml:space="preserve">3,032%</w:t>
            </w:r>
          </w:p>
        </w:tc>
      </w:tr>
      <w:tr>
        <w:tc>
          <w:tcPr/>
          <w:p>
            <w:pPr>
              <w:pStyle w:val="Compact"/>
              <w:jc w:val="right"/>
            </w:pPr>
            <w:r>
              <w:t xml:space="preserve">0.067</w:t>
            </w:r>
          </w:p>
        </w:tc>
        <w:tc>
          <w:tcPr/>
          <w:p>
            <w:pPr>
              <w:pStyle w:val="Compact"/>
              <w:jc w:val="right"/>
            </w:pPr>
            <w:r>
              <w:t xml:space="preserve">0.03012</w:t>
            </w:r>
          </w:p>
        </w:tc>
        <w:tc>
          <w:tcPr/>
          <w:p>
            <w:pPr>
              <w:pStyle w:val="Compact"/>
              <w:jc w:val="left"/>
            </w:pPr>
            <w:r>
              <w:t xml:space="preserve">3,012%</w:t>
            </w:r>
          </w:p>
        </w:tc>
      </w:tr>
      <w:tr>
        <w:tc>
          <w:tcPr/>
          <w:p>
            <w:pPr>
              <w:pStyle w:val="Compact"/>
              <w:jc w:val="right"/>
            </w:pPr>
            <w:r>
              <w:t xml:space="preserve">0.183</w:t>
            </w:r>
          </w:p>
        </w:tc>
        <w:tc>
          <w:tcPr/>
          <w:p>
            <w:pPr>
              <w:pStyle w:val="Compact"/>
              <w:jc w:val="right"/>
            </w:pPr>
            <w:r>
              <w:t xml:space="preserve">0.03020</w:t>
            </w:r>
          </w:p>
        </w:tc>
        <w:tc>
          <w:tcPr/>
          <w:p>
            <w:pPr>
              <w:pStyle w:val="Compact"/>
              <w:jc w:val="left"/>
            </w:pPr>
            <w:r>
              <w:t xml:space="preserve">3,02%</w:t>
            </w:r>
          </w:p>
        </w:tc>
      </w:tr>
      <w:tr>
        <w:tc>
          <w:tcPr/>
          <w:p>
            <w:pPr>
              <w:pStyle w:val="Compact"/>
              <w:jc w:val="right"/>
            </w:pPr>
            <w:r>
              <w:t xml:space="preserve">0.397</w:t>
            </w:r>
          </w:p>
        </w:tc>
        <w:tc>
          <w:tcPr/>
          <w:p>
            <w:pPr>
              <w:pStyle w:val="Compact"/>
              <w:jc w:val="right"/>
            </w:pPr>
            <w:r>
              <w:t xml:space="preserve">0.03248</w:t>
            </w:r>
          </w:p>
        </w:tc>
        <w:tc>
          <w:tcPr/>
          <w:p>
            <w:pPr>
              <w:pStyle w:val="Compact"/>
              <w:jc w:val="left"/>
            </w:pPr>
            <w:r>
              <w:t xml:space="preserve">3,248%</w:t>
            </w:r>
          </w:p>
        </w:tc>
      </w:tr>
      <w:tr>
        <w:tc>
          <w:tcPr/>
          <w:p>
            <w:pPr>
              <w:pStyle w:val="Compact"/>
              <w:jc w:val="right"/>
            </w:pPr>
            <w:r>
              <w:t xml:space="preserve">0.475</w:t>
            </w:r>
          </w:p>
        </w:tc>
        <w:tc>
          <w:tcPr/>
          <w:p>
            <w:pPr>
              <w:pStyle w:val="Compact"/>
              <w:jc w:val="right"/>
            </w:pPr>
            <w:r>
              <w:t xml:space="preserve">0.03075</w:t>
            </w:r>
          </w:p>
        </w:tc>
        <w:tc>
          <w:tcPr/>
          <w:p>
            <w:pPr>
              <w:pStyle w:val="Compact"/>
              <w:jc w:val="left"/>
            </w:pPr>
            <w:r>
              <w:t xml:space="preserve">3,075%</w:t>
            </w:r>
          </w:p>
        </w:tc>
      </w:tr>
      <w:tr>
        <w:tc>
          <w:tcPr/>
          <w:p>
            <w:pPr>
              <w:pStyle w:val="Compact"/>
              <w:jc w:val="right"/>
            </w:pPr>
            <w:r>
              <w:t xml:space="preserve">0.553</w:t>
            </w:r>
          </w:p>
        </w:tc>
        <w:tc>
          <w:tcPr/>
          <w:p>
            <w:pPr>
              <w:pStyle w:val="Compact"/>
              <w:jc w:val="right"/>
            </w:pPr>
            <w:r>
              <w:t xml:space="preserve">0.03065</w:t>
            </w:r>
          </w:p>
        </w:tc>
        <w:tc>
          <w:tcPr/>
          <w:p>
            <w:pPr>
              <w:pStyle w:val="Compact"/>
              <w:jc w:val="left"/>
            </w:pPr>
            <w:r>
              <w:t xml:space="preserve">3,065%</w:t>
            </w:r>
          </w:p>
        </w:tc>
      </w:tr>
      <w:tr>
        <w:tc>
          <w:tcPr/>
          <w:p>
            <w:pPr>
              <w:pStyle w:val="Compact"/>
              <w:jc w:val="right"/>
            </w:pPr>
            <w:r>
              <w:t xml:space="preserve">0.606</w:t>
            </w:r>
          </w:p>
        </w:tc>
        <w:tc>
          <w:tcPr/>
          <w:p>
            <w:pPr>
              <w:pStyle w:val="Compact"/>
              <w:jc w:val="right"/>
            </w:pPr>
            <w:r>
              <w:t xml:space="preserve">0.03077</w:t>
            </w:r>
          </w:p>
        </w:tc>
        <w:tc>
          <w:tcPr/>
          <w:p>
            <w:pPr>
              <w:pStyle w:val="Compact"/>
              <w:jc w:val="left"/>
            </w:pPr>
            <w:r>
              <w:t xml:space="preserve">3,077%</w:t>
            </w:r>
          </w:p>
        </w:tc>
      </w:tr>
      <w:tr>
        <w:tc>
          <w:tcPr/>
          <w:p>
            <w:pPr>
              <w:pStyle w:val="Compact"/>
              <w:jc w:val="right"/>
            </w:pPr>
            <w:r>
              <w:t xml:space="preserve">0.708</w:t>
            </w:r>
          </w:p>
        </w:tc>
        <w:tc>
          <w:tcPr/>
          <w:p>
            <w:pPr>
              <w:pStyle w:val="Compact"/>
              <w:jc w:val="right"/>
            </w:pPr>
            <w:r>
              <w:t xml:space="preserve">0.03102</w:t>
            </w:r>
          </w:p>
        </w:tc>
        <w:tc>
          <w:tcPr/>
          <w:p>
            <w:pPr>
              <w:pStyle w:val="Compact"/>
              <w:jc w:val="left"/>
            </w:pPr>
            <w:r>
              <w:t xml:space="preserve">3,102%</w:t>
            </w:r>
          </w:p>
        </w:tc>
      </w:tr>
      <w:tr>
        <w:tc>
          <w:tcPr/>
          <w:p>
            <w:pPr>
              <w:pStyle w:val="Compact"/>
              <w:jc w:val="right"/>
            </w:pPr>
            <w:r>
              <w:t xml:space="preserve">0.806</w:t>
            </w:r>
          </w:p>
        </w:tc>
        <w:tc>
          <w:tcPr/>
          <w:p>
            <w:pPr>
              <w:pStyle w:val="Compact"/>
              <w:jc w:val="right"/>
            </w:pPr>
            <w:r>
              <w:t xml:space="preserve">0.03184</w:t>
            </w:r>
          </w:p>
        </w:tc>
        <w:tc>
          <w:tcPr/>
          <w:p>
            <w:pPr>
              <w:pStyle w:val="Compact"/>
              <w:jc w:val="left"/>
            </w:pPr>
            <w:r>
              <w:t xml:space="preserve">3,184%</w:t>
            </w:r>
          </w:p>
        </w:tc>
      </w:tr>
      <w:tr>
        <w:tc>
          <w:tcPr/>
          <w:p>
            <w:pPr>
              <w:pStyle w:val="Compact"/>
              <w:jc w:val="right"/>
            </w:pPr>
            <w:r>
              <w:t xml:space="preserve">1.058</w:t>
            </w:r>
          </w:p>
        </w:tc>
        <w:tc>
          <w:tcPr/>
          <w:p>
            <w:pPr>
              <w:pStyle w:val="Compact"/>
              <w:jc w:val="right"/>
            </w:pPr>
            <w:r>
              <w:t xml:space="preserve">0.02967</w:t>
            </w:r>
          </w:p>
        </w:tc>
        <w:tc>
          <w:tcPr/>
          <w:p>
            <w:pPr>
              <w:pStyle w:val="Compact"/>
              <w:jc w:val="left"/>
            </w:pPr>
            <w:r>
              <w:t xml:space="preserve">2,967%</w:t>
            </w:r>
          </w:p>
        </w:tc>
      </w:tr>
    </w:tbl>
    <w:bookmarkEnd w:id="74"/>
    <w:bookmarkEnd w:id="75"/>
    <w:bookmarkStart w:id="77" w:name="X96b896b92b42645ba88a707007c4252bf9e5cd7"/>
    <w:p>
      <w:pPr>
        <w:pStyle w:val="Heading3"/>
      </w:pPr>
      <w:r>
        <w:t xml:space="preserve">6.2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76"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0.03017</w:t>
            </w:r>
          </w:p>
        </w:tc>
        <w:tc>
          <w:tcPr/>
          <w:p>
            <w:pPr>
              <w:pStyle w:val="Compact"/>
              <w:jc w:val="left"/>
            </w:pPr>
            <w:r>
              <w:t xml:space="preserve">3,017%</w:t>
            </w:r>
          </w:p>
        </w:tc>
      </w:tr>
      <w:tr>
        <w:tc>
          <w:tcPr/>
          <w:p>
            <w:pPr>
              <w:pStyle w:val="Compact"/>
              <w:jc w:val="right"/>
            </w:pPr>
            <w:r>
              <w:t xml:space="preserve">2</w:t>
            </w:r>
          </w:p>
        </w:tc>
        <w:tc>
          <w:tcPr/>
          <w:p>
            <w:pPr>
              <w:pStyle w:val="Compact"/>
              <w:jc w:val="right"/>
            </w:pPr>
            <w:r>
              <w:t xml:space="preserve">0.03034</w:t>
            </w:r>
          </w:p>
        </w:tc>
        <w:tc>
          <w:tcPr/>
          <w:p>
            <w:pPr>
              <w:pStyle w:val="Compact"/>
              <w:jc w:val="left"/>
            </w:pPr>
            <w:r>
              <w:t xml:space="preserve">3,034%</w:t>
            </w:r>
          </w:p>
        </w:tc>
      </w:tr>
      <w:tr>
        <w:tc>
          <w:tcPr/>
          <w:p>
            <w:pPr>
              <w:pStyle w:val="Compact"/>
              <w:jc w:val="right"/>
            </w:pPr>
            <w:r>
              <w:t xml:space="preserve">3</w:t>
            </w:r>
          </w:p>
        </w:tc>
        <w:tc>
          <w:tcPr/>
          <w:p>
            <w:pPr>
              <w:pStyle w:val="Compact"/>
              <w:jc w:val="right"/>
            </w:pPr>
            <w:r>
              <w:t xml:space="preserve">0.02968</w:t>
            </w:r>
          </w:p>
        </w:tc>
        <w:tc>
          <w:tcPr/>
          <w:p>
            <w:pPr>
              <w:pStyle w:val="Compact"/>
              <w:jc w:val="left"/>
            </w:pPr>
            <w:r>
              <w:t xml:space="preserve">2,968%</w:t>
            </w:r>
          </w:p>
        </w:tc>
      </w:tr>
      <w:tr>
        <w:tc>
          <w:tcPr/>
          <w:p>
            <w:pPr>
              <w:pStyle w:val="Compact"/>
              <w:jc w:val="right"/>
            </w:pPr>
            <w:r>
              <w:t xml:space="preserve">4</w:t>
            </w:r>
          </w:p>
        </w:tc>
        <w:tc>
          <w:tcPr/>
          <w:p>
            <w:pPr>
              <w:pStyle w:val="Compact"/>
              <w:jc w:val="right"/>
            </w:pPr>
            <w:r>
              <w:t xml:space="preserve">0.02954</w:t>
            </w:r>
          </w:p>
        </w:tc>
        <w:tc>
          <w:tcPr/>
          <w:p>
            <w:pPr>
              <w:pStyle w:val="Compact"/>
              <w:jc w:val="left"/>
            </w:pPr>
            <w:r>
              <w:t xml:space="preserve">2,954%</w:t>
            </w:r>
          </w:p>
        </w:tc>
      </w:tr>
      <w:tr>
        <w:tc>
          <w:tcPr/>
          <w:p>
            <w:pPr>
              <w:pStyle w:val="Compact"/>
              <w:jc w:val="right"/>
            </w:pPr>
            <w:r>
              <w:t xml:space="preserve">5</w:t>
            </w:r>
          </w:p>
        </w:tc>
        <w:tc>
          <w:tcPr/>
          <w:p>
            <w:pPr>
              <w:pStyle w:val="Compact"/>
              <w:jc w:val="right"/>
            </w:pPr>
            <w:r>
              <w:t xml:space="preserve">0.02975</w:t>
            </w:r>
          </w:p>
        </w:tc>
        <w:tc>
          <w:tcPr/>
          <w:p>
            <w:pPr>
              <w:pStyle w:val="Compact"/>
              <w:jc w:val="left"/>
            </w:pPr>
            <w:r>
              <w:t xml:space="preserve">2,975%</w:t>
            </w:r>
          </w:p>
        </w:tc>
      </w:tr>
      <w:tr>
        <w:tc>
          <w:tcPr/>
          <w:p>
            <w:pPr>
              <w:pStyle w:val="Compact"/>
              <w:jc w:val="right"/>
            </w:pPr>
            <w:r>
              <w:t xml:space="preserve">6</w:t>
            </w:r>
          </w:p>
        </w:tc>
        <w:tc>
          <w:tcPr/>
          <w:p>
            <w:pPr>
              <w:pStyle w:val="Compact"/>
              <w:jc w:val="right"/>
            </w:pPr>
            <w:r>
              <w:t xml:space="preserve">0.02995</w:t>
            </w:r>
          </w:p>
        </w:tc>
        <w:tc>
          <w:tcPr/>
          <w:p>
            <w:pPr>
              <w:pStyle w:val="Compact"/>
              <w:jc w:val="left"/>
            </w:pPr>
            <w:r>
              <w:t xml:space="preserve">2,995%</w:t>
            </w:r>
          </w:p>
        </w:tc>
      </w:tr>
      <w:tr>
        <w:tc>
          <w:tcPr/>
          <w:p>
            <w:pPr>
              <w:pStyle w:val="Compact"/>
              <w:jc w:val="right"/>
            </w:pPr>
            <w:r>
              <w:t xml:space="preserve">7</w:t>
            </w:r>
          </w:p>
        </w:tc>
        <w:tc>
          <w:tcPr/>
          <w:p>
            <w:pPr>
              <w:pStyle w:val="Compact"/>
              <w:jc w:val="right"/>
            </w:pPr>
            <w:r>
              <w:t xml:space="preserve">0.03036</w:t>
            </w:r>
          </w:p>
        </w:tc>
        <w:tc>
          <w:tcPr/>
          <w:p>
            <w:pPr>
              <w:pStyle w:val="Compact"/>
              <w:jc w:val="left"/>
            </w:pPr>
            <w:r>
              <w:t xml:space="preserve">3,036%</w:t>
            </w:r>
          </w:p>
        </w:tc>
      </w:tr>
      <w:tr>
        <w:tc>
          <w:tcPr/>
          <w:p>
            <w:pPr>
              <w:pStyle w:val="Compact"/>
              <w:jc w:val="right"/>
            </w:pPr>
            <w:r>
              <w:t xml:space="preserve">8</w:t>
            </w:r>
          </w:p>
        </w:tc>
        <w:tc>
          <w:tcPr/>
          <w:p>
            <w:pPr>
              <w:pStyle w:val="Compact"/>
              <w:jc w:val="right"/>
            </w:pPr>
            <w:r>
              <w:t xml:space="preserve">0.03093</w:t>
            </w:r>
          </w:p>
        </w:tc>
        <w:tc>
          <w:tcPr/>
          <w:p>
            <w:pPr>
              <w:pStyle w:val="Compact"/>
              <w:jc w:val="left"/>
            </w:pPr>
            <w:r>
              <w:t xml:space="preserve">3,093%</w:t>
            </w:r>
          </w:p>
        </w:tc>
      </w:tr>
      <w:tr>
        <w:tc>
          <w:tcPr/>
          <w:p>
            <w:pPr>
              <w:pStyle w:val="Compact"/>
              <w:jc w:val="right"/>
            </w:pPr>
            <w:r>
              <w:t xml:space="preserve">9</w:t>
            </w:r>
          </w:p>
        </w:tc>
        <w:tc>
          <w:tcPr/>
          <w:p>
            <w:pPr>
              <w:pStyle w:val="Compact"/>
              <w:jc w:val="right"/>
            </w:pPr>
            <w:r>
              <w:t xml:space="preserve">0.03143</w:t>
            </w:r>
          </w:p>
        </w:tc>
        <w:tc>
          <w:tcPr/>
          <w:p>
            <w:pPr>
              <w:pStyle w:val="Compact"/>
              <w:jc w:val="left"/>
            </w:pPr>
            <w:r>
              <w:t xml:space="preserve">3,143%</w:t>
            </w:r>
          </w:p>
        </w:tc>
      </w:tr>
      <w:tr>
        <w:tc>
          <w:tcPr/>
          <w:p>
            <w:pPr>
              <w:pStyle w:val="Compact"/>
              <w:jc w:val="right"/>
            </w:pPr>
            <w:r>
              <w:t xml:space="preserve">10</w:t>
            </w:r>
          </w:p>
        </w:tc>
        <w:tc>
          <w:tcPr/>
          <w:p>
            <w:pPr>
              <w:pStyle w:val="Compact"/>
              <w:jc w:val="right"/>
            </w:pPr>
            <w:r>
              <w:t xml:space="preserve">0.03183</w:t>
            </w:r>
          </w:p>
        </w:tc>
        <w:tc>
          <w:tcPr/>
          <w:p>
            <w:pPr>
              <w:pStyle w:val="Compact"/>
              <w:jc w:val="left"/>
            </w:pPr>
            <w:r>
              <w:t xml:space="preserve">3,183%</w:t>
            </w:r>
          </w:p>
        </w:tc>
      </w:tr>
    </w:tbl>
    <w:bookmarkEnd w:id="76"/>
    <w:bookmarkEnd w:id="77"/>
    <w:bookmarkStart w:id="79" w:name="la-méthode-de-bootstrap"/>
    <w:p>
      <w:pPr>
        <w:pStyle w:val="Heading3"/>
      </w:pPr>
      <w:r>
        <w:t xml:space="preserve">6.3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9"/>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10"/>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En effet, on a supposé que le prix théorique d’une obligation correspond à la somme de ses flux futures actualisés aux taux zéro-coupon de l’échéance de chaque flux:</w:t>
      </w:r>
    </w:p>
    <w:p>
      <w:pPr>
        <w:pStyle w:val="BodyText"/>
      </w:pPr>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78" w:name="tbl-taux_zc"/>
    <w:p>
      <w:pPr>
        <w:pStyle w:val="TableCaption"/>
      </w:pPr>
      <w:r>
        <w:t xml:space="preserve">Table 5: Transformation du taux actuariel en taux ZC avec la méthode Boostrap</w:t>
      </w:r>
    </w:p>
    <w:tbl>
      <w:tblPr>
        <w:tblStyle w:val="Table"/>
        <w:tblW w:type="auto" w:w="0"/>
        <w:tblLook w:firstRow="1" w:lastRow="0" w:firstColumn="0" w:lastColumn="0" w:noHBand="0" w:noVBand="0" w:val="0020"/>
        <w:tblCaption w:val="Table 5: Transformation du taux actuariel en taux ZC avec la méthode Boo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0.03017</w:t>
            </w:r>
          </w:p>
        </w:tc>
        <w:tc>
          <w:tcPr/>
          <w:p>
            <w:pPr>
              <w:pStyle w:val="Compact"/>
              <w:jc w:val="left"/>
            </w:pPr>
            <w:r>
              <w:t xml:space="preserve">3,017%</w:t>
            </w:r>
          </w:p>
        </w:tc>
      </w:tr>
      <w:tr>
        <w:tc>
          <w:tcPr/>
          <w:p>
            <w:pPr>
              <w:pStyle w:val="Compact"/>
              <w:jc w:val="right"/>
            </w:pPr>
            <w:r>
              <w:t xml:space="preserve">2</w:t>
            </w:r>
          </w:p>
        </w:tc>
        <w:tc>
          <w:tcPr/>
          <w:p>
            <w:pPr>
              <w:pStyle w:val="Compact"/>
              <w:jc w:val="right"/>
            </w:pPr>
            <w:r>
              <w:t xml:space="preserve">0.03034</w:t>
            </w:r>
          </w:p>
        </w:tc>
        <w:tc>
          <w:tcPr/>
          <w:p>
            <w:pPr>
              <w:pStyle w:val="Compact"/>
              <w:jc w:val="left"/>
            </w:pPr>
            <w:r>
              <w:t xml:space="preserve">3,034%</w:t>
            </w:r>
          </w:p>
        </w:tc>
      </w:tr>
      <w:tr>
        <w:tc>
          <w:tcPr/>
          <w:p>
            <w:pPr>
              <w:pStyle w:val="Compact"/>
              <w:jc w:val="right"/>
            </w:pPr>
            <w:r>
              <w:t xml:space="preserve">3</w:t>
            </w:r>
          </w:p>
        </w:tc>
        <w:tc>
          <w:tcPr/>
          <w:p>
            <w:pPr>
              <w:pStyle w:val="Compact"/>
              <w:jc w:val="right"/>
            </w:pPr>
            <w:r>
              <w:t xml:space="preserve">0.02966</w:t>
            </w:r>
          </w:p>
        </w:tc>
        <w:tc>
          <w:tcPr/>
          <w:p>
            <w:pPr>
              <w:pStyle w:val="Compact"/>
              <w:jc w:val="left"/>
            </w:pPr>
            <w:r>
              <w:t xml:space="preserve">2,966%</w:t>
            </w:r>
          </w:p>
        </w:tc>
      </w:tr>
      <w:tr>
        <w:tc>
          <w:tcPr/>
          <w:p>
            <w:pPr>
              <w:pStyle w:val="Compact"/>
              <w:jc w:val="right"/>
            </w:pPr>
            <w:r>
              <w:t xml:space="preserve">4</w:t>
            </w:r>
          </w:p>
        </w:tc>
        <w:tc>
          <w:tcPr/>
          <w:p>
            <w:pPr>
              <w:pStyle w:val="Compact"/>
              <w:jc w:val="right"/>
            </w:pPr>
            <w:r>
              <w:t xml:space="preserve">0.02952</w:t>
            </w:r>
          </w:p>
        </w:tc>
        <w:tc>
          <w:tcPr/>
          <w:p>
            <w:pPr>
              <w:pStyle w:val="Compact"/>
              <w:jc w:val="left"/>
            </w:pPr>
            <w:r>
              <w:t xml:space="preserve">2,952%</w:t>
            </w:r>
          </w:p>
        </w:tc>
      </w:tr>
      <w:tr>
        <w:tc>
          <w:tcPr/>
          <w:p>
            <w:pPr>
              <w:pStyle w:val="Compact"/>
              <w:jc w:val="right"/>
            </w:pPr>
            <w:r>
              <w:t xml:space="preserve">5</w:t>
            </w:r>
          </w:p>
        </w:tc>
        <w:tc>
          <w:tcPr/>
          <w:p>
            <w:pPr>
              <w:pStyle w:val="Compact"/>
              <w:jc w:val="right"/>
            </w:pPr>
            <w:r>
              <w:t xml:space="preserve">0.02975</w:t>
            </w:r>
          </w:p>
        </w:tc>
        <w:tc>
          <w:tcPr/>
          <w:p>
            <w:pPr>
              <w:pStyle w:val="Compact"/>
              <w:jc w:val="left"/>
            </w:pPr>
            <w:r>
              <w:t xml:space="preserve">2,975%</w:t>
            </w:r>
          </w:p>
        </w:tc>
      </w:tr>
      <w:tr>
        <w:tc>
          <w:tcPr/>
          <w:p>
            <w:pPr>
              <w:pStyle w:val="Compact"/>
              <w:jc w:val="right"/>
            </w:pPr>
            <w:r>
              <w:t xml:space="preserve">6</w:t>
            </w:r>
          </w:p>
        </w:tc>
        <w:tc>
          <w:tcPr/>
          <w:p>
            <w:pPr>
              <w:pStyle w:val="Compact"/>
              <w:jc w:val="right"/>
            </w:pPr>
            <w:r>
              <w:t xml:space="preserve">0.02996</w:t>
            </w:r>
          </w:p>
        </w:tc>
        <w:tc>
          <w:tcPr/>
          <w:p>
            <w:pPr>
              <w:pStyle w:val="Compact"/>
              <w:jc w:val="left"/>
            </w:pPr>
            <w:r>
              <w:t xml:space="preserve">2,996%</w:t>
            </w:r>
          </w:p>
        </w:tc>
      </w:tr>
      <w:tr>
        <w:tc>
          <w:tcPr/>
          <w:p>
            <w:pPr>
              <w:pStyle w:val="Compact"/>
              <w:jc w:val="right"/>
            </w:pPr>
            <w:r>
              <w:t xml:space="preserve">7</w:t>
            </w:r>
          </w:p>
        </w:tc>
        <w:tc>
          <w:tcPr/>
          <w:p>
            <w:pPr>
              <w:pStyle w:val="Compact"/>
              <w:jc w:val="right"/>
            </w:pPr>
            <w:r>
              <w:t xml:space="preserve">0.03041</w:t>
            </w:r>
          </w:p>
        </w:tc>
        <w:tc>
          <w:tcPr/>
          <w:p>
            <w:pPr>
              <w:pStyle w:val="Compact"/>
              <w:jc w:val="left"/>
            </w:pPr>
            <w:r>
              <w:t xml:space="preserve">3,041%</w:t>
            </w:r>
          </w:p>
        </w:tc>
      </w:tr>
      <w:tr>
        <w:tc>
          <w:tcPr/>
          <w:p>
            <w:pPr>
              <w:pStyle w:val="Compact"/>
              <w:jc w:val="right"/>
            </w:pPr>
            <w:r>
              <w:t xml:space="preserve">8</w:t>
            </w:r>
          </w:p>
        </w:tc>
        <w:tc>
          <w:tcPr/>
          <w:p>
            <w:pPr>
              <w:pStyle w:val="Compact"/>
              <w:jc w:val="right"/>
            </w:pPr>
            <w:r>
              <w:t xml:space="preserve">0.03104</w:t>
            </w:r>
          </w:p>
        </w:tc>
        <w:tc>
          <w:tcPr/>
          <w:p>
            <w:pPr>
              <w:pStyle w:val="Compact"/>
              <w:jc w:val="left"/>
            </w:pPr>
            <w:r>
              <w:t xml:space="preserve">3,104%</w:t>
            </w:r>
          </w:p>
        </w:tc>
      </w:tr>
      <w:tr>
        <w:tc>
          <w:tcPr/>
          <w:p>
            <w:pPr>
              <w:pStyle w:val="Compact"/>
              <w:jc w:val="right"/>
            </w:pPr>
            <w:r>
              <w:t xml:space="preserve">9</w:t>
            </w:r>
          </w:p>
        </w:tc>
        <w:tc>
          <w:tcPr/>
          <w:p>
            <w:pPr>
              <w:pStyle w:val="Compact"/>
              <w:jc w:val="right"/>
            </w:pPr>
            <w:r>
              <w:t xml:space="preserve">0.03160</w:t>
            </w:r>
          </w:p>
        </w:tc>
        <w:tc>
          <w:tcPr/>
          <w:p>
            <w:pPr>
              <w:pStyle w:val="Compact"/>
              <w:jc w:val="left"/>
            </w:pPr>
            <w:r>
              <w:t xml:space="preserve">3,16%</w:t>
            </w:r>
          </w:p>
        </w:tc>
      </w:tr>
      <w:tr>
        <w:tc>
          <w:tcPr/>
          <w:p>
            <w:pPr>
              <w:pStyle w:val="Compact"/>
              <w:jc w:val="right"/>
            </w:pPr>
            <w:r>
              <w:t xml:space="preserve">10</w:t>
            </w:r>
          </w:p>
        </w:tc>
        <w:tc>
          <w:tcPr/>
          <w:p>
            <w:pPr>
              <w:pStyle w:val="Compact"/>
              <w:jc w:val="right"/>
            </w:pPr>
            <w:r>
              <w:t xml:space="preserve">0.03205</w:t>
            </w:r>
          </w:p>
        </w:tc>
        <w:tc>
          <w:tcPr/>
          <w:p>
            <w:pPr>
              <w:pStyle w:val="Compact"/>
              <w:jc w:val="left"/>
            </w:pPr>
            <w:r>
              <w:t xml:space="preserve">3,205%</w:t>
            </w:r>
          </w:p>
        </w:tc>
      </w:tr>
    </w:tbl>
    <w:bookmarkEnd w:id="78"/>
    <w:bookmarkEnd w:id="79"/>
    <w:bookmarkStart w:id="80" w:name="X336f36db0687334b747abecf8d379445810500d"/>
    <w:p>
      <w:pPr>
        <w:pStyle w:val="Heading3"/>
      </w:pPr>
      <w:r>
        <w:t xml:space="preserve">6.4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11"/>
        </w:numPr>
        <w:pStyle w:val="Compact"/>
      </w:pPr>
      <w:r>
        <w:t xml:space="preserve">le UFR (Ultimate Forward Rate)</w:t>
      </w:r>
    </w:p>
    <w:p>
      <w:pPr>
        <w:numPr>
          <w:ilvl w:val="0"/>
          <w:numId w:val="1011"/>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p>
    <w:p>
      <w:pPr>
        <w:numPr>
          <w:ilvl w:val="0"/>
          <w:numId w:val="1012"/>
        </w:numPr>
        <w:pStyle w:val="Compact"/>
      </w:pPr>
      <m:oMath>
        <m:r>
          <m:t>W</m:t>
        </m:r>
      </m:oMath>
      <w:r>
        <w:t xml:space="preserve"> </w:t>
      </w:r>
      <w:r>
        <w:t xml:space="preserve">représente un ensemble de fonctions à noyau pour chaque prix d’obligation observable d’entrée.</w:t>
      </w:r>
    </w:p>
    <w:p>
      <w:pPr>
        <w:numPr>
          <w:ilvl w:val="0"/>
          <w:numId w:val="1012"/>
        </w:numPr>
        <w:pStyle w:val="Compact"/>
      </w:pPr>
      <m:oMath>
        <m:r>
          <m:t>α</m:t>
        </m:r>
      </m:oMath>
      <w:r>
        <w:t xml:space="preserve"> </w:t>
      </w:r>
      <w:r>
        <w:t xml:space="preserve">: la vitesse de convergence vers le UFR.</w:t>
      </w:r>
    </w:p>
    <w:p>
      <w:pPr>
        <w:numPr>
          <w:ilvl w:val="0"/>
          <w:numId w:val="1012"/>
        </w:numPr>
        <w:pStyle w:val="Compact"/>
      </w:pPr>
      <m:oMath>
        <m:r>
          <m:t>N</m:t>
        </m:r>
      </m:oMath>
      <w:r>
        <w:t xml:space="preserve">: le nombre d’obligations ZC dont le prix est observésur le marché.</w:t>
      </w:r>
    </w:p>
    <w:p>
      <w:pPr>
        <w:numPr>
          <w:ilvl w:val="0"/>
          <w:numId w:val="1012"/>
        </w:numPr>
        <w:pStyle w:val="Compact"/>
      </w:pPr>
      <m:oMath>
        <m:sSub>
          <m:e>
            <m:r>
              <m:t>u</m:t>
            </m:r>
          </m:e>
          <m:sub>
            <m:r>
              <m:t>j</m:t>
            </m:r>
          </m:sub>
        </m:sSub>
      </m:oMath>
      <w:r>
        <w:t xml:space="preserve">: la j-ème maturité disponible. .</w:t>
      </w:r>
    </w:p>
    <w:p>
      <w:pPr>
        <w:numPr>
          <w:ilvl w:val="0"/>
          <w:numId w:val="1012"/>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w:t>
      </w:r>
      <w:r>
        <w:t xml:space="preserve">,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80"/>
    <w:bookmarkEnd w:id="81"/>
    <w:bookmarkStart w:id="133" w:name="X3c86a714d03aed139a19db084b97b445aa0c8e4"/>
    <w:p>
      <w:pPr>
        <w:pStyle w:val="Heading2"/>
      </w:pPr>
      <w:r>
        <w:t xml:space="preserve">7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sub>
          </m:sSub>
          <m:r>
            <m:rPr>
              <m:sty m:val="p"/>
            </m:rPr>
            <m:t>+</m:t>
          </m:r>
          <m:r>
            <m:t>B</m:t>
          </m:r>
          <m:r>
            <m:t>E</m:t>
          </m:r>
          <m:r>
            <m:t>F</m:t>
          </m:r>
          <m:r>
            <m:t>G</m:t>
          </m:r>
          <m:r>
            <m:rPr>
              <m:sty m:val="p"/>
            </m:rPr>
            <m:t>+</m:t>
          </m:r>
          <m:r>
            <m:t>M</m:t>
          </m:r>
          <m:r>
            <m:t>R</m:t>
          </m:r>
        </m:oMath>
      </m:oMathPara>
    </w:p>
    <w:p>
      <w:pPr>
        <w:pStyle w:val="FirstParagraph"/>
      </w:pPr>
      <w:r>
        <w:t xml:space="preserve">Avec :</w:t>
      </w:r>
    </w:p>
    <w:p>
      <w:pPr>
        <w:numPr>
          <w:ilvl w:val="0"/>
          <w:numId w:val="1013"/>
        </w:numPr>
      </w:pPr>
      <m:oMath>
        <m:r>
          <m:t>P</m:t>
        </m:r>
        <m:r>
          <m:t>T</m:t>
        </m:r>
      </m:oMath>
      <w:r>
        <w:t xml:space="preserve"> </w:t>
      </w:r>
      <w:r>
        <w:t xml:space="preserve">: la provision technique</w:t>
      </w:r>
    </w:p>
    <w:p>
      <w:pPr>
        <w:numPr>
          <w:ilvl w:val="0"/>
          <w:numId w:val="1013"/>
        </w:numPr>
      </w:pPr>
      <m:oMath>
        <m:r>
          <m:t>B</m:t>
        </m:r>
        <m:sSub>
          <m:e>
            <m:r>
              <m:t>E</m:t>
            </m:r>
          </m:e>
          <m:sub>
            <m:r>
              <m:t>e</m:t>
            </m:r>
            <m:r>
              <m:t>n</m:t>
            </m:r>
            <m:r>
              <m:t>g</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13"/>
        </w:numPr>
      </w:pPr>
      <m:oMath>
        <m:r>
          <m:t>B</m:t>
        </m:r>
        <m:r>
          <m:t>E</m:t>
        </m:r>
        <m:r>
          <m:t>F</m:t>
        </m:r>
        <m:r>
          <m:t>G</m:t>
        </m:r>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13"/>
        </w:numPr>
      </w:pPr>
      <m:oMath>
        <m:r>
          <m:t>M</m:t>
        </m:r>
        <m:r>
          <m:t>R</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91" w:name="X32462c7e3a0a11848884f7548d4747bc280232c"/>
    <w:p>
      <w:pPr>
        <w:pStyle w:val="Heading3"/>
      </w:pPr>
      <w:r>
        <w:t xml:space="preserve">7.1 Opérations d’assurance vie, décès ou capitalisation:</w:t>
      </w:r>
    </w:p>
    <w:bookmarkStart w:id="89" w:name="Xeb1f9d92a4c5859eacf38eb19f2fdc8a983fcd5"/>
    <w:p>
      <w:pPr>
        <w:pStyle w:val="Heading4"/>
      </w:pPr>
      <w:r>
        <w:t xml:space="preserve">7.1.1 Meilleure estimations des engagements (</w:t>
      </w:r>
      <m:oMath>
        <m:r>
          <m:t>B</m:t>
        </m:r>
        <m:sSub>
          <m:e>
            <m:r>
              <m:t>E</m:t>
            </m:r>
          </m:e>
          <m:sub>
            <m:r>
              <m:t>e</m:t>
            </m:r>
            <m:r>
              <m:t>n</m:t>
            </m:r>
            <m:r>
              <m:t>g</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r>
            <m:t>B</m:t>
          </m:r>
          <m:sSub>
            <m:e>
              <m:r>
                <m:t>E</m:t>
              </m:r>
            </m:e>
            <m:sub>
              <m:r>
                <m:t>e</m:t>
              </m:r>
              <m:r>
                <m:t>n</m:t>
              </m:r>
              <m:r>
                <m:t>g</m:t>
              </m:r>
            </m:sub>
          </m:sSub>
          <m:r>
            <m:rPr>
              <m:sty m:val="p"/>
            </m:rPr>
            <m:t>=</m:t>
          </m:r>
          <m:r>
            <m:t>B</m:t>
          </m:r>
          <m:r>
            <m:t>E</m:t>
          </m:r>
          <m:r>
            <m:t>G</m:t>
          </m:r>
          <m:r>
            <m:t>P</m:t>
          </m:r>
          <m:r>
            <m:rPr>
              <m:sty m:val="p"/>
            </m:rPr>
            <m:t>+</m:t>
          </m:r>
          <m:r>
            <m:t>B</m:t>
          </m:r>
          <m:r>
            <m:t>D</m:t>
          </m:r>
          <m:r>
            <m:t>F</m:t>
          </m:r>
        </m:oMath>
      </m:oMathPara>
    </w:p>
    <w:p>
      <w:pPr>
        <w:pStyle w:val="FirstParagraph"/>
      </w:pPr>
      <w:r>
        <w:t xml:space="preserve">Avec :</w:t>
      </w:r>
    </w:p>
    <w:p>
      <w:pPr>
        <w:numPr>
          <w:ilvl w:val="0"/>
          <w:numId w:val="1014"/>
        </w:numPr>
        <w:pStyle w:val="Compact"/>
      </w:pPr>
      <m:oMath>
        <m:r>
          <m:t>B</m:t>
        </m:r>
        <m:r>
          <m:t>E</m:t>
        </m:r>
        <m:r>
          <m:t>G</m:t>
        </m:r>
        <m:r>
          <m:t>P</m:t>
        </m:r>
      </m:oMath>
      <w:r>
        <w:t xml:space="preserve">: la meilleure estimation des garanties probabilisées.</w:t>
      </w:r>
    </w:p>
    <w:p>
      <w:pPr>
        <w:numPr>
          <w:ilvl w:val="0"/>
          <w:numId w:val="1014"/>
        </w:numPr>
        <w:pStyle w:val="Compact"/>
      </w:pPr>
      <m:oMath>
        <m:r>
          <m:t>B</m:t>
        </m:r>
        <m:r>
          <m:t>D</m:t>
        </m:r>
        <m:r>
          <m:t>F</m:t>
        </m:r>
      </m:oMath>
      <w:r>
        <w:t xml:space="preserve">: les bénéfices discrétionnaires futurs.</w:t>
      </w:r>
    </w:p>
    <w:bookmarkStart w:id="87" w:name="sec-MEGP"/>
    <w:p>
      <w:pPr>
        <w:pStyle w:val="Heading5"/>
      </w:pPr>
      <w:r>
        <w:t xml:space="preserve">7.1.1.1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r>
            <m:t>E</m:t>
          </m:r>
          <m:r>
            <m:t>G</m:t>
          </m:r>
          <m:r>
            <m:t>P</m:t>
          </m:r>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D</m:t>
                      </m:r>
                      <m:r>
                        <m:t>e</m:t>
                      </m:r>
                      <m:sSub>
                        <m:e>
                          <m:r>
                            <m:t>c</m:t>
                          </m:r>
                        </m:e>
                        <m:sub>
                          <m:r>
                            <m:t>t</m:t>
                          </m:r>
                        </m:sub>
                      </m:sSub>
                      <m:r>
                        <m:rPr>
                          <m:sty m:val="p"/>
                        </m:rPr>
                        <m:t>−</m:t>
                      </m:r>
                      <m:r>
                        <m:t>E</m:t>
                      </m:r>
                      <m:r>
                        <m:t>n</m:t>
                      </m:r>
                      <m:sSub>
                        <m:e>
                          <m:r>
                            <m:t>c</m:t>
                          </m:r>
                        </m:e>
                        <m:sub>
                          <m:r>
                            <m:t>t</m:t>
                          </m:r>
                        </m:sub>
                      </m:sSub>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15"/>
        </w:numPr>
      </w:pPr>
      <m:oMath>
        <m:r>
          <m:t>E</m:t>
        </m:r>
        <m:r>
          <m:t>n</m:t>
        </m:r>
        <m:sSub>
          <m:e>
            <m:r>
              <m:t>c</m:t>
            </m:r>
          </m:e>
          <m:sub>
            <m:r>
              <m:t>t</m:t>
            </m:r>
          </m:sub>
        </m:sSub>
      </m:oMath>
      <w:r>
        <w:t xml:space="preserve">: Les encaissements à la date</w:t>
      </w:r>
      <w:r>
        <w:t xml:space="preserve"> </w:t>
      </w:r>
      <m:oMath>
        <m:r>
          <m:t>t</m:t>
        </m:r>
      </m:oMath>
      <w:r>
        <w:t xml:space="preserve"> </w:t>
      </w:r>
      <w:r>
        <w:t xml:space="preserve">qui correspondent aux engagements des assurés.</w:t>
      </w:r>
    </w:p>
    <w:p>
      <w:pPr>
        <w:numPr>
          <w:ilvl w:val="0"/>
          <w:numId w:val="1015"/>
        </w:numPr>
      </w:pPr>
      <m:oMath>
        <m:r>
          <m:t>D</m:t>
        </m:r>
        <m:r>
          <m:t>e</m:t>
        </m:r>
        <m:sSub>
          <m:e>
            <m:r>
              <m:t>c</m:t>
            </m:r>
          </m:e>
          <m:sub>
            <m:r>
              <m:t>t</m:t>
            </m:r>
          </m:sub>
        </m:sSub>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5"/>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15"/>
        </w:numPr>
      </w:pPr>
      <w:r>
        <w:rPr>
          <w:bCs/>
          <w:b/>
        </w:rPr>
        <w:t xml:space="preserve">La table de rachat en montant</w:t>
      </w:r>
      <w:r>
        <w:t xml:space="preserve">.</w:t>
      </w:r>
    </w:p>
    <w:p>
      <w:pPr>
        <w:numPr>
          <w:ilvl w:val="0"/>
          <w:numId w:val="1015"/>
        </w:numPr>
      </w:pPr>
      <w:r>
        <w:rPr>
          <w:bCs/>
          <w:b/>
        </w:rPr>
        <w:t xml:space="preserve">La table de résiliation</w:t>
      </w:r>
      <w:r>
        <w:t xml:space="preserve">.</w:t>
      </w:r>
    </w:p>
    <w:p>
      <w:pPr>
        <w:numPr>
          <w:ilvl w:val="0"/>
          <w:numId w:val="1015"/>
        </w:numPr>
      </w:pPr>
      <w:r>
        <w:rPr>
          <w:bCs/>
          <w:b/>
        </w:rPr>
        <w:t xml:space="preserve">Un taux de sortie en rente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C:\PROGRA~1\RStudio\RESOUR~1\app\bin\quarto\share\formats\docx\tip.png" id="8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Les flux de trésorerie futurs probabilisés précités sont déterminés en considérant un horizon de projection suffisant pour la couverture de l’ensemble de la durée de vie des engagements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C:\PROGRA~1\RStudio\RESOUR~1\app\bin\quarto\share\formats\docx\tip.png" id="8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after="16"/>
            </w:pPr>
            <w:r>
              <w:t xml:space="preserve">Si on prend l’exemple d’un contrat d’assurance-vie mixte</w:t>
            </w:r>
            <w:r>
              <w:rPr>
                <w:rStyle w:val="FootnoteReference"/>
              </w:rPr>
              <w:footnoteReference w:id="86"/>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sSub>
                <m:e>
                  <m:r>
                    <m:t>P</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r>
                  <m:t>D</m:t>
                </m:r>
                <m:r>
                  <m:t>e</m:t>
                </m:r>
                <m:sSub>
                  <m:e>
                    <m:r>
                      <m:t>c</m:t>
                    </m:r>
                  </m:e>
                  <m:sub>
                    <m:r>
                      <m:t>t</m:t>
                    </m:r>
                  </m:sub>
                </m:sSub>
                <m:r>
                  <m:rPr>
                    <m:sty m:val="p"/>
                  </m:rPr>
                  <m:t>=</m:t>
                </m:r>
                <m:r>
                  <m:t>K</m:t>
                </m:r>
                <m:r>
                  <m:rPr>
                    <m:sty m:val="p"/>
                  </m:rPr>
                  <m:t>×</m:t>
                </m:r>
                <m:r>
                  <m:t>N</m:t>
                </m:r>
                <m:r>
                  <m:t>b</m:t>
                </m:r>
                <m:sSub>
                  <m:e>
                    <m:r>
                      <m:t>P</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tc>
      </w:tr>
    </w:tbl>
    <w:bookmarkEnd w:id="87"/>
    <w:bookmarkStart w:id="88" w:name="bénéfices-discrétionnaires-futurs"/>
    <w:p>
      <w:pPr>
        <w:pStyle w:val="Heading5"/>
      </w:pPr>
      <w:r>
        <w:t xml:space="preserve">7.1.1.2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bar>
            <m:barPr>
              <m:pos m:val="top"/>
            </m:barPr>
            <m:e>
              <m:r>
                <m:t>T</m:t>
              </m:r>
              <m:r>
                <m:t>P</m:t>
              </m:r>
              <m:r>
                <m:t>B</m:t>
              </m:r>
            </m:e>
          </m:bar>
          <m:r>
            <m:rPr>
              <m:sty m:val="p"/>
            </m:rPr>
            <m:t>×</m:t>
          </m:r>
          <m:d>
            <m:dPr>
              <m:begChr m:val="("/>
              <m:endChr m:val=")"/>
              <m:sepChr m:val=""/>
              <m:grow/>
            </m:dPr>
            <m:e>
              <m:r>
                <m:t>S</m:t>
              </m:r>
              <m:r>
                <m:t>T</m:t>
              </m:r>
              <m:r>
                <m:rPr>
                  <m:sty m:val="p"/>
                </m:rPr>
                <m:t>+</m:t>
              </m:r>
              <m:r>
                <m:t>S</m:t>
              </m:r>
              <m:r>
                <m:t>F</m:t>
              </m:r>
            </m:e>
          </m:d>
          <m:r>
            <m:rPr>
              <m:sty m:val="p"/>
            </m:rPr>
            <m:t>×</m:t>
          </m:r>
          <m:sSub>
            <m:e>
              <m:r>
                <m:rPr>
                  <m:sty m:val="b"/>
                </m:rPr>
                <m:t>1</m:t>
              </m:r>
            </m:e>
            <m:sub>
              <m:d>
                <m:dPr>
                  <m:begChr m:val="("/>
                  <m:endChr m:val=")"/>
                  <m:sepChr m:val=""/>
                  <m:grow/>
                </m:dPr>
                <m:e>
                  <m:r>
                    <m:t>S</m:t>
                  </m:r>
                  <m:r>
                    <m:t>T</m:t>
                  </m:r>
                  <m:r>
                    <m:rPr>
                      <m:sty m:val="p"/>
                    </m:rPr>
                    <m:t>+</m:t>
                  </m:r>
                  <m:r>
                    <m:t>S</m:t>
                  </m:r>
                  <m:r>
                    <m:t>F</m:t>
                  </m:r>
                </m:e>
              </m:d>
              <m:r>
                <m:rPr>
                  <m:sty m:val="p"/>
                </m:rPr>
                <m:t>&gt;</m:t>
              </m:r>
              <m:r>
                <m:t>0</m:t>
              </m:r>
            </m:sub>
          </m:sSub>
        </m:oMath>
      </m:oMathPara>
    </w:p>
    <w:p>
      <w:pPr>
        <w:pStyle w:val="FirstParagraph"/>
      </w:pPr>
      <w:r>
        <w:t xml:space="preserve">Avec :</w:t>
      </w:r>
    </w:p>
    <w:p>
      <w:pPr>
        <w:numPr>
          <w:ilvl w:val="0"/>
          <w:numId w:val="1016"/>
        </w:numPr>
      </w:pPr>
      <m:oMath>
        <m:r>
          <m:t>P</m:t>
        </m:r>
        <m:r>
          <m:t>P</m:t>
        </m:r>
        <m:r>
          <m:t>B</m:t>
        </m:r>
      </m:oMath>
      <w:r>
        <w:t xml:space="preserve"> </w:t>
      </w:r>
      <w:r>
        <w:t xml:space="preserve">: Le montant de la provision pour participation aux bénéfices, évaluée à la valeur comptable;</w:t>
      </w:r>
    </w:p>
    <w:p>
      <w:pPr>
        <w:numPr>
          <w:ilvl w:val="0"/>
          <w:numId w:val="1016"/>
        </w:numPr>
      </w:pPr>
      <m:oMath>
        <m:r>
          <m:t>S</m:t>
        </m:r>
        <m:r>
          <m:t>T</m:t>
        </m:r>
      </m:oMath>
      <w:r>
        <w:t xml:space="preserve"> </w:t>
      </w:r>
      <w:r>
        <w:t xml:space="preserve">: Somme des soldes techniques.</w:t>
      </w:r>
    </w:p>
    <w:p>
      <w:pPr>
        <w:numPr>
          <w:ilvl w:val="0"/>
          <w:numId w:val="1016"/>
        </w:numPr>
      </w:pPr>
      <m:oMath>
        <m:bar>
          <m:barPr>
            <m:pos m:val="top"/>
          </m:barPr>
          <m:e>
            <m:r>
              <m:t>T</m:t>
            </m:r>
            <m:r>
              <m:t>P</m:t>
            </m:r>
            <m:r>
              <m:t>B</m:t>
            </m:r>
          </m:e>
        </m:bar>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bar>
            <m:barPr>
              <m:pos m:val="top"/>
            </m:barPr>
            <m:e>
              <m:r>
                <m:t>T</m:t>
              </m:r>
              <m:r>
                <m:t>P</m:t>
              </m:r>
              <m:r>
                <m:t>B</m:t>
              </m:r>
            </m:e>
          </m:bar>
          <m:r>
            <m:rPr>
              <m:sty m:val="p"/>
            </m:rPr>
            <m:t>=</m:t>
          </m:r>
          <m:f>
            <m:fPr>
              <m:type m:val="bar"/>
            </m:fPr>
            <m:num>
              <m:r>
                <m:t>D</m:t>
              </m:r>
              <m:r>
                <m:t>o</m:t>
              </m:r>
              <m:r>
                <m:t>t</m:t>
              </m:r>
            </m:num>
            <m:den>
              <m:r>
                <m:t>R</m:t>
              </m:r>
              <m:r>
                <m:t>T</m:t>
              </m:r>
              <m:r>
                <m:rPr>
                  <m:sty m:val="p"/>
                </m:rPr>
                <m:t>+</m:t>
              </m:r>
              <m:r>
                <m:t>R</m:t>
              </m:r>
              <m:r>
                <m:t>F</m:t>
              </m:r>
            </m:den>
          </m:f>
        </m:oMath>
      </m:oMathPara>
    </w:p>
    <w:p>
      <w:pPr>
        <w:pStyle w:val="FirstParagraph"/>
      </w:pPr>
      <w:r>
        <w:t xml:space="preserve">Avec :</w:t>
      </w:r>
    </w:p>
    <w:p>
      <w:pPr>
        <w:numPr>
          <w:ilvl w:val="0"/>
          <w:numId w:val="1017"/>
        </w:numPr>
        <w:pStyle w:val="Compact"/>
      </w:pPr>
      <m:oMath>
        <m:r>
          <m:t>D</m:t>
        </m:r>
        <m:r>
          <m:t>o</m:t>
        </m:r>
        <m:r>
          <m:t>t</m:t>
        </m:r>
      </m:oMath>
      <w:r>
        <w:t xml:space="preserve"> </w:t>
      </w:r>
      <w:r>
        <w:t xml:space="preserve">: somme des dotations au titre, des trois derniers exercices clos au moins.</w:t>
      </w:r>
    </w:p>
    <w:p>
      <w:pPr>
        <w:numPr>
          <w:ilvl w:val="0"/>
          <w:numId w:val="1017"/>
        </w:numPr>
        <w:pStyle w:val="Compact"/>
      </w:pPr>
      <m:oMath>
        <m:r>
          <m:t>R</m:t>
        </m:r>
        <m:r>
          <m:t>T</m:t>
        </m:r>
      </m:oMath>
      <w:r>
        <w:t xml:space="preserve"> </w:t>
      </w:r>
      <w:r>
        <w:t xml:space="preserve">:les résultats techniques.</w:t>
      </w:r>
    </w:p>
    <w:p>
      <w:pPr>
        <w:numPr>
          <w:ilvl w:val="0"/>
          <w:numId w:val="1017"/>
        </w:numPr>
        <w:pStyle w:val="Compact"/>
      </w:pPr>
      <m:oMath>
        <m:r>
          <m:t>R</m:t>
        </m:r>
        <m:r>
          <m:t>F</m:t>
        </m:r>
      </m:oMath>
      <w:r>
        <w:t xml:space="preserve"> </w:t>
      </w:r>
      <w:r>
        <w:t xml:space="preserve">:les résultats financiers.</w:t>
      </w:r>
    </w:p>
    <w:bookmarkEnd w:id="88"/>
    <w:bookmarkEnd w:id="89"/>
    <w:bookmarkStart w:id="90" w:name="X0dedfd34ddaeaf1baa3793d4b4da364b43b18e0"/>
    <w:p>
      <w:pPr>
        <w:pStyle w:val="Heading4"/>
      </w:pPr>
      <w:r>
        <w:t xml:space="preserve">7.1.2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r>
            <m:t>E</m:t>
          </m:r>
          <m:r>
            <m:t>F</m:t>
          </m:r>
          <m:r>
            <m:t>G</m:t>
          </m:r>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sSub>
            <m:e>
              <m:r>
                <m:t>C</m:t>
              </m:r>
            </m:e>
            <m:sub>
              <m:r>
                <m:t>t</m:t>
              </m:r>
            </m:sub>
          </m:sSub>
          <m:r>
            <m:rPr>
              <m:sty m:val="p"/>
            </m:rPr>
            <m:t>×</m:t>
          </m:r>
          <m:bar>
            <m:barPr>
              <m:pos m:val="top"/>
            </m:barPr>
            <m:e>
              <m:r>
                <m:t>F</m:t>
              </m:r>
              <m:r>
                <m:t>G</m:t>
              </m:r>
              <m:sSub>
                <m:e>
                  <m:r>
                    <m:t>U</m:t>
                  </m:r>
                </m:e>
                <m:sub>
                  <m:r>
                    <m:t>t</m:t>
                  </m:r>
                </m:sub>
              </m:sSub>
            </m:e>
          </m:bar>
        </m:oMath>
      </m:oMathPara>
    </w:p>
    <w:p>
      <w:pPr>
        <w:pStyle w:val="FirstParagraph"/>
      </w:pPr>
      <w:r>
        <w:t xml:space="preserve">Avec :</w:t>
      </w:r>
    </w:p>
    <w:p>
      <w:pPr>
        <w:numPr>
          <w:ilvl w:val="0"/>
          <w:numId w:val="1018"/>
        </w:numPr>
        <w:pStyle w:val="Compact"/>
      </w:pPr>
      <m:oMath>
        <m:sSub>
          <m:e>
            <m:acc>
              <m:accPr>
                <m:chr m:val="‾"/>
              </m:accPr>
              <m:e>
                <m:r>
                  <m:t>F</m:t>
                </m:r>
                <m:r>
                  <m:t>G</m:t>
                </m:r>
                <m:r>
                  <m:t>U</m:t>
                </m:r>
              </m:e>
            </m:acc>
          </m:e>
          <m:sub>
            <m:r>
              <m:t>t</m:t>
            </m:r>
          </m:sub>
        </m:sSub>
      </m:oMath>
      <w:r>
        <w:t xml:space="preserve"> </w:t>
      </w:r>
      <w:r>
        <w:t xml:space="preserve">: Le montant de frais de gestion unitaire moyen est estimé en considérant la moyenne sur les trois derniers exercices clos des montants de frais de gestion unitaires.</w:t>
      </w:r>
    </w:p>
    <w:p>
      <w:pPr>
        <w:numPr>
          <w:ilvl w:val="0"/>
          <w:numId w:val="1018"/>
        </w:numPr>
        <w:pStyle w:val="Compact"/>
      </w:pPr>
      <m:oMath>
        <m:r>
          <m:t>N</m:t>
        </m:r>
        <m:r>
          <m:t>b</m:t>
        </m:r>
        <m:sSub>
          <m:e>
            <m:r>
              <m:t>C</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8"/>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bar>
            <m:barPr>
              <m:pos m:val="top"/>
            </m:barPr>
            <m:e>
              <m:r>
                <m:t>F</m:t>
              </m:r>
              <m:r>
                <m:t>G</m:t>
              </m:r>
              <m:sSub>
                <m:e>
                  <m:r>
                    <m:t>U</m:t>
                  </m:r>
                </m:e>
                <m:sub>
                  <m:r>
                    <m:t>t</m:t>
                  </m:r>
                </m:sub>
              </m:sSub>
            </m:e>
          </m:bar>
          <m:r>
            <m:rPr>
              <m:sty m:val="p"/>
            </m:rPr>
            <m:t>=</m:t>
          </m:r>
          <m:f>
            <m:fPr>
              <m:type m:val="bar"/>
            </m:fPr>
            <m:num>
              <m:f>
                <m:fPr>
                  <m:type m:val="bar"/>
                </m:fPr>
                <m:num>
                  <m:r>
                    <m:t>F</m:t>
                  </m:r>
                  <m:sSub>
                    <m:e>
                      <m:r>
                        <m:t>G</m:t>
                      </m:r>
                    </m:e>
                    <m:sub>
                      <m:r>
                        <m:t>t</m:t>
                      </m:r>
                      <m:r>
                        <m:rPr>
                          <m:sty m:val="p"/>
                        </m:rPr>
                        <m:t>−</m:t>
                      </m:r>
                      <m:r>
                        <m:t>1</m:t>
                      </m:r>
                    </m:sub>
                  </m:sSub>
                </m:num>
                <m:den>
                  <m:r>
                    <m:t>N</m:t>
                  </m:r>
                  <m:r>
                    <m:t>b</m:t>
                  </m:r>
                  <m:sSub>
                    <m:e>
                      <m:r>
                        <m:t>C</m:t>
                      </m:r>
                    </m:e>
                    <m:sub>
                      <m:r>
                        <m:t>t</m:t>
                      </m:r>
                      <m:r>
                        <m:rPr>
                          <m:sty m:val="p"/>
                        </m:rPr>
                        <m:t>−</m:t>
                      </m:r>
                      <m:r>
                        <m:t>1</m:t>
                      </m:r>
                    </m:sub>
                  </m:sSub>
                </m:den>
              </m:f>
              <m:r>
                <m:rPr>
                  <m:sty m:val="p"/>
                </m:rPr>
                <m:t>+</m:t>
              </m:r>
              <m:f>
                <m:fPr>
                  <m:type m:val="bar"/>
                </m:fPr>
                <m:num>
                  <m:r>
                    <m:t>F</m:t>
                  </m:r>
                  <m:sSub>
                    <m:e>
                      <m:r>
                        <m:t>G</m:t>
                      </m:r>
                    </m:e>
                    <m:sub>
                      <m:r>
                        <m:t>t</m:t>
                      </m:r>
                      <m:r>
                        <m:rPr>
                          <m:sty m:val="p"/>
                        </m:rPr>
                        <m:t>−</m:t>
                      </m:r>
                      <m:r>
                        <m:t>2</m:t>
                      </m:r>
                    </m:sub>
                  </m:sSub>
                </m:num>
                <m:den>
                  <m:r>
                    <m:t>N</m:t>
                  </m:r>
                  <m:r>
                    <m:t>b</m:t>
                  </m:r>
                  <m:sSub>
                    <m:e>
                      <m:r>
                        <m:t>C</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sSub>
                    <m:e>
                      <m:r>
                        <m:t>C</m:t>
                      </m:r>
                    </m:e>
                    <m:sub>
                      <m:r>
                        <m:t>t</m:t>
                      </m:r>
                      <m:r>
                        <m:rPr>
                          <m:sty m:val="p"/>
                        </m:rPr>
                        <m:t>−</m:t>
                      </m:r>
                      <m:r>
                        <m:t>3</m:t>
                      </m:r>
                    </m:sub>
                  </m:sSub>
                </m:den>
              </m:f>
            </m:num>
            <m:den>
              <m:r>
                <m:t>3</m:t>
              </m:r>
            </m:den>
          </m:f>
        </m:oMath>
      </m:oMathPara>
    </w:p>
    <w:bookmarkEnd w:id="90"/>
    <w:bookmarkEnd w:id="91"/>
    <w:bookmarkStart w:id="92" w:name="rentes-découlants-des-opérations-non-vie"/>
    <w:p>
      <w:pPr>
        <w:pStyle w:val="Heading3"/>
      </w:pPr>
      <w:r>
        <w:t xml:space="preserve">7.2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e</m:t>
              </m:r>
              <m:r>
                <m:t>n</m:t>
              </m:r>
              <m:r>
                <m:t>g</m:t>
              </m:r>
            </m:sub>
          </m:sSub>
          <m:r>
            <m:rPr>
              <m:sty m:val="p"/>
            </m:rPr>
            <m:t>=</m:t>
          </m:r>
          <m:r>
            <m:t>B</m:t>
          </m:r>
          <m:r>
            <m:t>E</m:t>
          </m:r>
          <m:r>
            <m:t>G</m:t>
          </m:r>
          <m:r>
            <m:t>P</m:t>
          </m:r>
        </m:oMath>
      </m:oMathPara>
    </w:p>
    <w:p>
      <w:pPr>
        <w:pStyle w:val="FirstParagraph"/>
      </w:pPr>
      <w:r>
        <w:t xml:space="preserve">Avec :</w:t>
      </w:r>
    </w:p>
    <w:p>
      <w:pPr>
        <w:numPr>
          <w:ilvl w:val="0"/>
          <w:numId w:val="1019"/>
        </w:numPr>
        <w:pStyle w:val="Compact"/>
      </w:pPr>
      <m:oMath>
        <m:r>
          <m:t>B</m:t>
        </m:r>
        <m:sSub>
          <m:e>
            <m:r>
              <m:t>E</m:t>
            </m:r>
          </m:e>
          <m:sub>
            <m:r>
              <m:t>e</m:t>
            </m:r>
            <m:r>
              <m:t>n</m:t>
            </m:r>
            <m:r>
              <m:t>g</m:t>
            </m:r>
          </m:sub>
        </m:sSub>
      </m:oMath>
      <w:r>
        <w:t xml:space="preserve"> </w:t>
      </w:r>
      <w:r>
        <w:t xml:space="preserve">: la meilleure estimation rentes découlant des opérations d’assurance non vie.</w:t>
      </w:r>
    </w:p>
    <w:p>
      <w:pPr>
        <w:numPr>
          <w:ilvl w:val="0"/>
          <w:numId w:val="1019"/>
        </w:numPr>
        <w:pStyle w:val="Compact"/>
      </w:pPr>
      <m:oMath>
        <m:r>
          <m:t>B</m:t>
        </m:r>
        <m:r>
          <m:t>E</m:t>
        </m:r>
        <m:r>
          <m:t>G</m:t>
        </m:r>
        <m:r>
          <m:t>P</m:t>
        </m:r>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92"/>
    <w:bookmarkStart w:id="121" w:name="X95164bc6af2e862e4c417e49c6d46de2a1b5d80"/>
    <w:p>
      <w:pPr>
        <w:pStyle w:val="Heading3"/>
      </w:pPr>
      <w:r>
        <w:t xml:space="preserve">7.3 Opérations d’assurance non vie hors rentes:</w:t>
      </w:r>
    </w:p>
    <w:bookmarkStart w:id="119" w:name="la-meilleure-estimation-des-engagements"/>
    <w:p>
      <w:pPr>
        <w:pStyle w:val="Heading4"/>
      </w:pPr>
      <w:r>
        <w:t xml:space="preserve">7.3.1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r>
            <m:t>B</m:t>
          </m:r>
          <m:sSub>
            <m:e>
              <m:r>
                <m:t>E</m:t>
              </m:r>
            </m:e>
            <m:sub>
              <m:r>
                <m:t>e</m:t>
              </m:r>
              <m:r>
                <m:t>n</m:t>
              </m:r>
              <m:r>
                <m:t>g</m:t>
              </m:r>
            </m:sub>
          </m:sSub>
          <m:r>
            <m:rPr>
              <m:sty m:val="p"/>
            </m:rPr>
            <m:t>=</m:t>
          </m:r>
          <m:r>
            <m:t>B</m:t>
          </m:r>
          <m:sSubSup>
            <m:e>
              <m:r>
                <m:t>E</m:t>
              </m:r>
            </m:e>
            <m:sub>
              <m:r>
                <m:t>e</m:t>
              </m:r>
              <m:r>
                <m:t>n</m:t>
              </m:r>
              <m:r>
                <m:t>g</m:t>
              </m:r>
            </m:sub>
            <m:sup>
              <m:r>
                <m:t>s</m:t>
              </m:r>
              <m:r>
                <m:t>i</m:t>
              </m:r>
              <m:r>
                <m:t>n</m:t>
              </m:r>
              <m:r>
                <m:t>i</m:t>
              </m:r>
              <m:r>
                <m:t>s</m:t>
              </m:r>
              <m:r>
                <m:t>t</m:t>
              </m:r>
              <m:r>
                <m:t>r</m:t>
              </m:r>
              <m:r>
                <m:t>e</m:t>
              </m:r>
              <m:r>
                <m:t>s</m:t>
              </m:r>
            </m:sup>
          </m:sSubSup>
          <m:r>
            <m:rPr>
              <m:sty m:val="p"/>
            </m:rPr>
            <m:t>+</m:t>
          </m:r>
          <m:r>
            <m:t>B</m:t>
          </m:r>
          <m:sSubSup>
            <m:e>
              <m:r>
                <m:t>E</m:t>
              </m:r>
            </m:e>
            <m:sub>
              <m:r>
                <m:t>e</m:t>
              </m:r>
              <m:r>
                <m:t>n</m:t>
              </m:r>
              <m:r>
                <m:t>g</m:t>
              </m:r>
            </m:sub>
            <m:sup>
              <m:r>
                <m:t>p</m:t>
              </m:r>
              <m:r>
                <m:t>r</m:t>
              </m:r>
              <m:r>
                <m:t>i</m:t>
              </m:r>
              <m:r>
                <m:t>m</m:t>
              </m:r>
              <m:r>
                <m:t>e</m:t>
              </m:r>
              <m:r>
                <m:t>s</m:t>
              </m:r>
            </m:sup>
          </m:sSubSup>
        </m:oMath>
      </m:oMathPara>
    </w:p>
    <w:bookmarkStart w:id="93" w:name="X56af061193cea9b2e2ce6b95dd7e468b62b6f19"/>
    <w:p>
      <w:pPr>
        <w:pStyle w:val="Heading5"/>
      </w:pPr>
      <w:r>
        <w:t xml:space="preserve">7.3.1.1 La meilleure estimation des engagements pour primes(</w:t>
      </w:r>
      <m:oMath>
        <m:sSub>
          <m:e>
            <m:r>
              <m:t>​</m:t>
            </m:r>
          </m:e>
          <m:sub>
            <m:r>
              <m:t>n</m:t>
            </m:r>
            <m:r>
              <m:t>v</m:t>
            </m:r>
            <m:r>
              <m:t>h</m:t>
            </m:r>
            <m:r>
              <m:t>r</m:t>
            </m:r>
          </m:sub>
        </m:sSub>
        <m:r>
          <m:t>B</m:t>
        </m:r>
        <m:sSubSup>
          <m:e>
            <m:r>
              <m:t>E</m:t>
            </m:r>
          </m:e>
          <m:sub>
            <m:r>
              <m:t>e</m:t>
            </m:r>
            <m:r>
              <m:t>n</m:t>
            </m:r>
            <m:r>
              <m:t>g</m:t>
            </m:r>
          </m:sub>
          <m:sup>
            <m:r>
              <m:t>p</m:t>
            </m:r>
            <m:r>
              <m:t>r</m:t>
            </m:r>
            <m:r>
              <m:t>i</m:t>
            </m:r>
            <m:r>
              <m:t>m</m:t>
            </m:r>
            <m:r>
              <m:t>e</m:t>
            </m:r>
            <m:r>
              <m:t>s</m:t>
            </m:r>
          </m:sup>
        </m:sSubSup>
      </m:oMath>
      <w:r>
        <w:t xml:space="preserve">):</w:t>
      </w:r>
    </w:p>
    <w:p>
      <w:pPr>
        <w:pStyle w:val="FirstParagraph"/>
      </w:pPr>
      <w:r>
        <w:t xml:space="preserve">La meilleure estimation des engagements pour primes correspond à la différence entre :</w:t>
      </w:r>
    </w:p>
    <w:p>
      <w:pPr>
        <w:numPr>
          <w:ilvl w:val="0"/>
          <w:numId w:val="1020"/>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20"/>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r>
            <m:t>B</m:t>
          </m:r>
          <m:sSubSup>
            <m:e>
              <m:r>
                <m:t>E</m:t>
              </m:r>
            </m:e>
            <m:sub>
              <m:r>
                <m:t>e</m:t>
              </m:r>
              <m:r>
                <m:t>n</m:t>
              </m:r>
              <m:r>
                <m:t>g</m:t>
              </m:r>
            </m:sub>
            <m:sup>
              <m:r>
                <m:t>p</m:t>
              </m:r>
              <m:r>
                <m:t>r</m:t>
              </m:r>
              <m:r>
                <m:t>i</m:t>
              </m:r>
              <m:r>
                <m:t>m</m:t>
              </m:r>
              <m:r>
                <m:t>e</m:t>
              </m:r>
              <m:r>
                <m:t>s</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oMath>
      </m:oMathPara>
    </w:p>
    <w:p>
      <w:pPr>
        <w:pStyle w:val="FirstParagraph"/>
      </w:pPr>
      <w:r>
        <w:t xml:space="preserve">avec:</w:t>
      </w:r>
    </w:p>
    <w:p>
      <w:pPr>
        <w:numPr>
          <w:ilvl w:val="0"/>
          <w:numId w:val="1021"/>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21"/>
        </w:numPr>
        <w:pStyle w:val="Compact"/>
      </w:pPr>
      <m:oMath>
        <m:r>
          <m:t>P</m:t>
        </m:r>
        <m:r>
          <m:t>F</m:t>
        </m:r>
        <m:r>
          <m:t>P</m:t>
        </m:r>
      </m:oMath>
      <w:r>
        <w:t xml:space="preserve">: Le montant des primes futures probabilisé.</w:t>
      </w:r>
    </w:p>
    <w:p>
      <w:pPr>
        <w:numPr>
          <w:ilvl w:val="0"/>
          <w:numId w:val="1021"/>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r>
            <m:t>L</m:t>
          </m:r>
          <m:r>
            <m:rPr>
              <m:sty m:val="p"/>
            </m:rPr>
            <m:t>*</m:t>
          </m:r>
          <m:r>
            <m:t>R</m:t>
          </m:r>
          <m:r>
            <m:t>S</m:t>
          </m:r>
          <m:r>
            <m:t>M</m:t>
          </m:r>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22"/>
        </w:numPr>
      </w:pPr>
      <m:oMath>
        <m:r>
          <m:t>T</m:t>
        </m:r>
        <m:r>
          <m:t>L</m:t>
        </m:r>
      </m:oMath>
      <w:r>
        <w:t xml:space="preserve">: le taux de liquidation,il est estimé en fonction de la cadence de liquidation des engagements pour sinistres survenus.</w:t>
      </w:r>
    </w:p>
    <w:p>
      <w:pPr>
        <w:numPr>
          <w:ilvl w:val="0"/>
          <w:numId w:val="1022"/>
        </w:numPr>
      </w:pPr>
      <m:oMath>
        <m:r>
          <m:t>R</m:t>
        </m:r>
        <m:r>
          <m:t>S</m:t>
        </m:r>
        <m:r>
          <m:t>M</m:t>
        </m:r>
      </m:oMath>
      <w:r>
        <w:t xml:space="preserve">: le ratio de sinistralité moyen telle que:</w:t>
      </w:r>
    </w:p>
    <w:p>
      <w:pPr>
        <w:pStyle w:val="BodyText"/>
      </w:pPr>
      <m:oMathPara>
        <m:oMathParaPr>
          <m:jc m:val="center"/>
        </m:oMathParaPr>
        <m:oMath>
          <m:r>
            <m:t>R</m:t>
          </m:r>
          <m:r>
            <m:t>S</m:t>
          </m:r>
          <m:sSub>
            <m:e>
              <m:r>
                <m:t>M</m:t>
              </m:r>
            </m:e>
            <m:sub>
              <m:r>
                <m:t>t</m:t>
              </m:r>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22"/>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22"/>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sSub>
            <m:e>
              <m:r>
                <m:t>C</m:t>
              </m:r>
            </m:e>
            <m:sub>
              <m:r>
                <m:t>t</m:t>
              </m:r>
            </m:sub>
          </m:sSub>
          <m:r>
            <m:rPr>
              <m:sty m:val="p"/>
            </m:rPr>
            <m:t>+</m:t>
          </m:r>
          <m:r>
            <m:t>R</m:t>
          </m:r>
          <m:sSub>
            <m:e>
              <m:r>
                <m:t>F</m:t>
              </m:r>
            </m:e>
            <m:sub>
              <m:r>
                <m:t>t</m:t>
              </m:r>
            </m:sub>
          </m:sSub>
        </m:oMath>
      </m:oMathPara>
    </w:p>
    <w:p>
      <w:pPr>
        <w:numPr>
          <w:ilvl w:val="0"/>
          <w:numId w:val="1023"/>
        </w:numPr>
        <w:pStyle w:val="Compact"/>
      </w:pPr>
      <m:oMath>
        <m:r>
          <m:t>R</m:t>
        </m:r>
        <m:sSub>
          <m:e>
            <m:r>
              <m:t>C</m:t>
            </m:r>
          </m:e>
          <m:sub>
            <m:r>
              <m:t>t</m:t>
            </m:r>
          </m:sub>
        </m:sSub>
      </m:oMath>
      <w:r>
        <w:t xml:space="preserve"> </w:t>
      </w:r>
      <w:r>
        <w:t xml:space="preserve">: les règlements cumulés</w:t>
      </w:r>
    </w:p>
    <w:p>
      <w:pPr>
        <w:numPr>
          <w:ilvl w:val="0"/>
          <w:numId w:val="1023"/>
        </w:numPr>
        <w:pStyle w:val="Compact"/>
      </w:pPr>
      <m:oMath>
        <m:r>
          <m:t>R</m:t>
        </m:r>
        <m:sSub>
          <m:e>
            <m:r>
              <m:t>F</m:t>
            </m:r>
          </m:e>
          <m:sub>
            <m:r>
              <m:t>t</m:t>
            </m:r>
          </m:sub>
        </m:sSub>
      </m:oMath>
      <w:r>
        <w:t xml:space="preserve">: les règlements futurs</w:t>
      </w:r>
    </w:p>
    <w:p>
      <w:pPr>
        <w:numPr>
          <w:ilvl w:val="0"/>
          <w:numId w:val="1023"/>
        </w:numPr>
        <w:pStyle w:val="Compact"/>
      </w:pPr>
      <m:oMath>
        <m:r>
          <m:t>P</m:t>
        </m:r>
        <m:r>
          <m:t>P</m:t>
        </m:r>
        <m:r>
          <m:t>N</m:t>
        </m:r>
        <m:r>
          <m:t>A</m:t>
        </m:r>
      </m:oMath>
      <w:r>
        <w:t xml:space="preserve">: La provision pour primes non acquises.</w:t>
      </w:r>
    </w:p>
    <w:p>
      <w:pPr>
        <w:numPr>
          <w:ilvl w:val="0"/>
          <w:numId w:val="1023"/>
        </w:numPr>
        <w:pStyle w:val="Compact"/>
      </w:pPr>
      <m:oMath>
        <m:r>
          <m:t>P</m:t>
        </m:r>
        <m:r>
          <m:t>F</m:t>
        </m:r>
        <m:r>
          <m:t>P</m:t>
        </m:r>
      </m:oMath>
      <w:r>
        <w:t xml:space="preserve">: Le montant des primes futures probabilisé.</w:t>
      </w:r>
    </w:p>
    <w:bookmarkEnd w:id="93"/>
    <w:bookmarkStart w:id="94" w:name="X3edbf5e1227433cf91f7fc096d666a633ac2f09"/>
    <w:p>
      <w:pPr>
        <w:pStyle w:val="Heading5"/>
      </w:pPr>
      <w:r>
        <w:t xml:space="preserve">7.3.1.2 La meilleure estimation des engagements pour sinistres nets (</w:t>
      </w:r>
      <m:oMath>
        <m:r>
          <m:t>B</m:t>
        </m:r>
        <m:sSubSup>
          <m:e>
            <m:r>
              <m:t>E</m:t>
            </m:r>
          </m:e>
          <m:sub>
            <m:r>
              <m:t>e</m:t>
            </m:r>
            <m:r>
              <m:t>n</m:t>
            </m:r>
            <m:r>
              <m:t>g</m:t>
            </m:r>
          </m:sub>
          <m:sup>
            <m:r>
              <m:t>s</m:t>
            </m:r>
            <m:r>
              <m:t>i</m:t>
            </m:r>
            <m:r>
              <m:t>n</m:t>
            </m:r>
            <m:r>
              <m:t>i</m:t>
            </m:r>
            <m:r>
              <m:t>s</m:t>
            </m:r>
            <m:r>
              <m:t>t</m:t>
            </m:r>
            <m:r>
              <m:t>r</m:t>
            </m:r>
            <m:r>
              <m:t>e</m:t>
            </m:r>
            <m:r>
              <m:t>s</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r>
            <m:t>B</m:t>
          </m:r>
          <m:sSubSup>
            <m:e>
              <m:r>
                <m:t>E</m:t>
              </m:r>
            </m:e>
            <m:sub>
              <m:r>
                <m:t>e</m:t>
              </m:r>
              <m:r>
                <m:t>n</m:t>
              </m:r>
              <m:r>
                <m:t>g</m:t>
              </m:r>
            </m:sub>
            <m:sup>
              <m:r>
                <m:t>s</m:t>
              </m:r>
              <m:r>
                <m:t>i</m:t>
              </m:r>
              <m:r>
                <m:t>n</m:t>
              </m:r>
              <m:r>
                <m:t>i</m:t>
              </m:r>
              <m:r>
                <m:t>s</m:t>
              </m:r>
              <m:r>
                <m:t>t</m:t>
              </m:r>
              <m:r>
                <m:t>r</m:t>
              </m:r>
              <m:r>
                <m:t>e</m:t>
              </m:r>
              <m:r>
                <m:t>s</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4"/>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w:t>
      </w:r>
      <w:r>
        <w:rPr>
          <w:iCs/>
          <w:i/>
        </w:rPr>
        <w:t xml:space="preserve">annexe N°5</w:t>
      </w:r>
      <w:r>
        <w:t xml:space="preserve"> </w:t>
      </w:r>
      <w:r>
        <w:t xml:space="preserve">de la circulaire de l’ACAPS.</w:t>
      </w:r>
    </w:p>
    <w:bookmarkEnd w:id="94"/>
    <w:bookmarkStart w:id="95" w:name="X574a46407ada84d5774a3057497baf873ebb70b"/>
    <w:p>
      <w:pPr>
        <w:pStyle w:val="Heading5"/>
      </w:pPr>
      <w:r>
        <w:t xml:space="preserve">7.3.1.3 Méthode de calcul des flux de réglements futurs probabilisés pour les opérations non-vie hors rentes</w:t>
      </w:r>
    </w:p>
    <w:bookmarkEnd w:id="95"/>
    <w:bookmarkStart w:id="111" w:name="méthode-des-cadences-chain-ladder"/>
    <w:p>
      <w:pPr>
        <w:pStyle w:val="Heading5"/>
      </w:pPr>
      <w:r>
        <w:t xml:space="preserve">7.3.1.4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7" name="Picture"/>
                  <a:graphic>
                    <a:graphicData uri="http://schemas.openxmlformats.org/drawingml/2006/picture">
                      <pic:pic>
                        <pic:nvPicPr>
                          <pic:cNvPr descr="C:\PROGRA~1\RStudio\RESOUR~1\app\bin\quarto\share\formats\docx\note.png" id="98"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9" name="Picture"/>
                  <a:graphic>
                    <a:graphicData uri="http://schemas.openxmlformats.org/drawingml/2006/picture">
                      <pic:pic>
                        <pic:nvPicPr>
                          <pic:cNvPr descr="C:\PROGRA~1\RStudio\RESOUR~1\app\bin\quarto\share\formats\docx\note.png" id="100"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t> </m:t>
                </m:r>
                <m:r>
                  <m:rPr>
                    <m:nor/>
                    <m:sty m:val="p"/>
                  </m:rPr>
                  <m:t>pour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C:\PROGRA~1\RStudio\RESOUR~1\app\bin\quarto\share\formats\docx\note.png" id="102"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5"/>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6"/>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3" name="Picture"/>
                  <a:graphic>
                    <a:graphicData uri="http://schemas.openxmlformats.org/drawingml/2006/picture">
                      <pic:pic>
                        <pic:nvPicPr>
                          <pic:cNvPr descr="C:\PROGRA~1\RStudio\RESOUR~1\app\bin\quarto\share\formats\docx\note.png" id="104"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5" name="Picture"/>
                  <a:graphic>
                    <a:graphicData uri="http://schemas.openxmlformats.org/drawingml/2006/picture">
                      <pic:pic>
                        <pic:nvPicPr>
                          <pic:cNvPr descr="C:\PROGRA~1\RStudio\RESOUR~1\app\bin\quarto\share\formats\docx\note.png" id="106"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C:\PROGRA~1\RStudio\RESOUR~1\app\bin\quarto\share\formats\docx\note.png" id="108"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p</m:t>
                </m:r>
                <m:r>
                  <m:t>o</m:t>
                </m:r>
                <m:r>
                  <m:t>u</m:t>
                </m:r>
                <m:r>
                  <m:t>r</m:t>
                </m:r>
                <m:r>
                  <m:t> </m:t>
                </m:r>
                <m:r>
                  <m:t> </m:t>
                </m:r>
                <m:r>
                  <m:t>1</m:t>
                </m:r>
                <m:r>
                  <m:rPr>
                    <m:sty m:val="p"/>
                  </m:rPr>
                  <m:t>≤</m:t>
                </m:r>
                <m:r>
                  <m:t>i</m:t>
                </m:r>
                <m:r>
                  <m:rPr>
                    <m:sty m:val="p"/>
                  </m:rPr>
                  <m:t>,</m:t>
                </m:r>
                <m:r>
                  <m:t>j</m:t>
                </m:r>
                <m:r>
                  <m:rPr>
                    <m:sty m:val="p"/>
                  </m:rPr>
                  <m:t>≤</m:t>
                </m:r>
                <m:r>
                  <m:t>n</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C:\PROGRA~1\RStudio\RESOUR~1\app\bin\quarto\share\formats\docx\note.png" id="110"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111"/>
    <w:bookmarkStart w:id="112" w:name="méthode-des-cadences-avec-inflation"/>
    <w:p>
      <w:pPr>
        <w:pStyle w:val="Heading5"/>
      </w:pPr>
      <w:r>
        <w:t xml:space="preserve">7.3.1.5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112"/>
    <w:bookmarkStart w:id="113" w:name="la-méthode-du-ratio-de-paiement"/>
    <w:p>
      <w:pPr>
        <w:pStyle w:val="Heading5"/>
      </w:pPr>
      <w:r>
        <w:t xml:space="preserve">7.3.1.6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113"/>
    <w:bookmarkStart w:id="118" w:name="la-méthode-du-ratio-de-paiement-1"/>
    <w:p>
      <w:pPr>
        <w:pStyle w:val="Heading5"/>
      </w:pPr>
      <w:r>
        <w:t xml:space="preserve">7.3.1.7 La méthode du ratio de paiement</w:t>
      </w:r>
    </w:p>
    <w:p>
      <w:pPr>
        <w:pStyle w:val="FirstParagraph"/>
      </w:pPr>
      <w:r>
        <w:t xml:space="preserve">La méthode de Bornhuetter-Ferguson</w:t>
      </w:r>
      <w:r>
        <w:rPr>
          <w:rStyle w:val="FootnoteReference"/>
        </w:rPr>
        <w:footnoteReference w:id="114"/>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115"/>
      </w:r>
      <w:r>
        <w:t xml:space="preserve"> </w:t>
      </w:r>
      <w:r>
        <w:t xml:space="preserve">Cette méthode se formule comme suit :</w:t>
      </w:r>
    </w:p>
    <w:p>
      <w:pPr>
        <w:pStyle w:val="BodyText"/>
      </w:pPr>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d>
            <m:dPr>
              <m:begChr m:val="("/>
              <m:endChr m:val=")"/>
              <m:sepChr m:val=""/>
              <m:grow/>
            </m:dPr>
            <m:e>
              <m:r>
                <m:t>1</m:t>
              </m:r>
              <m:r>
                <m:rPr>
                  <m:sty m:val="p"/>
                </m:rPr>
                <m:t>−</m:t>
              </m:r>
              <m:f>
                <m:fPr>
                  <m:type m:val="bar"/>
                </m:fPr>
                <m:num>
                  <m:r>
                    <m:t>1</m:t>
                  </m:r>
                </m:num>
                <m:den>
                  <m:r>
                    <m:t>L</m:t>
                  </m:r>
                  <m:r>
                    <m:t>D</m:t>
                  </m:r>
                  <m:r>
                    <m:t>F</m:t>
                  </m:r>
                </m:den>
              </m:f>
            </m:e>
          </m:d>
        </m:oMath>
      </m:oMathPara>
    </w:p>
    <w:p>
      <w:pPr>
        <w:pStyle w:val="FirstParagraph"/>
      </w:pPr>
      <w:r>
        <w:t xml:space="preserve">avec :</w:t>
      </w:r>
    </w:p>
    <w:p>
      <w:pPr>
        <w:numPr>
          <w:ilvl w:val="0"/>
          <w:numId w:val="1027"/>
        </w:numPr>
        <w:pStyle w:val="Compact"/>
      </w:pPr>
      <m:oMath>
        <m:r>
          <m:t>L</m:t>
        </m:r>
      </m:oMath>
      <w:r>
        <w:t xml:space="preserve"> </w:t>
      </w:r>
      <w:r>
        <w:t xml:space="preserve">: coût total estimé par cette méthode.</w:t>
      </w:r>
    </w:p>
    <w:p>
      <w:pPr>
        <w:numPr>
          <w:ilvl w:val="0"/>
          <w:numId w:val="1027"/>
        </w:numPr>
        <w:pStyle w:val="Compact"/>
      </w:pPr>
      <m:oMath>
        <m:r>
          <m:t>D</m:t>
        </m:r>
      </m:oMath>
      <w:r>
        <w:t xml:space="preserve"> </w:t>
      </w:r>
      <w:r>
        <w:t xml:space="preserve">: coût total estimé en fonction des sinistres connues.</w:t>
      </w:r>
    </w:p>
    <w:p>
      <w:pPr>
        <w:numPr>
          <w:ilvl w:val="0"/>
          <w:numId w:val="1027"/>
        </w:numPr>
        <w:pStyle w:val="Compact"/>
      </w:pPr>
      <m:oMath>
        <m:r>
          <m:t>A</m:t>
        </m:r>
      </m:oMath>
      <w:r>
        <w:t xml:space="preserve"> </w:t>
      </w:r>
      <w:r>
        <w:t xml:space="preserve">: coût total (connus + tardifs) attendu a priori.</w:t>
      </w:r>
    </w:p>
    <w:p>
      <w:pPr>
        <w:numPr>
          <w:ilvl w:val="0"/>
          <w:numId w:val="1027"/>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6" name="Picture"/>
                  <a:graphic>
                    <a:graphicData uri="http://schemas.openxmlformats.org/drawingml/2006/picture">
                      <pic:pic>
                        <pic:nvPicPr>
                          <pic:cNvPr descr="C:\PROGRA~1\RStudio\RESOUR~1\app\bin\quarto\share\formats\docx\tip.png" id="11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118"/>
    <w:bookmarkEnd w:id="119"/>
    <w:bookmarkStart w:id="120" w:name="X7e63ab4301a770f99d7cb8d654e83cd2564e4b4"/>
    <w:p>
      <w:pPr>
        <w:pStyle w:val="Heading4"/>
      </w:pPr>
      <w:r>
        <w:t xml:space="preserve">7.3.2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r>
            <m:t>B</m:t>
          </m:r>
          <m:r>
            <m:t>E</m:t>
          </m:r>
          <m:r>
            <m:t>F</m:t>
          </m:r>
          <m:r>
            <m:t>G</m:t>
          </m:r>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8"/>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r>
            <m:t>F</m:t>
          </m:r>
          <m:r>
            <m:t>G</m:t>
          </m:r>
          <m:r>
            <m:t>M</m:t>
          </m:r>
          <m:r>
            <m:rPr>
              <m:sty m:val="p"/>
            </m:rPr>
            <m:t>*</m:t>
          </m:r>
          <m:d>
            <m:dPr>
              <m:begChr m:val="("/>
              <m:endChr m:val=")"/>
              <m:sepChr m:val=""/>
              <m:grow/>
            </m:dPr>
            <m:e>
              <m:r>
                <m:t>B</m:t>
              </m:r>
              <m:sSubSup>
                <m:e>
                  <m:r>
                    <m:t>E</m:t>
                  </m:r>
                </m:e>
                <m:sub>
                  <m:r>
                    <m:t>e</m:t>
                  </m:r>
                  <m:r>
                    <m:t>n</m:t>
                  </m:r>
                  <m:r>
                    <m:t>g</m:t>
                  </m:r>
                </m:sub>
                <m:sup>
                  <m:r>
                    <m:t>s</m:t>
                  </m:r>
                  <m:r>
                    <m:t>i</m:t>
                  </m:r>
                  <m:r>
                    <m:t>n</m:t>
                  </m:r>
                  <m:r>
                    <m:t>i</m:t>
                  </m:r>
                  <m:r>
                    <m:t>s</m:t>
                  </m:r>
                  <m:r>
                    <m:t>t</m:t>
                  </m:r>
                  <m:r>
                    <m:t>r</m:t>
                  </m:r>
                  <m:r>
                    <m:t>e</m:t>
                  </m:r>
                  <m:r>
                    <m:t>s</m:t>
                  </m:r>
                </m:sup>
              </m:sSubSup>
              <m:r>
                <m:rPr>
                  <m:sty m:val="p"/>
                </m:rPr>
                <m:t>+</m:t>
              </m:r>
              <m:r>
                <m:t>B</m:t>
              </m:r>
              <m:sSubSup>
                <m:e>
                  <m:r>
                    <m:t>E</m:t>
                  </m:r>
                </m:e>
                <m:sub>
                  <m:r>
                    <m:t>e</m:t>
                  </m:r>
                  <m:r>
                    <m:t>n</m:t>
                  </m:r>
                  <m:r>
                    <m:t>g</m:t>
                  </m:r>
                </m:sub>
                <m:sup>
                  <m:r>
                    <m:t>p</m:t>
                  </m:r>
                  <m:r>
                    <m:t>r</m:t>
                  </m:r>
                  <m:r>
                    <m:t>i</m:t>
                  </m:r>
                  <m:r>
                    <m:t>m</m:t>
                  </m:r>
                  <m:r>
                    <m:t>e</m:t>
                  </m:r>
                  <m:r>
                    <m:t>s</m:t>
                  </m:r>
                </m:sup>
              </m:sSubSup>
            </m:e>
          </m:d>
        </m:oMath>
      </m:oMathPara>
    </w:p>
    <w:p>
      <w:pPr>
        <w:pStyle w:val="FirstParagraph"/>
      </w:pPr>
      <w:r>
        <w:t xml:space="preserve">et:</w:t>
      </w:r>
    </w:p>
    <w:p>
      <w:pPr>
        <w:numPr>
          <w:ilvl w:val="0"/>
          <w:numId w:val="1029"/>
        </w:numPr>
        <w:pStyle w:val="Compact"/>
      </w:pPr>
      <m:oMath>
        <m:r>
          <m:t>T</m:t>
        </m:r>
        <m:r>
          <m:t>F</m:t>
        </m:r>
        <m:r>
          <m:t>G</m:t>
        </m:r>
        <m:r>
          <m:t>M</m:t>
        </m:r>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r>
            <m:t>T</m:t>
          </m:r>
          <m:r>
            <m:t>F</m:t>
          </m:r>
          <m:r>
            <m:t>G</m:t>
          </m:r>
          <m:r>
            <m:t>M</m:t>
          </m:r>
          <m:r>
            <m:rPr>
              <m:sty m:val="p"/>
            </m:rPr>
            <m:t>=</m:t>
          </m:r>
          <m:f>
            <m:fPr>
              <m:type m:val="bar"/>
            </m:fPr>
            <m:num>
              <m:r>
                <m:t>T</m:t>
              </m:r>
              <m:r>
                <m:t>F</m:t>
              </m:r>
              <m:sSub>
                <m:e>
                  <m:r>
                    <m:t>G</m:t>
                  </m:r>
                </m:e>
                <m:sub>
                  <m:r>
                    <m:t>t</m:t>
                  </m:r>
                </m:sub>
              </m:sSub>
              <m:r>
                <m:rPr>
                  <m:sty m:val="p"/>
                </m:rPr>
                <m:t>+</m:t>
              </m:r>
              <m:r>
                <m:t>T</m:t>
              </m:r>
              <m:r>
                <m:t>F</m:t>
              </m:r>
              <m:sSub>
                <m:e>
                  <m:r>
                    <m:t>G</m:t>
                  </m:r>
                </m:e>
                <m:sub>
                  <m:r>
                    <m:t>t</m:t>
                  </m:r>
                  <m:r>
                    <m:rPr>
                      <m:sty m:val="p"/>
                    </m:rPr>
                    <m:t>−</m:t>
                  </m:r>
                  <m:r>
                    <m:t>1</m:t>
                  </m:r>
                </m:sub>
              </m:sSub>
              <m:r>
                <m:rPr>
                  <m:sty m:val="p"/>
                </m:rPr>
                <m:t>+</m:t>
              </m:r>
              <m:r>
                <m:t>T</m:t>
              </m:r>
              <m:r>
                <m:t>F</m:t>
              </m:r>
              <m:sSub>
                <m:e>
                  <m:r>
                    <m:t>G</m:t>
                  </m:r>
                </m:e>
                <m:sub>
                  <m:r>
                    <m:t>t</m:t>
                  </m:r>
                  <m:r>
                    <m:rPr>
                      <m:sty m:val="p"/>
                    </m:rPr>
                    <m:t>−</m:t>
                  </m:r>
                  <m:r>
                    <m:t>2</m:t>
                  </m:r>
                </m:sub>
              </m:sSub>
            </m:num>
            <m:den>
              <m:r>
                <m:t>3</m:t>
              </m:r>
            </m:den>
          </m:f>
        </m:oMath>
      </m:oMathPara>
    </w:p>
    <w:p>
      <w:pPr>
        <w:pStyle w:val="FirstParagraph"/>
      </w:pPr>
      <w:r>
        <w:t xml:space="preserve">ainsi que :</w:t>
      </w:r>
    </w:p>
    <w:p>
      <w:pPr>
        <w:pStyle w:val="BodyText"/>
      </w:pPr>
      <m:oMathPara>
        <m:oMathParaPr>
          <m:jc m:val="center"/>
        </m:oMathParaPr>
        <m:oMath>
          <m:r>
            <m:t>T</m:t>
          </m:r>
          <m:r>
            <m:t>F</m:t>
          </m:r>
          <m:sSub>
            <m:e>
              <m:r>
                <m:t>G</m:t>
              </m:r>
            </m:e>
            <m:sub>
              <m:r>
                <m:t>t</m:t>
              </m:r>
            </m:sub>
          </m:sSub>
          <m:r>
            <m:rPr>
              <m:sty m:val="p"/>
            </m:rPr>
            <m:t>=</m:t>
          </m:r>
          <m:f>
            <m:fPr>
              <m:type m:val="bar"/>
            </m:fPr>
            <m:num>
              <m:r>
                <m:t>F</m:t>
              </m:r>
              <m:r>
                <m:t>G</m:t>
              </m:r>
            </m:num>
            <m:den>
              <m:r>
                <m:t>B</m:t>
              </m:r>
              <m:sSubSup>
                <m:e>
                  <m:r>
                    <m:t>E</m:t>
                  </m:r>
                </m:e>
                <m:sub>
                  <m:r>
                    <m:t>e</m:t>
                  </m:r>
                  <m:r>
                    <m:t>n</m:t>
                  </m:r>
                  <m:r>
                    <m:t>g</m:t>
                  </m:r>
                </m:sub>
                <m:sup>
                  <m:r>
                    <m:t>s</m:t>
                  </m:r>
                  <m:r>
                    <m:t>i</m:t>
                  </m:r>
                  <m:r>
                    <m:t>n</m:t>
                  </m:r>
                  <m:r>
                    <m:t>i</m:t>
                  </m:r>
                  <m:r>
                    <m:t>s</m:t>
                  </m:r>
                  <m:r>
                    <m:t>t</m:t>
                  </m:r>
                  <m:r>
                    <m:t>r</m:t>
                  </m:r>
                  <m:r>
                    <m:t>e</m:t>
                  </m:r>
                  <m:r>
                    <m:t>s</m:t>
                  </m:r>
                </m:sup>
              </m:sSubSup>
              <m:r>
                <m:rPr>
                  <m:sty m:val="p"/>
                </m:rPr>
                <m:t>+</m:t>
              </m:r>
              <m:r>
                <m:t>R</m:t>
              </m:r>
              <m:r>
                <m:t>E</m:t>
              </m:r>
              <m:r>
                <m:t>C</m:t>
              </m:r>
            </m:den>
          </m:f>
        </m:oMath>
      </m:oMathPara>
    </w:p>
    <w:p>
      <w:pPr>
        <w:numPr>
          <w:ilvl w:val="0"/>
          <w:numId w:val="1030"/>
        </w:numPr>
        <w:pStyle w:val="Compact"/>
      </w:pPr>
      <m:oMath>
        <m:r>
          <m:t>F</m:t>
        </m:r>
        <m:r>
          <m:t>G</m:t>
        </m:r>
      </m:oMath>
      <w:r>
        <w:t xml:space="preserve">: le montant frais de gestion.</w:t>
      </w:r>
    </w:p>
    <w:p>
      <w:pPr>
        <w:numPr>
          <w:ilvl w:val="0"/>
          <w:numId w:val="1030"/>
        </w:numPr>
        <w:pStyle w:val="Compact"/>
      </w:pPr>
      <m:oMath>
        <m:r>
          <m:t>R</m:t>
        </m:r>
        <m:r>
          <m:t>E</m:t>
        </m:r>
        <m:r>
          <m:t>C</m:t>
        </m:r>
      </m:oMath>
      <w:r>
        <w:t xml:space="preserve"> </w:t>
      </w:r>
      <w:r>
        <w:t xml:space="preserve">: les règlements au titre de l’exercice clos.</w:t>
      </w:r>
    </w:p>
    <w:bookmarkEnd w:id="120"/>
    <w:bookmarkEnd w:id="121"/>
    <w:bookmarkStart w:id="132" w:name="Xf3f8abd7a5710234231d4d992dd0ccf8ee2969b"/>
    <w:p>
      <w:pPr>
        <w:pStyle w:val="Heading3"/>
      </w:pPr>
      <w:r>
        <w:t xml:space="preserve">7.4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C</m:t>
          </m:r>
          <m:r>
            <m:rPr>
              <m:sty m:val="p"/>
            </m:rPr>
            <m:t>=</m:t>
          </m:r>
          <m:r>
            <m:t>B</m:t>
          </m:r>
          <m:sSubSup>
            <m:e>
              <m:r>
                <m:t>E</m:t>
              </m:r>
            </m:e>
            <m:sub>
              <m:r>
                <m:t>e</m:t>
              </m:r>
              <m:r>
                <m:t>n</m:t>
              </m:r>
              <m:r>
                <m:t>g</m:t>
              </m:r>
            </m:sub>
            <m:sup>
              <m:r>
                <m:t>c</m:t>
              </m:r>
              <m:r>
                <m:t>e</m:t>
              </m:r>
              <m:r>
                <m:t>d</m:t>
              </m:r>
              <m:r>
                <m:t>e</m:t>
              </m:r>
              <m:r>
                <m:t>s</m:t>
              </m:r>
            </m:sup>
          </m:sSubSup>
          <m:r>
            <m:rPr>
              <m:sty m:val="p"/>
            </m:rPr>
            <m:t>−</m:t>
          </m:r>
          <m:r>
            <m:t>A</m:t>
          </m:r>
          <m:r>
            <m:t>d</m:t>
          </m:r>
          <m:r>
            <m:t>j</m:t>
          </m:r>
        </m:oMath>
      </m:oMathPara>
    </w:p>
    <w:bookmarkStart w:id="124" w:name="X2a1b8cf2422c04aac5fbeb38e9044a51a42d991"/>
    <w:p>
      <w:pPr>
        <w:pStyle w:val="Heading4"/>
      </w:pPr>
      <w:r>
        <w:t xml:space="preserve">7.4.1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122"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 engagements par le rapport entre d’une part, la part des cessionnaires dans les provisions mathématiques et dans les provisions pour capitaux, rentes et rachats à payer et d’autre part, la somme des provisions mathématiques , des provisions pour capitaux, rentes et rachats à payer bruts de réassurance.</w:t>
      </w:r>
    </w:p>
    <w:p>
      <w:pPr>
        <w:pStyle w:val="BodyText"/>
      </w:pPr>
      <m:oMathPara>
        <m:oMathParaPr>
          <m:jc m:val="center"/>
        </m:oMathParaPr>
        <m:oMath>
          <m:r>
            <m:t>B</m:t>
          </m:r>
          <m:sSubSup>
            <m:e>
              <m:r>
                <m:t>E</m:t>
              </m:r>
            </m:e>
            <m:sub>
              <m:r>
                <m:t>e</m:t>
              </m:r>
              <m:r>
                <m:t>n</m:t>
              </m:r>
              <m:r>
                <m:t>g</m:t>
              </m:r>
            </m:sub>
            <m:sup>
              <m:r>
                <m:t>c</m:t>
              </m:r>
              <m:r>
                <m:t>e</m:t>
              </m:r>
              <m:r>
                <m:t>d</m:t>
              </m:r>
              <m:r>
                <m:t>e</m:t>
              </m:r>
              <m:r>
                <m:t>s</m:t>
              </m:r>
            </m:sup>
          </m:sSubSup>
          <m:r>
            <m:rPr>
              <m:sty m:val="p"/>
            </m:rPr>
            <m:t>=</m:t>
          </m:r>
          <m:r>
            <m:t>T</m:t>
          </m:r>
          <m:r>
            <m:t>C</m:t>
          </m:r>
          <m:r>
            <m:rPr>
              <m:sty m:val="p"/>
            </m:rPr>
            <m:t>×</m:t>
          </m:r>
          <m:r>
            <m:t>B</m:t>
          </m:r>
          <m:sSub>
            <m:e>
              <m:r>
                <m:t>E</m:t>
              </m:r>
            </m:e>
            <m:sub>
              <m:r>
                <m:t>e</m:t>
              </m:r>
              <m:r>
                <m:t>n</m:t>
              </m:r>
              <m:r>
                <m:t>g</m:t>
              </m:r>
            </m:sub>
          </m:sSub>
        </m:oMath>
      </m:oMathPara>
    </w:p>
    <w:p>
      <w:pPr>
        <w:pStyle w:val="FirstParagraph"/>
      </w:pPr>
      <w:r>
        <w:t xml:space="preserve">Avec :</w:t>
      </w:r>
    </w:p>
    <w:p>
      <w:pPr>
        <w:numPr>
          <w:ilvl w:val="0"/>
          <w:numId w:val="1031"/>
        </w:numPr>
        <w:pStyle w:val="Compact"/>
      </w:pPr>
      <m:oMath>
        <m:r>
          <m:t>T</m:t>
        </m:r>
        <m:r>
          <m:t>C</m:t>
        </m:r>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122"/>
    <w:bookmarkStart w:id="123"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r>
            <m:t>B</m:t>
          </m:r>
          <m:sSubSup>
            <m:e>
              <m:r>
                <m:t>E</m:t>
              </m:r>
            </m:e>
            <m:sub>
              <m:r>
                <m:t>e</m:t>
              </m:r>
              <m:r>
                <m:t>n</m:t>
              </m:r>
              <m:r>
                <m:t>g</m:t>
              </m:r>
            </m:sub>
            <m:sup>
              <m:r>
                <m:t>c</m:t>
              </m:r>
              <m:r>
                <m:t>e</m:t>
              </m:r>
              <m:r>
                <m:t>d</m:t>
              </m:r>
              <m:r>
                <m:t>e</m:t>
              </m:r>
              <m:r>
                <m:t>s</m:t>
              </m:r>
            </m:sup>
          </m:sSubSup>
          <m:r>
            <m:rPr>
              <m:sty m:val="p"/>
            </m:rPr>
            <m:t>=</m:t>
          </m:r>
          <m:r>
            <m:t> </m:t>
          </m:r>
          <m:r>
            <m:t>B</m:t>
          </m:r>
          <m:sSubSup>
            <m:e>
              <m:r>
                <m:t>E</m:t>
              </m:r>
            </m:e>
            <m:sub>
              <m:r>
                <m:t>s</m:t>
              </m:r>
              <m:r>
                <m:t>i</m:t>
              </m:r>
              <m:r>
                <m:t>n</m:t>
              </m:r>
              <m:r>
                <m:t>s</m:t>
              </m:r>
              <m:r>
                <m:t>i</m:t>
              </m:r>
              <m:r>
                <m:t>t</m:t>
              </m:r>
              <m:r>
                <m:t>r</m:t>
              </m:r>
              <m:r>
                <m:t>e</m:t>
              </m:r>
              <m:r>
                <m:t>s</m:t>
              </m:r>
            </m:sub>
            <m:sup>
              <m:r>
                <m:t>c</m:t>
              </m:r>
              <m:r>
                <m:t>e</m:t>
              </m:r>
              <m:r>
                <m:t>d</m:t>
              </m:r>
              <m:r>
                <m:t>e</m:t>
              </m:r>
              <m:r>
                <m:t>s</m:t>
              </m:r>
            </m:sup>
          </m:sSubSup>
          <m:r>
            <m:rPr>
              <m:sty m:val="p"/>
            </m:rPr>
            <m:t>+</m:t>
          </m:r>
          <m:r>
            <m:t> </m:t>
          </m:r>
          <m:r>
            <m:t>B</m:t>
          </m:r>
          <m:sSubSup>
            <m:e>
              <m:r>
                <m:t>E</m:t>
              </m:r>
            </m:e>
            <m:sub>
              <m:r>
                <m:t>p</m:t>
              </m:r>
              <m:r>
                <m:t>r</m:t>
              </m:r>
              <m:r>
                <m:t>i</m:t>
              </m:r>
              <m:r>
                <m:t>m</m:t>
              </m:r>
              <m:r>
                <m:t>e</m:t>
              </m:r>
              <m:r>
                <m:t>s</m:t>
              </m:r>
            </m:sub>
            <m:sup>
              <m:r>
                <m:t>c</m:t>
              </m:r>
              <m:r>
                <m:t>e</m:t>
              </m:r>
              <m:r>
                <m:t>d</m:t>
              </m:r>
              <m:r>
                <m:t>e</m:t>
              </m:r>
              <m:r>
                <m:t>s</m:t>
              </m:r>
            </m:sup>
          </m:sSubSup>
        </m:oMath>
      </m:oMathPara>
    </w:p>
    <w:p>
      <w:pPr>
        <w:pStyle w:val="FirstParagraph"/>
      </w:pPr>
      <w:r>
        <w:t xml:space="preserve">Avec :</w:t>
      </w:r>
    </w:p>
    <w:p>
      <w:pPr>
        <w:pStyle w:val="BlockText"/>
      </w:pPr>
      <m:oMath>
        <m:r>
          <m:t>B</m:t>
        </m:r>
        <m:sSubSup>
          <m:e>
            <m:r>
              <m:t>E</m:t>
            </m:r>
          </m:e>
          <m:sub>
            <m:r>
              <m:t>s</m:t>
            </m:r>
            <m:r>
              <m:t>i</m:t>
            </m:r>
            <m:r>
              <m:t>n</m:t>
            </m:r>
            <m:r>
              <m:t>s</m:t>
            </m:r>
            <m:r>
              <m:t>i</m:t>
            </m:r>
            <m:r>
              <m:t>t</m:t>
            </m:r>
            <m:r>
              <m:t>r</m:t>
            </m:r>
            <m:r>
              <m:t>e</m:t>
            </m:r>
            <m:r>
              <m:t>s</m:t>
            </m:r>
          </m:sub>
          <m:sup>
            <m:r>
              <m:t>c</m:t>
            </m:r>
            <m:r>
              <m:t>e</m:t>
            </m:r>
            <m:r>
              <m:t>d</m:t>
            </m:r>
            <m:r>
              <m:t>e</m:t>
            </m:r>
            <m:r>
              <m:t>s</m:t>
            </m:r>
          </m:sup>
        </m:sSubSup>
        <m:r>
          <m:rPr>
            <m:sty m:val="p"/>
          </m:rPr>
          <m:t>=</m:t>
        </m:r>
        <m:r>
          <m:t>T</m:t>
        </m:r>
        <m:sSub>
          <m:e>
            <m:r>
              <m:t>C</m:t>
            </m:r>
          </m:e>
          <m:sub>
            <m:r>
              <m:t>s</m:t>
            </m:r>
            <m:r>
              <m:t>i</m:t>
            </m:r>
            <m:r>
              <m:t>n</m:t>
            </m:r>
            <m:r>
              <m:t>s</m:t>
            </m:r>
            <m:r>
              <m:t>i</m:t>
            </m:r>
            <m:r>
              <m:t>t</m:t>
            </m:r>
            <m:r>
              <m:t>r</m:t>
            </m:r>
            <m:r>
              <m:t>e</m:t>
            </m:r>
            <m:r>
              <m:t>s</m:t>
            </m:r>
          </m:sub>
        </m:sSub>
        <m:r>
          <m:rPr>
            <m:sty m:val="p"/>
          </m:rPr>
          <m:t>×</m:t>
        </m:r>
        <m:r>
          <m:t>B</m:t>
        </m:r>
        <m:sSubSup>
          <m:e>
            <m:r>
              <m:t>E</m:t>
            </m:r>
          </m:e>
          <m:sub>
            <m:r>
              <m:t>e</m:t>
            </m:r>
            <m:r>
              <m:t>n</m:t>
            </m:r>
            <m:r>
              <m:t>g</m:t>
            </m:r>
          </m:sub>
          <m:sup>
            <m:r>
              <m:t>s</m:t>
            </m:r>
            <m:r>
              <m:t>i</m:t>
            </m:r>
            <m:r>
              <m:t>n</m:t>
            </m:r>
            <m:r>
              <m:t>s</m:t>
            </m:r>
            <m:r>
              <m:t>i</m:t>
            </m:r>
            <m:r>
              <m:t>t</m:t>
            </m:r>
            <m:r>
              <m:t>r</m:t>
            </m:r>
            <m:r>
              <m:t>e</m:t>
            </m:r>
            <m:r>
              <m:t>s</m:t>
            </m:r>
          </m:sup>
        </m:sSubSup>
      </m:oMath>
      <w:r>
        <w:t xml:space="preserve"> </w:t>
      </w:r>
      <w:r>
        <w:t xml:space="preserve">: La meilleure estimation des engagements pour sinistres cédés visée à la spécification technique 33 est évaluée en multipliant la meilleure estimation des engagements pour sinistres nets de recours par (</w:t>
      </w:r>
      <m:oMath>
        <m:r>
          <m:t>T</m:t>
        </m:r>
        <m:sSub>
          <m:e>
            <m:r>
              <m:t>C</m:t>
            </m:r>
          </m:e>
          <m:sub>
            <m:r>
              <m:t>s</m:t>
            </m:r>
            <m:r>
              <m:t>i</m:t>
            </m:r>
            <m:r>
              <m:t>n</m:t>
            </m:r>
            <m:r>
              <m:t>s</m:t>
            </m:r>
            <m:r>
              <m:t>i</m:t>
            </m:r>
            <m:r>
              <m:t>t</m:t>
            </m:r>
            <m:r>
              <m:t>r</m:t>
            </m:r>
            <m:r>
              <m:t>e</m:t>
            </m:r>
            <m:r>
              <m:t>s</m:t>
            </m:r>
          </m:sub>
        </m:sSub>
      </m:oMath>
      <w:r>
        <w:t xml:space="preserve">) le rapport entre la part des cessionnaires dans les provisions pour sinistres à payer et la provision pour sinistres à payer brute de réassurance.</w:t>
      </w:r>
    </w:p>
    <w:p>
      <w:pPr>
        <w:pStyle w:val="BlockText"/>
      </w:pPr>
      <m:oMath>
        <m:r>
          <m:t>B</m:t>
        </m:r>
        <m:sSubSup>
          <m:e>
            <m:r>
              <m:t>E</m:t>
            </m:r>
          </m:e>
          <m:sub>
            <m:r>
              <m:t>p</m:t>
            </m:r>
            <m:r>
              <m:t>r</m:t>
            </m:r>
            <m:r>
              <m:t>i</m:t>
            </m:r>
            <m:r>
              <m:t>m</m:t>
            </m:r>
            <m:r>
              <m:t>e</m:t>
            </m:r>
            <m:r>
              <m:t>s</m:t>
            </m:r>
          </m:sub>
          <m:sup>
            <m:r>
              <m:t>c</m:t>
            </m:r>
            <m:r>
              <m:t>e</m:t>
            </m:r>
            <m:r>
              <m:t>d</m:t>
            </m:r>
            <m:r>
              <m:t>e</m:t>
            </m:r>
            <m:r>
              <m:t>s</m:t>
            </m:r>
          </m:sup>
        </m:sSubSup>
        <m:r>
          <m:rPr>
            <m:sty m:val="p"/>
          </m:rPr>
          <m:t>=</m:t>
        </m:r>
        <m:r>
          <m:t>T</m:t>
        </m:r>
        <m:sSub>
          <m:e>
            <m:r>
              <m:t>C</m:t>
            </m:r>
          </m:e>
          <m:sub>
            <m:r>
              <m:t>p</m:t>
            </m:r>
            <m:r>
              <m:t>r</m:t>
            </m:r>
            <m:r>
              <m:t>i</m:t>
            </m:r>
            <m:r>
              <m:t>m</m:t>
            </m:r>
            <m:r>
              <m:t>e</m:t>
            </m:r>
            <m:r>
              <m:t>s</m:t>
            </m:r>
          </m:sub>
        </m:sSub>
        <m:r>
          <m:rPr>
            <m:sty m:val="p"/>
          </m:rPr>
          <m:t>×</m:t>
        </m:r>
        <m:r>
          <m:t>B</m:t>
        </m:r>
        <m:sSubSup>
          <m:e>
            <m:r>
              <m:t>E</m:t>
            </m:r>
          </m:e>
          <m:sub>
            <m:r>
              <m:t>e</m:t>
            </m:r>
            <m:r>
              <m:t>n</m:t>
            </m:r>
            <m:r>
              <m:t>g</m:t>
            </m:r>
          </m:sub>
          <m:sup>
            <m:r>
              <m:t>p</m:t>
            </m:r>
            <m:r>
              <m:t>r</m:t>
            </m:r>
            <m:r>
              <m:t>i</m:t>
            </m:r>
            <m:r>
              <m:t>m</m:t>
            </m:r>
            <m:r>
              <m:t>e</m:t>
            </m:r>
            <m:r>
              <m:t>s</m:t>
            </m:r>
          </m:sup>
        </m:sSubSup>
      </m:oMath>
      <w:r>
        <w:t xml:space="preserve"> </w:t>
      </w:r>
      <w:r>
        <w:t xml:space="preserve">: La meilleure estimation des engagements pour primes cédés est évaluée en multipliant la meilleure estimation des engagements pour primes par le taux de cession de primes. Le taux de cession (</w:t>
      </w:r>
      <m:oMath>
        <m:r>
          <m:t>T</m:t>
        </m:r>
        <m:sSub>
          <m:e>
            <m:r>
              <m:t>C</m:t>
            </m:r>
          </m:e>
          <m:sub>
            <m:r>
              <m:t>p</m:t>
            </m:r>
            <m:r>
              <m:t>r</m:t>
            </m:r>
            <m:r>
              <m:t>i</m:t>
            </m:r>
            <m:r>
              <m:t>m</m:t>
            </m:r>
            <m:r>
              <m:t>e</m:t>
            </m:r>
            <m:r>
              <m:t>s</m:t>
            </m:r>
          </m:sub>
        </m:sSub>
      </m:oMath>
      <w:r>
        <w:t xml:space="preserve">) de primes précité correspond au rapport entre les primes brutes non vie (cessions) et les primes émises de l’exercice.</w:t>
      </w:r>
    </w:p>
    <w:bookmarkEnd w:id="123"/>
    <w:bookmarkEnd w:id="124"/>
    <w:bookmarkStart w:id="131" w:name="lajustement-pour-défaut-de-contrepartie"/>
    <w:p>
      <w:pPr>
        <w:pStyle w:val="Heading4"/>
      </w:pPr>
      <w:r>
        <w:t xml:space="preserve">7.4.2 L’ajustement pour défaut de contrepartie:</w:t>
      </w:r>
    </w:p>
    <w:p>
      <w:pPr>
        <w:pStyle w:val="FirstParagraph"/>
      </w:pPr>
      <w:r>
        <w:t xml:space="preserve">En cas de réassuarance, la compagnie d’assurance se confronte à un nouveau risque, celui de défaut de contrepartie. En effet, il se pourrait que les risques cédés par l’assureur ne soient pas supportés par le réassureur. Il est ainsi primordial de tenir en compte ce risque dans le calcul des meilleures estimations en effectuant un ajustement.</w:t>
      </w:r>
      <w:r>
        <w:t xml:space="preserve"> </w:t>
      </w: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w:t>
      </w:r>
      <w:r>
        <w:rPr>
          <w:iCs/>
          <w:i/>
        </w:rPr>
        <w:t xml:space="preserve">ACAPS</w:t>
      </w:r>
      <w:r>
        <w:t xml:space="preserve"> </w:t>
      </w:r>
      <w:r>
        <w:t xml:space="preserve">propose une méthode de détermination des flux d’ajustement futurs décrite à</w:t>
      </w:r>
      <w:r>
        <w:t xml:space="preserve"> </w:t>
      </w:r>
      <w:r>
        <w:rPr>
          <w:bCs/>
          <w:b/>
        </w:rPr>
        <w:t xml:space="preserve">l’annexe N°6</w:t>
      </w:r>
      <w:r>
        <w:t xml:space="preserve"> </w:t>
      </w:r>
      <w:r>
        <w:t xml:space="preserve">de la circulaire. Cette méthode suit un certain nombre d’étapes que nous décrivons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5" name="Picture"/>
                  <a:graphic>
                    <a:graphicData uri="http://schemas.openxmlformats.org/drawingml/2006/picture">
                      <pic:pic>
                        <pic:nvPicPr>
                          <pic:cNvPr descr="C:\PROGRA~1\RStudio\RESOUR~1\app\bin\quarto\share\formats\docx\note.png" id="126"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oMath>
            <w:r>
              <w:t xml:space="preserve"> </w:t>
            </w:r>
            <w:r>
              <w:t xml:space="preserve">est calculée comme suit :</w:t>
            </w:r>
          </w:p>
          <w:p>
            <w:pPr>
              <w:pStyle w:val="BodyText"/>
            </w:pPr>
            <m:oMathPara>
              <m:oMathParaPr>
                <m:jc m:val="center"/>
              </m:oMathParaPr>
              <m:oMath>
                <m:r>
                  <m:t>B</m:t>
                </m:r>
                <m:sSubSup>
                  <m:e>
                    <m:r>
                      <m:t>E</m:t>
                    </m:r>
                  </m:e>
                  <m:sub>
                    <m:r>
                      <m:t>e</m:t>
                    </m:r>
                    <m:r>
                      <m:t>n</m:t>
                    </m:r>
                    <m:r>
                      <m:t>g</m:t>
                    </m:r>
                    <m:r>
                      <m:t> </m:t>
                    </m:r>
                    <m:r>
                      <m:t>i</m:t>
                    </m:r>
                  </m:sub>
                  <m:sup>
                    <m:r>
                      <m:t> </m:t>
                    </m:r>
                    <m:r>
                      <m:t>c</m:t>
                    </m:r>
                    <m:r>
                      <m:t>é</m:t>
                    </m:r>
                    <m:r>
                      <m:t>d</m:t>
                    </m:r>
                    <m:r>
                      <m:t>è</m:t>
                    </m:r>
                    <m:r>
                      <m:t>s</m:t>
                    </m:r>
                  </m:sup>
                </m:sSubSup>
                <m:r>
                  <m:rPr>
                    <m:sty m:val="p"/>
                  </m:rPr>
                  <m:t>=</m:t>
                </m:r>
                <m:d>
                  <m:dPr>
                    <m:begChr m:val="("/>
                    <m:endChr m:val=")"/>
                    <m:sepChr m:val=""/>
                    <m:grow/>
                  </m:dPr>
                  <m:e>
                    <m:r>
                      <m:t>B</m:t>
                    </m:r>
                    <m:sSubSup>
                      <m:e>
                        <m:r>
                          <m:t>E</m:t>
                        </m:r>
                      </m:e>
                      <m:sub>
                        <m:r>
                          <m:t>e</m:t>
                        </m:r>
                        <m:r>
                          <m:t>n</m:t>
                        </m:r>
                        <m:r>
                          <m:t>g</m:t>
                        </m:r>
                        <m:r>
                          <m:t> </m:t>
                        </m:r>
                        <m:r>
                          <m:t>i</m:t>
                        </m:r>
                      </m:sub>
                      <m:sup>
                        <m:r>
                          <m:t>s</m:t>
                        </m:r>
                        <m:r>
                          <m:t>i</m:t>
                        </m:r>
                        <m:r>
                          <m:t>n</m:t>
                        </m:r>
                        <m:r>
                          <m:t>s</m:t>
                        </m:r>
                        <m:r>
                          <m:t>i</m:t>
                        </m:r>
                        <m:r>
                          <m:t>t</m:t>
                        </m:r>
                        <m:r>
                          <m:t>r</m:t>
                        </m:r>
                        <m:r>
                          <m:t>e</m:t>
                        </m:r>
                        <m:r>
                          <m:t>s</m:t>
                        </m:r>
                      </m:sup>
                    </m:sSubSup>
                    <m:r>
                      <m:rPr>
                        <m:sty m:val="p"/>
                      </m:rPr>
                      <m:t>×</m:t>
                    </m:r>
                    <m:r>
                      <m:t>R</m:t>
                    </m:r>
                    <m:sSub>
                      <m:e>
                        <m:r>
                          <m:t>S</m:t>
                        </m:r>
                      </m:e>
                      <m:sub>
                        <m:r>
                          <m:t>0</m:t>
                        </m:r>
                      </m:sub>
                    </m:sSub>
                    <m:r>
                      <m:rPr>
                        <m:sty m:val="p"/>
                      </m:rPr>
                      <m:t>+</m:t>
                    </m:r>
                    <m:r>
                      <m:t>B</m:t>
                    </m:r>
                    <m:sSubSup>
                      <m:e>
                        <m:r>
                          <m:t>E</m:t>
                        </m:r>
                      </m:e>
                      <m:sub>
                        <m:r>
                          <m:t>e</m:t>
                        </m:r>
                        <m:r>
                          <m:t>n</m:t>
                        </m:r>
                        <m:r>
                          <m:t>g</m:t>
                        </m:r>
                        <m:r>
                          <m:t> </m:t>
                        </m:r>
                        <m:r>
                          <m:t>i</m:t>
                        </m:r>
                      </m:sub>
                      <m:sup>
                        <m:r>
                          <m:t>p</m:t>
                        </m:r>
                        <m:r>
                          <m:t>r</m:t>
                        </m:r>
                        <m:r>
                          <m:t>i</m:t>
                        </m:r>
                        <m:r>
                          <m:t>m</m:t>
                        </m:r>
                        <m:r>
                          <m:t>e</m:t>
                        </m:r>
                        <m:r>
                          <m:t>s</m:t>
                        </m:r>
                      </m:sup>
                    </m:sSubSup>
                    <m:r>
                      <m:rPr>
                        <m:sty m:val="p"/>
                      </m:rPr>
                      <m:t>×</m:t>
                    </m:r>
                    <m:r>
                      <m:t>R</m:t>
                    </m:r>
                    <m:sSub>
                      <m:e>
                        <m:r>
                          <m:t>P</m:t>
                        </m:r>
                      </m:e>
                      <m:sub>
                        <m:r>
                          <m:t>0</m:t>
                        </m:r>
                      </m:sub>
                    </m:sSub>
                  </m:e>
                </m:d>
              </m:oMath>
            </m:oMathPara>
          </w:p>
          <w:p>
            <w:pPr>
              <w:pStyle w:val="FirstParagraph"/>
            </w:pPr>
            <w:r>
              <w:t xml:space="preserve">Où:</w:t>
            </w:r>
          </w:p>
          <w:p>
            <w:pPr>
              <w:numPr>
                <w:ilvl w:val="0"/>
                <w:numId w:val="1032"/>
              </w:numPr>
              <w:pStyle w:val="Compact"/>
            </w:pPr>
            <m:oMath>
              <m:r>
                <m:t>B</m:t>
              </m:r>
              <m:sSubSup>
                <m:e>
                  <m:r>
                    <m:t>E</m:t>
                  </m:r>
                </m:e>
                <m:sub>
                  <m:r>
                    <m:t>e</m:t>
                  </m:r>
                  <m:r>
                    <m:t>n</m:t>
                  </m:r>
                  <m:r>
                    <m:t>g</m:t>
                  </m:r>
                  <m:r>
                    <m:t> </m:t>
                  </m:r>
                  <m:r>
                    <m:t>i</m:t>
                  </m:r>
                </m:sub>
                <m:sup>
                  <m:r>
                    <m:t>s</m:t>
                  </m:r>
                  <m:r>
                    <m:t>i</m:t>
                  </m:r>
                  <m:r>
                    <m:t>n</m:t>
                  </m:r>
                  <m:r>
                    <m:t>s</m:t>
                  </m:r>
                  <m:r>
                    <m:t>i</m:t>
                  </m:r>
                  <m:r>
                    <m:t>t</m:t>
                  </m:r>
                  <m:r>
                    <m:t>r</m:t>
                  </m:r>
                  <m:r>
                    <m:t>e</m:t>
                  </m:r>
                  <m:r>
                    <m:t>s</m:t>
                  </m:r>
                </m:sup>
              </m:sSubSup>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32"/>
              </w:numPr>
              <w:pStyle w:val="Compact"/>
            </w:pPr>
            <m:oMath>
              <m:r>
                <m:t>B</m:t>
              </m:r>
              <m:sSubSup>
                <m:e>
                  <m:r>
                    <m:t>E</m:t>
                  </m:r>
                </m:e>
                <m:sub>
                  <m:r>
                    <m:t>e</m:t>
                  </m:r>
                  <m:r>
                    <m:t>n</m:t>
                  </m:r>
                  <m:r>
                    <m:t>g</m:t>
                  </m:r>
                  <m:r>
                    <m:t> </m:t>
                  </m:r>
                  <m:r>
                    <m:t>i</m:t>
                  </m:r>
                </m:sub>
                <m:sup>
                  <m:r>
                    <m:t>p</m:t>
                  </m:r>
                  <m:r>
                    <m:t>r</m:t>
                  </m:r>
                  <m:r>
                    <m:t>i</m:t>
                  </m:r>
                  <m:r>
                    <m:t>m</m:t>
                  </m:r>
                  <m:r>
                    <m:t>e</m:t>
                  </m:r>
                  <m:r>
                    <m:t>s</m:t>
                  </m:r>
                </m:sup>
              </m:sSubSup>
            </m:oMath>
            <w:r>
              <w:t xml:space="preserve">: correspond à la meilleure estimation des engagements pour primes projetée à la date i.</w:t>
            </w:r>
          </w:p>
          <w:p>
            <w:pPr>
              <w:numPr>
                <w:ilvl w:val="0"/>
                <w:numId w:val="1032"/>
              </w:numPr>
              <w:pStyle w:val="Compact"/>
            </w:pPr>
            <w:r>
              <w:t xml:space="preserve">Les termes</w:t>
            </w:r>
            <w:r>
              <w:t xml:space="preserve"> </w:t>
            </w:r>
            <m:oMath>
              <m:r>
                <m:t>R</m:t>
              </m:r>
              <m:sSub>
                <m:e>
                  <m:r>
                    <m:t>S</m:t>
                  </m:r>
                </m:e>
                <m:sub>
                  <m:r>
                    <m:t>0</m:t>
                  </m:r>
                </m:sub>
              </m:sSub>
            </m:oMath>
            <w:r>
              <w:t xml:space="preserve"> </w:t>
            </w:r>
            <w:r>
              <w:t xml:space="preserve">et</w:t>
            </w:r>
            <w:r>
              <w:t xml:space="preserve"> </w:t>
            </w:r>
            <m:oMath>
              <m:r>
                <m:t>R</m:t>
              </m:r>
              <m:sSub>
                <m:e>
                  <m:r>
                    <m:t>P</m:t>
                  </m:r>
                </m:e>
                <m:sub>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m:oMathPara>
              <m:oMathParaPr>
                <m:jc m:val="center"/>
              </m:oMathParaPr>
              <m:oMath>
                <m:r>
                  <m:t>B</m:t>
                </m:r>
                <m:sSubSup>
                  <m:e>
                    <m:r>
                      <m:t>E</m:t>
                    </m:r>
                  </m:e>
                  <m:sub>
                    <m:r>
                      <m:t>e</m:t>
                    </m:r>
                    <m:r>
                      <m:t>n</m:t>
                    </m:r>
                    <m:r>
                      <m:t>g</m:t>
                    </m:r>
                    <m:r>
                      <m:t> </m:t>
                    </m:r>
                    <m:r>
                      <m:t>i</m:t>
                    </m:r>
                  </m:sub>
                  <m:sup>
                    <m:r>
                      <m:t> </m:t>
                    </m:r>
                    <m:r>
                      <m:t>c</m:t>
                    </m:r>
                    <m:r>
                      <m:t>é</m:t>
                    </m:r>
                    <m:r>
                      <m:t>d</m:t>
                    </m:r>
                    <m:r>
                      <m:t>è</m:t>
                    </m:r>
                    <m:r>
                      <m:t>s</m:t>
                    </m:r>
                  </m:sup>
                </m:sSubSup>
                <m:r>
                  <m:rPr>
                    <m:sty m:val="p"/>
                  </m:rPr>
                  <m:t>=</m:t>
                </m:r>
                <m:d>
                  <m:dPr>
                    <m:begChr m:val="("/>
                    <m:endChr m:val=")"/>
                    <m:sepChr m:val=""/>
                    <m:grow/>
                  </m:dPr>
                  <m:e>
                    <m:r>
                      <m:t>M</m:t>
                    </m:r>
                    <m:r>
                      <m:t>E</m:t>
                    </m:r>
                    <m:r>
                      <m:t>G</m:t>
                    </m:r>
                    <m:sSub>
                      <m:e>
                        <m:r>
                          <m:t>P</m:t>
                        </m:r>
                      </m:e>
                      <m:sub>
                        <m:r>
                          <m:t>i</m:t>
                        </m:r>
                      </m:sub>
                    </m:sSub>
                    <m:r>
                      <m:rPr>
                        <m:sty m:val="p"/>
                      </m:rPr>
                      <m:t>+</m:t>
                    </m:r>
                    <m:r>
                      <m:t>B</m:t>
                    </m:r>
                    <m:r>
                      <m:t>D</m:t>
                    </m:r>
                    <m:sSub>
                      <m:e>
                        <m:r>
                          <m:t>F</m:t>
                        </m:r>
                      </m:e>
                      <m:sub>
                        <m:r>
                          <m:t>i</m:t>
                        </m:r>
                      </m:sub>
                    </m:sSub>
                  </m:e>
                </m:d>
                <m:r>
                  <m:rPr>
                    <m:sty m:val="p"/>
                  </m:rPr>
                  <m:t>×</m:t>
                </m:r>
                <m:sSub>
                  <m:e>
                    <m:r>
                      <m:t>R</m:t>
                    </m:r>
                  </m:e>
                  <m:sub>
                    <m:r>
                      <m:t>0</m:t>
                    </m:r>
                  </m:sub>
                </m:sSub>
              </m:oMath>
            </m:oMathPara>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m:oMathPara>
              <m:oMathParaPr>
                <m:jc m:val="center"/>
              </m:oMathParaPr>
              <m:oMath>
                <m:r>
                  <m:t>B</m:t>
                </m:r>
                <m:sSubSup>
                  <m:e>
                    <m:r>
                      <m:t>E</m:t>
                    </m:r>
                  </m:e>
                  <m:sub>
                    <m:r>
                      <m:t>e</m:t>
                    </m:r>
                    <m:r>
                      <m:t>n</m:t>
                    </m:r>
                    <m:r>
                      <m:t>g</m:t>
                    </m:r>
                    <m:r>
                      <m:t> </m:t>
                    </m:r>
                    <m:r>
                      <m:t>i</m:t>
                    </m:r>
                  </m:sub>
                  <m:sup>
                    <m:r>
                      <m:t>c</m:t>
                    </m:r>
                    <m:r>
                      <m:t>é</m:t>
                    </m:r>
                    <m:r>
                      <m:t>d</m:t>
                    </m:r>
                    <m:r>
                      <m:t>è</m:t>
                    </m:r>
                    <m:r>
                      <m:t>s</m:t>
                    </m:r>
                  </m:sup>
                </m:sSubSup>
                <m:r>
                  <m:rPr>
                    <m:sty m:val="p"/>
                  </m:rPr>
                  <m:t>=</m:t>
                </m:r>
                <m:r>
                  <m:t>M</m:t>
                </m:r>
                <m:r>
                  <m:t>E</m:t>
                </m:r>
                <m:r>
                  <m:t>G</m:t>
                </m:r>
                <m:sSub>
                  <m:e>
                    <m:r>
                      <m:t>P</m:t>
                    </m:r>
                  </m:e>
                  <m:sub>
                    <m:r>
                      <m:t>i</m:t>
                    </m:r>
                  </m:sub>
                </m:sSub>
                <m:r>
                  <m:rPr>
                    <m:sty m:val="p"/>
                  </m:rPr>
                  <m:t>×</m:t>
                </m:r>
                <m:sSub>
                  <m:e>
                    <m:r>
                      <m:t>R</m:t>
                    </m:r>
                  </m:e>
                  <m:sub>
                    <m:r>
                      <m:t>0</m:t>
                    </m:r>
                  </m:sub>
                </m:sSub>
              </m:oMath>
            </m:oMathPara>
          </w:p>
          <w:p>
            <w:pPr>
              <w:pStyle w:val="FirstParagraph"/>
            </w:pPr>
            <w:pPr>
              <w:spacing w:after="16"/>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 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C:\PROGRA~1\RStudio\RESOUR~1\app\bin\quarto\share\formats\docx\note.png" id="128"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B</m:t>
                    </m:r>
                    <m:sSubSup>
                      <m:e>
                        <m:r>
                          <m:t>E</m:t>
                        </m:r>
                      </m:e>
                      <m:sub>
                        <m:r>
                          <m:t>e</m:t>
                        </m:r>
                        <m:r>
                          <m:t>n</m:t>
                        </m:r>
                        <m:r>
                          <m:t>g</m:t>
                        </m:r>
                        <m:r>
                          <m:t> </m:t>
                        </m:r>
                        <m:r>
                          <m:t>i</m:t>
                        </m:r>
                      </m:sub>
                      <m:sup>
                        <m:r>
                          <m:t>c</m:t>
                        </m:r>
                        <m:r>
                          <m:t>é</m:t>
                        </m:r>
                        <m:r>
                          <m:t>d</m:t>
                        </m:r>
                        <m:r>
                          <m:t>è</m:t>
                        </m:r>
                        <m:r>
                          <m:t>s</m:t>
                        </m:r>
                      </m:sup>
                    </m:sSubSup>
                    <m:r>
                      <m:rPr>
                        <m:sty m:val="p"/>
                      </m:rPr>
                      <m:t>−</m:t>
                    </m:r>
                    <m:r>
                      <m:t>D</m:t>
                    </m:r>
                    <m:r>
                      <m:t>E</m:t>
                    </m:r>
                    <m:r>
                      <m:t>V</m:t>
                    </m:r>
                    <m:r>
                      <m:rPr>
                        <m:sty m:val="p"/>
                      </m:rPr>
                      <m:t>+</m:t>
                    </m:r>
                    <m:r>
                      <m:t>S</m:t>
                    </m:r>
                    <m:r>
                      <m:t>D</m:t>
                    </m:r>
                    <m:r>
                      <m:t>R</m:t>
                    </m:r>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oMath>
            </m:oMathPara>
          </w:p>
          <w:p>
            <w:pPr>
              <w:pStyle w:val="FirstParagraph"/>
            </w:pPr>
            <w:r>
              <w:t xml:space="preserve">avec:</w:t>
            </w:r>
          </w:p>
          <w:p>
            <w:pPr>
              <w:numPr>
                <w:ilvl w:val="0"/>
                <w:numId w:val="1033"/>
              </w:numPr>
              <w:pStyle w:val="Compact"/>
            </w:pPr>
            <w:r>
              <w:t xml:space="preserve">DEV :dépôtven espèces et en valeurs.</w:t>
            </w:r>
          </w:p>
          <w:p>
            <w:pPr>
              <w:numPr>
                <w:ilvl w:val="0"/>
                <w:numId w:val="1033"/>
              </w:numPr>
              <w:pStyle w:val="Compact"/>
            </w:pPr>
            <w:r>
              <w:t xml:space="preserve">SDR :solde de réassurance</w:t>
            </w:r>
          </w:p>
          <w:p>
            <w:pPr>
              <w:pStyle w:val="FirstParagraph"/>
            </w:pPr>
            <w:pPr>
              <w:spacing w:after="16"/>
            </w:pPr>
            <w:r>
              <w:t xml:space="preserve">La probabilité de défaut annuelle</w:t>
            </w:r>
            <w:r>
              <w:t xml:space="preserve"> </w:t>
            </w:r>
            <w:r>
              <w:t xml:space="preserve">“</w:t>
            </w:r>
            <w:r>
              <w:t xml:space="preserve">PD</w:t>
            </w:r>
            <w:r>
              <w:t xml:space="preserve">”</w:t>
            </w:r>
            <w:r>
              <w:t xml:space="preserve"> </w:t>
            </w:r>
            <w:r>
              <w:t xml:space="preserve">du cessionnaire est établie conformément au tableau prévu au 2) de l’annexe n°12 de la circulaire qui correspond au premier Annexe de ce rapport.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9" name="Picture"/>
                  <a:graphic>
                    <a:graphicData uri="http://schemas.openxmlformats.org/drawingml/2006/picture">
                      <pic:pic>
                        <pic:nvPicPr>
                          <pic:cNvPr descr="C:\PROGRA~1\RStudio\RESOUR~1\app\bin\quarto\share\formats\docx\note.png" id="130"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t>A</m:t>
                </m:r>
                <m:r>
                  <m:t>d</m:t>
                </m:r>
                <m:sSub>
                  <m:e>
                    <m:r>
                      <m:t>j</m:t>
                    </m:r>
                  </m:e>
                  <m:sub>
                    <m:r>
                      <m:t>D</m:t>
                    </m:r>
                  </m:sub>
                </m:sSub>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31"/>
    <w:bookmarkEnd w:id="132"/>
    <w:bookmarkEnd w:id="133"/>
    <w:bookmarkStart w:id="165" w:name="capital-de-solvabilité-requis"/>
    <w:p>
      <w:pPr>
        <w:pStyle w:val="Heading2"/>
      </w:pPr>
      <w:r>
        <w:t xml:space="preserve">8 Capital de Solvabilité Requis</w:t>
      </w:r>
    </w:p>
    <w:p>
      <w:pPr>
        <w:pStyle w:val="FirstParagraph"/>
      </w:pPr>
      <w:r>
        <w:t xml:space="preserve">Au cours de son existence, la compagnie d’assurance ou de réassurance fait face à plusieurs engagements dont la plus part sont risqués. Ce tas de risques encourus demande donc des préventions afin d’éviter ou de supporter leur avénement. Subséquemment, il est tout naturel de se demandait quel montant la compagnie devrait avoir à l’instant</w:t>
      </w:r>
      <w:r>
        <w:t xml:space="preserve"> </w:t>
      </w:r>
      <m:oMath>
        <m:r>
          <m:t>t</m:t>
        </m:r>
      </m:oMath>
      <w:r>
        <w:t xml:space="preserve"> </w:t>
      </w:r>
      <w:r>
        <w:t xml:space="preserve">pour se couvrir des risques éventuels d’où l’introduction de la notion de</w:t>
      </w:r>
      <w:r>
        <w:t xml:space="preserve"> </w:t>
      </w:r>
      <w:r>
        <w:rPr>
          <w:iCs/>
          <w:i/>
        </w:rPr>
        <w:t xml:space="preserve">Capital de Solvabilité Requis</w:t>
      </w:r>
      <w:r>
        <w:t xml:space="preserve"> </w:t>
      </w:r>
      <w:r>
        <w:t xml:space="preserve">(</w:t>
      </w:r>
      <m:oMath>
        <m:r>
          <m:t>C</m:t>
        </m:r>
        <m:r>
          <m:t>S</m:t>
        </m:r>
        <m:r>
          <m:t>R</m:t>
        </m:r>
      </m:oMath>
      <w:r>
        <w:t xml:space="preserve">).</w:t>
      </w:r>
    </w:p>
    <w:p>
      <w:pPr>
        <w:pStyle w:val="BodyText"/>
      </w:pPr>
      <w:r>
        <w:t xml:space="preserve">Comme son nom l’indique, le CSR correspond au capital dont a besoin une entreprise d’assurance ou de réassurance pour faire face à tous les risques qui peuvent survenir dans le futur et limiter la probabilité de ruine.</w:t>
      </w:r>
    </w:p>
    <w:p>
      <w:pPr>
        <w:pStyle w:val="BodyText"/>
      </w:pPr>
      <w:r>
        <w:t xml:space="preserve">Commençons d’abord par la définition des différents risques dans les secteurs d’assurance et de réassurance pris en compte dans le projet</w:t>
      </w:r>
      <w:r>
        <w:t xml:space="preserve"> </w:t>
      </w:r>
      <w:r>
        <w:rPr>
          <w:iCs/>
          <w:i/>
        </w:rPr>
        <w:t xml:space="preserve">SBR</w:t>
      </w:r>
      <w:r>
        <w:t xml:space="preserve"> </w:t>
      </w:r>
      <w:r>
        <w:t xml:space="preserve">:</w:t>
      </w:r>
    </w:p>
    <w:p>
      <w:pPr>
        <w:numPr>
          <w:ilvl w:val="0"/>
          <w:numId w:val="1034"/>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34"/>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34"/>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34"/>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34"/>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34"/>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Tous les risques supportés par le capital de solvabilité requis, on peut les résumer dans le schéma suivant :</w:t>
      </w:r>
    </w:p>
    <w:tbl>
      <w:tblPr>
        <w:tblStyle w:val="Table"/>
        <w:tblW w:type="pct" w:w="5000"/>
        <w:tblLook w:firstRow="0" w:lastRow="0" w:firstColumn="0" w:lastColumn="0" w:noHBand="0" w:noVBand="0" w:val="0000"/>
      </w:tblPr>
      <w:tblGrid>
        <w:gridCol w:w="7920"/>
      </w:tblGrid>
      <w:tr>
        <w:tc>
          <w:tcPr/>
          <w:bookmarkStart w:id="137" w:name="fig-piliers"/>
          <w:p>
            <w:pPr>
              <w:pStyle w:val="Figure"/>
              <w:jc w:val="center"/>
            </w:pPr>
            <w:r>
              <w:drawing>
                <wp:inline>
                  <wp:extent cx="5334000" cy="3015219"/>
                  <wp:effectExtent b="0" l="0" r="0" t="0"/>
                  <wp:docPr descr="" title="" id="135" name="Picture"/>
                  <a:graphic>
                    <a:graphicData uri="http://schemas.openxmlformats.org/drawingml/2006/picture">
                      <pic:pic>
                        <pic:nvPicPr>
                          <pic:cNvPr descr="Rapport-PFE_files/figure-html/Risques.png" id="136" name="Picture"/>
                          <pic:cNvPicPr>
                            <a:picLocks noChangeArrowheads="1" noChangeAspect="1"/>
                          </pic:cNvPicPr>
                        </pic:nvPicPr>
                        <pic:blipFill>
                          <a:blip r:embed="rId134"/>
                          <a:stretch>
                            <a:fillRect/>
                          </a:stretch>
                        </pic:blipFill>
                        <pic:spPr bwMode="auto">
                          <a:xfrm>
                            <a:off x="0" y="0"/>
                            <a:ext cx="5334000" cy="30152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Présentation des risques</w:t>
            </w:r>
          </w:p>
          <w:bookmarkEnd w:id="137"/>
        </w:tc>
      </w:tr>
    </w:tbl>
    <w:p>
      <w:pPr>
        <w:pStyle w:val="BodyText"/>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35"/>
        </w:numPr>
      </w:pPr>
      <w:r>
        <w:t xml:space="preserve">Le capital de solvabilité requis de base.</w:t>
      </w:r>
    </w:p>
    <w:p>
      <w:pPr>
        <w:numPr>
          <w:ilvl w:val="0"/>
          <w:numId w:val="1035"/>
        </w:numPr>
      </w:pPr>
      <w:r>
        <w:t xml:space="preserve">L’exigence de capital relative au risque opérationnel.</w:t>
      </w:r>
    </w:p>
    <w:p>
      <w:pPr>
        <w:numPr>
          <w:ilvl w:val="0"/>
          <w:numId w:val="1035"/>
        </w:numPr>
      </w:pPr>
      <w:r>
        <w:t xml:space="preserve">L’ajustement visant à tenir compte de la capacité d’absorption des pertes par les assurés.</w:t>
      </w:r>
    </w:p>
    <w:p>
      <w:pPr>
        <w:numPr>
          <w:ilvl w:val="0"/>
          <w:numId w:val="1035"/>
        </w:numPr>
      </w:pPr>
      <w:r>
        <w:t xml:space="preserve">L’ajustement visant à tenir compte de la capacité d’absorption des pertes par les impôts différés.</w:t>
      </w:r>
    </w:p>
    <w:p>
      <w:pPr>
        <w:pStyle w:val="FirstParagraph"/>
      </w:pPr>
      <m:oMathPara>
        <m:oMathParaPr>
          <m:jc m:val="center"/>
        </m:oMathParaPr>
        <m:oMath>
          <m:r>
            <m:t>C</m:t>
          </m:r>
          <m:r>
            <m:t>S</m:t>
          </m:r>
          <m:r>
            <m:t>R</m:t>
          </m:r>
          <m:r>
            <m:rPr>
              <m:sty m:val="p"/>
            </m:rPr>
            <m:t>=</m:t>
          </m:r>
          <m:r>
            <m:t>C</m:t>
          </m:r>
          <m:r>
            <m:t>S</m:t>
          </m:r>
          <m:r>
            <m:t>R</m:t>
          </m:r>
          <m:r>
            <m:t>B</m:t>
          </m:r>
          <m:r>
            <m:rPr>
              <m:sty m:val="p"/>
            </m:rPr>
            <m:t>+</m:t>
          </m:r>
          <m:r>
            <m:t>C</m:t>
          </m:r>
          <m:r>
            <m:t>S</m:t>
          </m:r>
          <m:r>
            <m:t>R</m:t>
          </m:r>
          <m:r>
            <m:t>O</m:t>
          </m:r>
          <m:r>
            <m:rPr>
              <m:sty m:val="p"/>
            </m:rPr>
            <m:t>−</m:t>
          </m:r>
          <m:r>
            <m:t>m</m:t>
          </m:r>
          <m:r>
            <m:t>a</m:t>
          </m:r>
          <m:r>
            <m:t>x</m:t>
          </m:r>
          <m:d>
            <m:dPr>
              <m:begChr m:val="("/>
              <m:endChr m:val=")"/>
              <m:sepChr m:val=""/>
              <m:grow/>
            </m:dPr>
            <m:e>
              <m:r>
                <m:t>A</m:t>
              </m:r>
              <m:r>
                <m:t>d</m:t>
              </m:r>
              <m:r>
                <m:t>j</m:t>
              </m:r>
              <m:r>
                <m:rPr>
                  <m:sty m:val="p"/>
                </m:rPr>
                <m:t>,</m:t>
              </m:r>
              <m:r>
                <m:t>0</m:t>
              </m:r>
            </m:e>
          </m:d>
        </m:oMath>
      </m:oMathPara>
    </w:p>
    <w:bookmarkStart w:id="158" w:name="X0beb716fe9114a411569a04c6802232189d90bd"/>
    <w:p>
      <w:pPr>
        <w:pStyle w:val="Heading3"/>
      </w:pPr>
      <w:r>
        <w:t xml:space="preserve">8.1 Le capital de solvabilité requis de base (</w:t>
      </w:r>
      <m:oMath>
        <m:r>
          <m:t>C</m:t>
        </m:r>
        <m:r>
          <m:t>S</m:t>
        </m:r>
        <m:r>
          <m:t>R</m:t>
        </m:r>
        <m:r>
          <m:t>B</m:t>
        </m:r>
      </m:oMath>
      <w:r>
        <w:t xml:space="preserve">):</w:t>
      </w:r>
    </w:p>
    <w:p>
      <w:pPr>
        <w:pStyle w:val="FirstParagraph"/>
      </w:pPr>
      <w:r>
        <w:t xml:space="preserve">Le capital de solvabilité requis de base est le montant total des exigences de capitaux liées aux risques de</w:t>
      </w:r>
      <w:r>
        <w:t xml:space="preserve"> </w:t>
      </w:r>
      <w:r>
        <w:rPr>
          <w:bCs/>
          <w:b/>
        </w:rPr>
        <w:t xml:space="preserve">marché</w:t>
      </w:r>
      <w:r>
        <w:t xml:space="preserve">, de</w:t>
      </w:r>
      <w:r>
        <w:t xml:space="preserve"> </w:t>
      </w:r>
      <w:r>
        <w:rPr>
          <w:bCs/>
          <w:b/>
        </w:rPr>
        <w:t xml:space="preserve">concentration</w:t>
      </w:r>
      <w:r>
        <w:t xml:space="preserve">, de</w:t>
      </w:r>
      <w:r>
        <w:t xml:space="preserve"> </w:t>
      </w:r>
      <w:r>
        <w:rPr>
          <w:bCs/>
          <w:b/>
        </w:rPr>
        <w:t xml:space="preserve">contrepartie</w:t>
      </w:r>
      <w:r>
        <w:t xml:space="preserve">, de</w:t>
      </w:r>
      <w:r>
        <w:t xml:space="preserve"> </w:t>
      </w:r>
      <w:r>
        <w:rPr>
          <w:bCs/>
          <w:b/>
        </w:rPr>
        <w:t xml:space="preserve">souscription vie</w:t>
      </w:r>
      <w:r>
        <w:t xml:space="preserve"> </w:t>
      </w:r>
      <w:r>
        <w:t xml:space="preserve">et de</w:t>
      </w:r>
      <w:r>
        <w:t xml:space="preserve"> </w:t>
      </w:r>
      <w:r>
        <w:rPr>
          <w:bCs/>
          <w:b/>
        </w:rPr>
        <w:t xml:space="preserve">souscription non-vie</w:t>
      </w:r>
      <w:r>
        <w:t xml:space="preserve"> </w:t>
      </w:r>
      <w:r>
        <w:t xml:space="preserve">et ce, après application des coefficients de corrélations.</w:t>
      </w:r>
    </w:p>
    <w:p>
      <w:pPr>
        <w:pStyle w:val="BodyText"/>
      </w:pPr>
      <w:r>
        <w:t xml:space="preserve">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d’évaluer de manière précise les montants de capitaux nécessaires pour couvrir leurs risques spécifiques et d’assurer une solvabilité adéquate.</w:t>
      </w:r>
    </w:p>
    <w:p>
      <w:pPr>
        <w:pStyle w:val="BodyText"/>
      </w:pPr>
      <w:r>
        <w:t xml:space="preserve">Le capital de solvabilité requis de base peut être écrit mathématiquement comme suit:</w:t>
      </w:r>
    </w:p>
    <w:p>
      <w:pPr>
        <w:pStyle w:val="BodyText"/>
      </w:pPr>
      <m:oMathPara>
        <m:oMathParaPr>
          <m:jc m:val="center"/>
        </m:oMathParaPr>
        <m:oMath>
          <m:r>
            <m:t>C</m:t>
          </m:r>
          <m:r>
            <m:t>S</m:t>
          </m:r>
          <m:r>
            <m:t>R</m:t>
          </m:r>
          <m:r>
            <m:t>B</m:t>
          </m:r>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6"/>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36"/>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143" w:name="X7d0de4e6ff3ca13baeb836adc8c41f16eaa6dfb"/>
    <w:p>
      <w:pPr>
        <w:pStyle w:val="Heading4"/>
      </w:pPr>
      <w:r>
        <w:t xml:space="preserve">8.1.1 EXIGENCE DE CAPITAL RELATIVE AUX RISQUES DE MARCHE (</w:t>
      </w:r>
      <m:oMath>
        <m:r>
          <m:t>C</m:t>
        </m:r>
        <m:r>
          <m:t>S</m:t>
        </m:r>
        <m:sSub>
          <m:e>
            <m:r>
              <m:t>R</m:t>
            </m:r>
          </m:e>
          <m:sub>
            <m:r>
              <m:t>m</m:t>
            </m:r>
            <m:r>
              <m:t>a</m:t>
            </m:r>
            <m:r>
              <m:t>r</m:t>
            </m:r>
            <m:r>
              <m:t>c</m:t>
            </m:r>
            <m:r>
              <m:t>h</m:t>
            </m:r>
            <m:r>
              <m:t>e</m:t>
            </m:r>
          </m:sub>
        </m:sSub>
      </m:oMath>
      <w:r>
        <w:t xml:space="preserve">)</w:t>
      </w:r>
    </w:p>
    <w:p>
      <w:pPr>
        <w:pStyle w:val="FirstParagraph"/>
      </w:pPr>
      <w:r>
        <w:t xml:space="preserve">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pPr>
        <w:pStyle w:val="BodyText"/>
      </w:pPr>
      <w:r>
        <w:t xml:space="preserve">Mathématiquement l’exigence de capital relative au risque de marché peut être représentée comme suit</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7"/>
        </w:numPr>
      </w:pPr>
      <w:r>
        <w:t xml:space="preserve">RM</w:t>
      </w:r>
      <w:r>
        <w:t xml:space="preserve"> </w:t>
      </w:r>
      <m:oMath>
        <m:r>
          <m:rPr>
            <m:sty m:val="p"/>
          </m:rPr>
          <m:t>∈</m:t>
        </m:r>
      </m:oMath>
      <w:r>
        <w:t xml:space="preserve"> </w:t>
      </w:r>
      <w:r>
        <w:t xml:space="preserve">{action, taux, immobilier, écart de taux et change}</w:t>
      </w:r>
    </w:p>
    <w:p>
      <w:pPr>
        <w:numPr>
          <w:ilvl w:val="0"/>
          <w:numId w:val="1037"/>
        </w:numPr>
      </w:pPr>
      <m:oMath>
        <m:r>
          <m:t>ρ</m:t>
        </m:r>
      </m:oMath>
      <w:r>
        <w:t xml:space="preserve"> </w:t>
      </w:r>
      <w:r>
        <w:t xml:space="preserve">: Coefficients de corrélations.</w:t>
      </w:r>
    </w:p>
    <w:bookmarkStart w:id="138" w:name="X3cf8c7738901705451aeaf1bf62340f8a8e3146"/>
    <w:p>
      <w:pPr>
        <w:pStyle w:val="Heading5"/>
      </w:pPr>
      <w:r>
        <w:t xml:space="preserve">8.1.1.1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138"/>
    <w:bookmarkStart w:id="139" w:name="X4731aa5458fe1c45bdb9bc7a63d0b9bdcef0af7"/>
    <w:p>
      <w:pPr>
        <w:pStyle w:val="Heading5"/>
      </w:pPr>
      <w:r>
        <w:t xml:space="preserve">8.1.1.2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représente le montant estimé de la perte maximale en fonds propres subir en raison de variations à la baisse ou à la hausse des taux d’intérêt appliquées à l’ensemble de ses actifs et passifs.</w:t>
      </w:r>
    </w:p>
    <w:p>
      <w:pPr>
        <w:pStyle w:val="BodyText"/>
      </w:pPr>
      <w:r>
        <w:t xml:space="preserve">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pPr>
        <w:pStyle w:val="BodyText"/>
      </w:pPr>
      <w:r>
        <w:t xml:space="preserve">La formule mathématique peut s’écrire comme suit:</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139"/>
    <w:bookmarkStart w:id="140" w:name="X40fb47ea19ba513da95205d89bb9da70a68e95c"/>
    <w:p>
      <w:pPr>
        <w:pStyle w:val="Heading5"/>
      </w:pPr>
      <w:r>
        <w:t xml:space="preserve">8.1.1.3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w:r>
        <w:t xml:space="preserve">Cette exigence est établie pour évaluer les réserves financières nécessaires face à une potentielle baisse de valeur des biens immobiliers pour minimiser les risques.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140"/>
    <w:bookmarkStart w:id="141" w:name="Xe8b0c02ffa4303d8ffd8ac356c32a420803f92c"/>
    <w:p>
      <w:pPr>
        <w:pStyle w:val="Heading5"/>
      </w:pPr>
      <w:r>
        <w:t xml:space="preserve">8.1.1.4 L’exigence de capital relative au risque d’écart de taux (</w:t>
      </w:r>
      <m:oMath>
        <m:r>
          <m:t>C</m:t>
        </m:r>
        <m:r>
          <m:t>S</m:t>
        </m:r>
        <m:sSub>
          <m:e>
            <m:r>
              <m:t>R</m:t>
            </m:r>
          </m:e>
          <m:sub>
            <m:r>
              <m:t>E</m:t>
            </m:r>
            <m:r>
              <m:t>c</m:t>
            </m:r>
            <m:r>
              <m:t>a</m:t>
            </m:r>
            <m:r>
              <m:t>r</m:t>
            </m:r>
            <m:r>
              <m:t>t</m:t>
            </m:r>
            <m:r>
              <m:t> </m:t>
            </m:r>
            <m:r>
              <m:t>t</m:t>
            </m:r>
            <m:r>
              <m:t>a</m:t>
            </m:r>
            <m:r>
              <m:t>u</m:t>
            </m:r>
            <m:r>
              <m:t>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141"/>
    <w:bookmarkStart w:id="142" w:name="X0b86f92798bd2d75800a724a913850a71127576"/>
    <w:p>
      <w:pPr>
        <w:pStyle w:val="Heading5"/>
      </w:pPr>
      <w:r>
        <w:t xml:space="preserve">8.1.1.5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38"/>
        </w:numPr>
        <w:pStyle w:val="Compact"/>
      </w:pPr>
      <w:r>
        <w:t xml:space="preserve">l’exigence de capital pour risque d’augmentation de la valeur de la devise étrangère par rapport au dirham.</w:t>
      </w:r>
    </w:p>
    <w:p>
      <w:pPr>
        <w:numPr>
          <w:ilvl w:val="0"/>
          <w:numId w:val="1038"/>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142"/>
    <w:bookmarkEnd w:id="143"/>
    <w:bookmarkStart w:id="146" w:name="X9c0184a5ab36aa780ba8e9d38716205766fa364"/>
    <w:p>
      <w:pPr>
        <w:pStyle w:val="Heading4"/>
      </w:pPr>
      <w:r>
        <w:t xml:space="preserve">8.1.2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44" w:name="X303ad4190ba297cc4664f228835544b0eb3361f"/>
    <w:p>
      <w:pPr>
        <w:pStyle w:val="Heading5"/>
      </w:pPr>
      <w:r>
        <w:t xml:space="preserve">8.1.2.1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39"/>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40"/>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40"/>
        </w:numPr>
      </w:pPr>
      <m:oMath>
        <m:r>
          <m:t>L</m:t>
        </m:r>
        <m:r>
          <m:t>G</m:t>
        </m:r>
        <m:sSub>
          <m:e>
            <m:r>
              <m:t>D</m:t>
            </m:r>
          </m:e>
          <m:sub>
            <m:r>
              <m:t>i</m:t>
            </m:r>
          </m:sub>
        </m:sSub>
      </m:oMath>
      <w:r>
        <w:t xml:space="preserve"> </w:t>
      </w:r>
      <w:r>
        <w:t xml:space="preserve">: la perte en cas de défaut du cessionnaire i ;</w:t>
      </w:r>
    </w:p>
    <w:p>
      <w:pPr>
        <w:numPr>
          <w:ilvl w:val="0"/>
          <w:numId w:val="1040"/>
        </w:numPr>
      </w:pPr>
      <m:oMath>
        <m:r>
          <m:rPr>
            <m:nor/>
            <m:sty m:val="p"/>
          </m:rPr>
          <m:t>Depot en espèces ou en valeur</m:t>
        </m:r>
      </m:oMath>
      <w:r>
        <w:t xml:space="preserve"> </w:t>
      </w:r>
      <w:r>
        <w:t xml:space="preserve">: le montant des dépôts en espèces ou en valeurs du cessionnaire i ;</w:t>
      </w:r>
    </w:p>
    <w:p>
      <w:pPr>
        <w:numPr>
          <w:ilvl w:val="0"/>
          <w:numId w:val="1040"/>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40"/>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40"/>
        </w:numPr>
      </w:pPr>
      <m:oMath>
        <m:r>
          <m:t>L</m:t>
        </m:r>
        <m:r>
          <m:t>G</m:t>
        </m:r>
        <m:sSub>
          <m:e>
            <m:r>
              <m:t>D</m:t>
            </m:r>
          </m:e>
          <m:sub>
            <m:r>
              <m:t>i</m:t>
            </m:r>
          </m:sub>
        </m:sSub>
      </m:oMath>
      <w:r>
        <w:t xml:space="preserve">: la perte en cas de défaut de la cédante i ;</w:t>
      </w:r>
    </w:p>
    <w:p>
      <w:pPr>
        <w:numPr>
          <w:ilvl w:val="0"/>
          <w:numId w:val="1040"/>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40"/>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40"/>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41"/>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41"/>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41"/>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44"/>
    <w:bookmarkStart w:id="145" w:name="Xde70ab66fad04d143ab07d5ec8525e6812bbe93"/>
    <w:p>
      <w:pPr>
        <w:pStyle w:val="Heading5"/>
      </w:pPr>
      <w:r>
        <w:t xml:space="preserve">8.1.2.2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42"/>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42"/>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42"/>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45"/>
    <w:bookmarkEnd w:id="146"/>
    <w:bookmarkStart w:id="147" w:name="Xac2a78756e1947e45e0b443464340ca4e07c6ed"/>
    <w:p>
      <w:pPr>
        <w:pStyle w:val="Heading4"/>
      </w:pPr>
      <w:r>
        <w:t xml:space="preserve">8.1.3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w:t>
      </w:r>
    </w:p>
    <w:p>
      <w:pPr>
        <w:pStyle w:val="BodyText"/>
      </w:pPr>
      <w:r>
        <w:t xml:space="preserve">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pPr>
        <w:pStyle w:val="BodyText"/>
      </w:pPr>
      <w:r>
        <w:t xml:space="preserve">Mathématiquement l’exigence de capital relative au risque de concentration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47"/>
    <w:bookmarkStart w:id="153" w:name="X8bdc5d6c520394ae1ab3fd8ff0e20bf39ae18c3"/>
    <w:p>
      <w:pPr>
        <w:pStyle w:val="Heading4"/>
      </w:pPr>
      <w:r>
        <w:t xml:space="preserve">8.1.4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w:r>
        <w:t xml:space="preserve">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pPr>
        <w:pStyle w:val="BodyText"/>
      </w:pPr>
      <w:r>
        <w:t xml:space="preserve">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48" w:name="X70ec578e7130a57a8c8842c95b63e70e295ba28"/>
    <w:p>
      <w:pPr>
        <w:pStyle w:val="Heading5"/>
      </w:pPr>
      <w:r>
        <w:t xml:space="preserve">8.1.4.1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48"/>
    <w:bookmarkStart w:id="149" w:name="X92ef2d5d6d1f309ee4dc38a892eea4151c6a010"/>
    <w:p>
      <w:pPr>
        <w:pStyle w:val="Heading5"/>
      </w:pPr>
      <w:r>
        <w:t xml:space="preserve">8.1.4.2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49"/>
    <w:bookmarkStart w:id="150" w:name="Xe142ffdc5761a23c812b30051e7ff3529769432"/>
    <w:p>
      <w:pPr>
        <w:pStyle w:val="Heading5"/>
      </w:pPr>
      <w:r>
        <w:t xml:space="preserve">8.1.4.3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Commençons d’abord par la définition de quoi un rachat en assurance vie ?</w:t>
      </w:r>
    </w:p>
    <w:p>
      <w:pPr>
        <w:pStyle w:val="BodyText"/>
      </w:pPr>
      <w:r>
        <w:t xml:space="preserve">un rachat en assurance vie est un retrait. L’épargne placée sur ce contrat est disponible : les fonds ne sont pas bloqués et les assures peuvent les récupérer intégralement, ou en partie, à tout moment. On distingue :</w:t>
      </w:r>
    </w:p>
    <w:p>
      <w:pPr>
        <w:pStyle w:val="BodyText"/>
      </w:pPr>
      <w:r>
        <w:t xml:space="preserve">•</w:t>
      </w:r>
      <w:r>
        <w:t xml:space="preserve"> </w:t>
      </w:r>
      <w:r>
        <w:rPr>
          <w:bCs/>
          <w:b/>
        </w:rPr>
        <w:t xml:space="preserve">Le rachat partiel</w:t>
      </w:r>
      <w:r>
        <w:t xml:space="preserve"> </w:t>
      </w:r>
      <w:r>
        <w:t xml:space="preserve">: les assures peuvent récupérer une fraction de la valeur du contrat – qui sera constituée d’une part de capital et d’une part d’intérêts capitalisés – s’ils ont par exemple besoin de liquidités pour un projet précis. Le rachat partiel permet de ne pas mettre un terme au contrat et de ne pas perdre l’antériorité fiscale.</w:t>
      </w:r>
    </w:p>
    <w:p>
      <w:pPr>
        <w:pStyle w:val="BodyText"/>
      </w:pPr>
      <w:r>
        <w:t xml:space="preserve">•</w:t>
      </w:r>
      <w:r>
        <w:t xml:space="preserve"> </w:t>
      </w:r>
      <w:r>
        <w:rPr>
          <w:bCs/>
          <w:b/>
        </w:rPr>
        <w:t xml:space="preserve">Le rachat total</w:t>
      </w:r>
      <w:r>
        <w:t xml:space="preserve"> </w:t>
      </w:r>
      <w:r>
        <w:t xml:space="preserve">: les assures peuvent récupérer l’intégralité de la valeur de rachat de leur assurance vie, et leur contrat prend fin, entrainant la perte de l’antériorité fiscale.</w:t>
      </w:r>
    </w:p>
    <w:p>
      <w:pPr>
        <w:pStyle w:val="BodyText"/>
      </w:pPr>
      <w:r>
        <w:t xml:space="preserve">L’exigence de capital pour risque de rachat est correspond au maximun entre les exigences de capitaux suivantes:</w:t>
      </w:r>
    </w:p>
    <w:p>
      <w:pPr>
        <w:numPr>
          <w:ilvl w:val="0"/>
          <w:numId w:val="1043"/>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44"/>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150"/>
    <w:bookmarkStart w:id="151" w:name="X2ad39c1112d69d7cc07addd7e09c4a1062144f3"/>
    <w:p>
      <w:pPr>
        <w:pStyle w:val="Heading5"/>
      </w:pPr>
      <w:r>
        <w:t xml:space="preserve">8.1.4.4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45"/>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45"/>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151"/>
    <w:bookmarkStart w:id="152" w:name="X7a733b5774bbec975e5e71b96ffb3b71cffef89"/>
    <w:p>
      <w:pPr>
        <w:pStyle w:val="Heading5"/>
      </w:pPr>
      <w:r>
        <w:t xml:space="preserve">8.1.4.5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52"/>
    <w:bookmarkEnd w:id="153"/>
    <w:bookmarkStart w:id="157" w:name="X1b6aa8fc00d4f5599dfcf10f97be846d7f67a01"/>
    <w:p>
      <w:pPr>
        <w:pStyle w:val="Heading4"/>
      </w:pPr>
      <w:r>
        <w:t xml:space="preserve">8.1.5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54" w:name="Xaf5135c38b35f3935e7fbb38292cb902ba10fce"/>
    <w:p>
      <w:pPr>
        <w:pStyle w:val="Heading5"/>
      </w:pPr>
      <w:r>
        <w:t xml:space="preserve">8.1.5.1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54"/>
    <w:bookmarkStart w:id="155" w:name="X97c27c4f6aaa2dc3a04acf8f040871c5ebd6f65"/>
    <w:p>
      <w:pPr>
        <w:pStyle w:val="Heading5"/>
      </w:pPr>
      <w:r>
        <w:t xml:space="preserve">8.1.5.2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provisions par sous-categorie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55"/>
    <w:bookmarkStart w:id="156" w:name="X2d899550002a89faf70685e2ededa357230b7ec"/>
    <w:p>
      <w:pPr>
        <w:pStyle w:val="Heading5"/>
      </w:pPr>
      <w:r>
        <w:t xml:space="preserve">8.1.5.3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46"/>
        </w:numPr>
        <w:pStyle w:val="Compact"/>
      </w:pPr>
      <w:r>
        <w:t xml:space="preserve">Individuelles accidents et Invalidité ;</w:t>
      </w:r>
    </w:p>
    <w:p>
      <w:pPr>
        <w:numPr>
          <w:ilvl w:val="0"/>
          <w:numId w:val="1046"/>
        </w:numPr>
        <w:pStyle w:val="Compact"/>
      </w:pPr>
      <w:r>
        <w:t xml:space="preserve">Maladie;</w:t>
      </w:r>
    </w:p>
    <w:p>
      <w:pPr>
        <w:numPr>
          <w:ilvl w:val="0"/>
          <w:numId w:val="1046"/>
        </w:numPr>
        <w:pStyle w:val="Compact"/>
      </w:pPr>
      <w:r>
        <w:t xml:space="preserve">Accidents du travail et maladies professionnelles ;</w:t>
      </w:r>
    </w:p>
    <w:p>
      <w:pPr>
        <w:numPr>
          <w:ilvl w:val="0"/>
          <w:numId w:val="1046"/>
        </w:numPr>
        <w:pStyle w:val="Compact"/>
      </w:pPr>
      <w:r>
        <w:t xml:space="preserve">Responsabilité civile automobile des véhicules terrestres à moteur;</w:t>
      </w:r>
    </w:p>
    <w:p>
      <w:pPr>
        <w:numPr>
          <w:ilvl w:val="0"/>
          <w:numId w:val="1046"/>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46"/>
        </w:numPr>
        <w:pStyle w:val="Compact"/>
      </w:pPr>
      <w:r>
        <w:t xml:space="preserve">Incendie ;</w:t>
      </w:r>
    </w:p>
    <w:p>
      <w:pPr>
        <w:numPr>
          <w:ilvl w:val="0"/>
          <w:numId w:val="1046"/>
        </w:numPr>
        <w:pStyle w:val="Compact"/>
      </w:pPr>
      <w:r>
        <w:t xml:space="preserve">Maritime corps, facultés et responsabilité civile résultant de l’emploi de véhicules fluviaux et maritimes ;</w:t>
      </w:r>
    </w:p>
    <w:p>
      <w:pPr>
        <w:numPr>
          <w:ilvl w:val="0"/>
          <w:numId w:val="1046"/>
        </w:numPr>
        <w:pStyle w:val="Compact"/>
      </w:pPr>
      <w:r>
        <w:t xml:space="preserve">Aviation corps et responsabilité civile résultant de l’emploi des aéronefs ;</w:t>
      </w:r>
    </w:p>
    <w:p>
      <w:pPr>
        <w:numPr>
          <w:ilvl w:val="0"/>
          <w:numId w:val="1046"/>
        </w:numPr>
        <w:pStyle w:val="Compact"/>
      </w:pPr>
      <w:r>
        <w:t xml:space="preserve">Marchandises transportées par voie terrestre ;</w:t>
      </w:r>
    </w:p>
    <w:p>
      <w:pPr>
        <w:numPr>
          <w:ilvl w:val="0"/>
          <w:numId w:val="1046"/>
        </w:numPr>
        <w:pStyle w:val="Compact"/>
      </w:pPr>
      <w:r>
        <w:t xml:space="preserve">Assurance récolte, grêle ou gelée et éléments naturels ;</w:t>
      </w:r>
    </w:p>
    <w:p>
      <w:pPr>
        <w:numPr>
          <w:ilvl w:val="0"/>
          <w:numId w:val="1046"/>
        </w:numPr>
        <w:pStyle w:val="Compact"/>
      </w:pPr>
      <w:r>
        <w:t xml:space="preserve">Crédit et caution</w:t>
      </w:r>
    </w:p>
    <w:bookmarkEnd w:id="156"/>
    <w:bookmarkEnd w:id="157"/>
    <w:bookmarkEnd w:id="158"/>
    <w:bookmarkStart w:id="159" w:name="X784839fd8516b8df5730ae0da267f1818a874be"/>
    <w:p>
      <w:pPr>
        <w:pStyle w:val="Heading3"/>
      </w:pPr>
      <w:r>
        <w:t xml:space="preserve">8.2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159"/>
    <w:bookmarkStart w:id="164" w:name="X384c0c3c983e0c0cecb046cfdf19f3cf5bf77b3"/>
    <w:p>
      <w:pPr>
        <w:pStyle w:val="Heading3"/>
      </w:pPr>
      <w:r>
        <w:t xml:space="preserve">8.3 Ajustement du capital de solvabilité requis</w:t>
      </w:r>
    </w:p>
    <w:bookmarkStart w:id="160" w:name="X60f7df077bb6b37af80367e8ec055588dd69751"/>
    <w:p>
      <w:pPr>
        <w:pStyle w:val="Heading4"/>
      </w:pPr>
      <w:r>
        <w:t xml:space="preserve">8.3.1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160"/>
    <w:bookmarkStart w:id="163" w:name="Xbd336be1e04da1ede3fc1224bb2eedd17c6bfce"/>
    <w:p>
      <w:pPr>
        <w:pStyle w:val="Heading4"/>
      </w:pPr>
      <w:r>
        <w:t xml:space="preserve">8.3.2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61" name="Picture"/>
                  <a:graphic>
                    <a:graphicData uri="http://schemas.openxmlformats.org/drawingml/2006/picture">
                      <pic:pic>
                        <pic:nvPicPr>
                          <pic:cNvPr descr="C:\PROGRA~1\RStudio\RESOUR~1\app\bin\quarto\share\formats\docx\tip.png" id="16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163"/>
    <w:bookmarkEnd w:id="164"/>
    <w:bookmarkEnd w:id="165"/>
    <w:bookmarkStart w:id="168" w:name="Xec1a8240f33c78c61c9bf625a7d43ebee855295"/>
    <w:p>
      <w:pPr>
        <w:pStyle w:val="Heading2"/>
      </w:pPr>
      <w:r>
        <w:t xml:space="preserve">ANNEXE : Correspondance CORRESPONDANCE ENTRE ECHELLE DE NOTATION ET PROBABILITE DE DEFAUT</w:t>
      </w:r>
    </w:p>
    <w:bookmarkStart w:id="166" w:name="echelles-de-notation"/>
    <w:p>
      <w:pPr>
        <w:pStyle w:val="Heading3"/>
      </w:pPr>
      <w:r>
        <w:t xml:space="preserve">Echelles de notation</w:t>
      </w:r>
    </w:p>
    <w:p>
      <w:pPr>
        <w:numPr>
          <w:ilvl w:val="0"/>
          <w:numId w:val="1047"/>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48"/>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166"/>
    <w:bookmarkStart w:id="167"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167"/>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https://www.acaps.ma/fr/l-acaps/missions</w:t>
      </w:r>
    </w:p>
  </w:footnote>
  <w:footnote w:id="24">
    <w:p>
      <w:pPr>
        <w:pStyle w:val="FootnoteText"/>
      </w:pPr>
      <w:r>
        <w:rPr>
          <w:rStyle w:val="FootnoteReference"/>
        </w:rPr>
        <w:footnoteRef/>
      </w:r>
      <w:r>
        <w:t xml:space="preserve"> </w:t>
      </w:r>
      <w:r>
        <w:t xml:space="preserve">https://www.atlas-mag.net/article/marche-africain-de-l-assurance-en-2019-chiffre-d-affaires-des-principaux-pays</w:t>
      </w:r>
    </w:p>
  </w:footnote>
  <w:footnote w:id="26">
    <w:p>
      <w:pPr>
        <w:pStyle w:val="FootnoteText"/>
      </w:pPr>
      <w:r>
        <w:rPr>
          <w:rStyle w:val="FootnoteReference"/>
        </w:rPr>
        <w:footnoteRef/>
      </w:r>
      <w:r>
        <w:t xml:space="preserve"> </w:t>
      </w:r>
      <w:r>
        <w:t xml:space="preserve">solvabilité basée sur les risques assurances maroc Acaps</w:t>
      </w:r>
    </w:p>
  </w:footnote>
  <w:footnote w:id="27">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8">
    <w:p>
      <w:pPr>
        <w:pStyle w:val="FootnoteText"/>
      </w:pPr>
      <w:r>
        <w:rPr>
          <w:rStyle w:val="FootnoteReference"/>
        </w:rPr>
        <w:footnoteRef/>
      </w:r>
      <w:r>
        <w:t xml:space="preserve"> </w:t>
      </w:r>
      <w:r>
        <w:t xml:space="preserve">ORSA Own Risk and Solvency Assessment</w:t>
      </w:r>
    </w:p>
  </w:footnote>
  <w:footnote w:id="32">
    <w:p>
      <w:pPr>
        <w:pStyle w:val="FootnoteText"/>
      </w:pPr>
      <w:r>
        <w:rPr>
          <w:rStyle w:val="FootnoteReference"/>
        </w:rPr>
        <w:footnoteRef/>
      </w:r>
      <w:r>
        <w:t xml:space="preserve"> </w:t>
      </w:r>
      <w:hyperlink r:id="rId33">
        <w:r>
          <w:rPr>
            <w:rStyle w:val="Hyperlink"/>
          </w:rPr>
          <w:t xml:space="preserve">Ciculaire en préparation concernant le second pilier relatif à la gouvernance</w:t>
        </w:r>
      </w:hyperlink>
    </w:p>
  </w:footnote>
  <w:footnote w:id="39">
    <w:p>
      <w:pPr>
        <w:pStyle w:val="FootnoteText"/>
      </w:pPr>
      <w:r>
        <w:rPr>
          <w:rStyle w:val="FootnoteReference"/>
        </w:rPr>
        <w:footnoteRef/>
      </w:r>
      <w:r>
        <w:t xml:space="preserve"> </w:t>
      </w:r>
      <w:r>
        <w:t xml:space="preserve">La métrique de risque n’est pas encore défini</w:t>
      </w:r>
      <w:r>
        <w:t xml:space="preserve"> </w:t>
      </w:r>
      <w:r>
        <w:t xml:space="preserve">dans le projet marocain</w:t>
      </w:r>
      <w:r>
        <w:t xml:space="preserve"> </w:t>
      </w:r>
      <m:oMath>
        <m:r>
          <m:t>S</m:t>
        </m:r>
        <m:r>
          <m:t>B</m:t>
        </m:r>
        <m:r>
          <m:t>R</m:t>
        </m:r>
      </m:oMath>
    </w:p>
  </w:footnote>
  <w:footnote w:id="45">
    <w:p>
      <w:pPr>
        <w:pStyle w:val="FootnoteText"/>
      </w:pPr>
      <w:r>
        <w:rPr>
          <w:rStyle w:val="FootnoteReference"/>
        </w:rPr>
        <w:footnoteRef/>
      </w:r>
      <w:r>
        <w:t xml:space="preserve"> </w:t>
      </w:r>
      <w:r>
        <w:t xml:space="preserve">Alonso Peña, Ph.D, C++ For Quantitative Finance</w:t>
      </w:r>
    </w:p>
  </w:footnote>
  <w:footnote w:id="63">
    <w:p>
      <w:pPr>
        <w:pStyle w:val="FootnoteText"/>
      </w:pPr>
      <w:r>
        <w:rPr>
          <w:rStyle w:val="FootnoteReference"/>
        </w:rPr>
        <w:footnoteRef/>
      </w:r>
      <w:r>
        <w:t xml:space="preserve"> </w:t>
      </w:r>
      <w:hyperlink r:id="rId64">
        <w:r>
          <w:rPr>
            <w:rStyle w:val="Hyperlink"/>
          </w:rPr>
          <w:t xml:space="preserve">CHapitre Application</w:t>
        </w:r>
      </w:hyperlink>
    </w:p>
  </w:footnote>
  <w:footnote w:id="86">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114">
    <w:p>
      <w:pPr>
        <w:pStyle w:val="FootnoteText"/>
      </w:pPr>
      <w:r>
        <w:rPr>
          <w:rStyle w:val="FootnoteReference"/>
        </w:rPr>
        <w:footnoteRef/>
      </w:r>
      <w:r>
        <w:t xml:space="preserve"> </w:t>
      </w:r>
      <w:r>
        <w:t xml:space="preserve">The Actuary and IBNR publié en 1972</w:t>
      </w:r>
    </w:p>
  </w:footnote>
  <w:footnote w:id="115">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134" Target="media/rId134.png" /><Relationship Type="http://schemas.openxmlformats.org/officeDocument/2006/relationships/image" Id="rId55" Target="media/rId55.png" /><Relationship Type="http://schemas.openxmlformats.org/officeDocument/2006/relationships/image" Id="rId34" Target="media/rId34.png" /><Relationship Type="http://schemas.openxmlformats.org/officeDocument/2006/relationships/hyperlink" Id="rId64" Target="" TargetMode="External" /><Relationship Type="http://schemas.openxmlformats.org/officeDocument/2006/relationships/hyperlink" Id="rId33" Target="https://fnh.ma/article/actualite-financiere-maroc/assurances-sbr-un-projet-de-circulaire-en-preparation" TargetMode="External" /><Relationship Type="http://schemas.openxmlformats.org/officeDocument/2006/relationships/hyperlink" Id="rId23" Target="https://www.atlas-mag.net/article/marche-africain-de-l-assurance-en-2019-chiffre-d-affaires-des-principaux-pays" TargetMode="External" /><Relationship Type="http://schemas.openxmlformats.org/officeDocument/2006/relationships/hyperlink" Id="rId72"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64" Target="" TargetMode="External" /><Relationship Type="http://schemas.openxmlformats.org/officeDocument/2006/relationships/hyperlink" Id="rId33" Target="https://fnh.ma/article/actualite-financiere-maroc/assurances-sbr-un-projet-de-circulaire-en-preparation" TargetMode="External" /><Relationship Type="http://schemas.openxmlformats.org/officeDocument/2006/relationships/hyperlink" Id="rId23" Target="https://www.atlas-mag.net/article/marche-africain-de-l-assurance-en-2019-chiffre-d-affaires-des-principaux-pays" TargetMode="External" /><Relationship Type="http://schemas.openxmlformats.org/officeDocument/2006/relationships/hyperlink" Id="rId72"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2023-06-09T16:27:25Z</dcterms:created>
  <dcterms:modified xsi:type="dcterms:W3CDTF">2023-06-09T16:27:25Z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