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Override PartName="/word/media/rId30.png" ContentType="image/png"/>
  <Override PartName="/word/media/rId70.png" ContentType="image/png"/>
  <Override PartName="/word/media/rId41.png" ContentType="image/png"/>
  <Override PartName="/word/media/rId262.png" ContentType="image/png"/>
  <Override PartName="/word/media/rId78.png" ContentType="image/png"/>
  <Override PartName="/word/media/rId246.png" ContentType="image/png"/>
  <Override PartName="/word/media/rId84.png" ContentType="image/png"/>
  <Override PartName="/word/media/rId181.png" ContentType="image/png"/>
  <Override PartName="/word/media/rId74.png" ContentType="image/png"/>
  <Override PartName="/word/media/rId266.png" ContentType="image/png"/>
  <Override PartName="/word/media/rId252.png" ContentType="image/png"/>
  <Override PartName="/word/media/rId257.png" ContentType="image/png"/>
  <Override PartName="/word/media/rId35.png" ContentType="image/png"/>
  <Override PartName="/word/media/rId2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organisme-daccueil"/>
    <w:p>
      <w:pPr>
        <w:pStyle w:val="Heading1"/>
      </w:pPr>
      <w:r>
        <w:t xml:space="preserve">Organisme d’accueil</w:t>
      </w:r>
    </w:p>
    <w:p>
      <w:pPr>
        <w:pStyle w:val="FirstParagraph"/>
      </w:pPr>
      <w:r>
        <w:t xml:space="preserve">Créée en 1996,</w:t>
      </w:r>
      <w:r>
        <w:t xml:space="preserve"> </w:t>
      </w:r>
      <w:r>
        <w:rPr>
          <w:bCs/>
          <w:b/>
        </w:rPr>
        <w:t xml:space="preserve">A.R.M CONSULTANTS</w:t>
      </w:r>
      <w:r>
        <w:t xml:space="preserve"> </w:t>
      </w:r>
      <w:r>
        <w:t xml:space="preserve">est le premier cabinet d’actuaires conseils indépendants au Maroc, en Afrique francophone et dans la région MENA, spécialisé dans l’Actuariat, la gestion des risques et l’ingénierie des assurances. Son capital est détenu à 100% par ses associés, ce qui assure au Cabinet une complète indépendance de tout organisme assureur. La présence d’A.R.M CONSULTANTS, qui regroupe des actuaires consultants de haut niveau, disposant d’une formation supérieure pluridisciplinaires et ayant une longue expérience dans les différents domaines du Risk-Management, de l’assurance et de la prévoyance sociale tant en France qu’au Maroc, présente une réelle opportunité pour :</w:t>
      </w:r>
    </w:p>
    <w:p>
      <w:pPr>
        <w:numPr>
          <w:ilvl w:val="0"/>
          <w:numId w:val="1001"/>
        </w:numPr>
        <w:pStyle w:val="Compact"/>
      </w:pPr>
      <w:r>
        <w:t xml:space="preserve">Les institutions financières qui souhaitent innover et maitriser leurs risques, pour devenir leaders dans les domaines de l’assurance, de la bancassurance, de la réassurance, de la prévoyance sociale, de la retraite ou du crédit bancaire.</w:t>
      </w:r>
    </w:p>
    <w:p>
      <w:pPr>
        <w:numPr>
          <w:ilvl w:val="0"/>
          <w:numId w:val="1001"/>
        </w:numPr>
        <w:pStyle w:val="Compact"/>
      </w:pPr>
      <w:r>
        <w:t xml:space="preserve">Les entreprises et les établissements publics, qui souhaitent optimiser leurs performances en matière de gestion de leurs risques, de leurs assurances et de leurs engagements sociaux.</w:t>
      </w:r>
    </w:p>
    <w:p>
      <w:pPr>
        <w:numPr>
          <w:ilvl w:val="0"/>
          <w:numId w:val="1001"/>
        </w:numPr>
        <w:pStyle w:val="Compact"/>
      </w:pPr>
      <w:r>
        <w:t xml:space="preserve">Les administrations qui cherchent à élaborer des études actuarielles pour améliorer les systèmes existants de couvertures sociales ou mettre en place de nouveaux régimes de prévoyance sociale.</w:t>
      </w:r>
    </w:p>
    <w:p>
      <w:pPr>
        <w:pStyle w:val="FirstParagraph"/>
      </w:pPr>
      <w:r>
        <w:rPr>
          <w:bCs/>
          <w:b/>
        </w:rPr>
        <w:t xml:space="preserve">A.R.M CONSULTANTS</w:t>
      </w:r>
      <w:r>
        <w:t xml:space="preserve"> </w:t>
      </w:r>
      <w:r>
        <w:t xml:space="preserve">s’est dotée d’équipes soudées et complémentaires, organisées autour de deux pôles distincts (Institutionnels et Corporat) qui lui permet de couvrir l’ensemble des spécificités actuarielles. Cette richesse, diversité et complémentarité des métiers permet à A.R.M CONSULTANTS de suivre en permanence l’ensemble des évolutions actuarielles et réglementaires. A.R.M CONSULTANTS a su développer et affirmer son savoir faire et son expertise grâce aux compétences et expériences de ses consultants, à sa spécialisation dans les domaines pointus de l’actuariat et du Risk-Management, et à son approche originale parfaitement adaptée au contexte Marocain et régional, basée sur un conseil extérieur qui est :</w:t>
      </w:r>
    </w:p>
    <w:p>
      <w:pPr>
        <w:numPr>
          <w:ilvl w:val="0"/>
          <w:numId w:val="1002"/>
        </w:numPr>
        <w:pStyle w:val="Compact"/>
      </w:pPr>
      <w:r>
        <w:t xml:space="preserve">Innovateur.</w:t>
      </w:r>
    </w:p>
    <w:p>
      <w:pPr>
        <w:numPr>
          <w:ilvl w:val="0"/>
          <w:numId w:val="1002"/>
        </w:numPr>
        <w:pStyle w:val="Compact"/>
      </w:pPr>
      <w:r>
        <w:t xml:space="preserve">Indépendant.</w:t>
      </w:r>
    </w:p>
    <w:p>
      <w:pPr>
        <w:numPr>
          <w:ilvl w:val="0"/>
          <w:numId w:val="1002"/>
        </w:numPr>
        <w:pStyle w:val="Compact"/>
      </w:pPr>
      <w:r>
        <w:t xml:space="preserve">International, par le biais de son partenariat avec des sociétés similaires de renommée internationale.</w:t>
      </w:r>
    </w:p>
    <w:bookmarkEnd w:id="20"/>
    <w:bookmarkStart w:id="21" w:name="liste-des-abréviations"/>
    <w:p>
      <w:pPr>
        <w:pStyle w:val="Heading1"/>
      </w:pPr>
      <w:r>
        <w:t xml:space="preserve">Liste des abréviations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Abréviation</w:t>
            </w:r>
          </w:p>
        </w:tc>
        <w:tc>
          <w:tcPr/>
          <w:p>
            <w:pPr>
              <w:pStyle w:val="Compact"/>
              <w:jc w:val="left"/>
            </w:pPr>
            <w:r>
              <w:t xml:space="preserve">Désignation</w:t>
            </w:r>
          </w:p>
        </w:tc>
      </w:tr>
      <w:tr>
        <w:tc>
          <w:tcPr/>
          <w:p>
            <w:pPr>
              <w:pStyle w:val="Compact"/>
              <w:jc w:val="left"/>
            </w:pPr>
            <w:r>
              <w:t xml:space="preserve">SBR</w:t>
            </w:r>
          </w:p>
        </w:tc>
        <w:tc>
          <w:tcPr/>
          <w:p>
            <w:pPr>
              <w:pStyle w:val="Compact"/>
              <w:jc w:val="left"/>
            </w:pPr>
            <w:r>
              <w:t xml:space="preserve">Solvabilité Basée sur les risques</w:t>
            </w:r>
          </w:p>
        </w:tc>
      </w:tr>
      <w:tr>
        <w:tc>
          <w:tcPr/>
          <w:p>
            <w:pPr>
              <w:pStyle w:val="Compact"/>
              <w:jc w:val="left"/>
            </w:pPr>
            <w:r>
              <w:t xml:space="preserve">ACAPS</w:t>
            </w:r>
          </w:p>
        </w:tc>
        <w:tc>
          <w:tcPr/>
          <w:p>
            <w:pPr>
              <w:pStyle w:val="Compact"/>
              <w:jc w:val="left"/>
            </w:pPr>
            <w:r>
              <w:t xml:space="preserve">Autorité de contrôle des Assurances et de la Prévoyance Sociale</w:t>
            </w:r>
          </w:p>
        </w:tc>
      </w:tr>
      <w:tr>
        <w:tc>
          <w:tcPr/>
          <w:p>
            <w:pPr>
              <w:pStyle w:val="Compact"/>
              <w:jc w:val="left"/>
            </w:pPr>
            <w:r>
              <w:t xml:space="preserve">AT</w:t>
            </w:r>
          </w:p>
        </w:tc>
        <w:tc>
          <w:tcPr/>
          <w:p>
            <w:pPr>
              <w:pStyle w:val="Compact"/>
              <w:jc w:val="left"/>
            </w:pPr>
            <w:r>
              <w:t xml:space="preserve">Accident de travail</w:t>
            </w:r>
          </w:p>
        </w:tc>
      </w:tr>
      <w:tr>
        <w:tc>
          <w:tcPr/>
          <w:p>
            <w:pPr>
              <w:pStyle w:val="Compact"/>
              <w:jc w:val="left"/>
            </w:pPr>
            <w:r>
              <w:t xml:space="preserve">RNN</w:t>
            </w:r>
          </w:p>
        </w:tc>
        <w:tc>
          <w:tcPr/>
          <w:p>
            <w:pPr>
              <w:pStyle w:val="Compact"/>
              <w:jc w:val="left"/>
            </w:pPr>
            <w:r>
              <w:t xml:space="preserve">Réseaux de neurones récurrents</w:t>
            </w:r>
          </w:p>
        </w:tc>
      </w:tr>
      <w:tr>
        <w:tc>
          <w:tcPr/>
          <w:p>
            <w:pPr>
              <w:pStyle w:val="Compact"/>
              <w:jc w:val="left"/>
            </w:pPr>
            <w:r>
              <w:t xml:space="preserve">LSTM</w:t>
            </w:r>
          </w:p>
        </w:tc>
        <w:tc>
          <w:tcPr/>
          <w:p>
            <w:pPr>
              <w:pStyle w:val="Compact"/>
              <w:jc w:val="left"/>
            </w:pPr>
            <w:r>
              <w:t xml:space="preserve">Long short-term memory</w:t>
            </w:r>
          </w:p>
        </w:tc>
      </w:tr>
      <w:tr>
        <w:tc>
          <w:tcPr/>
          <w:p>
            <w:pPr>
              <w:pStyle w:val="Compact"/>
              <w:jc w:val="left"/>
            </w:pPr>
            <w:r>
              <w:t xml:space="preserve">MASI</w:t>
            </w:r>
          </w:p>
        </w:tc>
        <w:tc>
          <w:tcPr/>
          <w:p>
            <w:pPr>
              <w:pStyle w:val="Compact"/>
              <w:jc w:val="left"/>
            </w:pPr>
            <w:r>
              <w:t xml:space="preserve">Moroccan All Shares index</w:t>
            </w:r>
          </w:p>
        </w:tc>
      </w:tr>
      <w:tr>
        <w:tc>
          <w:tcPr/>
          <w:p>
            <w:pPr>
              <w:pStyle w:val="Compact"/>
              <w:jc w:val="left"/>
            </w:pPr>
            <w:r>
              <w:t xml:space="preserve">CSR</w:t>
            </w:r>
          </w:p>
        </w:tc>
        <w:tc>
          <w:tcPr/>
          <w:p>
            <w:pPr>
              <w:pStyle w:val="Compact"/>
              <w:jc w:val="left"/>
            </w:pPr>
            <w:r>
              <w:t xml:space="preserve">Capital de Solvabilité Requis</w:t>
            </w:r>
          </w:p>
        </w:tc>
      </w:tr>
      <w:tr>
        <w:tc>
          <w:tcPr/>
          <w:p>
            <w:pPr>
              <w:pStyle w:val="Compact"/>
              <w:jc w:val="left"/>
            </w:pPr>
            <w:r>
              <w:t xml:space="preserve">BE</w:t>
            </w:r>
          </w:p>
        </w:tc>
        <w:tc>
          <w:tcPr/>
          <w:p>
            <w:pPr>
              <w:pStyle w:val="Compact"/>
              <w:jc w:val="left"/>
            </w:pPr>
            <w:r>
              <w:t xml:space="preserve">Best Estimate</w:t>
            </w:r>
          </w:p>
        </w:tc>
      </w:tr>
      <w:tr>
        <w:tc>
          <w:tcPr/>
          <w:p>
            <w:pPr>
              <w:pStyle w:val="Compact"/>
              <w:jc w:val="left"/>
            </w:pPr>
            <w:r>
              <w:t xml:space="preserve">PPNA</w:t>
            </w:r>
          </w:p>
        </w:tc>
        <w:tc>
          <w:tcPr/>
          <w:p>
            <w:pPr>
              <w:pStyle w:val="Compact"/>
              <w:jc w:val="left"/>
            </w:pPr>
            <w:r>
              <w:t xml:space="preserve">Provision pour primes non Acquises</w:t>
            </w:r>
          </w:p>
        </w:tc>
      </w:tr>
      <w:tr>
        <w:tc>
          <w:tcPr/>
          <w:p>
            <w:pPr>
              <w:pStyle w:val="Compact"/>
              <w:jc w:val="left"/>
            </w:pPr>
            <w:r>
              <w:t xml:space="preserve">PSAP</w:t>
            </w:r>
          </w:p>
        </w:tc>
        <w:tc>
          <w:tcPr/>
          <w:p>
            <w:pPr>
              <w:pStyle w:val="Compact"/>
              <w:jc w:val="left"/>
            </w:pPr>
            <w:r>
              <w:t xml:space="preserve">Provision pour Sinistre à Payer</w:t>
            </w:r>
          </w:p>
        </w:tc>
      </w:tr>
      <w:tr>
        <w:tc>
          <w:tcPr/>
          <w:p>
            <w:pPr>
              <w:pStyle w:val="Compact"/>
              <w:jc w:val="left"/>
            </w:pPr>
            <w:r>
              <w:t xml:space="preserve">BAM</w:t>
            </w:r>
          </w:p>
        </w:tc>
        <w:tc>
          <w:tcPr/>
          <w:p>
            <w:pPr>
              <w:pStyle w:val="Compact"/>
              <w:jc w:val="left"/>
            </w:pPr>
            <w:r>
              <w:t xml:space="preserve">Bank Al Maghrib</w:t>
            </w:r>
          </w:p>
        </w:tc>
      </w:tr>
      <w:tr>
        <w:tc>
          <w:tcPr/>
          <w:p>
            <w:pPr>
              <w:pStyle w:val="Compact"/>
              <w:jc w:val="left"/>
            </w:pPr>
            <w:r>
              <w:t xml:space="preserve">CSRB</w:t>
            </w:r>
          </w:p>
        </w:tc>
        <w:tc>
          <w:tcPr/>
          <w:p>
            <w:pPr>
              <w:pStyle w:val="Compact"/>
              <w:jc w:val="left"/>
            </w:pPr>
            <w:r>
              <w:t xml:space="preserve">Capital de solvabilité requis de base</w:t>
            </w:r>
          </w:p>
        </w:tc>
      </w:tr>
      <w:tr>
        <w:tc>
          <w:tcPr/>
          <w:p>
            <w:pPr>
              <w:pStyle w:val="Compact"/>
              <w:jc w:val="left"/>
            </w:pPr>
            <w:r>
              <w:t xml:space="preserve">CSRO</w:t>
            </w:r>
          </w:p>
        </w:tc>
        <w:tc>
          <w:tcPr/>
          <w:p>
            <w:pPr>
              <w:pStyle w:val="Compact"/>
              <w:jc w:val="left"/>
            </w:pPr>
            <w:r>
              <w:t xml:space="preserve">Capital de solvabilité requis relative au risque Opérationnel</w:t>
            </w:r>
          </w:p>
        </w:tc>
      </w:tr>
      <w:tr>
        <w:tc>
          <w:tcPr/>
          <w:p>
            <w:pPr>
              <w:pStyle w:val="Compact"/>
              <w:jc w:val="left"/>
            </w:pPr>
            <w:r>
              <w:t xml:space="preserve">MR</w:t>
            </w:r>
          </w:p>
        </w:tc>
        <w:tc>
          <w:tcPr/>
          <w:p>
            <w:pPr>
              <w:pStyle w:val="Compact"/>
              <w:jc w:val="left"/>
            </w:pPr>
            <w:r>
              <w:t xml:space="preserve">Marge de Risque</w:t>
            </w:r>
          </w:p>
        </w:tc>
      </w:tr>
      <w:tr>
        <w:tc>
          <w:tcPr/>
          <w:p>
            <w:pPr>
              <w:pStyle w:val="Compact"/>
              <w:jc w:val="left"/>
            </w:pPr>
            <w:r>
              <w:t xml:space="preserve">EDS</w:t>
            </w:r>
          </w:p>
        </w:tc>
        <w:tc>
          <w:tcPr/>
          <w:p>
            <w:pPr>
              <w:pStyle w:val="Compact"/>
              <w:jc w:val="left"/>
            </w:pPr>
            <w:r>
              <w:t xml:space="preserve">Equation Différentielle Stochastique</w:t>
            </w:r>
          </w:p>
        </w:tc>
      </w:tr>
      <w:tr>
        <w:tc>
          <w:tcPr/>
          <w:p>
            <w:pPr>
              <w:pStyle w:val="Compact"/>
              <w:jc w:val="left"/>
            </w:pPr>
            <w:r>
              <w:t xml:space="preserve">GBM</w:t>
            </w:r>
          </w:p>
        </w:tc>
        <w:tc>
          <w:tcPr/>
          <w:p>
            <w:pPr>
              <w:pStyle w:val="Compact"/>
              <w:jc w:val="left"/>
            </w:pPr>
            <w:r>
              <w:t xml:space="preserve">Geometric Brownian Motion</w:t>
            </w:r>
          </w:p>
        </w:tc>
      </w:tr>
      <w:tr>
        <w:tc>
          <w:tcPr/>
          <w:p>
            <w:pPr>
              <w:pStyle w:val="Compact"/>
              <w:jc w:val="left"/>
            </w:pPr>
            <w:r>
              <w:t xml:space="preserve">OPCVM</w:t>
            </w:r>
          </w:p>
        </w:tc>
        <w:tc>
          <w:tcPr/>
          <w:p>
            <w:pPr>
              <w:pStyle w:val="Compact"/>
              <w:jc w:val="left"/>
            </w:pPr>
            <w:r>
              <w:t xml:space="preserve">Organisme de Placement Collectif en Valeurs Mobilières</w:t>
            </w:r>
          </w:p>
        </w:tc>
      </w:tr>
      <w:tr>
        <w:tc>
          <w:tcPr/>
          <w:p>
            <w:pPr>
              <w:pStyle w:val="Compact"/>
              <w:jc w:val="left"/>
            </w:pPr>
            <w:r>
              <w:t xml:space="preserve">OPCI</w:t>
            </w:r>
          </w:p>
        </w:tc>
        <w:tc>
          <w:tcPr/>
          <w:p>
            <w:pPr>
              <w:pStyle w:val="Compact"/>
              <w:jc w:val="left"/>
            </w:pPr>
            <w:r>
              <w:t xml:space="preserve">Organisme de Placement Collectif Immobilier</w:t>
            </w:r>
          </w:p>
        </w:tc>
      </w:tr>
      <w:tr>
        <w:tc>
          <w:tcPr/>
          <w:p>
            <w:pPr>
              <w:pStyle w:val="Compact"/>
              <w:jc w:val="left"/>
            </w:pPr>
            <w:r>
              <w:t xml:space="preserve">OPCC</w:t>
            </w:r>
          </w:p>
        </w:tc>
        <w:tc>
          <w:tcPr/>
          <w:p>
            <w:pPr>
              <w:pStyle w:val="Compact"/>
              <w:jc w:val="left"/>
            </w:pPr>
            <w:r>
              <w:t xml:space="preserve">Organismes de Placement Collectif en Capital</w:t>
            </w:r>
          </w:p>
        </w:tc>
      </w:tr>
      <w:tr>
        <w:tc>
          <w:tcPr/>
          <w:p>
            <w:pPr>
              <w:pStyle w:val="Compact"/>
              <w:jc w:val="left"/>
            </w:pPr>
            <w:r>
              <w:t xml:space="preserve">FPCT</w:t>
            </w:r>
          </w:p>
        </w:tc>
        <w:tc>
          <w:tcPr/>
          <w:p>
            <w:pPr>
              <w:pStyle w:val="Compact"/>
              <w:jc w:val="left"/>
            </w:pPr>
            <w:r>
              <w:t xml:space="preserve">Fonds de Placement Collectifs en Titrisation</w:t>
            </w:r>
          </w:p>
        </w:tc>
      </w:tr>
    </w:tbl>
    <w:bookmarkEnd w:id="21"/>
    <w:bookmarkStart w:id="23" w:name="introduction"/>
    <w:p>
      <w:pPr>
        <w:pStyle w:val="Heading1"/>
      </w:pPr>
      <w:r>
        <w:t xml:space="preserve">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montrée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Solvabilité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2"/>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3"/>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3"/>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3"/>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3"/>
    <w:bookmarkStart w:id="46" w:name="chapitre-i-cadre-réglementaire-marocain"/>
    <w:p>
      <w:pPr>
        <w:pStyle w:val="Heading1"/>
      </w:pPr>
      <w:r>
        <w:t xml:space="preserve">1. CHAPITRE I : Cadre réglementaire Marocain</w:t>
      </w:r>
    </w:p>
    <w:bookmarkStart w:id="39" w:name="cadre-réglementaire-marocain"/>
    <w:p>
      <w:pPr>
        <w:pStyle w:val="Heading2"/>
      </w:pPr>
      <w:r>
        <w:t xml:space="preserve">1.1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4">
        <w:r>
          <w:rPr>
            <w:rStyle w:val="Hyperlink"/>
          </w:rPr>
          <w:t xml:space="preserve">Atlas Mag</w:t>
        </w:r>
      </w:hyperlink>
      <w:r>
        <w:rPr>
          <w:rStyle w:val="FootnoteReference"/>
        </w:rPr>
        <w:footnoteReference w:id="25"/>
      </w:r>
      <w:r>
        <w:t xml:space="preserve">, le Maroc est classé</w:t>
      </w:r>
      <w:r>
        <w:t xml:space="preserve"> </w:t>
      </w:r>
      <w:r>
        <w:rPr>
          <w:bCs/>
          <w:b/>
        </w:rPr>
        <w:t xml:space="preserve">2ème</w:t>
      </w:r>
      <w:r>
        <w:t xml:space="preserve"> </w:t>
      </w:r>
      <w:r>
        <w:t xml:space="preserve">en Afrique et</w:t>
      </w:r>
      <w:r>
        <w:t xml:space="preserve"> </w:t>
      </w:r>
      <w:r>
        <w:rPr>
          <w:bCs/>
          <w:b/>
        </w:rPr>
        <w:t xml:space="preserve">49ème</w:t>
      </w:r>
      <w:r>
        <w:t xml:space="preserve"> </w:t>
      </w:r>
      <w:r>
        <w:t xml:space="preserve">mondial avec un</w:t>
      </w:r>
      <w:r>
        <w:t xml:space="preserve"> </w:t>
      </w:r>
      <w:r>
        <w:rPr>
          <w:bCs/>
          <w:b/>
        </w:rPr>
        <w:t xml:space="preserve">chiffre d’affaire de 5 343 millions USD</w:t>
      </w:r>
      <w:r>
        <w:t xml:space="preserve"> </w:t>
      </w:r>
      <w:r>
        <w:t xml:space="preserve">en 2021.</w:t>
      </w:r>
    </w:p>
    <w:bookmarkStart w:id="26" w:name="tbl-classement"/>
    <w:p>
      <w:pPr>
        <w:pStyle w:val="TableCaption"/>
      </w:pPr>
      <w:r>
        <w:t xml:space="preserve">Table 1: Marché africain de l’assurance en 2021</w:t>
      </w:r>
    </w:p>
    <w:tbl>
      <w:tblPr>
        <w:tblStyle w:val="Table"/>
        <w:tblW w:type="auto" w:w="0"/>
        <w:tblLook w:firstRow="1" w:lastRow="0" w:firstColumn="0" w:lastColumn="0" w:noHBand="0" w:noVBand="0" w:val="0020"/>
        <w:jc w:val="start"/>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6"/>
    <w:p>
      <w:pPr>
        <w:pStyle w:val="BodyText"/>
      </w:pPr>
      <w:r>
        <w:t xml:space="preserve">Le Royaume doit se succès à la rigueur de son dispositif prudentiel qui se consolide de plus en plus.</w:t>
      </w:r>
      <w:r>
        <w:t xml:space="preserve"> </w:t>
      </w:r>
      <w:r>
        <w:t xml:space="preserve">La SBR (Solvabilité basée sur les risques) est une réforme prudentielle qui vient en ce sens renforcer cette dynamique. elle vise à consolider la résilience des compagnies d’assurances face aux différents risques qu’elles encourent. Elle repose sur trois piliers : le pilier quantitatif, le pilier qualitatif et le pilier informatif</w:t>
      </w:r>
      <w:r>
        <w:rPr>
          <w:rStyle w:val="FootnoteReference"/>
        </w:rPr>
        <w:footnoteReference w:id="27"/>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8"/>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9"/>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3"/>
      </w:r>
      <w:r>
        <w:t xml:space="preserve">.</w:t>
      </w:r>
    </w:p>
    <w:tbl>
      <w:tblPr>
        <w:tblStyle w:val="Table"/>
        <w:tblW w:type="pct" w:w="5000"/>
        <w:tblLook w:firstRow="0" w:lastRow="0" w:firstColumn="0" w:lastColumn="0" w:noHBand="0" w:noVBand="0" w:val="0000"/>
        <w:jc w:val="start"/>
      </w:tblPr>
      <w:tblGrid>
        <w:gridCol w:w="7920"/>
      </w:tblGrid>
      <w:tr>
        <w:tc>
          <w:tcPr/>
          <w:bookmarkStart w:id="38" w:name="fig-piliers"/>
          <w:p>
            <w:pPr>
              <w:jc w:val="center"/>
            </w:pPr>
            <w:r>
              <w:drawing>
                <wp:inline>
                  <wp:extent cx="5334000" cy="3000375"/>
                  <wp:effectExtent b="0" l="0" r="0" t="0"/>
                  <wp:docPr descr="" title="" id="36" name="Picture"/>
                  <a:graphic>
                    <a:graphicData uri="http://schemas.openxmlformats.org/drawingml/2006/picture">
                      <pic:pic>
                        <pic:nvPicPr>
                          <pic:cNvPr descr="Rapport-PFE_files/figure-html/piliers.png" id="37"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8"/>
        </w:tc>
      </w:tr>
    </w:tbl>
    <w:bookmarkEnd w:id="39"/>
    <w:bookmarkStart w:id="45" w:name="piliers-1-exigences-quantitatives"/>
    <w:p>
      <w:pPr>
        <w:pStyle w:val="Heading2"/>
      </w:pPr>
      <w:r>
        <w:t xml:space="preserve">1.2 Piliers 1: Exigences quantitatives :</w:t>
      </w:r>
    </w:p>
    <w:p>
      <w:pPr>
        <w:pStyle w:val="FirstParagraph"/>
      </w:pPr>
      <w:r>
        <w:t xml:space="preserve">Sur les trois piliers de la normes SBR, notre rapport de stage se concentre essentiellement sur le pilier 1. Ce dernier spécifie toutes les dispositions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40"/>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4"/>
        </w:numPr>
      </w:pPr>
      <w:r>
        <w:t xml:space="preserve">Le Best Estimate, qui n’est rien d’autre que la valeur actualisée des flux futurs attendus liés aux contrats en cours. L’actualisation se fait en utilisant une courbe de taux sans risque de référence, qui reflète les conditions du marché.</w:t>
      </w:r>
    </w:p>
    <w:p>
      <w:pPr>
        <w:numPr>
          <w:ilvl w:val="0"/>
          <w:numId w:val="1004"/>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à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jc w:val="start"/>
      </w:tblPr>
      <w:tblGrid>
        <w:gridCol w:w="7920"/>
      </w:tblGrid>
      <w:tr>
        <w:tc>
          <w:tcPr/>
          <w:bookmarkStart w:id="44" w:name="fig-bilan"/>
          <w:p>
            <w:pPr>
              <w:jc w:val="center"/>
            </w:pPr>
            <w:r>
              <w:drawing>
                <wp:inline>
                  <wp:extent cx="5334000" cy="2993010"/>
                  <wp:effectExtent b="0" l="0" r="0" t="0"/>
                  <wp:docPr descr="" title="" id="42" name="Picture"/>
                  <a:graphic>
                    <a:graphicData uri="http://schemas.openxmlformats.org/drawingml/2006/picture">
                      <pic:pic>
                        <pic:nvPicPr>
                          <pic:cNvPr descr="Rapport-PFE_files/figure-html/Bilan.png" id="43" name="Picture"/>
                          <pic:cNvPicPr>
                            <a:picLocks noChangeArrowheads="1" noChangeAspect="1"/>
                          </pic:cNvPicPr>
                        </pic:nvPicPr>
                        <pic:blipFill>
                          <a:blip r:embed="rId41"/>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4"/>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5"/>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5"/>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capaciter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6"/>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6"/>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6"/>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6"/>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6"/>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6"/>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6"/>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évaluation repose sur un certain nombre de principes parmi lesquels nous pouvons citer :</w:t>
      </w:r>
    </w:p>
    <w:p>
      <w:pPr>
        <w:numPr>
          <w:ilvl w:val="0"/>
          <w:numId w:val="1007"/>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7"/>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7"/>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7"/>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7"/>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L’évaluation par un test de recouvrabilité et la capacité d’absorption des pertes par les impôts différés. L’objectif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8"/>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8"/>
        </w:numPr>
      </w:pPr>
      <w:r>
        <w:t xml:space="preserve">Le modèle interne, qui est une méthode propre à l’assureur, qui prend en compte les spécificités de son profil de risque, et qui utilise ses propres paramètres. Le modèle interne doit être validé par le régulateur.</w:t>
      </w:r>
    </w:p>
    <w:bookmarkEnd w:id="45"/>
    <w:bookmarkEnd w:id="46"/>
    <w:bookmarkStart w:id="63" w:name="X2550295fbb3cfba728df7be700e79e4d4dd16d7"/>
    <w:p>
      <w:pPr>
        <w:pStyle w:val="Heading1"/>
      </w:pPr>
      <w:r>
        <w:t xml:space="preserve">2. CHAPITRE II : Construction de la courbe des taux</w:t>
      </w:r>
    </w:p>
    <w:bookmarkStart w:id="62" w:name="sec-courbe_zc"/>
    <w:p>
      <w:pPr>
        <w:pStyle w:val="Heading2"/>
      </w:pPr>
      <w:r>
        <w:t xml:space="preserve">2.1 La construction de la courbe des taux zéro-coupon</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extraits des taux moyens pondérés des transactions des bons de trésor publiées par la</w:t>
      </w:r>
      <w:r>
        <w:t xml:space="preserve"> </w:t>
      </w:r>
      <w:hyperlink r:id="rId47">
        <w:r>
          <w:rPr>
            <w:rStyle w:val="Hyperlink"/>
          </w:rPr>
          <w:t xml:space="preserve">BANK AL MAGHRIB</w:t>
        </w:r>
      </w:hyperlink>
      <w:r>
        <w:t xml:space="preserve">. Ces taux, sont en effet des taux monétaires pour les maturités inférieures ou égales à un an, alors qu’il représente un taux actuariel pour les maturités supérieures à un an, de plus ils ne sont disponibles que pour certaines maturités.</w:t>
      </w:r>
    </w:p>
    <w:bookmarkStart w:id="48"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jc w:val="start"/>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13/01/2023</w:t>
            </w:r>
          </w:p>
        </w:tc>
        <w:tc>
          <w:tcPr/>
          <w:p>
            <w:pPr>
              <w:pStyle w:val="Compact"/>
              <w:jc w:val="left"/>
            </w:pPr>
            <w:r>
              <w:t xml:space="preserve">322,40</w:t>
            </w:r>
          </w:p>
        </w:tc>
        <w:tc>
          <w:tcPr/>
          <w:p>
            <w:pPr>
              <w:pStyle w:val="Compact"/>
              <w:jc w:val="right"/>
            </w:pPr>
            <w:r>
              <w:t xml:space="preserve">0.02948</w:t>
            </w:r>
          </w:p>
        </w:tc>
        <w:tc>
          <w:tcPr/>
          <w:p>
            <w:pPr>
              <w:pStyle w:val="Compact"/>
              <w:jc w:val="left"/>
            </w:pPr>
            <w:r>
              <w:t xml:space="preserve">2,948 %</w:t>
            </w:r>
          </w:p>
        </w:tc>
        <w:tc>
          <w:tcPr/>
          <w:p>
            <w:pPr>
              <w:pStyle w:val="Compact"/>
              <w:jc w:val="left"/>
            </w:pPr>
            <w:r>
              <w:t xml:space="preserve">30/12/2022</w:t>
            </w:r>
          </w:p>
        </w:tc>
        <w:tc>
          <w:tcPr/>
          <w:p>
            <w:pPr>
              <w:pStyle w:val="Compact"/>
              <w:jc w:val="right"/>
            </w:pPr>
            <w:r>
              <w:t xml:space="preserve">0.039</w:t>
            </w:r>
          </w:p>
        </w:tc>
      </w:tr>
      <w:tr>
        <w:tc>
          <w:tcPr/>
          <w:p>
            <w:pPr>
              <w:pStyle w:val="Compact"/>
              <w:jc w:val="left"/>
            </w:pPr>
            <w:r>
              <w:t xml:space="preserve">23/01/2023</w:t>
            </w:r>
          </w:p>
        </w:tc>
        <w:tc>
          <w:tcPr/>
          <w:p>
            <w:pPr>
              <w:pStyle w:val="Compact"/>
              <w:jc w:val="left"/>
            </w:pPr>
            <w:r>
              <w:t xml:space="preserve">120,47</w:t>
            </w:r>
          </w:p>
        </w:tc>
        <w:tc>
          <w:tcPr/>
          <w:p>
            <w:pPr>
              <w:pStyle w:val="Compact"/>
              <w:jc w:val="right"/>
            </w:pPr>
            <w:r>
              <w:t xml:space="preserve">0.02930</w:t>
            </w:r>
          </w:p>
        </w:tc>
        <w:tc>
          <w:tcPr/>
          <w:p>
            <w:pPr>
              <w:pStyle w:val="Compact"/>
              <w:jc w:val="left"/>
            </w:pPr>
            <w:r>
              <w:t xml:space="preserve">2,930 %</w:t>
            </w:r>
          </w:p>
        </w:tc>
        <w:tc>
          <w:tcPr/>
          <w:p>
            <w:pPr>
              <w:pStyle w:val="Compact"/>
              <w:jc w:val="left"/>
            </w:pPr>
            <w:r>
              <w:t xml:space="preserve">30/12/2022</w:t>
            </w:r>
          </w:p>
        </w:tc>
        <w:tc>
          <w:tcPr/>
          <w:p>
            <w:pPr>
              <w:pStyle w:val="Compact"/>
              <w:jc w:val="right"/>
            </w:pPr>
            <w:r>
              <w:t xml:space="preserve">0.067</w:t>
            </w:r>
          </w:p>
        </w:tc>
      </w:tr>
      <w:tr>
        <w:tc>
          <w:tcPr/>
          <w:p>
            <w:pPr>
              <w:pStyle w:val="Compact"/>
              <w:jc w:val="left"/>
            </w:pPr>
            <w:r>
              <w:t xml:space="preserve">06/03/2023</w:t>
            </w:r>
          </w:p>
        </w:tc>
        <w:tc>
          <w:tcPr/>
          <w:p>
            <w:pPr>
              <w:pStyle w:val="Compact"/>
              <w:jc w:val="left"/>
            </w:pPr>
            <w:r>
              <w:t xml:space="preserve">30,15</w:t>
            </w:r>
          </w:p>
        </w:tc>
        <w:tc>
          <w:tcPr/>
          <w:p>
            <w:pPr>
              <w:pStyle w:val="Compact"/>
              <w:jc w:val="right"/>
            </w:pPr>
            <w:r>
              <w:t xml:space="preserve">0.02942</w:t>
            </w:r>
          </w:p>
        </w:tc>
        <w:tc>
          <w:tcPr/>
          <w:p>
            <w:pPr>
              <w:pStyle w:val="Compact"/>
              <w:jc w:val="left"/>
            </w:pPr>
            <w:r>
              <w:t xml:space="preserve">2,942 %</w:t>
            </w:r>
          </w:p>
        </w:tc>
        <w:tc>
          <w:tcPr/>
          <w:p>
            <w:pPr>
              <w:pStyle w:val="Compact"/>
              <w:jc w:val="left"/>
            </w:pPr>
            <w:r>
              <w:t xml:space="preserve">30/12/2022</w:t>
            </w:r>
          </w:p>
        </w:tc>
        <w:tc>
          <w:tcPr/>
          <w:p>
            <w:pPr>
              <w:pStyle w:val="Compact"/>
              <w:jc w:val="right"/>
            </w:pPr>
            <w:r>
              <w:t xml:space="preserve">0.183</w:t>
            </w:r>
          </w:p>
        </w:tc>
      </w:tr>
      <w:tr>
        <w:tc>
          <w:tcPr/>
          <w:p>
            <w:pPr>
              <w:pStyle w:val="Compact"/>
              <w:jc w:val="left"/>
            </w:pPr>
            <w:r>
              <w:t xml:space="preserve">22/05/2023</w:t>
            </w:r>
          </w:p>
        </w:tc>
        <w:tc>
          <w:tcPr/>
          <w:p>
            <w:pPr>
              <w:pStyle w:val="Compact"/>
              <w:jc w:val="left"/>
            </w:pPr>
            <w:r>
              <w:t xml:space="preserve">168,01</w:t>
            </w:r>
          </w:p>
        </w:tc>
        <w:tc>
          <w:tcPr/>
          <w:p>
            <w:pPr>
              <w:pStyle w:val="Compact"/>
              <w:jc w:val="right"/>
            </w:pPr>
            <w:r>
              <w:t xml:space="preserve">0.03172</w:t>
            </w:r>
          </w:p>
        </w:tc>
        <w:tc>
          <w:tcPr/>
          <w:p>
            <w:pPr>
              <w:pStyle w:val="Compact"/>
              <w:jc w:val="left"/>
            </w:pPr>
            <w:r>
              <w:t xml:space="preserve">3,172 %</w:t>
            </w:r>
          </w:p>
        </w:tc>
        <w:tc>
          <w:tcPr/>
          <w:p>
            <w:pPr>
              <w:pStyle w:val="Compact"/>
              <w:jc w:val="left"/>
            </w:pPr>
            <w:r>
              <w:t xml:space="preserve">30/12/2022</w:t>
            </w:r>
          </w:p>
        </w:tc>
        <w:tc>
          <w:tcPr/>
          <w:p>
            <w:pPr>
              <w:pStyle w:val="Compact"/>
              <w:jc w:val="right"/>
            </w:pPr>
            <w:r>
              <w:t xml:space="preserve">0.397</w:t>
            </w:r>
          </w:p>
        </w:tc>
      </w:tr>
      <w:tr>
        <w:tc>
          <w:tcPr/>
          <w:p>
            <w:pPr>
              <w:pStyle w:val="Compact"/>
              <w:jc w:val="left"/>
            </w:pPr>
            <w:r>
              <w:t xml:space="preserve">19/06/2023</w:t>
            </w:r>
          </w:p>
        </w:tc>
        <w:tc>
          <w:tcPr/>
          <w:p>
            <w:pPr>
              <w:pStyle w:val="Compact"/>
              <w:jc w:val="left"/>
            </w:pPr>
            <w:r>
              <w:t xml:space="preserve">829,46</w:t>
            </w:r>
          </w:p>
        </w:tc>
        <w:tc>
          <w:tcPr/>
          <w:p>
            <w:pPr>
              <w:pStyle w:val="Compact"/>
              <w:jc w:val="right"/>
            </w:pPr>
            <w:r>
              <w:t xml:space="preserve">0.03008</w:t>
            </w:r>
          </w:p>
        </w:tc>
        <w:tc>
          <w:tcPr/>
          <w:p>
            <w:pPr>
              <w:pStyle w:val="Compact"/>
              <w:jc w:val="left"/>
            </w:pPr>
            <w:r>
              <w:t xml:space="preserve">3,008 %</w:t>
            </w:r>
          </w:p>
        </w:tc>
        <w:tc>
          <w:tcPr/>
          <w:p>
            <w:pPr>
              <w:pStyle w:val="Compact"/>
              <w:jc w:val="left"/>
            </w:pPr>
            <w:r>
              <w:t xml:space="preserve">30/12/2022</w:t>
            </w:r>
          </w:p>
        </w:tc>
        <w:tc>
          <w:tcPr/>
          <w:p>
            <w:pPr>
              <w:pStyle w:val="Compact"/>
              <w:jc w:val="right"/>
            </w:pPr>
            <w:r>
              <w:t xml:space="preserve">0.475</w:t>
            </w:r>
          </w:p>
        </w:tc>
      </w:tr>
      <w:tr>
        <w:tc>
          <w:tcPr/>
          <w:p>
            <w:pPr>
              <w:pStyle w:val="Compact"/>
              <w:jc w:val="left"/>
            </w:pPr>
            <w:r>
              <w:t xml:space="preserve">17/07/2023</w:t>
            </w:r>
          </w:p>
        </w:tc>
        <w:tc>
          <w:tcPr/>
          <w:p>
            <w:pPr>
              <w:pStyle w:val="Compact"/>
              <w:jc w:val="left"/>
            </w:pPr>
            <w:r>
              <w:t xml:space="preserve">210,28</w:t>
            </w:r>
          </w:p>
        </w:tc>
        <w:tc>
          <w:tcPr/>
          <w:p>
            <w:pPr>
              <w:pStyle w:val="Compact"/>
              <w:jc w:val="right"/>
            </w:pPr>
            <w:r>
              <w:t xml:space="preserve">0.03002</w:t>
            </w:r>
          </w:p>
        </w:tc>
        <w:tc>
          <w:tcPr/>
          <w:p>
            <w:pPr>
              <w:pStyle w:val="Compact"/>
              <w:jc w:val="left"/>
            </w:pPr>
            <w:r>
              <w:t xml:space="preserve">3,002 %</w:t>
            </w:r>
          </w:p>
        </w:tc>
        <w:tc>
          <w:tcPr/>
          <w:p>
            <w:pPr>
              <w:pStyle w:val="Compact"/>
              <w:jc w:val="left"/>
            </w:pPr>
            <w:r>
              <w:t xml:space="preserve">30/12/2022</w:t>
            </w:r>
          </w:p>
        </w:tc>
        <w:tc>
          <w:tcPr/>
          <w:p>
            <w:pPr>
              <w:pStyle w:val="Compact"/>
              <w:jc w:val="right"/>
            </w:pPr>
            <w:r>
              <w:t xml:space="preserve">0.553</w:t>
            </w:r>
          </w:p>
        </w:tc>
      </w:tr>
      <w:tr>
        <w:tc>
          <w:tcPr/>
          <w:p>
            <w:pPr>
              <w:pStyle w:val="Compact"/>
              <w:jc w:val="left"/>
            </w:pPr>
            <w:r>
              <w:t xml:space="preserve">05/08/2023</w:t>
            </w:r>
          </w:p>
        </w:tc>
        <w:tc>
          <w:tcPr/>
          <w:p>
            <w:pPr>
              <w:pStyle w:val="Compact"/>
              <w:jc w:val="left"/>
            </w:pPr>
            <w:r>
              <w:t xml:space="preserve">116,18</w:t>
            </w:r>
          </w:p>
        </w:tc>
        <w:tc>
          <w:tcPr/>
          <w:p>
            <w:pPr>
              <w:pStyle w:val="Compact"/>
              <w:jc w:val="right"/>
            </w:pPr>
            <w:r>
              <w:t xml:space="preserve">0.03016</w:t>
            </w:r>
          </w:p>
        </w:tc>
        <w:tc>
          <w:tcPr/>
          <w:p>
            <w:pPr>
              <w:pStyle w:val="Compact"/>
              <w:jc w:val="left"/>
            </w:pPr>
            <w:r>
              <w:t xml:space="preserve">3,016 %</w:t>
            </w:r>
          </w:p>
        </w:tc>
        <w:tc>
          <w:tcPr/>
          <w:p>
            <w:pPr>
              <w:pStyle w:val="Compact"/>
              <w:jc w:val="left"/>
            </w:pPr>
            <w:r>
              <w:t xml:space="preserve">30/12/2022</w:t>
            </w:r>
          </w:p>
        </w:tc>
        <w:tc>
          <w:tcPr/>
          <w:p>
            <w:pPr>
              <w:pStyle w:val="Compact"/>
              <w:jc w:val="right"/>
            </w:pPr>
            <w:r>
              <w:t xml:space="preserve">0.606</w:t>
            </w:r>
          </w:p>
        </w:tc>
      </w:tr>
      <w:tr>
        <w:tc>
          <w:tcPr/>
          <w:p>
            <w:pPr>
              <w:pStyle w:val="Compact"/>
              <w:jc w:val="left"/>
            </w:pPr>
            <w:r>
              <w:t xml:space="preserve">11/09/2023</w:t>
            </w:r>
          </w:p>
        </w:tc>
        <w:tc>
          <w:tcPr/>
          <w:p>
            <w:pPr>
              <w:pStyle w:val="Compact"/>
              <w:jc w:val="left"/>
            </w:pPr>
            <w:r>
              <w:t xml:space="preserve">349,31</w:t>
            </w:r>
          </w:p>
        </w:tc>
        <w:tc>
          <w:tcPr/>
          <w:p>
            <w:pPr>
              <w:pStyle w:val="Compact"/>
              <w:jc w:val="right"/>
            </w:pPr>
            <w:r>
              <w:t xml:space="preserve">0.03045</w:t>
            </w:r>
          </w:p>
        </w:tc>
        <w:tc>
          <w:tcPr/>
          <w:p>
            <w:pPr>
              <w:pStyle w:val="Compact"/>
              <w:jc w:val="left"/>
            </w:pPr>
            <w:r>
              <w:t xml:space="preserve">3,045 %</w:t>
            </w:r>
          </w:p>
        </w:tc>
        <w:tc>
          <w:tcPr/>
          <w:p>
            <w:pPr>
              <w:pStyle w:val="Compact"/>
              <w:jc w:val="left"/>
            </w:pPr>
            <w:r>
              <w:t xml:space="preserve">30/12/2022</w:t>
            </w:r>
          </w:p>
        </w:tc>
        <w:tc>
          <w:tcPr/>
          <w:p>
            <w:pPr>
              <w:pStyle w:val="Compact"/>
              <w:jc w:val="right"/>
            </w:pPr>
            <w:r>
              <w:t xml:space="preserve">0.708</w:t>
            </w:r>
          </w:p>
        </w:tc>
      </w:tr>
      <w:tr>
        <w:tc>
          <w:tcPr/>
          <w:p>
            <w:pPr>
              <w:pStyle w:val="Compact"/>
              <w:jc w:val="left"/>
            </w:pPr>
            <w:r>
              <w:t xml:space="preserve">16/10/2023</w:t>
            </w:r>
          </w:p>
        </w:tc>
        <w:tc>
          <w:tcPr/>
          <w:p>
            <w:pPr>
              <w:pStyle w:val="Compact"/>
              <w:jc w:val="left"/>
            </w:pPr>
            <w:r>
              <w:t xml:space="preserve">57,86</w:t>
            </w:r>
          </w:p>
        </w:tc>
        <w:tc>
          <w:tcPr/>
          <w:p>
            <w:pPr>
              <w:pStyle w:val="Compact"/>
              <w:jc w:val="right"/>
            </w:pPr>
            <w:r>
              <w:t xml:space="preserve">0.03130</w:t>
            </w:r>
          </w:p>
        </w:tc>
        <w:tc>
          <w:tcPr/>
          <w:p>
            <w:pPr>
              <w:pStyle w:val="Compact"/>
              <w:jc w:val="left"/>
            </w:pPr>
            <w:r>
              <w:t xml:space="preserve">3,130 %</w:t>
            </w:r>
          </w:p>
        </w:tc>
        <w:tc>
          <w:tcPr/>
          <w:p>
            <w:pPr>
              <w:pStyle w:val="Compact"/>
              <w:jc w:val="left"/>
            </w:pPr>
            <w:r>
              <w:t xml:space="preserve">30/12/2022</w:t>
            </w:r>
          </w:p>
        </w:tc>
        <w:tc>
          <w:tcPr/>
          <w:p>
            <w:pPr>
              <w:pStyle w:val="Compact"/>
              <w:jc w:val="right"/>
            </w:pPr>
            <w:r>
              <w:t xml:space="preserve">0.806</w:t>
            </w:r>
          </w:p>
        </w:tc>
      </w:tr>
      <w:tr>
        <w:tc>
          <w:tcPr/>
          <w:p>
            <w:pPr>
              <w:pStyle w:val="Compact"/>
              <w:jc w:val="left"/>
            </w:pPr>
            <w:r>
              <w:t xml:space="preserve">15/01/2024</w:t>
            </w:r>
          </w:p>
        </w:tc>
        <w:tc>
          <w:tcPr/>
          <w:p>
            <w:pPr>
              <w:pStyle w:val="Compact"/>
              <w:jc w:val="left"/>
            </w:pPr>
            <w:r>
              <w:t xml:space="preserve">62,41</w:t>
            </w:r>
          </w:p>
        </w:tc>
        <w:tc>
          <w:tcPr/>
          <w:p>
            <w:pPr>
              <w:pStyle w:val="Compact"/>
              <w:jc w:val="right"/>
            </w:pPr>
            <w:r>
              <w:t xml:space="preserve">0.02967</w:t>
            </w:r>
          </w:p>
        </w:tc>
        <w:tc>
          <w:tcPr/>
          <w:p>
            <w:pPr>
              <w:pStyle w:val="Compact"/>
              <w:jc w:val="left"/>
            </w:pPr>
            <w:r>
              <w:t xml:space="preserve">2,967 %</w:t>
            </w:r>
          </w:p>
        </w:tc>
        <w:tc>
          <w:tcPr/>
          <w:p>
            <w:pPr>
              <w:pStyle w:val="Compact"/>
              <w:jc w:val="left"/>
            </w:pPr>
            <w:r>
              <w:t xml:space="preserve">30/12/2022</w:t>
            </w:r>
          </w:p>
        </w:tc>
        <w:tc>
          <w:tcPr/>
          <w:p>
            <w:pPr>
              <w:pStyle w:val="Compact"/>
              <w:jc w:val="right"/>
            </w:pPr>
            <w:r>
              <w:t xml:space="preserve">1.058</w:t>
            </w:r>
          </w:p>
        </w:tc>
      </w:tr>
      <w:tr>
        <w:tc>
          <w:tcPr/>
          <w:p>
            <w:pPr>
              <w:pStyle w:val="Compact"/>
              <w:jc w:val="left"/>
            </w:pPr>
            <w:r>
              <w:t xml:space="preserve">18/03/2024</w:t>
            </w:r>
          </w:p>
        </w:tc>
        <w:tc>
          <w:tcPr/>
          <w:p>
            <w:pPr>
              <w:pStyle w:val="Compact"/>
              <w:jc w:val="left"/>
            </w:pPr>
            <w:r>
              <w:t xml:space="preserve">100,37</w:t>
            </w:r>
          </w:p>
        </w:tc>
        <w:tc>
          <w:tcPr/>
          <w:p>
            <w:pPr>
              <w:pStyle w:val="Compact"/>
              <w:jc w:val="right"/>
            </w:pPr>
            <w:r>
              <w:t xml:space="preserve">0.02987</w:t>
            </w:r>
          </w:p>
        </w:tc>
        <w:tc>
          <w:tcPr/>
          <w:p>
            <w:pPr>
              <w:pStyle w:val="Compact"/>
              <w:jc w:val="left"/>
            </w:pPr>
            <w:r>
              <w:t xml:space="preserve">2,987 %</w:t>
            </w:r>
          </w:p>
        </w:tc>
        <w:tc>
          <w:tcPr/>
          <w:p>
            <w:pPr>
              <w:pStyle w:val="Compact"/>
              <w:jc w:val="left"/>
            </w:pPr>
            <w:r>
              <w:t xml:space="preserve">30/12/2022</w:t>
            </w:r>
          </w:p>
        </w:tc>
        <w:tc>
          <w:tcPr/>
          <w:p>
            <w:pPr>
              <w:pStyle w:val="Compact"/>
              <w:jc w:val="right"/>
            </w:pPr>
            <w:r>
              <w:t xml:space="preserve">1.233</w:t>
            </w:r>
          </w:p>
        </w:tc>
      </w:tr>
      <w:tr>
        <w:tc>
          <w:tcPr/>
          <w:p>
            <w:pPr>
              <w:pStyle w:val="Compact"/>
              <w:jc w:val="left"/>
            </w:pPr>
            <w:r>
              <w:t xml:space="preserve">15/04/2024</w:t>
            </w:r>
          </w:p>
        </w:tc>
        <w:tc>
          <w:tcPr/>
          <w:p>
            <w:pPr>
              <w:pStyle w:val="Compact"/>
              <w:jc w:val="left"/>
            </w:pPr>
            <w:r>
              <w:t xml:space="preserve">261,82</w:t>
            </w:r>
          </w:p>
        </w:tc>
        <w:tc>
          <w:tcPr/>
          <w:p>
            <w:pPr>
              <w:pStyle w:val="Compact"/>
              <w:jc w:val="right"/>
            </w:pPr>
            <w:r>
              <w:t xml:space="preserve">0.02961</w:t>
            </w:r>
          </w:p>
        </w:tc>
        <w:tc>
          <w:tcPr/>
          <w:p>
            <w:pPr>
              <w:pStyle w:val="Compact"/>
              <w:jc w:val="left"/>
            </w:pPr>
            <w:r>
              <w:t xml:space="preserve">2,961 %</w:t>
            </w:r>
          </w:p>
        </w:tc>
        <w:tc>
          <w:tcPr/>
          <w:p>
            <w:pPr>
              <w:pStyle w:val="Compact"/>
              <w:jc w:val="left"/>
            </w:pPr>
            <w:r>
              <w:t xml:space="preserve">30/12/2022</w:t>
            </w:r>
          </w:p>
        </w:tc>
        <w:tc>
          <w:tcPr/>
          <w:p>
            <w:pPr>
              <w:pStyle w:val="Compact"/>
              <w:jc w:val="right"/>
            </w:pPr>
            <w:r>
              <w:t xml:space="preserve">1.311</w:t>
            </w:r>
          </w:p>
        </w:tc>
      </w:tr>
      <w:tr>
        <w:tc>
          <w:tcPr/>
          <w:p>
            <w:pPr>
              <w:pStyle w:val="Compact"/>
              <w:jc w:val="left"/>
            </w:pPr>
            <w:r>
              <w:t xml:space="preserve">17/06/2024</w:t>
            </w:r>
          </w:p>
        </w:tc>
        <w:tc>
          <w:tcPr/>
          <w:p>
            <w:pPr>
              <w:pStyle w:val="Compact"/>
              <w:jc w:val="left"/>
            </w:pPr>
            <w:r>
              <w:t xml:space="preserve">53,19</w:t>
            </w:r>
          </w:p>
        </w:tc>
        <w:tc>
          <w:tcPr/>
          <w:p>
            <w:pPr>
              <w:pStyle w:val="Compact"/>
              <w:jc w:val="right"/>
            </w:pPr>
            <w:r>
              <w:t xml:space="preserve">0.02991</w:t>
            </w:r>
          </w:p>
        </w:tc>
        <w:tc>
          <w:tcPr/>
          <w:p>
            <w:pPr>
              <w:pStyle w:val="Compact"/>
              <w:jc w:val="left"/>
            </w:pPr>
            <w:r>
              <w:t xml:space="preserve">2,991 %</w:t>
            </w:r>
          </w:p>
        </w:tc>
        <w:tc>
          <w:tcPr/>
          <w:p>
            <w:pPr>
              <w:pStyle w:val="Compact"/>
              <w:jc w:val="left"/>
            </w:pPr>
            <w:r>
              <w:t xml:space="preserve">30/12/2022</w:t>
            </w:r>
          </w:p>
        </w:tc>
        <w:tc>
          <w:tcPr/>
          <w:p>
            <w:pPr>
              <w:pStyle w:val="Compact"/>
              <w:jc w:val="right"/>
            </w:pPr>
            <w:r>
              <w:t xml:space="preserve">1.486</w:t>
            </w:r>
          </w:p>
        </w:tc>
      </w:tr>
      <w:tr>
        <w:tc>
          <w:tcPr/>
          <w:p>
            <w:pPr>
              <w:pStyle w:val="Compact"/>
              <w:jc w:val="left"/>
            </w:pPr>
            <w:r>
              <w:t xml:space="preserve">15/07/2024</w:t>
            </w:r>
          </w:p>
        </w:tc>
        <w:tc>
          <w:tcPr/>
          <w:p>
            <w:pPr>
              <w:pStyle w:val="Compact"/>
              <w:jc w:val="left"/>
            </w:pPr>
            <w:r>
              <w:t xml:space="preserve">149,79</w:t>
            </w:r>
          </w:p>
        </w:tc>
        <w:tc>
          <w:tcPr/>
          <w:p>
            <w:pPr>
              <w:pStyle w:val="Compact"/>
              <w:jc w:val="right"/>
            </w:pPr>
            <w:r>
              <w:t xml:space="preserve">0.02989</w:t>
            </w:r>
          </w:p>
        </w:tc>
        <w:tc>
          <w:tcPr/>
          <w:p>
            <w:pPr>
              <w:pStyle w:val="Compact"/>
              <w:jc w:val="left"/>
            </w:pPr>
            <w:r>
              <w:t xml:space="preserve">2,989 %</w:t>
            </w:r>
          </w:p>
        </w:tc>
        <w:tc>
          <w:tcPr/>
          <w:p>
            <w:pPr>
              <w:pStyle w:val="Compact"/>
              <w:jc w:val="left"/>
            </w:pPr>
            <w:r>
              <w:t xml:space="preserve">30/12/2022</w:t>
            </w:r>
          </w:p>
        </w:tc>
        <w:tc>
          <w:tcPr/>
          <w:p>
            <w:pPr>
              <w:pStyle w:val="Compact"/>
              <w:jc w:val="right"/>
            </w:pPr>
            <w:r>
              <w:t xml:space="preserve">1.564</w:t>
            </w:r>
          </w:p>
        </w:tc>
      </w:tr>
      <w:tr>
        <w:tc>
          <w:tcPr/>
          <w:p>
            <w:pPr>
              <w:pStyle w:val="Compact"/>
              <w:jc w:val="left"/>
            </w:pPr>
            <w:r>
              <w:t xml:space="preserve">16/09/2024</w:t>
            </w:r>
          </w:p>
        </w:tc>
        <w:tc>
          <w:tcPr/>
          <w:p>
            <w:pPr>
              <w:pStyle w:val="Compact"/>
              <w:jc w:val="left"/>
            </w:pPr>
            <w:r>
              <w:t xml:space="preserve">69,58</w:t>
            </w:r>
          </w:p>
        </w:tc>
        <w:tc>
          <w:tcPr/>
          <w:p>
            <w:pPr>
              <w:pStyle w:val="Compact"/>
              <w:jc w:val="right"/>
            </w:pPr>
            <w:r>
              <w:t xml:space="preserve">0.03050</w:t>
            </w:r>
          </w:p>
        </w:tc>
        <w:tc>
          <w:tcPr/>
          <w:p>
            <w:pPr>
              <w:pStyle w:val="Compact"/>
              <w:jc w:val="left"/>
            </w:pPr>
            <w:r>
              <w:t xml:space="preserve">3,050 %</w:t>
            </w:r>
          </w:p>
        </w:tc>
        <w:tc>
          <w:tcPr/>
          <w:p>
            <w:pPr>
              <w:pStyle w:val="Compact"/>
              <w:jc w:val="left"/>
            </w:pPr>
            <w:r>
              <w:t xml:space="preserve">30/12/2022</w:t>
            </w:r>
          </w:p>
        </w:tc>
        <w:tc>
          <w:tcPr/>
          <w:p>
            <w:pPr>
              <w:pStyle w:val="Compact"/>
              <w:jc w:val="right"/>
            </w:pPr>
            <w:r>
              <w:t xml:space="preserve">1.739</w:t>
            </w:r>
          </w:p>
        </w:tc>
      </w:tr>
      <w:tr>
        <w:tc>
          <w:tcPr/>
          <w:p>
            <w:pPr>
              <w:pStyle w:val="Compact"/>
              <w:jc w:val="left"/>
            </w:pPr>
            <w:r>
              <w:t xml:space="preserve">20/10/2025</w:t>
            </w:r>
          </w:p>
        </w:tc>
        <w:tc>
          <w:tcPr/>
          <w:p>
            <w:pPr>
              <w:pStyle w:val="Compact"/>
              <w:jc w:val="left"/>
            </w:pPr>
            <w:r>
              <w:t xml:space="preserve">100,50</w:t>
            </w:r>
          </w:p>
        </w:tc>
        <w:tc>
          <w:tcPr/>
          <w:p>
            <w:pPr>
              <w:pStyle w:val="Compact"/>
              <w:jc w:val="right"/>
            </w:pPr>
            <w:r>
              <w:t xml:space="preserve">0.02980</w:t>
            </w:r>
          </w:p>
        </w:tc>
        <w:tc>
          <w:tcPr/>
          <w:p>
            <w:pPr>
              <w:pStyle w:val="Compact"/>
              <w:jc w:val="left"/>
            </w:pPr>
            <w:r>
              <w:t xml:space="preserve">2,980 %</w:t>
            </w:r>
          </w:p>
        </w:tc>
        <w:tc>
          <w:tcPr/>
          <w:p>
            <w:pPr>
              <w:pStyle w:val="Compact"/>
              <w:jc w:val="left"/>
            </w:pPr>
            <w:r>
              <w:t xml:space="preserve">30/12/2022</w:t>
            </w:r>
          </w:p>
        </w:tc>
        <w:tc>
          <w:tcPr/>
          <w:p>
            <w:pPr>
              <w:pStyle w:val="Compact"/>
              <w:jc w:val="right"/>
            </w:pPr>
            <w:r>
              <w:t xml:space="preserve">2.847</w:t>
            </w:r>
          </w:p>
        </w:tc>
      </w:tr>
      <w:tr>
        <w:tc>
          <w:tcPr/>
          <w:p>
            <w:pPr>
              <w:pStyle w:val="Compact"/>
              <w:jc w:val="left"/>
            </w:pPr>
            <w:r>
              <w:t xml:space="preserve">20/04/2026</w:t>
            </w:r>
          </w:p>
        </w:tc>
        <w:tc>
          <w:tcPr/>
          <w:p>
            <w:pPr>
              <w:pStyle w:val="Compact"/>
              <w:jc w:val="left"/>
            </w:pPr>
            <w:r>
              <w:t xml:space="preserve">138,51</w:t>
            </w:r>
          </w:p>
        </w:tc>
        <w:tc>
          <w:tcPr/>
          <w:p>
            <w:pPr>
              <w:pStyle w:val="Compact"/>
              <w:jc w:val="right"/>
            </w:pPr>
            <w:r>
              <w:t xml:space="preserve">0.02941</w:t>
            </w:r>
          </w:p>
        </w:tc>
        <w:tc>
          <w:tcPr/>
          <w:p>
            <w:pPr>
              <w:pStyle w:val="Compact"/>
              <w:jc w:val="left"/>
            </w:pPr>
            <w:r>
              <w:t xml:space="preserve">2,941 %</w:t>
            </w:r>
          </w:p>
        </w:tc>
        <w:tc>
          <w:tcPr/>
          <w:p>
            <w:pPr>
              <w:pStyle w:val="Compact"/>
              <w:jc w:val="left"/>
            </w:pPr>
            <w:r>
              <w:t xml:space="preserve">30/12/2022</w:t>
            </w:r>
          </w:p>
        </w:tc>
        <w:tc>
          <w:tcPr/>
          <w:p>
            <w:pPr>
              <w:pStyle w:val="Compact"/>
              <w:jc w:val="right"/>
            </w:pPr>
            <w:r>
              <w:t xml:space="preserve">3.353</w:t>
            </w:r>
          </w:p>
        </w:tc>
      </w:tr>
      <w:tr>
        <w:tc>
          <w:tcPr/>
          <w:p>
            <w:pPr>
              <w:pStyle w:val="Compact"/>
              <w:jc w:val="left"/>
            </w:pPr>
            <w:r>
              <w:t xml:space="preserve">16/04/2029</w:t>
            </w:r>
          </w:p>
        </w:tc>
        <w:tc>
          <w:tcPr/>
          <w:p>
            <w:pPr>
              <w:pStyle w:val="Compact"/>
              <w:jc w:val="left"/>
            </w:pPr>
            <w:r>
              <w:t xml:space="preserve">118,63</w:t>
            </w:r>
          </w:p>
        </w:tc>
        <w:tc>
          <w:tcPr/>
          <w:p>
            <w:pPr>
              <w:pStyle w:val="Compact"/>
              <w:jc w:val="right"/>
            </w:pPr>
            <w:r>
              <w:t xml:space="preserve">0.03003</w:t>
            </w:r>
          </w:p>
        </w:tc>
        <w:tc>
          <w:tcPr/>
          <w:p>
            <w:pPr>
              <w:pStyle w:val="Compact"/>
              <w:jc w:val="left"/>
            </w:pPr>
            <w:r>
              <w:t xml:space="preserve">3,003 %</w:t>
            </w:r>
          </w:p>
        </w:tc>
        <w:tc>
          <w:tcPr/>
          <w:p>
            <w:pPr>
              <w:pStyle w:val="Compact"/>
              <w:jc w:val="left"/>
            </w:pPr>
            <w:r>
              <w:t xml:space="preserve">30/12/2022</w:t>
            </w:r>
          </w:p>
        </w:tc>
        <w:tc>
          <w:tcPr/>
          <w:p>
            <w:pPr>
              <w:pStyle w:val="Compact"/>
              <w:jc w:val="right"/>
            </w:pPr>
            <w:r>
              <w:t xml:space="preserve">6.386</w:t>
            </w:r>
          </w:p>
        </w:tc>
      </w:tr>
      <w:tr>
        <w:tc>
          <w:tcPr/>
          <w:p>
            <w:pPr>
              <w:pStyle w:val="Compact"/>
              <w:jc w:val="left"/>
            </w:pPr>
            <w:r>
              <w:t xml:space="preserve">18/06/2029</w:t>
            </w:r>
          </w:p>
        </w:tc>
        <w:tc>
          <w:tcPr/>
          <w:p>
            <w:pPr>
              <w:pStyle w:val="Compact"/>
              <w:jc w:val="left"/>
            </w:pPr>
            <w:r>
              <w:t xml:space="preserve">115,57</w:t>
            </w:r>
          </w:p>
        </w:tc>
        <w:tc>
          <w:tcPr/>
          <w:p>
            <w:pPr>
              <w:pStyle w:val="Compact"/>
              <w:jc w:val="right"/>
            </w:pPr>
            <w:r>
              <w:t xml:space="preserve">0.03011</w:t>
            </w:r>
          </w:p>
        </w:tc>
        <w:tc>
          <w:tcPr/>
          <w:p>
            <w:pPr>
              <w:pStyle w:val="Compact"/>
              <w:jc w:val="left"/>
            </w:pPr>
            <w:r>
              <w:t xml:space="preserve">3,011 %</w:t>
            </w:r>
          </w:p>
        </w:tc>
        <w:tc>
          <w:tcPr/>
          <w:p>
            <w:pPr>
              <w:pStyle w:val="Compact"/>
              <w:jc w:val="left"/>
            </w:pPr>
            <w:r>
              <w:t xml:space="preserve">30/12/2022</w:t>
            </w:r>
          </w:p>
        </w:tc>
        <w:tc>
          <w:tcPr/>
          <w:p>
            <w:pPr>
              <w:pStyle w:val="Compact"/>
              <w:jc w:val="right"/>
            </w:pPr>
            <w:r>
              <w:t xml:space="preserve">6.561</w:t>
            </w:r>
          </w:p>
        </w:tc>
      </w:tr>
      <w:tr>
        <w:tc>
          <w:tcPr/>
          <w:p>
            <w:pPr>
              <w:pStyle w:val="Compact"/>
              <w:jc w:val="left"/>
            </w:pPr>
            <w:r>
              <w:t xml:space="preserve">16/06/2031</w:t>
            </w:r>
          </w:p>
        </w:tc>
        <w:tc>
          <w:tcPr/>
          <w:p>
            <w:pPr>
              <w:pStyle w:val="Compact"/>
              <w:jc w:val="left"/>
            </w:pPr>
            <w:r>
              <w:t xml:space="preserve">274,67</w:t>
            </w:r>
          </w:p>
        </w:tc>
        <w:tc>
          <w:tcPr/>
          <w:p>
            <w:pPr>
              <w:pStyle w:val="Compact"/>
              <w:jc w:val="right"/>
            </w:pPr>
            <w:r>
              <w:t xml:space="preserve">0.03126</w:t>
            </w:r>
          </w:p>
        </w:tc>
        <w:tc>
          <w:tcPr/>
          <w:p>
            <w:pPr>
              <w:pStyle w:val="Compact"/>
              <w:jc w:val="left"/>
            </w:pPr>
            <w:r>
              <w:t xml:space="preserve">3,126 %</w:t>
            </w:r>
          </w:p>
        </w:tc>
        <w:tc>
          <w:tcPr/>
          <w:p>
            <w:pPr>
              <w:pStyle w:val="Compact"/>
              <w:jc w:val="left"/>
            </w:pPr>
            <w:r>
              <w:t xml:space="preserve">30/12/2022</w:t>
            </w:r>
          </w:p>
        </w:tc>
        <w:tc>
          <w:tcPr/>
          <w:p>
            <w:pPr>
              <w:pStyle w:val="Compact"/>
              <w:jc w:val="right"/>
            </w:pPr>
            <w:r>
              <w:t xml:space="preserve">8.583</w:t>
            </w:r>
          </w:p>
        </w:tc>
      </w:tr>
      <w:tr>
        <w:tc>
          <w:tcPr/>
          <w:p>
            <w:pPr>
              <w:pStyle w:val="Compact"/>
              <w:jc w:val="left"/>
            </w:pPr>
            <w:r>
              <w:t xml:space="preserve">18/07/2033</w:t>
            </w:r>
          </w:p>
        </w:tc>
        <w:tc>
          <w:tcPr/>
          <w:p>
            <w:pPr>
              <w:pStyle w:val="Compact"/>
              <w:jc w:val="left"/>
            </w:pPr>
            <w:r>
              <w:t xml:space="preserve">317,93</w:t>
            </w:r>
          </w:p>
        </w:tc>
        <w:tc>
          <w:tcPr/>
          <w:p>
            <w:pPr>
              <w:pStyle w:val="Compact"/>
              <w:jc w:val="right"/>
            </w:pPr>
            <w:r>
              <w:t xml:space="preserve">0.03211</w:t>
            </w:r>
          </w:p>
        </w:tc>
        <w:tc>
          <w:tcPr/>
          <w:p>
            <w:pPr>
              <w:pStyle w:val="Compact"/>
              <w:jc w:val="left"/>
            </w:pPr>
            <w:r>
              <w:t xml:space="preserve">3,211 %</w:t>
            </w:r>
          </w:p>
        </w:tc>
        <w:tc>
          <w:tcPr/>
          <w:p>
            <w:pPr>
              <w:pStyle w:val="Compact"/>
              <w:jc w:val="left"/>
            </w:pPr>
            <w:r>
              <w:t xml:space="preserve">30/12/2022</w:t>
            </w:r>
          </w:p>
        </w:tc>
        <w:tc>
          <w:tcPr/>
          <w:p>
            <w:pPr>
              <w:pStyle w:val="Compact"/>
              <w:jc w:val="right"/>
            </w:pPr>
            <w:r>
              <w:t xml:space="preserve">10.703</w:t>
            </w:r>
          </w:p>
        </w:tc>
      </w:tr>
      <w:tr>
        <w:tc>
          <w:tcPr/>
          <w:p>
            <w:pPr>
              <w:pStyle w:val="Compact"/>
              <w:jc w:val="left"/>
            </w:pPr>
            <w:r>
              <w:t xml:space="preserve">17/07/2034</w:t>
            </w:r>
          </w:p>
        </w:tc>
        <w:tc>
          <w:tcPr/>
          <w:p>
            <w:pPr>
              <w:pStyle w:val="Compact"/>
              <w:jc w:val="left"/>
            </w:pPr>
            <w:r>
              <w:t xml:space="preserve">61,82</w:t>
            </w:r>
          </w:p>
        </w:tc>
        <w:tc>
          <w:tcPr/>
          <w:p>
            <w:pPr>
              <w:pStyle w:val="Compact"/>
              <w:jc w:val="right"/>
            </w:pPr>
            <w:r>
              <w:t xml:space="preserve">0.03346</w:t>
            </w:r>
          </w:p>
        </w:tc>
        <w:tc>
          <w:tcPr/>
          <w:p>
            <w:pPr>
              <w:pStyle w:val="Compact"/>
              <w:jc w:val="left"/>
            </w:pPr>
            <w:r>
              <w:t xml:space="preserve">3,346 %</w:t>
            </w:r>
          </w:p>
        </w:tc>
        <w:tc>
          <w:tcPr/>
          <w:p>
            <w:pPr>
              <w:pStyle w:val="Compact"/>
              <w:jc w:val="left"/>
            </w:pPr>
            <w:r>
              <w:t xml:space="preserve">30/12/2022</w:t>
            </w:r>
          </w:p>
        </w:tc>
        <w:tc>
          <w:tcPr/>
          <w:p>
            <w:pPr>
              <w:pStyle w:val="Compact"/>
              <w:jc w:val="right"/>
            </w:pPr>
            <w:r>
              <w:t xml:space="preserve">11.714</w:t>
            </w:r>
          </w:p>
        </w:tc>
      </w:tr>
      <w:tr>
        <w:tc>
          <w:tcPr/>
          <w:p>
            <w:pPr>
              <w:pStyle w:val="Compact"/>
              <w:jc w:val="left"/>
            </w:pPr>
            <w:r>
              <w:t xml:space="preserve">16/07/2035</w:t>
            </w:r>
          </w:p>
        </w:tc>
        <w:tc>
          <w:tcPr/>
          <w:p>
            <w:pPr>
              <w:pStyle w:val="Compact"/>
              <w:jc w:val="left"/>
            </w:pPr>
            <w:r>
              <w:t xml:space="preserve">356,46</w:t>
            </w:r>
          </w:p>
        </w:tc>
        <w:tc>
          <w:tcPr/>
          <w:p>
            <w:pPr>
              <w:pStyle w:val="Compact"/>
              <w:jc w:val="right"/>
            </w:pPr>
            <w:r>
              <w:t xml:space="preserve">0.03279</w:t>
            </w:r>
          </w:p>
        </w:tc>
        <w:tc>
          <w:tcPr/>
          <w:p>
            <w:pPr>
              <w:pStyle w:val="Compact"/>
              <w:jc w:val="left"/>
            </w:pPr>
            <w:r>
              <w:t xml:space="preserve">3,279 %</w:t>
            </w:r>
          </w:p>
        </w:tc>
        <w:tc>
          <w:tcPr/>
          <w:p>
            <w:pPr>
              <w:pStyle w:val="Compact"/>
              <w:jc w:val="left"/>
            </w:pPr>
            <w:r>
              <w:t xml:space="preserve">30/12/2022</w:t>
            </w:r>
          </w:p>
        </w:tc>
        <w:tc>
          <w:tcPr/>
          <w:p>
            <w:pPr>
              <w:pStyle w:val="Compact"/>
              <w:jc w:val="right"/>
            </w:pPr>
            <w:r>
              <w:t xml:space="preserve">12.725</w:t>
            </w:r>
          </w:p>
        </w:tc>
      </w:tr>
      <w:tr>
        <w:tc>
          <w:tcPr/>
          <w:p>
            <w:pPr>
              <w:pStyle w:val="Compact"/>
              <w:jc w:val="left"/>
            </w:pPr>
            <w:r>
              <w:t xml:space="preserve">18/08/2036</w:t>
            </w:r>
          </w:p>
        </w:tc>
        <w:tc>
          <w:tcPr/>
          <w:p>
            <w:pPr>
              <w:pStyle w:val="Compact"/>
              <w:jc w:val="left"/>
            </w:pPr>
            <w:r>
              <w:t xml:space="preserve">36,32</w:t>
            </w:r>
          </w:p>
        </w:tc>
        <w:tc>
          <w:tcPr/>
          <w:p>
            <w:pPr>
              <w:pStyle w:val="Compact"/>
              <w:jc w:val="right"/>
            </w:pPr>
            <w:r>
              <w:t xml:space="preserve">0.03374</w:t>
            </w:r>
          </w:p>
        </w:tc>
        <w:tc>
          <w:tcPr/>
          <w:p>
            <w:pPr>
              <w:pStyle w:val="Compact"/>
              <w:jc w:val="left"/>
            </w:pPr>
            <w:r>
              <w:t xml:space="preserve">3,374 %</w:t>
            </w:r>
          </w:p>
        </w:tc>
        <w:tc>
          <w:tcPr/>
          <w:p>
            <w:pPr>
              <w:pStyle w:val="Compact"/>
              <w:jc w:val="left"/>
            </w:pPr>
            <w:r>
              <w:t xml:space="preserve">30/12/2022</w:t>
            </w:r>
          </w:p>
        </w:tc>
        <w:tc>
          <w:tcPr/>
          <w:p>
            <w:pPr>
              <w:pStyle w:val="Compact"/>
              <w:jc w:val="right"/>
            </w:pPr>
            <w:r>
              <w:t xml:space="preserve">13.833</w:t>
            </w:r>
          </w:p>
        </w:tc>
      </w:tr>
      <w:tr>
        <w:tc>
          <w:tcPr/>
          <w:p>
            <w:pPr>
              <w:pStyle w:val="Compact"/>
              <w:jc w:val="left"/>
            </w:pPr>
            <w:r>
              <w:t xml:space="preserve">16/08/2038</w:t>
            </w:r>
          </w:p>
        </w:tc>
        <w:tc>
          <w:tcPr/>
          <w:p>
            <w:pPr>
              <w:pStyle w:val="Compact"/>
              <w:jc w:val="left"/>
            </w:pPr>
            <w:r>
              <w:t xml:space="preserve">135,19</w:t>
            </w:r>
          </w:p>
        </w:tc>
        <w:tc>
          <w:tcPr/>
          <w:p>
            <w:pPr>
              <w:pStyle w:val="Compact"/>
              <w:jc w:val="right"/>
            </w:pPr>
            <w:r>
              <w:t xml:space="preserve">0.03433</w:t>
            </w:r>
          </w:p>
        </w:tc>
        <w:tc>
          <w:tcPr/>
          <w:p>
            <w:pPr>
              <w:pStyle w:val="Compact"/>
              <w:jc w:val="left"/>
            </w:pPr>
            <w:r>
              <w:t xml:space="preserve">3,433 %</w:t>
            </w:r>
          </w:p>
        </w:tc>
        <w:tc>
          <w:tcPr/>
          <w:p>
            <w:pPr>
              <w:pStyle w:val="Compact"/>
              <w:jc w:val="left"/>
            </w:pPr>
            <w:r>
              <w:t xml:space="preserve">30/12/2022</w:t>
            </w:r>
          </w:p>
        </w:tc>
        <w:tc>
          <w:tcPr/>
          <w:p>
            <w:pPr>
              <w:pStyle w:val="Compact"/>
              <w:jc w:val="right"/>
            </w:pPr>
            <w:r>
              <w:t xml:space="preserve">15.856</w:t>
            </w:r>
          </w:p>
        </w:tc>
      </w:tr>
      <w:tr>
        <w:tc>
          <w:tcPr/>
          <w:p>
            <w:pPr>
              <w:pStyle w:val="Compact"/>
              <w:jc w:val="left"/>
            </w:pPr>
            <w:r>
              <w:t xml:space="preserve">16/04/2040</w:t>
            </w:r>
          </w:p>
        </w:tc>
        <w:tc>
          <w:tcPr/>
          <w:p>
            <w:pPr>
              <w:pStyle w:val="Compact"/>
              <w:jc w:val="left"/>
            </w:pPr>
            <w:r>
              <w:t xml:space="preserve">15,09</w:t>
            </w:r>
          </w:p>
        </w:tc>
        <w:tc>
          <w:tcPr/>
          <w:p>
            <w:pPr>
              <w:pStyle w:val="Compact"/>
              <w:jc w:val="right"/>
            </w:pPr>
            <w:r>
              <w:t xml:space="preserve">0.03488</w:t>
            </w:r>
          </w:p>
        </w:tc>
        <w:tc>
          <w:tcPr/>
          <w:p>
            <w:pPr>
              <w:pStyle w:val="Compact"/>
              <w:jc w:val="left"/>
            </w:pPr>
            <w:r>
              <w:t xml:space="preserve">3,488 %</w:t>
            </w:r>
          </w:p>
        </w:tc>
        <w:tc>
          <w:tcPr/>
          <w:p>
            <w:pPr>
              <w:pStyle w:val="Compact"/>
              <w:jc w:val="left"/>
            </w:pPr>
            <w:r>
              <w:t xml:space="preserve">30/12/2022</w:t>
            </w:r>
          </w:p>
        </w:tc>
        <w:tc>
          <w:tcPr/>
          <w:p>
            <w:pPr>
              <w:pStyle w:val="Compact"/>
              <w:jc w:val="right"/>
            </w:pPr>
            <w:r>
              <w:t xml:space="preserve">17.547</w:t>
            </w:r>
          </w:p>
        </w:tc>
      </w:tr>
      <w:tr>
        <w:tc>
          <w:tcPr/>
          <w:p>
            <w:pPr>
              <w:pStyle w:val="Compact"/>
              <w:jc w:val="left"/>
            </w:pPr>
            <w:r>
              <w:t xml:space="preserve">19/02/2046</w:t>
            </w:r>
          </w:p>
        </w:tc>
        <w:tc>
          <w:tcPr/>
          <w:p>
            <w:pPr>
              <w:pStyle w:val="Compact"/>
              <w:jc w:val="left"/>
            </w:pPr>
            <w:r>
              <w:t xml:space="preserve">21,09</w:t>
            </w:r>
          </w:p>
        </w:tc>
        <w:tc>
          <w:tcPr/>
          <w:p>
            <w:pPr>
              <w:pStyle w:val="Compact"/>
              <w:jc w:val="right"/>
            </w:pPr>
            <w:r>
              <w:t xml:space="preserve">0.03614</w:t>
            </w:r>
          </w:p>
        </w:tc>
        <w:tc>
          <w:tcPr/>
          <w:p>
            <w:pPr>
              <w:pStyle w:val="Compact"/>
              <w:jc w:val="left"/>
            </w:pPr>
            <w:r>
              <w:t xml:space="preserve">3,614 %</w:t>
            </w:r>
          </w:p>
        </w:tc>
        <w:tc>
          <w:tcPr/>
          <w:p>
            <w:pPr>
              <w:pStyle w:val="Compact"/>
              <w:jc w:val="left"/>
            </w:pPr>
            <w:r>
              <w:t xml:space="preserve">30/12/2022</w:t>
            </w:r>
          </w:p>
        </w:tc>
        <w:tc>
          <w:tcPr/>
          <w:p>
            <w:pPr>
              <w:pStyle w:val="Compact"/>
              <w:jc w:val="right"/>
            </w:pPr>
            <w:r>
              <w:t xml:space="preserve">23.478</w:t>
            </w:r>
          </w:p>
        </w:tc>
      </w:tr>
      <w:tr>
        <w:tc>
          <w:tcPr/>
          <w:p>
            <w:pPr>
              <w:pStyle w:val="Compact"/>
              <w:jc w:val="left"/>
            </w:pPr>
            <w:r>
              <w:t xml:space="preserve">14/02/2050</w:t>
            </w:r>
          </w:p>
        </w:tc>
        <w:tc>
          <w:tcPr/>
          <w:p>
            <w:pPr>
              <w:pStyle w:val="Compact"/>
              <w:jc w:val="left"/>
            </w:pPr>
            <w:r>
              <w:t xml:space="preserve">13,91</w:t>
            </w:r>
          </w:p>
        </w:tc>
        <w:tc>
          <w:tcPr/>
          <w:p>
            <w:pPr>
              <w:pStyle w:val="Compact"/>
              <w:jc w:val="right"/>
            </w:pPr>
            <w:r>
              <w:t xml:space="preserve">0.03789</w:t>
            </w:r>
          </w:p>
        </w:tc>
        <w:tc>
          <w:tcPr/>
          <w:p>
            <w:pPr>
              <w:pStyle w:val="Compact"/>
              <w:jc w:val="left"/>
            </w:pPr>
            <w:r>
              <w:t xml:space="preserve">3,789 %</w:t>
            </w:r>
          </w:p>
        </w:tc>
        <w:tc>
          <w:tcPr/>
          <w:p>
            <w:pPr>
              <w:pStyle w:val="Compact"/>
              <w:jc w:val="left"/>
            </w:pPr>
            <w:r>
              <w:t xml:space="preserve">30/12/2022</w:t>
            </w:r>
          </w:p>
        </w:tc>
        <w:tc>
          <w:tcPr/>
          <w:p>
            <w:pPr>
              <w:pStyle w:val="Compact"/>
              <w:jc w:val="right"/>
            </w:pPr>
            <w:r>
              <w:t xml:space="preserve">27.522</w:t>
            </w:r>
          </w:p>
        </w:tc>
      </w:tr>
      <w:tr>
        <w:tc>
          <w:tcPr/>
          <w:p>
            <w:pPr>
              <w:pStyle w:val="Compact"/>
              <w:jc w:val="left"/>
            </w:pPr>
            <w:r>
              <w:t xml:space="preserve">20/02/2051</w:t>
            </w:r>
          </w:p>
        </w:tc>
        <w:tc>
          <w:tcPr/>
          <w:p>
            <w:pPr>
              <w:pStyle w:val="Compact"/>
              <w:jc w:val="left"/>
            </w:pPr>
            <w:r>
              <w:t xml:space="preserve">135,76</w:t>
            </w:r>
          </w:p>
        </w:tc>
        <w:tc>
          <w:tcPr/>
          <w:p>
            <w:pPr>
              <w:pStyle w:val="Compact"/>
              <w:jc w:val="right"/>
            </w:pPr>
            <w:r>
              <w:t xml:space="preserve">0.03612</w:t>
            </w:r>
          </w:p>
        </w:tc>
        <w:tc>
          <w:tcPr/>
          <w:p>
            <w:pPr>
              <w:pStyle w:val="Compact"/>
              <w:jc w:val="left"/>
            </w:pPr>
            <w:r>
              <w:t xml:space="preserve">3,612 %</w:t>
            </w:r>
          </w:p>
        </w:tc>
        <w:tc>
          <w:tcPr/>
          <w:p>
            <w:pPr>
              <w:pStyle w:val="Compact"/>
              <w:jc w:val="left"/>
            </w:pPr>
            <w:r>
              <w:t xml:space="preserve">30/12/2022</w:t>
            </w:r>
          </w:p>
        </w:tc>
        <w:tc>
          <w:tcPr/>
          <w:p>
            <w:pPr>
              <w:pStyle w:val="Compact"/>
              <w:jc w:val="right"/>
            </w:pPr>
            <w:r>
              <w:t xml:space="preserve">28.553</w:t>
            </w:r>
          </w:p>
        </w:tc>
      </w:tr>
    </w:tbl>
    <w:bookmarkEnd w:id="48"/>
    <w:p>
      <w:pPr>
        <w:pStyle w:val="BodyText"/>
      </w:pPr>
      <w:r>
        <w:t xml:space="preserve">On va suivre les étapes suivantes pour la construction de la courbe des taux zéro-coupon :</w:t>
      </w:r>
    </w:p>
    <w:p>
      <w:pPr>
        <w:numPr>
          <w:ilvl w:val="0"/>
          <w:numId w:val="1009"/>
        </w:numPr>
        <w:pStyle w:val="Compact"/>
      </w:pPr>
      <w:r>
        <w:t xml:space="preserve">1-ère étape : Transformation des taux monétaires en taux actuariels.</w:t>
      </w:r>
    </w:p>
    <w:p>
      <w:pPr>
        <w:numPr>
          <w:ilvl w:val="0"/>
          <w:numId w:val="1009"/>
        </w:numPr>
        <w:pStyle w:val="Compact"/>
      </w:pPr>
      <w:r>
        <w:t xml:space="preserve">2-ème étape : Interpolation linéaire afin d’obtenir des taux actuariels pour des maturités pleines.</w:t>
      </w:r>
    </w:p>
    <w:p>
      <w:pPr>
        <w:numPr>
          <w:ilvl w:val="0"/>
          <w:numId w:val="1009"/>
        </w:numPr>
        <w:pStyle w:val="Compact"/>
      </w:pPr>
      <w:r>
        <w:t xml:space="preserve">3-ème étape : Calcule des taux zéro coupons à partir des taux actuariels des maturités pleines par la Méthode du Bootstrap.</w:t>
      </w:r>
    </w:p>
    <w:p>
      <w:pPr>
        <w:numPr>
          <w:ilvl w:val="0"/>
          <w:numId w:val="1009"/>
        </w:numPr>
        <w:pStyle w:val="Compact"/>
      </w:pPr>
      <w:r>
        <w:t xml:space="preserve">4-ème étape : Extrapolation de la courbe des taux zéro-coupon pour des maturités non observées lointaines par la méthode de Smith-Wilson.</w:t>
      </w:r>
    </w:p>
    <w:bookmarkStart w:id="51" w:name="Xcbe522a13d0cf3ed962fdea859902dd7c035635"/>
    <w:p>
      <w:pPr>
        <w:pStyle w:val="Heading3"/>
      </w:pPr>
      <w:r>
        <w:t xml:space="preserve">Transformation des taux monétaires en taux actuariels</w:t>
      </w:r>
    </w:p>
    <w:p>
      <w:pPr>
        <w:pStyle w:val="FirstParagraph"/>
      </w:pPr>
      <w:r>
        <w:t xml:space="preserve">Cette étape consiste à transformer les taux monétaires à des taux actuariels en utilisant la relation suivante :</w:t>
      </w:r>
    </w:p>
    <w:p>
      <w:pPr>
        <w:pStyle w:val="BodyText"/>
      </w:pPr>
      <w:bookmarkStart w:id="49" w:name="eq-gbmp"/>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r>
            <m:rPr>
              <m:sty m:val="p"/>
            </m:rPr>
            <m:t>,</m:t>
          </m:r>
          <m:r>
            <m:t>  </m:t>
          </m:r>
          <m:d>
            <m:dPr>
              <m:begChr m:val="("/>
              <m:endChr m:val=")"/>
              <m:sepChr m:val=""/>
              <m:grow/>
            </m:dPr>
            <m:e>
              <m:r>
                <m:t>1</m:t>
              </m:r>
            </m:e>
          </m:d>
        </m:oMath>
      </m:oMathPara>
      <w:bookmarkEnd w:id="49"/>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50"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jc w:val="start"/>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0.039</w:t>
            </w:r>
          </w:p>
        </w:tc>
        <w:tc>
          <w:tcPr/>
          <w:p>
            <w:pPr>
              <w:pStyle w:val="Compact"/>
              <w:jc w:val="right"/>
            </w:pPr>
            <w:r>
              <w:t xml:space="preserve">0.03032</w:t>
            </w:r>
          </w:p>
        </w:tc>
        <w:tc>
          <w:tcPr/>
          <w:p>
            <w:pPr>
              <w:pStyle w:val="Compact"/>
              <w:jc w:val="left"/>
            </w:pPr>
            <w:r>
              <w:t xml:space="preserve">3,032%</w:t>
            </w:r>
          </w:p>
        </w:tc>
      </w:tr>
      <w:tr>
        <w:tc>
          <w:tcPr/>
          <w:p>
            <w:pPr>
              <w:pStyle w:val="Compact"/>
              <w:jc w:val="right"/>
            </w:pPr>
            <w:r>
              <w:t xml:space="preserve">0.067</w:t>
            </w:r>
          </w:p>
        </w:tc>
        <w:tc>
          <w:tcPr/>
          <w:p>
            <w:pPr>
              <w:pStyle w:val="Compact"/>
              <w:jc w:val="right"/>
            </w:pPr>
            <w:r>
              <w:t xml:space="preserve">0.03012</w:t>
            </w:r>
          </w:p>
        </w:tc>
        <w:tc>
          <w:tcPr/>
          <w:p>
            <w:pPr>
              <w:pStyle w:val="Compact"/>
              <w:jc w:val="left"/>
            </w:pPr>
            <w:r>
              <w:t xml:space="preserve">3,012%</w:t>
            </w:r>
          </w:p>
        </w:tc>
      </w:tr>
      <w:tr>
        <w:tc>
          <w:tcPr/>
          <w:p>
            <w:pPr>
              <w:pStyle w:val="Compact"/>
              <w:jc w:val="right"/>
            </w:pPr>
            <w:r>
              <w:t xml:space="preserve">0.183</w:t>
            </w:r>
          </w:p>
        </w:tc>
        <w:tc>
          <w:tcPr/>
          <w:p>
            <w:pPr>
              <w:pStyle w:val="Compact"/>
              <w:jc w:val="right"/>
            </w:pPr>
            <w:r>
              <w:t xml:space="preserve">0.03020</w:t>
            </w:r>
          </w:p>
        </w:tc>
        <w:tc>
          <w:tcPr/>
          <w:p>
            <w:pPr>
              <w:pStyle w:val="Compact"/>
              <w:jc w:val="left"/>
            </w:pPr>
            <w:r>
              <w:t xml:space="preserve">3,02%</w:t>
            </w:r>
          </w:p>
        </w:tc>
      </w:tr>
      <w:tr>
        <w:tc>
          <w:tcPr/>
          <w:p>
            <w:pPr>
              <w:pStyle w:val="Compact"/>
              <w:jc w:val="right"/>
            </w:pPr>
            <w:r>
              <w:t xml:space="preserve">0.397</w:t>
            </w:r>
          </w:p>
        </w:tc>
        <w:tc>
          <w:tcPr/>
          <w:p>
            <w:pPr>
              <w:pStyle w:val="Compact"/>
              <w:jc w:val="right"/>
            </w:pPr>
            <w:r>
              <w:t xml:space="preserve">0.03248</w:t>
            </w:r>
          </w:p>
        </w:tc>
        <w:tc>
          <w:tcPr/>
          <w:p>
            <w:pPr>
              <w:pStyle w:val="Compact"/>
              <w:jc w:val="left"/>
            </w:pPr>
            <w:r>
              <w:t xml:space="preserve">3,248%</w:t>
            </w:r>
          </w:p>
        </w:tc>
      </w:tr>
      <w:tr>
        <w:tc>
          <w:tcPr/>
          <w:p>
            <w:pPr>
              <w:pStyle w:val="Compact"/>
              <w:jc w:val="right"/>
            </w:pPr>
            <w:r>
              <w:t xml:space="preserve">0.475</w:t>
            </w:r>
          </w:p>
        </w:tc>
        <w:tc>
          <w:tcPr/>
          <w:p>
            <w:pPr>
              <w:pStyle w:val="Compact"/>
              <w:jc w:val="right"/>
            </w:pPr>
            <w:r>
              <w:t xml:space="preserve">0.03075</w:t>
            </w:r>
          </w:p>
        </w:tc>
        <w:tc>
          <w:tcPr/>
          <w:p>
            <w:pPr>
              <w:pStyle w:val="Compact"/>
              <w:jc w:val="left"/>
            </w:pPr>
            <w:r>
              <w:t xml:space="preserve">3,075%</w:t>
            </w:r>
          </w:p>
        </w:tc>
      </w:tr>
      <w:tr>
        <w:tc>
          <w:tcPr/>
          <w:p>
            <w:pPr>
              <w:pStyle w:val="Compact"/>
              <w:jc w:val="right"/>
            </w:pPr>
            <w:r>
              <w:t xml:space="preserve">0.553</w:t>
            </w:r>
          </w:p>
        </w:tc>
        <w:tc>
          <w:tcPr/>
          <w:p>
            <w:pPr>
              <w:pStyle w:val="Compact"/>
              <w:jc w:val="right"/>
            </w:pPr>
            <w:r>
              <w:t xml:space="preserve">0.03065</w:t>
            </w:r>
          </w:p>
        </w:tc>
        <w:tc>
          <w:tcPr/>
          <w:p>
            <w:pPr>
              <w:pStyle w:val="Compact"/>
              <w:jc w:val="left"/>
            </w:pPr>
            <w:r>
              <w:t xml:space="preserve">3,065%</w:t>
            </w:r>
          </w:p>
        </w:tc>
      </w:tr>
      <w:tr>
        <w:tc>
          <w:tcPr/>
          <w:p>
            <w:pPr>
              <w:pStyle w:val="Compact"/>
              <w:jc w:val="right"/>
            </w:pPr>
            <w:r>
              <w:t xml:space="preserve">0.606</w:t>
            </w:r>
          </w:p>
        </w:tc>
        <w:tc>
          <w:tcPr/>
          <w:p>
            <w:pPr>
              <w:pStyle w:val="Compact"/>
              <w:jc w:val="right"/>
            </w:pPr>
            <w:r>
              <w:t xml:space="preserve">0.03077</w:t>
            </w:r>
          </w:p>
        </w:tc>
        <w:tc>
          <w:tcPr/>
          <w:p>
            <w:pPr>
              <w:pStyle w:val="Compact"/>
              <w:jc w:val="left"/>
            </w:pPr>
            <w:r>
              <w:t xml:space="preserve">3,077%</w:t>
            </w:r>
          </w:p>
        </w:tc>
      </w:tr>
      <w:tr>
        <w:tc>
          <w:tcPr/>
          <w:p>
            <w:pPr>
              <w:pStyle w:val="Compact"/>
              <w:jc w:val="right"/>
            </w:pPr>
            <w:r>
              <w:t xml:space="preserve">0.708</w:t>
            </w:r>
          </w:p>
        </w:tc>
        <w:tc>
          <w:tcPr/>
          <w:p>
            <w:pPr>
              <w:pStyle w:val="Compact"/>
              <w:jc w:val="right"/>
            </w:pPr>
            <w:r>
              <w:t xml:space="preserve">0.03102</w:t>
            </w:r>
          </w:p>
        </w:tc>
        <w:tc>
          <w:tcPr/>
          <w:p>
            <w:pPr>
              <w:pStyle w:val="Compact"/>
              <w:jc w:val="left"/>
            </w:pPr>
            <w:r>
              <w:t xml:space="preserve">3,102%</w:t>
            </w:r>
          </w:p>
        </w:tc>
      </w:tr>
      <w:tr>
        <w:tc>
          <w:tcPr/>
          <w:p>
            <w:pPr>
              <w:pStyle w:val="Compact"/>
              <w:jc w:val="right"/>
            </w:pPr>
            <w:r>
              <w:t xml:space="preserve">0.806</w:t>
            </w:r>
          </w:p>
        </w:tc>
        <w:tc>
          <w:tcPr/>
          <w:p>
            <w:pPr>
              <w:pStyle w:val="Compact"/>
              <w:jc w:val="right"/>
            </w:pPr>
            <w:r>
              <w:t xml:space="preserve">0.03184</w:t>
            </w:r>
          </w:p>
        </w:tc>
        <w:tc>
          <w:tcPr/>
          <w:p>
            <w:pPr>
              <w:pStyle w:val="Compact"/>
              <w:jc w:val="left"/>
            </w:pPr>
            <w:r>
              <w:t xml:space="preserve">3,184%</w:t>
            </w:r>
          </w:p>
        </w:tc>
      </w:tr>
      <w:tr>
        <w:tc>
          <w:tcPr/>
          <w:p>
            <w:pPr>
              <w:pStyle w:val="Compact"/>
              <w:jc w:val="right"/>
            </w:pPr>
            <w:r>
              <w:t xml:space="preserve">1.058</w:t>
            </w:r>
          </w:p>
        </w:tc>
        <w:tc>
          <w:tcPr/>
          <w:p>
            <w:pPr>
              <w:pStyle w:val="Compact"/>
              <w:jc w:val="right"/>
            </w:pPr>
            <w:r>
              <w:t xml:space="preserve">0.02967</w:t>
            </w:r>
          </w:p>
        </w:tc>
        <w:tc>
          <w:tcPr/>
          <w:p>
            <w:pPr>
              <w:pStyle w:val="Compact"/>
              <w:jc w:val="left"/>
            </w:pPr>
            <w:r>
              <w:t xml:space="preserve">2,967%</w:t>
            </w:r>
          </w:p>
        </w:tc>
      </w:tr>
    </w:tbl>
    <w:bookmarkEnd w:id="50"/>
    <w:bookmarkEnd w:id="51"/>
    <w:bookmarkStart w:id="54" w:name="X96b896b92b42645ba88a707007c4252bf9e5cd7"/>
    <w:p>
      <w:pPr>
        <w:pStyle w:val="Heading3"/>
      </w:pPr>
      <w:r>
        <w:t xml:space="preserve">Interpolation linéaire de la courbe des taux actuariels</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w:bookmarkStart w:id="52" w:name="eq-gbmp"/>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r>
            <m:rPr>
              <m:sty m:val="p"/>
            </m:rPr>
            <m:t>,</m:t>
          </m:r>
          <m:r>
            <m:t>  </m:t>
          </m:r>
          <m:d>
            <m:dPr>
              <m:begChr m:val="("/>
              <m:endChr m:val=")"/>
              <m:sepChr m:val=""/>
              <m:grow/>
            </m:dPr>
            <m:e>
              <m:r>
                <m:t>2</m:t>
              </m:r>
            </m:e>
          </m:d>
        </m:oMath>
      </m:oMathPara>
      <w:bookmarkEnd w:id="52"/>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53"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jc w:val="start"/>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0.02968</w:t>
            </w:r>
          </w:p>
        </w:tc>
        <w:tc>
          <w:tcPr/>
          <w:p>
            <w:pPr>
              <w:pStyle w:val="Compact"/>
              <w:jc w:val="left"/>
            </w:pPr>
            <w:r>
              <w:t xml:space="preserve">2,968%</w:t>
            </w:r>
          </w:p>
        </w:tc>
      </w:tr>
      <w:tr>
        <w:tc>
          <w:tcPr/>
          <w:p>
            <w:pPr>
              <w:pStyle w:val="Compact"/>
              <w:jc w:val="right"/>
            </w:pPr>
            <w:r>
              <w:t xml:space="preserve">4</w:t>
            </w:r>
          </w:p>
        </w:tc>
        <w:tc>
          <w:tcPr/>
          <w:p>
            <w:pPr>
              <w:pStyle w:val="Compact"/>
              <w:jc w:val="right"/>
            </w:pPr>
            <w:r>
              <w:t xml:space="preserve">0.02954</w:t>
            </w:r>
          </w:p>
        </w:tc>
        <w:tc>
          <w:tcPr/>
          <w:p>
            <w:pPr>
              <w:pStyle w:val="Compact"/>
              <w:jc w:val="left"/>
            </w:pPr>
            <w:r>
              <w:t xml:space="preserve">2,954%</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0.02995</w:t>
            </w:r>
          </w:p>
        </w:tc>
        <w:tc>
          <w:tcPr/>
          <w:p>
            <w:pPr>
              <w:pStyle w:val="Compact"/>
              <w:jc w:val="left"/>
            </w:pPr>
            <w:r>
              <w:t xml:space="preserve">2,995%</w:t>
            </w:r>
          </w:p>
        </w:tc>
      </w:tr>
      <w:tr>
        <w:tc>
          <w:tcPr/>
          <w:p>
            <w:pPr>
              <w:pStyle w:val="Compact"/>
              <w:jc w:val="right"/>
            </w:pPr>
            <w:r>
              <w:t xml:space="preserve">7</w:t>
            </w:r>
          </w:p>
        </w:tc>
        <w:tc>
          <w:tcPr/>
          <w:p>
            <w:pPr>
              <w:pStyle w:val="Compact"/>
              <w:jc w:val="right"/>
            </w:pPr>
            <w:r>
              <w:t xml:space="preserve">0.03036</w:t>
            </w:r>
          </w:p>
        </w:tc>
        <w:tc>
          <w:tcPr/>
          <w:p>
            <w:pPr>
              <w:pStyle w:val="Compact"/>
              <w:jc w:val="left"/>
            </w:pPr>
            <w:r>
              <w:t xml:space="preserve">3,036%</w:t>
            </w:r>
          </w:p>
        </w:tc>
      </w:tr>
      <w:tr>
        <w:tc>
          <w:tcPr/>
          <w:p>
            <w:pPr>
              <w:pStyle w:val="Compact"/>
              <w:jc w:val="right"/>
            </w:pPr>
            <w:r>
              <w:t xml:space="preserve">8</w:t>
            </w:r>
          </w:p>
        </w:tc>
        <w:tc>
          <w:tcPr/>
          <w:p>
            <w:pPr>
              <w:pStyle w:val="Compact"/>
              <w:jc w:val="right"/>
            </w:pPr>
            <w:r>
              <w:t xml:space="preserve">0.03093</w:t>
            </w:r>
          </w:p>
        </w:tc>
        <w:tc>
          <w:tcPr/>
          <w:p>
            <w:pPr>
              <w:pStyle w:val="Compact"/>
              <w:jc w:val="left"/>
            </w:pPr>
            <w:r>
              <w:t xml:space="preserve">3,093%</w:t>
            </w:r>
          </w:p>
        </w:tc>
      </w:tr>
      <w:tr>
        <w:tc>
          <w:tcPr/>
          <w:p>
            <w:pPr>
              <w:pStyle w:val="Compact"/>
              <w:jc w:val="right"/>
            </w:pPr>
            <w:r>
              <w:t xml:space="preserve">9</w:t>
            </w:r>
          </w:p>
        </w:tc>
        <w:tc>
          <w:tcPr/>
          <w:p>
            <w:pPr>
              <w:pStyle w:val="Compact"/>
              <w:jc w:val="right"/>
            </w:pPr>
            <w:r>
              <w:t xml:space="preserve">0.03143</w:t>
            </w:r>
          </w:p>
        </w:tc>
        <w:tc>
          <w:tcPr/>
          <w:p>
            <w:pPr>
              <w:pStyle w:val="Compact"/>
              <w:jc w:val="left"/>
            </w:pPr>
            <w:r>
              <w:t xml:space="preserve">3,143%</w:t>
            </w:r>
          </w:p>
        </w:tc>
      </w:tr>
      <w:tr>
        <w:tc>
          <w:tcPr/>
          <w:p>
            <w:pPr>
              <w:pStyle w:val="Compact"/>
              <w:jc w:val="right"/>
            </w:pPr>
            <w:r>
              <w:t xml:space="preserve">10</w:t>
            </w:r>
          </w:p>
        </w:tc>
        <w:tc>
          <w:tcPr/>
          <w:p>
            <w:pPr>
              <w:pStyle w:val="Compact"/>
              <w:jc w:val="right"/>
            </w:pPr>
            <w:r>
              <w:t xml:space="preserve">0.03183</w:t>
            </w:r>
          </w:p>
        </w:tc>
        <w:tc>
          <w:tcPr/>
          <w:p>
            <w:pPr>
              <w:pStyle w:val="Compact"/>
              <w:jc w:val="left"/>
            </w:pPr>
            <w:r>
              <w:t xml:space="preserve">3,183%</w:t>
            </w:r>
          </w:p>
        </w:tc>
      </w:tr>
    </w:tbl>
    <w:bookmarkEnd w:id="53"/>
    <w:bookmarkEnd w:id="54"/>
    <w:bookmarkStart w:id="58" w:name="la-méthode-de-bootstrap"/>
    <w:p>
      <w:pPr>
        <w:pStyle w:val="Heading3"/>
      </w:pPr>
      <w:r>
        <w:t xml:space="preserve">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10"/>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1"/>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w:bookmarkStart w:id="55" w:name="eq-gbmp"/>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r>
            <m:t> </m:t>
          </m:r>
          <m:r>
            <m:rPr>
              <m:sty m:val="p"/>
            </m:rPr>
            <m:t>,</m:t>
          </m:r>
          <m:r>
            <m:t>  </m:t>
          </m:r>
          <m:d>
            <m:dPr>
              <m:begChr m:val="("/>
              <m:endChr m:val=")"/>
              <m:sepChr m:val=""/>
              <m:grow/>
            </m:dPr>
            <m:e>
              <m:r>
                <m:t>3</m:t>
              </m:r>
            </m:e>
          </m:d>
        </m:oMath>
      </m:oMathPara>
      <w:bookmarkEnd w:id="55"/>
    </w:p>
    <w:p>
      <w:pPr>
        <w:pStyle w:val="FirstParagraph"/>
      </w:pPr>
      <w:r>
        <w:t xml:space="preserve">En effet, on a supposé que le prix théorique d’une obligation correspond à la somme de ses flux futures actualisés aux taux zéro-coupon de l’échéance de chaque flux:</w:t>
      </w:r>
    </w:p>
    <w:p>
      <w:pPr>
        <w:pStyle w:val="BodyText"/>
      </w:pPr>
      <w:bookmarkStart w:id="56" w:name="eq-gbmp"/>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r>
            <m:rPr>
              <m:sty m:val="p"/>
            </m:rPr>
            <m:t>,</m:t>
          </m:r>
          <m:r>
            <m:t>  </m:t>
          </m:r>
          <m:d>
            <m:dPr>
              <m:begChr m:val="("/>
              <m:endChr m:val=")"/>
              <m:sepChr m:val=""/>
              <m:grow/>
            </m:dPr>
            <m:e>
              <m:r>
                <m:t>4</m:t>
              </m:r>
            </m:e>
          </m:d>
        </m:oMath>
      </m:oMathPara>
      <w:bookmarkEnd w:id="56"/>
    </w:p>
    <w:p>
      <w:pPr>
        <w:pStyle w:val="FirstParagraph"/>
      </w:pPr>
      <w:r>
        <w:t xml:space="preserve">avec :</w:t>
      </w:r>
    </w:p>
    <w:p>
      <w:pPr>
        <w:pStyle w:val="BodyText"/>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57" w:name="tbl-taux_zc"/>
    <w:p>
      <w:pPr>
        <w:pStyle w:val="TableCaption"/>
      </w:pPr>
      <w:r>
        <w:t xml:space="preserve">Table 5: Transformation du taux actuariel en taux ZC avec la méthode Bootstrap</w:t>
      </w:r>
    </w:p>
    <w:tbl>
      <w:tblPr>
        <w:tblStyle w:val="Table"/>
        <w:tblW w:type="auto" w:w="0"/>
        <w:tblLook w:firstRow="1" w:lastRow="0" w:firstColumn="0" w:lastColumn="0" w:noHBand="0" w:noVBand="0" w:val="0020"/>
        <w:jc w:val="start"/>
        <w:tblCaption w:val="Table 5: Transformation du taux actuariel en taux ZC avec la méthode Boot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0.02966</w:t>
            </w:r>
          </w:p>
        </w:tc>
        <w:tc>
          <w:tcPr/>
          <w:p>
            <w:pPr>
              <w:pStyle w:val="Compact"/>
              <w:jc w:val="left"/>
            </w:pPr>
            <w:r>
              <w:t xml:space="preserve">2,966%</w:t>
            </w:r>
          </w:p>
        </w:tc>
      </w:tr>
      <w:tr>
        <w:tc>
          <w:tcPr/>
          <w:p>
            <w:pPr>
              <w:pStyle w:val="Compact"/>
              <w:jc w:val="right"/>
            </w:pPr>
            <w:r>
              <w:t xml:space="preserve">4</w:t>
            </w:r>
          </w:p>
        </w:tc>
        <w:tc>
          <w:tcPr/>
          <w:p>
            <w:pPr>
              <w:pStyle w:val="Compact"/>
              <w:jc w:val="right"/>
            </w:pPr>
            <w:r>
              <w:t xml:space="preserve">0.02952</w:t>
            </w:r>
          </w:p>
        </w:tc>
        <w:tc>
          <w:tcPr/>
          <w:p>
            <w:pPr>
              <w:pStyle w:val="Compact"/>
              <w:jc w:val="left"/>
            </w:pPr>
            <w:r>
              <w:t xml:space="preserve">2,952%</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0.02996</w:t>
            </w:r>
          </w:p>
        </w:tc>
        <w:tc>
          <w:tcPr/>
          <w:p>
            <w:pPr>
              <w:pStyle w:val="Compact"/>
              <w:jc w:val="left"/>
            </w:pPr>
            <w:r>
              <w:t xml:space="preserve">2,996%</w:t>
            </w:r>
          </w:p>
        </w:tc>
      </w:tr>
      <w:tr>
        <w:tc>
          <w:tcPr/>
          <w:p>
            <w:pPr>
              <w:pStyle w:val="Compact"/>
              <w:jc w:val="right"/>
            </w:pPr>
            <w:r>
              <w:t xml:space="preserve">7</w:t>
            </w:r>
          </w:p>
        </w:tc>
        <w:tc>
          <w:tcPr/>
          <w:p>
            <w:pPr>
              <w:pStyle w:val="Compact"/>
              <w:jc w:val="right"/>
            </w:pPr>
            <w:r>
              <w:t xml:space="preserve">0.03041</w:t>
            </w:r>
          </w:p>
        </w:tc>
        <w:tc>
          <w:tcPr/>
          <w:p>
            <w:pPr>
              <w:pStyle w:val="Compact"/>
              <w:jc w:val="left"/>
            </w:pPr>
            <w:r>
              <w:t xml:space="preserve">3,041%</w:t>
            </w:r>
          </w:p>
        </w:tc>
      </w:tr>
      <w:tr>
        <w:tc>
          <w:tcPr/>
          <w:p>
            <w:pPr>
              <w:pStyle w:val="Compact"/>
              <w:jc w:val="right"/>
            </w:pPr>
            <w:r>
              <w:t xml:space="preserve">8</w:t>
            </w:r>
          </w:p>
        </w:tc>
        <w:tc>
          <w:tcPr/>
          <w:p>
            <w:pPr>
              <w:pStyle w:val="Compact"/>
              <w:jc w:val="right"/>
            </w:pPr>
            <w:r>
              <w:t xml:space="preserve">0.03104</w:t>
            </w:r>
          </w:p>
        </w:tc>
        <w:tc>
          <w:tcPr/>
          <w:p>
            <w:pPr>
              <w:pStyle w:val="Compact"/>
              <w:jc w:val="left"/>
            </w:pPr>
            <w:r>
              <w:t xml:space="preserve">3,104%</w:t>
            </w:r>
          </w:p>
        </w:tc>
      </w:tr>
      <w:tr>
        <w:tc>
          <w:tcPr/>
          <w:p>
            <w:pPr>
              <w:pStyle w:val="Compact"/>
              <w:jc w:val="right"/>
            </w:pPr>
            <w:r>
              <w:t xml:space="preserve">9</w:t>
            </w:r>
          </w:p>
        </w:tc>
        <w:tc>
          <w:tcPr/>
          <w:p>
            <w:pPr>
              <w:pStyle w:val="Compact"/>
              <w:jc w:val="right"/>
            </w:pPr>
            <w:r>
              <w:t xml:space="preserve">0.03160</w:t>
            </w:r>
          </w:p>
        </w:tc>
        <w:tc>
          <w:tcPr/>
          <w:p>
            <w:pPr>
              <w:pStyle w:val="Compact"/>
              <w:jc w:val="left"/>
            </w:pPr>
            <w:r>
              <w:t xml:space="preserve">3,16%</w:t>
            </w:r>
          </w:p>
        </w:tc>
      </w:tr>
      <w:tr>
        <w:tc>
          <w:tcPr/>
          <w:p>
            <w:pPr>
              <w:pStyle w:val="Compact"/>
              <w:jc w:val="right"/>
            </w:pPr>
            <w:r>
              <w:t xml:space="preserve">10</w:t>
            </w:r>
          </w:p>
        </w:tc>
        <w:tc>
          <w:tcPr/>
          <w:p>
            <w:pPr>
              <w:pStyle w:val="Compact"/>
              <w:jc w:val="right"/>
            </w:pPr>
            <w:r>
              <w:t xml:space="preserve">0.03205</w:t>
            </w:r>
          </w:p>
        </w:tc>
        <w:tc>
          <w:tcPr/>
          <w:p>
            <w:pPr>
              <w:pStyle w:val="Compact"/>
              <w:jc w:val="left"/>
            </w:pPr>
            <w:r>
              <w:t xml:space="preserve">3,205%</w:t>
            </w:r>
          </w:p>
        </w:tc>
      </w:tr>
    </w:tbl>
    <w:bookmarkEnd w:id="57"/>
    <w:bookmarkEnd w:id="58"/>
    <w:bookmarkStart w:id="61" w:name="X336f36db0687334b747abecf8d379445810500d"/>
    <w:p>
      <w:pPr>
        <w:pStyle w:val="Heading3"/>
      </w:pPr>
      <w:r>
        <w:t xml:space="preserve">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2"/>
        </w:numPr>
        <w:pStyle w:val="Compact"/>
      </w:pPr>
      <w:r>
        <w:t xml:space="preserve">le UFR (Ultimate Forward Rate)</w:t>
      </w:r>
    </w:p>
    <w:p>
      <w:pPr>
        <w:numPr>
          <w:ilvl w:val="0"/>
          <w:numId w:val="1012"/>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w:bookmarkStart w:id="59" w:name="eq-gbmp"/>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r>
            <m:t> </m:t>
          </m:r>
          <m:r>
            <m:rPr>
              <m:sty m:val="p"/>
            </m:rPr>
            <m:t>,</m:t>
          </m:r>
          <m:r>
            <m:t>  </m:t>
          </m:r>
          <m:d>
            <m:dPr>
              <m:begChr m:val="("/>
              <m:endChr m:val=")"/>
              <m:sepChr m:val=""/>
              <m:grow/>
            </m:dPr>
            <m:e>
              <m:r>
                <m:t>5</m:t>
              </m:r>
            </m:e>
          </m:d>
        </m:oMath>
      </m:oMathPara>
      <w:bookmarkEnd w:id="59"/>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r>
            <m:t> </m:t>
          </m:r>
          <m:r>
            <m:rPr>
              <m:sty m:val="p"/>
            </m:rPr>
            <m:t>,</m:t>
          </m:r>
        </m:oMath>
      </m:oMathPara>
    </w:p>
    <w:p>
      <w:pPr>
        <w:pStyle w:val="FirstParagraph"/>
      </w:pPr>
      <w:r>
        <w:t xml:space="preserve">avec :</w:t>
      </w:r>
    </w:p>
    <w:p>
      <w:pPr>
        <w:numPr>
          <w:ilvl w:val="0"/>
          <w:numId w:val="1013"/>
        </w:numPr>
        <w:pStyle w:val="Compact"/>
      </w:pPr>
      <m:oMath>
        <m:r>
          <m:t>W</m:t>
        </m:r>
      </m:oMath>
      <w:r>
        <w:t xml:space="preserve"> </w:t>
      </w:r>
      <w:r>
        <w:t xml:space="preserve">représente un ensemble de fonctions à noyau pour chaque prix d’obligation observable d’entrée.</w:t>
      </w:r>
    </w:p>
    <w:p>
      <w:pPr>
        <w:numPr>
          <w:ilvl w:val="0"/>
          <w:numId w:val="1013"/>
        </w:numPr>
        <w:pStyle w:val="Compact"/>
      </w:pPr>
      <m:oMath>
        <m:r>
          <m:t>α</m:t>
        </m:r>
      </m:oMath>
      <w:r>
        <w:t xml:space="preserve"> </w:t>
      </w:r>
      <w:r>
        <w:t xml:space="preserve">: la vitesse de convergence vers le UFR.</w:t>
      </w:r>
    </w:p>
    <w:p>
      <w:pPr>
        <w:numPr>
          <w:ilvl w:val="0"/>
          <w:numId w:val="1013"/>
        </w:numPr>
        <w:pStyle w:val="Compact"/>
      </w:pPr>
      <m:oMath>
        <m:r>
          <m:t>N</m:t>
        </m:r>
      </m:oMath>
      <w:r>
        <w:t xml:space="preserve">: le nombre d’obligations ZC dont le prix est observésur le marché.</w:t>
      </w:r>
    </w:p>
    <w:p>
      <w:pPr>
        <w:numPr>
          <w:ilvl w:val="0"/>
          <w:numId w:val="1013"/>
        </w:numPr>
        <w:pStyle w:val="Compact"/>
      </w:pPr>
      <m:oMath>
        <m:sSub>
          <m:e>
            <m:r>
              <m:t>u</m:t>
            </m:r>
          </m:e>
          <m:sub>
            <m:r>
              <m:t>j</m:t>
            </m:r>
          </m:sub>
        </m:sSub>
      </m:oMath>
      <w:r>
        <w:t xml:space="preserve">: la j-ème maturité disponible. .</w:t>
      </w:r>
    </w:p>
    <w:p>
      <w:pPr>
        <w:numPr>
          <w:ilvl w:val="0"/>
          <w:numId w:val="1013"/>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r>
            <m:t> </m:t>
          </m:r>
          <m:r>
            <m:rPr>
              <m:sty m:val="p"/>
            </m:rPr>
            <m:t>,</m:t>
          </m:r>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r>
            <m:rPr>
              <m:sty m:val="p"/>
            </m:rPr>
            <m:t>,</m:t>
          </m:r>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w:r>
        <w:t xml:space="preserve">$$</w:t>
      </w:r>
    </w:p>
    <w:p>
      <w:pPr>
        <w:pStyle w:val="BodyText"/>
      </w:pPr>
      <m:oMathPara>
        <m:oMathParaPr>
          <m:jc m:val="center"/>
        </m:oMathParaPr>
        <m:oMath>
          <m:r>
            <m:t>W</m:t>
          </m:r>
          <m:r>
            <m:t>i</m:t>
          </m:r>
          <m:r>
            <m:t>j</m:t>
          </m:r>
          <m:r>
            <m:rPr>
              <m:sty m:val="p"/>
            </m:rPr>
            <m:t>=</m:t>
          </m:r>
          <m:r>
            <m:t>W</m:t>
          </m:r>
          <m:d>
            <m:dPr>
              <m:begChr m:val="("/>
              <m:endChr m:val=")"/>
              <m:sepChr m:val=""/>
              <m:grow/>
            </m:dPr>
            <m:e>
              <m:sSub>
                <m:e>
                  <m:r>
                    <m:t>u</m:t>
                  </m:r>
                </m:e>
                <m:sub>
                  <m:r>
                    <m:t>i</m:t>
                  </m:r>
                </m:sub>
              </m:sSub>
              <m:r>
                <m:rPr>
                  <m:sty m:val="p"/>
                </m:rPr>
                <m:t>,</m:t>
              </m:r>
              <m:sSub>
                <m:e>
                  <m:r>
                    <m:t>u</m:t>
                  </m:r>
                </m:e>
                <m:sub>
                  <m:r>
                    <m:t>j</m:t>
                  </m:r>
                </m:sub>
              </m:sSub>
            </m:e>
          </m:d>
          <m:r>
            <m:t>  </m:t>
          </m:r>
          <m:r>
            <m:t>i</m:t>
          </m:r>
          <m:r>
            <m:rPr>
              <m:sty m:val="p"/>
            </m:rPr>
            <m:t>,</m:t>
          </m:r>
          <m:r>
            <m:t>j</m:t>
          </m:r>
          <m:r>
            <m:rPr>
              <m:sty m:val="p"/>
            </m:rPr>
            <m:t>=</m:t>
          </m:r>
          <m:r>
            <m:t>1</m:t>
          </m:r>
          <m:r>
            <m:rPr>
              <m:sty m:val="p"/>
            </m:rPr>
            <m:t>,</m:t>
          </m:r>
          <m:r>
            <m:rPr>
              <m:sty m:val="p"/>
            </m:rPr>
            <m:t>…</m:t>
          </m:r>
          <m:r>
            <m:rPr>
              <m:sty m:val="p"/>
            </m:rPr>
            <m:t>,</m:t>
          </m:r>
          <m:r>
            <m:t>N</m:t>
          </m:r>
          <m:r>
            <m:t> </m:t>
          </m:r>
          <m:r>
            <m:t> </m:t>
          </m:r>
        </m:oMath>
      </m:oMathPara>
    </w:p>
    <w:p>
      <w:pPr>
        <w:pStyle w:val="FirstParagraph"/>
      </w:pPr>
      <w:r>
        <w:t xml:space="preserve">Après la détermination des inconnus, on passe au calcul des prix zéro-coupon correspondants aux maturités pleines, et finalement déduire les taux zéro-coupon correspondants à ces maturités par la relation suivante :</w:t>
      </w:r>
    </w:p>
    <w:p>
      <w:pPr>
        <w:pStyle w:val="BodyText"/>
      </w:pPr>
      <w:bookmarkStart w:id="60" w:name="eq-gbmp"/>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r>
            <m:t>  </m:t>
          </m:r>
          <m:d>
            <m:dPr>
              <m:begChr m:val="("/>
              <m:endChr m:val=")"/>
              <m:sepChr m:val=""/>
              <m:grow/>
            </m:dPr>
            <m:e>
              <m:r>
                <m:t>6</m:t>
              </m:r>
            </m:e>
          </m:d>
        </m:oMath>
      </m:oMathPara>
      <w:bookmarkEnd w:id="60"/>
    </w:p>
    <w:bookmarkEnd w:id="61"/>
    <w:bookmarkEnd w:id="62"/>
    <w:bookmarkEnd w:id="63"/>
    <w:bookmarkStart w:id="90" w:name="chapitre-iii-valorisation-de-lactif"/>
    <w:p>
      <w:pPr>
        <w:pStyle w:val="Heading1"/>
      </w:pPr>
      <w:r>
        <w:t xml:space="preserve">3. CHAPITRE III : Valorisation de l’actif</w:t>
      </w:r>
    </w:p>
    <w:bookmarkStart w:id="89" w:name="directives-de-lacaps"/>
    <w:p>
      <w:pPr>
        <w:pStyle w:val="Heading2"/>
      </w:pPr>
      <w:r>
        <w:t xml:space="preserve">3.1 Directives de l’ACAPS</w:t>
      </w:r>
    </w:p>
    <w:p>
      <w:pPr>
        <w:pStyle w:val="FirstParagraph"/>
      </w:pPr>
      <w:r>
        <w:t xml:space="preserve">Selon les directions de l’autorité de contrôle des Assurances et de la Prévoyance Sociale, les actifs doivent être évaluer comme suit :</w:t>
      </w:r>
    </w:p>
    <w:p>
      <w:pPr>
        <w:numPr>
          <w:ilvl w:val="0"/>
          <w:numId w:val="1014"/>
        </w:numPr>
        <w:pStyle w:val="Compact"/>
      </w:pPr>
      <w:r>
        <w:t xml:space="preserve">Titres OPCVM et OPCI : Dernière valeur liquidative.</w:t>
      </w:r>
    </w:p>
    <w:p>
      <w:pPr>
        <w:numPr>
          <w:ilvl w:val="0"/>
          <w:numId w:val="1014"/>
        </w:numPr>
        <w:pStyle w:val="Compact"/>
      </w:pPr>
      <w:r>
        <w:t xml:space="preserve">Titres OPCC et FPCT : Dernière valeur connue.</w:t>
      </w:r>
    </w:p>
    <w:p>
      <w:pPr>
        <w:numPr>
          <w:ilvl w:val="0"/>
          <w:numId w:val="1014"/>
        </w:numPr>
        <w:pStyle w:val="Compact"/>
      </w:pPr>
      <w:r>
        <w:t xml:space="preserve">Titres de créances négociables, obligations et bons : Valeur de marché.</w:t>
      </w:r>
    </w:p>
    <w:p>
      <w:pPr>
        <w:numPr>
          <w:ilvl w:val="0"/>
          <w:numId w:val="1014"/>
        </w:numPr>
        <w:pStyle w:val="Compact"/>
      </w:pPr>
      <w:r>
        <w:t xml:space="preserve">Immobilisations corporelles : Valeur comptable.</w:t>
      </w:r>
    </w:p>
    <w:p>
      <w:pPr>
        <w:numPr>
          <w:ilvl w:val="0"/>
          <w:numId w:val="1014"/>
        </w:numPr>
        <w:pStyle w:val="Compact"/>
      </w:pPr>
      <w:r>
        <w:t xml:space="preserve">Autres créances : Valeur comptable.</w:t>
      </w:r>
    </w:p>
    <w:p>
      <w:pPr>
        <w:numPr>
          <w:ilvl w:val="0"/>
          <w:numId w:val="1014"/>
        </w:numPr>
        <w:pStyle w:val="Compact"/>
      </w:pPr>
      <w:r>
        <w:t xml:space="preserve">Immobilisations en non-valeur : Valeur nulle.</w:t>
      </w:r>
    </w:p>
    <w:p>
      <w:pPr>
        <w:numPr>
          <w:ilvl w:val="0"/>
          <w:numId w:val="1014"/>
        </w:numPr>
        <w:pStyle w:val="Compact"/>
      </w:pPr>
      <w:r>
        <w:t xml:space="preserve">Immobilisations incorporelles : Valeur nulle.</w:t>
      </w:r>
    </w:p>
    <w:p>
      <w:pPr>
        <w:numPr>
          <w:ilvl w:val="0"/>
          <w:numId w:val="1014"/>
        </w:numPr>
        <w:pStyle w:val="Compact"/>
      </w:pPr>
      <w:r>
        <w:t xml:space="preserve">Actifs immobiliers hors OPCI : Valeur de transaction (sinon valeur comptable).</w:t>
      </w:r>
    </w:p>
    <w:p>
      <w:pPr>
        <w:numPr>
          <w:ilvl w:val="0"/>
          <w:numId w:val="1014"/>
        </w:numPr>
        <w:pStyle w:val="Compact"/>
      </w:pPr>
      <w:r>
        <w:t xml:space="preserve">Autres actifs : Valeur d’expert (sinon valeur comptable)</w:t>
      </w:r>
    </w:p>
    <w:p>
      <w:pPr>
        <w:pStyle w:val="FirstParagraph"/>
      </w:pPr>
      <w:r>
        <w:t xml:space="preserve">Pour les actions cotées à la bourse de Casablanca, ils sont valorisées à leur dernier cours coté avant la date d’inventaire, ou le moyenne des cours côtés des trois derniers mois précédant la date d’inventaire, si le volume ou la quantité journaliers moyens des transactions sur les 3 derniers mois précédant la date d’inventaire sont inférieurs aux seuils fixés par L’ACAPS.</w:t>
      </w:r>
    </w:p>
    <w:bookmarkStart w:id="64" w:name="modélisation-du-prix-des-actions"/>
    <w:p>
      <w:pPr>
        <w:pStyle w:val="Heading3"/>
      </w:pPr>
      <w:r>
        <w:t xml:space="preserve">Modélisation du prix des actions</w:t>
      </w:r>
    </w:p>
    <w:p>
      <w:pPr>
        <w:pStyle w:val="FirstParagraph"/>
      </w:pPr>
      <w:r>
        <w:t xml:space="preserve">Le prix d’une action ou plus communément appelé cours d’une action représente le prix auquel elle est achetée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End w:id="64"/>
    <w:bookmarkStart w:id="73" w:name="modèle-de-black-scholes"/>
    <w:p>
      <w:pPr>
        <w:pStyle w:val="Heading3"/>
      </w:pPr>
      <w:r>
        <w:t xml:space="preserve">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fonction de son type et du prix de l’actif sous-jacent. Le modèle repose sur plusieurs hypothèses dont l’une d’entre elle est que le cours de l’actif sous-jacent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65"/>
      </w:r>
    </w:p>
    <w:p>
      <w:pPr>
        <w:pStyle w:val="BodyText"/>
      </w:pPr>
      <w:bookmarkStart w:id="66" w:name="eq-gbmp1"/>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r>
            <m:rPr>
              <m:sty m:val="p"/>
            </m:rPr>
            <m:t>,</m:t>
          </m:r>
          <m:r>
            <m:t>  </m:t>
          </m:r>
          <m:d>
            <m:dPr>
              <m:begChr m:val="("/>
              <m:endChr m:val=")"/>
              <m:sepChr m:val=""/>
              <m:grow/>
            </m:dPr>
            <m:e>
              <m:r>
                <m:t>7</m:t>
              </m:r>
            </m:e>
          </m:d>
        </m:oMath>
      </m:oMathPara>
      <w:bookmarkEnd w:id="66"/>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67"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8</m:t>
              </m:r>
            </m:e>
          </m:d>
        </m:oMath>
      </m:oMathPara>
      <w:bookmarkEnd w:id="67"/>
    </w:p>
    <w:p>
      <w:pPr>
        <w:pStyle w:val="FirstParagraph"/>
      </w:pPr>
      <w:r>
        <w:t xml:space="preserve">Dans l’</w:t>
      </w:r>
      <w:hyperlink w:anchor="eq-gbmq">
        <w:r>
          <w:rPr>
            <w:rStyle w:val="Hyperlink"/>
          </w:rPr>
          <w:t xml:space="preserve">Equation 8</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8</w:t>
        </w:r>
      </w:hyperlink>
      <w:r>
        <w:t xml:space="preserve"> </w:t>
      </w:r>
      <w:r>
        <w:t xml:space="preserve">qui peut être réécrite comme suit :</w:t>
      </w:r>
    </w:p>
    <w:p>
      <w:pPr>
        <w:pStyle w:val="BodyText"/>
      </w:pPr>
      <w:bookmarkStart w:id="68"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9</m:t>
              </m:r>
            </m:e>
          </m:d>
        </m:oMath>
      </m:oMathPara>
      <w:bookmarkEnd w:id="68"/>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9</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9</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 :</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r>
            <m:t> </m:t>
          </m:r>
          <m:r>
            <m:rPr>
              <m:sty m:val="p"/>
            </m:rPr>
            <m:t>,</m:t>
          </m:r>
        </m:oMath>
      </m:oMathPara>
    </w:p>
    <w:p>
      <w:pPr>
        <w:pStyle w:val="FirstParagraph"/>
      </w:pPr>
      <w:r>
        <w:t xml:space="preserve">soit, en utilsant</w:t>
      </w:r>
      <w:r>
        <w:t xml:space="preserve"> </w:t>
      </w:r>
      <w:hyperlink w:anchor="eq-gbmp1">
        <w:r>
          <w:rPr>
            <w:rStyle w:val="Hyperlink"/>
          </w:rPr>
          <w:t xml:space="preserve">Equation 7</w:t>
        </w:r>
      </w:hyperlink>
      <w:r>
        <w:t xml:space="preserve"> </w:t>
      </w:r>
      <w:r>
        <w:t xml:space="preserve">:</w:t>
      </w:r>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r>
            <m:t> </m:t>
          </m:r>
          <m:r>
            <m:rPr>
              <m:sty m:val="p"/>
            </m:rPr>
            <m:t>,</m:t>
          </m:r>
        </m:oMath>
      </m:oMathPara>
    </w:p>
    <w:p>
      <w:pPr>
        <w:pStyle w:val="FirstParagraph"/>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r>
            <m:t> </m:t>
          </m:r>
          <m:r>
            <m:rPr>
              <m:sty m:val="p"/>
            </m:rPr>
            <m:t>,</m:t>
          </m:r>
        </m:oMath>
      </m:oMathPara>
    </w:p>
    <w:p>
      <w:pPr>
        <w:pStyle w:val="FirstParagraph"/>
      </w:pPr>
      <w:r>
        <w:t xml:space="preserve">ainsi :</w:t>
      </w:r>
    </w:p>
    <w:p>
      <w:pPr>
        <w:pStyle w:val="BodyText"/>
      </w:pPr>
      <w:bookmarkStart w:id="69"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r>
            <m:rPr>
              <m:sty m:val="p"/>
            </m:rPr>
            <m:t>,</m:t>
          </m:r>
          <m:r>
            <m:t>  </m:t>
          </m:r>
          <m:d>
            <m:dPr>
              <m:begChr m:val="("/>
              <m:endChr m:val=")"/>
              <m:sepChr m:val=""/>
              <m:grow/>
            </m:dPr>
            <m:e>
              <m:r>
                <m:t>10</m:t>
              </m:r>
            </m:e>
          </m:d>
        </m:oMath>
      </m:oMathPara>
      <w:bookmarkEnd w:id="69"/>
    </w:p>
    <w:p>
      <w:pPr>
        <w:pStyle w:val="FirstParagraph"/>
      </w:pPr>
      <w:r>
        <w:t xml:space="preserve">est solution de l’EDS.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267200"/>
                  <wp:effectExtent b="0" l="0" r="0" t="0"/>
                  <wp:docPr descr="" title="" id="71" name="Picture"/>
                  <a:graphic>
                    <a:graphicData uri="http://schemas.openxmlformats.org/drawingml/2006/picture">
                      <pic:pic>
                        <pic:nvPicPr>
                          <pic:cNvPr descr="Rapport-PFE_files/figure-docx/unnamed-chunk-9-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utilisant le modèle de Black and Scholes</w:t>
            </w:r>
          </w:p>
        </w:tc>
      </w:tr>
    </w:tbl>
    <w:bookmarkEnd w:id="73"/>
    <w:bookmarkStart w:id="88" w:name="réseaux-de-neurones-récurrents"/>
    <w:p>
      <w:pPr>
        <w:pStyle w:val="Heading3"/>
      </w:pPr>
      <w:r>
        <w:t xml:space="preserve">Réseaux de neurones récurrents</w:t>
      </w:r>
    </w:p>
    <w:p>
      <w:pPr>
        <w:pStyle w:val="FirstParagraph"/>
      </w:pPr>
      <w:r>
        <w:t xml:space="preserve">Dans cette partie on va s’intéressé à l’entrainement d’un modèle de réseaux de neurones récurrents, spécifiquement le modèle LSTM (Long short-term memory) avec des données historiques de l’indice MASI (Moroccan All Shares index) afin prédire les cours journaliers futures.</w:t>
      </w:r>
    </w:p>
    <w:p>
      <w:pPr>
        <w:pStyle w:val="BodyText"/>
      </w:pPr>
      <w:r>
        <w:t xml:space="preserve">D’abord, un réseau neuronal récurrent (RNN) est un type de réseau neuronal artificiel qui utilise des données séquentielles ou des données de séries chronologiques. Ces algorithmes d’apprentissage en profondeur sont couramment utilisés pour les problèmes ordinaux ou temporels, tels que la traduction linguistique, le traitement du langage naturel, la reconnaissance vocale et le sous-titrage d’images, la prédiction des séries chronologiques,</w:t>
      </w:r>
      <m:oMath>
        <m:r>
          <m:rPr>
            <m:sty m:val="p"/>
          </m:rPr>
          <m:t>…</m:t>
        </m:r>
      </m:oMath>
    </w:p>
    <w:p>
      <w:pPr>
        <w:pStyle w:val="BodyText"/>
      </w:pPr>
      <w:r>
        <w:t xml:space="preserve">Les réseaux de neurones récurrents utilisent des données de formation pour apprendre. Ils se distinguent par leur mémoire car ils prennent des informations d’entrées précédentes pour influencer l’entrée et la sortie actuelles. Alors que les réseaux de neurones profonds traditionnels supposent que les entrées et les sorties sont indépendantes les unes des autres, la sortie des réseaux de neurones récurrents dépend des éléments antérieurs de la séquence. Alors que les événements futurs seraient également utiles pour déterminer la sortie d’une séquence donnée.</w:t>
      </w:r>
    </w:p>
    <w:p>
      <w:pPr>
        <w:pStyle w:val="BodyText"/>
      </w:pPr>
      <w:r>
        <w:t xml:space="preserve">Une autre caractéristique distinctive des réseaux récurrents est qu’ils partagent des paramètres à travers chaque couche du réseau, alors que les réseaux feedforward (des réseaux de neurones artificiels qui traitent les informations dans une seule direction) ont des poids différents sur chaque nœud. Les réseaux de neurones récurrents partagent le même paramètre de poids dans chaque couche du réseau. Cela dit, ces poids sont toujours ajustés au cours des processus de rétropropagation et de descente de gradient pour faciliter l’apprentissage par renforcement.</w:t>
      </w:r>
    </w:p>
    <w:tbl>
      <w:tblPr>
        <w:tblStyle w:val="Table"/>
        <w:tblW w:type="pct" w:w="5000"/>
        <w:tblLook w:firstRow="0" w:lastRow="0" w:firstColumn="0" w:lastColumn="0" w:noHBand="0" w:noVBand="0" w:val="0000"/>
        <w:jc w:val="start"/>
      </w:tblPr>
      <w:tblGrid>
        <w:gridCol w:w="7920"/>
      </w:tblGrid>
      <w:tr>
        <w:tc>
          <w:tcPr/>
          <w:bookmarkStart w:id="77" w:name="fig-piliers"/>
          <w:p>
            <w:pPr>
              <w:jc w:val="center"/>
            </w:pPr>
            <w:r>
              <w:drawing>
                <wp:inline>
                  <wp:extent cx="5334000" cy="2051050"/>
                  <wp:effectExtent b="0" l="0" r="0" t="0"/>
                  <wp:docPr descr="" title="" id="75" name="Picture"/>
                  <a:graphic>
                    <a:graphicData uri="http://schemas.openxmlformats.org/drawingml/2006/picture">
                      <pic:pic>
                        <pic:nvPicPr>
                          <pic:cNvPr descr="Rapport-PFE_files/figure-html/Shema_RNN.png" id="76" name="Picture"/>
                          <pic:cNvPicPr>
                            <a:picLocks noChangeArrowheads="1" noChangeAspect="1"/>
                          </pic:cNvPicPr>
                        </pic:nvPicPr>
                        <pic:blipFill>
                          <a:blip r:embed="rId74"/>
                          <a:stretch>
                            <a:fillRect/>
                          </a:stretch>
                        </pic:blipFill>
                        <pic:spPr bwMode="auto">
                          <a:xfrm>
                            <a:off x="0" y="0"/>
                            <a:ext cx="5334000" cy="2051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Fonctionnement des réseaux de neurones récurrents</w:t>
            </w:r>
          </w:p>
          <w:bookmarkEnd w:id="77"/>
        </w:tc>
      </w:tr>
    </w:tbl>
    <w:p>
      <w:pPr>
        <w:pStyle w:val="BodyText"/>
      </w:pPr>
      <w:r>
        <w:t xml:space="preserve">Un inconvénient des RNN standard est le problème du gradient de fuite, dans lequel les performances du réseau de neurones souffrent car il ne peut pas être formé correctement. Cela se produit avec des réseaux de neurones en couches profondes, qui sont utilisés pour traiter des données complexes.</w:t>
      </w:r>
    </w:p>
    <w:p>
      <w:pPr>
        <w:pStyle w:val="BodyText"/>
      </w:pPr>
      <w:r>
        <w:t xml:space="preserve">Les RNN standard qui utilisent une méthode d’apprentissage basée sur le gradient se dégradent à mesure qu’ils grandissent et deviennent plus complexes. Le réglage efficace des paramètres aux premières couches devient trop long et coûteux en calculs.</w:t>
      </w:r>
    </w:p>
    <w:p>
      <w:pPr>
        <w:pStyle w:val="BodyText"/>
      </w:pPr>
      <w:r>
        <w:t xml:space="preserve">Une solution au problème s’appelle les réseaux de mémoire longue à court terme (LSTM), que les informaticiens Sepp Hochreiter et Jurgen Schmidhuber ont inventés en 1997. Les RNN construits avec des unités LSTM classent les données en cellules de mémoire à court terme et à long terme. Cela permet aux RNN de déterminer quelles données sont importantes et doivent être mémorisées et renvoyées dans le réseau. Cela permet également aux RNN de déterminer quelles données peuvent être oubliées.</w:t>
      </w:r>
    </w:p>
    <w:p>
      <w:pPr>
        <w:pStyle w:val="BodyText"/>
      </w:pPr>
      <w:r>
        <w:t xml:space="preserve">Dans notre cas, Nous nous sommes focalisés sur l’application de modèle LSTM sur les données de l’indice MASI. Notre échantillon contenu 5000 observations journalière du cours d’ouverture, cours Dernier, le cours le plus bas, le cours plus haut et la variation du cours entre deux dates successives.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Date</w:t>
            </w:r>
          </w:p>
        </w:tc>
        <w:tc>
          <w:tcPr/>
          <w:p>
            <w:pPr>
              <w:pStyle w:val="Compact"/>
              <w:jc w:val="right"/>
            </w:pPr>
            <w:r>
              <w:t xml:space="preserve">Dernier</w:t>
            </w:r>
          </w:p>
        </w:tc>
        <w:tc>
          <w:tcPr/>
          <w:p>
            <w:pPr>
              <w:pStyle w:val="Compact"/>
              <w:jc w:val="right"/>
            </w:pPr>
            <w:r>
              <w:t xml:space="preserve">Ouverture</w:t>
            </w:r>
          </w:p>
        </w:tc>
        <w:tc>
          <w:tcPr/>
          <w:p>
            <w:pPr>
              <w:pStyle w:val="Compact"/>
              <w:jc w:val="right"/>
            </w:pPr>
            <w:r>
              <w:t xml:space="preserve">PlusHaut</w:t>
            </w:r>
          </w:p>
        </w:tc>
        <w:tc>
          <w:tcPr/>
          <w:p>
            <w:pPr>
              <w:pStyle w:val="Compact"/>
              <w:jc w:val="right"/>
            </w:pPr>
            <w:r>
              <w:t xml:space="preserve">PlusBas</w:t>
            </w:r>
          </w:p>
        </w:tc>
        <w:tc>
          <w:tcPr/>
          <w:p>
            <w:pPr>
              <w:pStyle w:val="Compact"/>
              <w:jc w:val="right"/>
            </w:pPr>
            <w:r>
              <w:t xml:space="preserve">variation</w:t>
            </w:r>
          </w:p>
        </w:tc>
      </w:tr>
      <w:tr>
        <w:tc>
          <w:tcPr/>
          <w:p>
            <w:pPr>
              <w:pStyle w:val="Compact"/>
              <w:jc w:val="left"/>
            </w:pPr>
            <w:r>
              <w:t xml:space="preserve">2022-01-24</w:t>
            </w:r>
          </w:p>
        </w:tc>
        <w:tc>
          <w:tcPr/>
          <w:p>
            <w:pPr>
              <w:pStyle w:val="Compact"/>
              <w:jc w:val="right"/>
            </w:pPr>
            <w:r>
              <w:t xml:space="preserve">13753.50</w:t>
            </w:r>
          </w:p>
        </w:tc>
        <w:tc>
          <w:tcPr/>
          <w:p>
            <w:pPr>
              <w:pStyle w:val="Compact"/>
              <w:jc w:val="right"/>
            </w:pPr>
            <w:r>
              <w:t xml:space="preserve">13783.81</w:t>
            </w:r>
          </w:p>
        </w:tc>
        <w:tc>
          <w:tcPr/>
          <w:p>
            <w:pPr>
              <w:pStyle w:val="Compact"/>
              <w:jc w:val="right"/>
            </w:pPr>
            <w:r>
              <w:t xml:space="preserve">13815.59</w:t>
            </w:r>
          </w:p>
        </w:tc>
        <w:tc>
          <w:tcPr/>
          <w:p>
            <w:pPr>
              <w:pStyle w:val="Compact"/>
              <w:jc w:val="right"/>
            </w:pPr>
            <w:r>
              <w:t xml:space="preserve">13753.05</w:t>
            </w:r>
          </w:p>
        </w:tc>
        <w:tc>
          <w:tcPr/>
          <w:p>
            <w:pPr>
              <w:pStyle w:val="Compact"/>
              <w:jc w:val="right"/>
            </w:pPr>
            <w:r>
              <w:t xml:space="preserve">-0.0022</w:t>
            </w:r>
          </w:p>
        </w:tc>
      </w:tr>
      <w:tr>
        <w:tc>
          <w:tcPr/>
          <w:p>
            <w:pPr>
              <w:pStyle w:val="Compact"/>
              <w:jc w:val="left"/>
            </w:pPr>
            <w:r>
              <w:t xml:space="preserve">2022-01-21</w:t>
            </w:r>
          </w:p>
        </w:tc>
        <w:tc>
          <w:tcPr/>
          <w:p>
            <w:pPr>
              <w:pStyle w:val="Compact"/>
              <w:jc w:val="right"/>
            </w:pPr>
            <w:r>
              <w:t xml:space="preserve">13783.81</w:t>
            </w:r>
          </w:p>
        </w:tc>
        <w:tc>
          <w:tcPr/>
          <w:p>
            <w:pPr>
              <w:pStyle w:val="Compact"/>
              <w:jc w:val="right"/>
            </w:pPr>
            <w:r>
              <w:t xml:space="preserve">13777.59</w:t>
            </w:r>
          </w:p>
        </w:tc>
        <w:tc>
          <w:tcPr/>
          <w:p>
            <w:pPr>
              <w:pStyle w:val="Compact"/>
              <w:jc w:val="right"/>
            </w:pPr>
            <w:r>
              <w:t xml:space="preserve">13812.43</w:t>
            </w:r>
          </w:p>
        </w:tc>
        <w:tc>
          <w:tcPr/>
          <w:p>
            <w:pPr>
              <w:pStyle w:val="Compact"/>
              <w:jc w:val="right"/>
            </w:pPr>
            <w:r>
              <w:t xml:space="preserve">13769.84</w:t>
            </w:r>
          </w:p>
        </w:tc>
        <w:tc>
          <w:tcPr/>
          <w:p>
            <w:pPr>
              <w:pStyle w:val="Compact"/>
              <w:jc w:val="right"/>
            </w:pPr>
            <w:r>
              <w:t xml:space="preserve">0.0005</w:t>
            </w:r>
          </w:p>
        </w:tc>
      </w:tr>
      <w:tr>
        <w:tc>
          <w:tcPr/>
          <w:p>
            <w:pPr>
              <w:pStyle w:val="Compact"/>
              <w:jc w:val="left"/>
            </w:pPr>
            <w:r>
              <w:t xml:space="preserve">2022-01-20</w:t>
            </w:r>
          </w:p>
        </w:tc>
        <w:tc>
          <w:tcPr/>
          <w:p>
            <w:pPr>
              <w:pStyle w:val="Compact"/>
              <w:jc w:val="right"/>
            </w:pPr>
            <w:r>
              <w:t xml:space="preserve">13777.59</w:t>
            </w:r>
          </w:p>
        </w:tc>
        <w:tc>
          <w:tcPr/>
          <w:p>
            <w:pPr>
              <w:pStyle w:val="Compact"/>
              <w:jc w:val="right"/>
            </w:pPr>
            <w:r>
              <w:t xml:space="preserve">13737.71</w:t>
            </w:r>
          </w:p>
        </w:tc>
        <w:tc>
          <w:tcPr/>
          <w:p>
            <w:pPr>
              <w:pStyle w:val="Compact"/>
              <w:jc w:val="right"/>
            </w:pPr>
            <w:r>
              <w:t xml:space="preserve">13814.82</w:t>
            </w:r>
          </w:p>
        </w:tc>
        <w:tc>
          <w:tcPr/>
          <w:p>
            <w:pPr>
              <w:pStyle w:val="Compact"/>
              <w:jc w:val="right"/>
            </w:pPr>
            <w:r>
              <w:t xml:space="preserve">13734.73</w:t>
            </w:r>
          </w:p>
        </w:tc>
        <w:tc>
          <w:tcPr/>
          <w:p>
            <w:pPr>
              <w:pStyle w:val="Compact"/>
              <w:jc w:val="right"/>
            </w:pPr>
            <w:r>
              <w:t xml:space="preserve">0.0029</w:t>
            </w:r>
          </w:p>
        </w:tc>
      </w:tr>
      <w:tr>
        <w:tc>
          <w:tcPr/>
          <w:p>
            <w:pPr>
              <w:pStyle w:val="Compact"/>
              <w:jc w:val="left"/>
            </w:pPr>
            <w:r>
              <w:t xml:space="preserve">2022-01-19</w:t>
            </w:r>
          </w:p>
        </w:tc>
        <w:tc>
          <w:tcPr/>
          <w:p>
            <w:pPr>
              <w:pStyle w:val="Compact"/>
              <w:jc w:val="right"/>
            </w:pPr>
            <w:r>
              <w:t xml:space="preserve">13737.71</w:t>
            </w:r>
          </w:p>
        </w:tc>
        <w:tc>
          <w:tcPr/>
          <w:p>
            <w:pPr>
              <w:pStyle w:val="Compact"/>
              <w:jc w:val="right"/>
            </w:pPr>
            <w:r>
              <w:t xml:space="preserve">13768.05</w:t>
            </w:r>
          </w:p>
        </w:tc>
        <w:tc>
          <w:tcPr/>
          <w:p>
            <w:pPr>
              <w:pStyle w:val="Compact"/>
              <w:jc w:val="right"/>
            </w:pPr>
            <w:r>
              <w:t xml:space="preserve">13817.94</w:t>
            </w:r>
          </w:p>
        </w:tc>
        <w:tc>
          <w:tcPr/>
          <w:p>
            <w:pPr>
              <w:pStyle w:val="Compact"/>
              <w:jc w:val="right"/>
            </w:pPr>
            <w:r>
              <w:t xml:space="preserve">13734.76</w:t>
            </w:r>
          </w:p>
        </w:tc>
        <w:tc>
          <w:tcPr/>
          <w:p>
            <w:pPr>
              <w:pStyle w:val="Compact"/>
              <w:jc w:val="right"/>
            </w:pPr>
            <w:r>
              <w:t xml:space="preserve">-0.0022</w:t>
            </w:r>
          </w:p>
        </w:tc>
      </w:tr>
      <w:tr>
        <w:tc>
          <w:tcPr/>
          <w:p>
            <w:pPr>
              <w:pStyle w:val="Compact"/>
              <w:jc w:val="left"/>
            </w:pPr>
            <w:r>
              <w:t xml:space="preserve">2022-01-18</w:t>
            </w:r>
          </w:p>
        </w:tc>
        <w:tc>
          <w:tcPr/>
          <w:p>
            <w:pPr>
              <w:pStyle w:val="Compact"/>
              <w:jc w:val="right"/>
            </w:pPr>
            <w:r>
              <w:t xml:space="preserve">13768.05</w:t>
            </w:r>
          </w:p>
        </w:tc>
        <w:tc>
          <w:tcPr/>
          <w:p>
            <w:pPr>
              <w:pStyle w:val="Compact"/>
              <w:jc w:val="right"/>
            </w:pPr>
            <w:r>
              <w:t xml:space="preserve">13770.78</w:t>
            </w:r>
          </w:p>
        </w:tc>
        <w:tc>
          <w:tcPr/>
          <w:p>
            <w:pPr>
              <w:pStyle w:val="Compact"/>
              <w:jc w:val="right"/>
            </w:pPr>
            <w:r>
              <w:t xml:space="preserve">13815.37</w:t>
            </w:r>
          </w:p>
        </w:tc>
        <w:tc>
          <w:tcPr/>
          <w:p>
            <w:pPr>
              <w:pStyle w:val="Compact"/>
              <w:jc w:val="right"/>
            </w:pPr>
            <w:r>
              <w:t xml:space="preserve">13767.98</w:t>
            </w:r>
          </w:p>
        </w:tc>
        <w:tc>
          <w:tcPr/>
          <w:p>
            <w:pPr>
              <w:pStyle w:val="Compact"/>
              <w:jc w:val="right"/>
            </w:pPr>
            <w:r>
              <w:t xml:space="preserve">-0.0002</w:t>
            </w:r>
          </w:p>
        </w:tc>
      </w:tr>
      <w:tr>
        <w:tc>
          <w:tcPr/>
          <w:p>
            <w:pPr>
              <w:pStyle w:val="Compact"/>
              <w:jc w:val="left"/>
            </w:pPr>
            <w:r>
              <w:t xml:space="preserve">2022-01-17</w:t>
            </w:r>
          </w:p>
        </w:tc>
        <w:tc>
          <w:tcPr/>
          <w:p>
            <w:pPr>
              <w:pStyle w:val="Compact"/>
              <w:jc w:val="right"/>
            </w:pPr>
            <w:r>
              <w:t xml:space="preserve">13770.78</w:t>
            </w:r>
          </w:p>
        </w:tc>
        <w:tc>
          <w:tcPr/>
          <w:p>
            <w:pPr>
              <w:pStyle w:val="Compact"/>
              <w:jc w:val="right"/>
            </w:pPr>
            <w:r>
              <w:t xml:space="preserve">13784.31</w:t>
            </w:r>
          </w:p>
        </w:tc>
        <w:tc>
          <w:tcPr/>
          <w:p>
            <w:pPr>
              <w:pStyle w:val="Compact"/>
              <w:jc w:val="right"/>
            </w:pPr>
            <w:r>
              <w:t xml:space="preserve">13784.31</w:t>
            </w:r>
          </w:p>
        </w:tc>
        <w:tc>
          <w:tcPr/>
          <w:p>
            <w:pPr>
              <w:pStyle w:val="Compact"/>
              <w:jc w:val="right"/>
            </w:pPr>
            <w:r>
              <w:t xml:space="preserve">13748.24</w:t>
            </w:r>
          </w:p>
        </w:tc>
        <w:tc>
          <w:tcPr/>
          <w:p>
            <w:pPr>
              <w:pStyle w:val="Compact"/>
              <w:jc w:val="right"/>
            </w:pPr>
            <w:r>
              <w:t xml:space="preserve">-0.0010</w:t>
            </w:r>
          </w:p>
        </w:tc>
      </w:tr>
      <w:tr>
        <w:tc>
          <w:tcPr/>
          <w:p>
            <w:pPr>
              <w:pStyle w:val="Compact"/>
              <w:jc w:val="left"/>
            </w:pPr>
            <w:r>
              <w:t xml:space="preserve">2022-01-14</w:t>
            </w:r>
          </w:p>
        </w:tc>
        <w:tc>
          <w:tcPr/>
          <w:p>
            <w:pPr>
              <w:pStyle w:val="Compact"/>
              <w:jc w:val="right"/>
            </w:pPr>
            <w:r>
              <w:t xml:space="preserve">13784.31</w:t>
            </w:r>
          </w:p>
        </w:tc>
        <w:tc>
          <w:tcPr/>
          <w:p>
            <w:pPr>
              <w:pStyle w:val="Compact"/>
              <w:jc w:val="right"/>
            </w:pPr>
            <w:r>
              <w:t xml:space="preserve">13588.24</w:t>
            </w:r>
          </w:p>
        </w:tc>
        <w:tc>
          <w:tcPr/>
          <w:p>
            <w:pPr>
              <w:pStyle w:val="Compact"/>
              <w:jc w:val="right"/>
            </w:pPr>
            <w:r>
              <w:t xml:space="preserve">13784.72</w:t>
            </w:r>
          </w:p>
        </w:tc>
        <w:tc>
          <w:tcPr/>
          <w:p>
            <w:pPr>
              <w:pStyle w:val="Compact"/>
              <w:jc w:val="right"/>
            </w:pPr>
            <w:r>
              <w:t xml:space="preserve">13551.04</w:t>
            </w:r>
          </w:p>
        </w:tc>
        <w:tc>
          <w:tcPr/>
          <w:p>
            <w:pPr>
              <w:pStyle w:val="Compact"/>
              <w:jc w:val="right"/>
            </w:pPr>
            <w:r>
              <w:t xml:space="preserve">0.0144</w:t>
            </w:r>
          </w:p>
        </w:tc>
      </w:tr>
      <w:tr>
        <w:tc>
          <w:tcPr/>
          <w:p>
            <w:pPr>
              <w:pStyle w:val="Compact"/>
              <w:jc w:val="left"/>
            </w:pPr>
            <w:r>
              <w:t xml:space="preserve">2022-01-13</w:t>
            </w:r>
          </w:p>
        </w:tc>
        <w:tc>
          <w:tcPr/>
          <w:p>
            <w:pPr>
              <w:pStyle w:val="Compact"/>
              <w:jc w:val="right"/>
            </w:pPr>
            <w:r>
              <w:t xml:space="preserve">13588.24</w:t>
            </w:r>
          </w:p>
        </w:tc>
        <w:tc>
          <w:tcPr/>
          <w:p>
            <w:pPr>
              <w:pStyle w:val="Compact"/>
              <w:jc w:val="right"/>
            </w:pPr>
            <w:r>
              <w:t xml:space="preserve">13531.26</w:t>
            </w:r>
          </w:p>
        </w:tc>
        <w:tc>
          <w:tcPr/>
          <w:p>
            <w:pPr>
              <w:pStyle w:val="Compact"/>
              <w:jc w:val="right"/>
            </w:pPr>
            <w:r>
              <w:t xml:space="preserve">13588.24</w:t>
            </w:r>
          </w:p>
        </w:tc>
        <w:tc>
          <w:tcPr/>
          <w:p>
            <w:pPr>
              <w:pStyle w:val="Compact"/>
              <w:jc w:val="right"/>
            </w:pPr>
            <w:r>
              <w:t xml:space="preserve">13506.23</w:t>
            </w:r>
          </w:p>
        </w:tc>
        <w:tc>
          <w:tcPr/>
          <w:p>
            <w:pPr>
              <w:pStyle w:val="Compact"/>
              <w:jc w:val="right"/>
            </w:pPr>
            <w:r>
              <w:t xml:space="preserve">0.0042</w:t>
            </w:r>
          </w:p>
        </w:tc>
      </w:tr>
      <w:tr>
        <w:tc>
          <w:tcPr/>
          <w:p>
            <w:pPr>
              <w:pStyle w:val="Compact"/>
              <w:jc w:val="left"/>
            </w:pPr>
            <w:r>
              <w:t xml:space="preserve">2022-01-12</w:t>
            </w:r>
          </w:p>
        </w:tc>
        <w:tc>
          <w:tcPr/>
          <w:p>
            <w:pPr>
              <w:pStyle w:val="Compact"/>
              <w:jc w:val="right"/>
            </w:pPr>
            <w:r>
              <w:t xml:space="preserve">13531.26</w:t>
            </w:r>
          </w:p>
        </w:tc>
        <w:tc>
          <w:tcPr/>
          <w:p>
            <w:pPr>
              <w:pStyle w:val="Compact"/>
              <w:jc w:val="right"/>
            </w:pPr>
            <w:r>
              <w:t xml:space="preserve">13486.31</w:t>
            </w:r>
          </w:p>
        </w:tc>
        <w:tc>
          <w:tcPr/>
          <w:p>
            <w:pPr>
              <w:pStyle w:val="Compact"/>
              <w:jc w:val="right"/>
            </w:pPr>
            <w:r>
              <w:t xml:space="preserve">13532.13</w:t>
            </w:r>
          </w:p>
        </w:tc>
        <w:tc>
          <w:tcPr/>
          <w:p>
            <w:pPr>
              <w:pStyle w:val="Compact"/>
              <w:jc w:val="right"/>
            </w:pPr>
            <w:r>
              <w:t xml:space="preserve">13481.22</w:t>
            </w:r>
          </w:p>
        </w:tc>
        <w:tc>
          <w:tcPr/>
          <w:p>
            <w:pPr>
              <w:pStyle w:val="Compact"/>
              <w:jc w:val="right"/>
            </w:pPr>
            <w:r>
              <w:t xml:space="preserve">0.0033</w:t>
            </w:r>
          </w:p>
        </w:tc>
      </w:tr>
      <w:tr>
        <w:tc>
          <w:tcPr/>
          <w:p>
            <w:pPr>
              <w:pStyle w:val="Compact"/>
              <w:jc w:val="left"/>
            </w:pPr>
            <w:r>
              <w:t xml:space="preserve">2022-01-10</w:t>
            </w:r>
          </w:p>
        </w:tc>
        <w:tc>
          <w:tcPr/>
          <w:p>
            <w:pPr>
              <w:pStyle w:val="Compact"/>
              <w:jc w:val="right"/>
            </w:pPr>
            <w:r>
              <w:t xml:space="preserve">13486.31</w:t>
            </w:r>
          </w:p>
        </w:tc>
        <w:tc>
          <w:tcPr/>
          <w:p>
            <w:pPr>
              <w:pStyle w:val="Compact"/>
              <w:jc w:val="right"/>
            </w:pPr>
            <w:r>
              <w:t xml:space="preserve">13477.25</w:t>
            </w:r>
          </w:p>
        </w:tc>
        <w:tc>
          <w:tcPr/>
          <w:p>
            <w:pPr>
              <w:pStyle w:val="Compact"/>
              <w:jc w:val="right"/>
            </w:pPr>
            <w:r>
              <w:t xml:space="preserve">13503.15</w:t>
            </w:r>
          </w:p>
        </w:tc>
        <w:tc>
          <w:tcPr/>
          <w:p>
            <w:pPr>
              <w:pStyle w:val="Compact"/>
              <w:jc w:val="right"/>
            </w:pPr>
            <w:r>
              <w:t xml:space="preserve">13441.78</w:t>
            </w:r>
          </w:p>
        </w:tc>
        <w:tc>
          <w:tcPr/>
          <w:p>
            <w:pPr>
              <w:pStyle w:val="Compact"/>
              <w:jc w:val="right"/>
            </w:pPr>
            <w:r>
              <w:t xml:space="preserve">0.0007</w:t>
            </w:r>
          </w:p>
        </w:tc>
      </w:tr>
      <w:tr>
        <w:tc>
          <w:tcPr/>
          <w:p>
            <w:pPr>
              <w:pStyle w:val="Compact"/>
              <w:jc w:val="left"/>
            </w:pPr>
            <w:r>
              <w:t xml:space="preserve">2022-01-07</w:t>
            </w:r>
          </w:p>
        </w:tc>
        <w:tc>
          <w:tcPr/>
          <w:p>
            <w:pPr>
              <w:pStyle w:val="Compact"/>
              <w:jc w:val="right"/>
            </w:pPr>
            <w:r>
              <w:t xml:space="preserve">13477.25</w:t>
            </w:r>
          </w:p>
        </w:tc>
        <w:tc>
          <w:tcPr/>
          <w:p>
            <w:pPr>
              <w:pStyle w:val="Compact"/>
              <w:jc w:val="right"/>
            </w:pPr>
            <w:r>
              <w:t xml:space="preserve">13368.77</w:t>
            </w:r>
          </w:p>
        </w:tc>
        <w:tc>
          <w:tcPr/>
          <w:p>
            <w:pPr>
              <w:pStyle w:val="Compact"/>
              <w:jc w:val="right"/>
            </w:pPr>
            <w:r>
              <w:t xml:space="preserve">13477.25</w:t>
            </w:r>
          </w:p>
        </w:tc>
        <w:tc>
          <w:tcPr/>
          <w:p>
            <w:pPr>
              <w:pStyle w:val="Compact"/>
              <w:jc w:val="right"/>
            </w:pPr>
            <w:r>
              <w:t xml:space="preserve">13335.97</w:t>
            </w:r>
          </w:p>
        </w:tc>
        <w:tc>
          <w:tcPr/>
          <w:p>
            <w:pPr>
              <w:pStyle w:val="Compact"/>
              <w:jc w:val="right"/>
            </w:pPr>
            <w:r>
              <w:t xml:space="preserve">0.0081</w:t>
            </w:r>
          </w:p>
        </w:tc>
      </w:tr>
      <w:tr>
        <w:tc>
          <w:tcPr/>
          <w:p>
            <w:pPr>
              <w:pStyle w:val="Compact"/>
              <w:jc w:val="left"/>
            </w:pPr>
            <w:r>
              <w:t xml:space="preserve">2022-01-06</w:t>
            </w:r>
          </w:p>
        </w:tc>
        <w:tc>
          <w:tcPr/>
          <w:p>
            <w:pPr>
              <w:pStyle w:val="Compact"/>
              <w:jc w:val="right"/>
            </w:pPr>
            <w:r>
              <w:t xml:space="preserve">13368.77</w:t>
            </w:r>
          </w:p>
        </w:tc>
        <w:tc>
          <w:tcPr/>
          <w:p>
            <w:pPr>
              <w:pStyle w:val="Compact"/>
              <w:jc w:val="right"/>
            </w:pPr>
            <w:r>
              <w:t xml:space="preserve">13290.62</w:t>
            </w:r>
          </w:p>
        </w:tc>
        <w:tc>
          <w:tcPr/>
          <w:p>
            <w:pPr>
              <w:pStyle w:val="Compact"/>
              <w:jc w:val="right"/>
            </w:pPr>
            <w:r>
              <w:t xml:space="preserve">13369.02</w:t>
            </w:r>
          </w:p>
        </w:tc>
        <w:tc>
          <w:tcPr/>
          <w:p>
            <w:pPr>
              <w:pStyle w:val="Compact"/>
              <w:jc w:val="right"/>
            </w:pPr>
            <w:r>
              <w:t xml:space="preserve">13290.62</w:t>
            </w:r>
          </w:p>
        </w:tc>
        <w:tc>
          <w:tcPr/>
          <w:p>
            <w:pPr>
              <w:pStyle w:val="Compact"/>
              <w:jc w:val="right"/>
            </w:pPr>
            <w:r>
              <w:t xml:space="preserve">0.0059</w:t>
            </w:r>
          </w:p>
        </w:tc>
      </w:tr>
      <w:tr>
        <w:tc>
          <w:tcPr/>
          <w:p>
            <w:pPr>
              <w:pStyle w:val="Compact"/>
              <w:jc w:val="left"/>
            </w:pPr>
            <w:r>
              <w:t xml:space="preserve">2022-01-05</w:t>
            </w:r>
          </w:p>
        </w:tc>
        <w:tc>
          <w:tcPr/>
          <w:p>
            <w:pPr>
              <w:pStyle w:val="Compact"/>
              <w:jc w:val="right"/>
            </w:pPr>
            <w:r>
              <w:t xml:space="preserve">13290.62</w:t>
            </w:r>
          </w:p>
        </w:tc>
        <w:tc>
          <w:tcPr/>
          <w:p>
            <w:pPr>
              <w:pStyle w:val="Compact"/>
              <w:jc w:val="right"/>
            </w:pPr>
            <w:r>
              <w:t xml:space="preserve">13278.48</w:t>
            </w:r>
          </w:p>
        </w:tc>
        <w:tc>
          <w:tcPr/>
          <w:p>
            <w:pPr>
              <w:pStyle w:val="Compact"/>
              <w:jc w:val="right"/>
            </w:pPr>
            <w:r>
              <w:t xml:space="preserve">13306.00</w:t>
            </w:r>
          </w:p>
        </w:tc>
        <w:tc>
          <w:tcPr/>
          <w:p>
            <w:pPr>
              <w:pStyle w:val="Compact"/>
              <w:jc w:val="right"/>
            </w:pPr>
            <w:r>
              <w:t xml:space="preserve">13269.36</w:t>
            </w:r>
          </w:p>
        </w:tc>
        <w:tc>
          <w:tcPr/>
          <w:p>
            <w:pPr>
              <w:pStyle w:val="Compact"/>
              <w:jc w:val="right"/>
            </w:pPr>
            <w:r>
              <w:t xml:space="preserve">0.0009</w:t>
            </w:r>
          </w:p>
        </w:tc>
      </w:tr>
      <w:tr>
        <w:tc>
          <w:tcPr/>
          <w:p>
            <w:pPr>
              <w:pStyle w:val="Compact"/>
              <w:jc w:val="left"/>
            </w:pPr>
            <w:r>
              <w:t xml:space="preserve">2022-01-04</w:t>
            </w:r>
          </w:p>
        </w:tc>
        <w:tc>
          <w:tcPr/>
          <w:p>
            <w:pPr>
              <w:pStyle w:val="Compact"/>
              <w:jc w:val="right"/>
            </w:pPr>
            <w:r>
              <w:t xml:space="preserve">13278.48</w:t>
            </w:r>
          </w:p>
        </w:tc>
        <w:tc>
          <w:tcPr/>
          <w:p>
            <w:pPr>
              <w:pStyle w:val="Compact"/>
              <w:jc w:val="right"/>
            </w:pPr>
            <w:r>
              <w:t xml:space="preserve">13296.29</w:t>
            </w:r>
          </w:p>
        </w:tc>
        <w:tc>
          <w:tcPr/>
          <w:p>
            <w:pPr>
              <w:pStyle w:val="Compact"/>
              <w:jc w:val="right"/>
            </w:pPr>
            <w:r>
              <w:t xml:space="preserve">13328.50</w:t>
            </w:r>
          </w:p>
        </w:tc>
        <w:tc>
          <w:tcPr/>
          <w:p>
            <w:pPr>
              <w:pStyle w:val="Compact"/>
              <w:jc w:val="right"/>
            </w:pPr>
            <w:r>
              <w:t xml:space="preserve">13278.48</w:t>
            </w:r>
          </w:p>
        </w:tc>
        <w:tc>
          <w:tcPr/>
          <w:p>
            <w:pPr>
              <w:pStyle w:val="Compact"/>
              <w:jc w:val="right"/>
            </w:pPr>
            <w:r>
              <w:t xml:space="preserve">-0.0013</w:t>
            </w:r>
          </w:p>
        </w:tc>
      </w:tr>
      <w:tr>
        <w:tc>
          <w:tcPr/>
          <w:p>
            <w:pPr>
              <w:pStyle w:val="Compact"/>
              <w:jc w:val="left"/>
            </w:pPr>
            <w:r>
              <w:t xml:space="preserve">2022-01-03</w:t>
            </w:r>
          </w:p>
        </w:tc>
        <w:tc>
          <w:tcPr/>
          <w:p>
            <w:pPr>
              <w:pStyle w:val="Compact"/>
              <w:jc w:val="right"/>
            </w:pPr>
            <w:r>
              <w:t xml:space="preserve">13296.29</w:t>
            </w:r>
          </w:p>
        </w:tc>
        <w:tc>
          <w:tcPr/>
          <w:p>
            <w:pPr>
              <w:pStyle w:val="Compact"/>
              <w:jc w:val="right"/>
            </w:pPr>
            <w:r>
              <w:t xml:space="preserve">13358.32</w:t>
            </w:r>
          </w:p>
        </w:tc>
        <w:tc>
          <w:tcPr/>
          <w:p>
            <w:pPr>
              <w:pStyle w:val="Compact"/>
              <w:jc w:val="right"/>
            </w:pPr>
            <w:r>
              <w:t xml:space="preserve">13363.06</w:t>
            </w:r>
          </w:p>
        </w:tc>
        <w:tc>
          <w:tcPr/>
          <w:p>
            <w:pPr>
              <w:pStyle w:val="Compact"/>
              <w:jc w:val="right"/>
            </w:pPr>
            <w:r>
              <w:t xml:space="preserve">13277.80</w:t>
            </w:r>
          </w:p>
        </w:tc>
        <w:tc>
          <w:tcPr/>
          <w:p>
            <w:pPr>
              <w:pStyle w:val="Compact"/>
              <w:jc w:val="right"/>
            </w:pPr>
            <w:r>
              <w:t xml:space="preserve">-0.0046</w:t>
            </w:r>
          </w:p>
        </w:tc>
      </w:tr>
    </w:tbl>
    <w:p>
      <w:pPr>
        <w:pStyle w:val="BodyText"/>
      </w:pPr>
      <w:r>
        <w:t xml:space="preserve">La figure suivante donne un aperçu de Dernier cours de cet indice entre les années 2002 et 2022.</w:t>
      </w:r>
    </w:p>
    <w:tbl>
      <w:tblPr>
        <w:tblStyle w:val="Table"/>
        <w:tblW w:type="pct" w:w="5000"/>
        <w:tblLook w:firstRow="0" w:lastRow="0" w:firstColumn="0" w:lastColumn="0" w:noHBand="0" w:noVBand="0" w:val="0000"/>
        <w:jc w:val="start"/>
      </w:tblPr>
      <w:tblGrid>
        <w:gridCol w:w="7920"/>
      </w:tblGrid>
      <w:tr>
        <w:tc>
          <w:tcPr/>
          <w:bookmarkStart w:id="81" w:name="fig-piliers"/>
          <w:p>
            <w:pPr>
              <w:jc w:val="center"/>
            </w:pPr>
            <w:r>
              <w:drawing>
                <wp:inline>
                  <wp:extent cx="5334000" cy="3627782"/>
                  <wp:effectExtent b="0" l="0" r="0" t="0"/>
                  <wp:docPr descr="" title="" id="79" name="Picture"/>
                  <a:graphic>
                    <a:graphicData uri="http://schemas.openxmlformats.org/drawingml/2006/picture">
                      <pic:pic>
                        <pic:nvPicPr>
                          <pic:cNvPr descr="Rapport-PFE_files/figure-html/Derniere.png" id="80" name="Picture"/>
                          <pic:cNvPicPr>
                            <a:picLocks noChangeArrowheads="1" noChangeAspect="1"/>
                          </pic:cNvPicPr>
                        </pic:nvPicPr>
                        <pic:blipFill>
                          <a:blip r:embed="rId78"/>
                          <a:stretch>
                            <a:fillRect/>
                          </a:stretch>
                        </pic:blipFill>
                        <pic:spPr bwMode="auto">
                          <a:xfrm>
                            <a:off x="0" y="0"/>
                            <a:ext cx="5334000" cy="36277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Le cours Historiques de Clôture pour l’indice MASI</w:t>
            </w:r>
          </w:p>
          <w:bookmarkEnd w:id="81"/>
        </w:tc>
      </w:tr>
    </w:tbl>
    <w:p>
      <w:pPr>
        <w:pStyle w:val="BodyText"/>
      </w:pPr>
      <w:r>
        <w:t xml:space="preserve">Les réseaux de neurones récurrents sont réputés être plus performants comparer aux autres méthodes. Ainsi, il est tout naturelle de s’attendre à un excellent score lord d’une application du modèle LSTM, nous allons voir plus de détails sur la méthode de ce modèle sur le langage python la section Application</w:t>
      </w:r>
      <w:r>
        <w:rPr>
          <w:rStyle w:val="FootnoteReference"/>
        </w:rPr>
        <w:footnoteReference w:id="82"/>
      </w:r>
      <w:r>
        <w:t xml:space="preserve">.</w:t>
      </w:r>
    </w:p>
    <w:p>
      <w:pPr>
        <w:pStyle w:val="BodyText"/>
      </w:pPr>
      <w:r>
        <w:t xml:space="preserve">Le graphique suivant est une représentation conjointe du dernier cours observe (en bleu) et le cours prédit (en orange) sur la même période.</w:t>
      </w:r>
    </w:p>
    <w:tbl>
      <w:tblPr>
        <w:tblStyle w:val="Table"/>
        <w:tblW w:type="pct" w:w="5000"/>
        <w:tblLook w:firstRow="0" w:lastRow="0" w:firstColumn="0" w:lastColumn="0" w:noHBand="0" w:noVBand="0" w:val="0000"/>
        <w:jc w:val="start"/>
      </w:tblPr>
      <w:tblGrid>
        <w:gridCol w:w="7920"/>
      </w:tblGrid>
      <w:tr>
        <w:tc>
          <w:tcPr/>
          <w:bookmarkStart w:id="87" w:name="fig-piliers"/>
          <w:p>
            <w:pPr>
              <w:jc w:val="center"/>
            </w:pPr>
            <w:r>
              <w:drawing>
                <wp:inline>
                  <wp:extent cx="5334000" cy="3765683"/>
                  <wp:effectExtent b="0" l="0" r="0" t="0"/>
                  <wp:docPr descr="" title="" id="85" name="Picture"/>
                  <a:graphic>
                    <a:graphicData uri="http://schemas.openxmlformats.org/drawingml/2006/picture">
                      <pic:pic>
                        <pic:nvPicPr>
                          <pic:cNvPr descr="Rapport-PFE_files/figure-html/Prediction.png" id="86" name="Picture"/>
                          <pic:cNvPicPr>
                            <a:picLocks noChangeArrowheads="1" noChangeAspect="1"/>
                          </pic:cNvPicPr>
                        </pic:nvPicPr>
                        <pic:blipFill>
                          <a:blip r:embed="rId84"/>
                          <a:stretch>
                            <a:fillRect/>
                          </a:stretch>
                        </pic:blipFill>
                        <pic:spPr bwMode="auto">
                          <a:xfrm>
                            <a:off x="0" y="0"/>
                            <a:ext cx="5334000" cy="3765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Courbe de cours prédit et de cours observé</w:t>
            </w:r>
          </w:p>
          <w:bookmarkEnd w:id="87"/>
        </w:tc>
      </w:tr>
    </w:tbl>
    <w:p>
      <w:pPr>
        <w:pStyle w:val="BodyText"/>
      </w:pPr>
      <w:r>
        <w:t xml:space="preserve">Une remarque flagrante est que les deux courbes sont presque confondus, ce constat s’explique par la faiblesse de la valeur du RMSE qui veut</w:t>
      </w:r>
      <w:r>
        <w:t xml:space="preserve"> </w:t>
      </w:r>
      <m:oMath>
        <m:r>
          <m:t>29</m:t>
        </m:r>
        <m:r>
          <m:rPr>
            <m:sty m:val="p"/>
          </m:rPr>
          <m:t>,</m:t>
        </m:r>
        <m:r>
          <m:t>44</m:t>
        </m:r>
      </m:oMath>
      <w:r>
        <w:t xml:space="preserve">.</w:t>
      </w:r>
    </w:p>
    <w:p>
      <w:pPr>
        <w:pStyle w:val="BodyText"/>
      </w:pPr>
      <w:r>
        <w:t xml:space="preserve">La racine de l’erreur quadratique moyenne (en anglais, root-mean-square error ou RMSE) est une mesure de l’écart type des résidus, ça veut dire il mesure la différence entre les valeurs prédites par le modèle et les valeurs observées. Tous ces raisons, prouve l’efficacité du modèle LSTM comparé à celui de Black&amp;sholes.</w:t>
      </w:r>
    </w:p>
    <w:bookmarkEnd w:id="88"/>
    <w:bookmarkEnd w:id="89"/>
    <w:bookmarkEnd w:id="90"/>
    <w:bookmarkStart w:id="160" w:name="X35be4e1d432b72e5eca82ccc14d28e032b67b9f"/>
    <w:p>
      <w:pPr>
        <w:pStyle w:val="Heading1"/>
      </w:pPr>
      <w:r>
        <w:t xml:space="preserve">4. CHAPITRE IV : Valorisation des provisions techniques prudentielles</w:t>
      </w:r>
    </w:p>
    <w:bookmarkStart w:id="159" w:name="généralité"/>
    <w:p>
      <w:pPr>
        <w:pStyle w:val="Heading2"/>
      </w:pPr>
      <w:r>
        <w:t xml:space="preserve">4.1 Généralité</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w:bookmarkStart w:id="91" w:name="eq-gbmp"/>
      <m:oMathPara>
        <m:oMathParaPr>
          <m:jc m:val="center"/>
        </m:oMathParaPr>
        <m:oMath>
          <m:r>
            <m:t>P</m:t>
          </m:r>
          <m:r>
            <m:t>T</m:t>
          </m:r>
          <m:r>
            <m:rPr>
              <m:sty m:val="p"/>
            </m:rPr>
            <m:t>=</m:t>
          </m:r>
          <m:r>
            <m:t>B</m:t>
          </m:r>
          <m:sSub>
            <m:e>
              <m:r>
                <m:t>E</m:t>
              </m:r>
            </m:e>
            <m:sub>
              <m:r>
                <m:t>e</m:t>
              </m:r>
              <m:r>
                <m:t>n</m:t>
              </m:r>
              <m:r>
                <m:t>g</m:t>
              </m:r>
            </m:sub>
          </m:sSub>
          <m:r>
            <m:rPr>
              <m:sty m:val="p"/>
            </m:rPr>
            <m:t>+</m:t>
          </m:r>
          <m:r>
            <m:t>B</m:t>
          </m:r>
          <m:r>
            <m:t>E</m:t>
          </m:r>
          <m:r>
            <m:t>F</m:t>
          </m:r>
          <m:r>
            <m:t>G</m:t>
          </m:r>
          <m:r>
            <m:rPr>
              <m:sty m:val="p"/>
            </m:rPr>
            <m:t>+</m:t>
          </m:r>
          <m:r>
            <m:t>M</m:t>
          </m:r>
          <m:r>
            <m:t>R</m:t>
          </m:r>
          <m:r>
            <m:rPr>
              <m:sty m:val="p"/>
            </m:rPr>
            <m:t>,</m:t>
          </m:r>
          <m:r>
            <m:t>  </m:t>
          </m:r>
          <m:d>
            <m:dPr>
              <m:begChr m:val="("/>
              <m:endChr m:val=")"/>
              <m:sepChr m:val=""/>
              <m:grow/>
            </m:dPr>
            <m:e>
              <m:r>
                <m:t>11</m:t>
              </m:r>
            </m:e>
          </m:d>
        </m:oMath>
      </m:oMathPara>
      <w:bookmarkEnd w:id="91"/>
    </w:p>
    <w:p>
      <w:pPr>
        <w:pStyle w:val="FirstParagraph"/>
      </w:pPr>
      <w:r>
        <w:t xml:space="preserve">avec :</w:t>
      </w:r>
    </w:p>
    <w:p>
      <w:pPr>
        <w:numPr>
          <w:ilvl w:val="0"/>
          <w:numId w:val="1015"/>
        </w:numPr>
      </w:pPr>
      <m:oMath>
        <m:r>
          <m:t>P</m:t>
        </m:r>
        <m:r>
          <m:t>T</m:t>
        </m:r>
      </m:oMath>
      <w:r>
        <w:t xml:space="preserve"> </w:t>
      </w:r>
      <w:r>
        <w:t xml:space="preserve">: la provision technique.</w:t>
      </w:r>
    </w:p>
    <w:p>
      <w:pPr>
        <w:numPr>
          <w:ilvl w:val="0"/>
          <w:numId w:val="1015"/>
        </w:numPr>
      </w:pPr>
      <m:oMath>
        <m:r>
          <m:t>B</m:t>
        </m:r>
        <m:sSub>
          <m:e>
            <m:r>
              <m:t>E</m:t>
            </m:r>
          </m:e>
          <m:sub>
            <m:r>
              <m:t>e</m:t>
            </m:r>
            <m:r>
              <m:t>n</m:t>
            </m:r>
            <m:r>
              <m:t>g</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5"/>
        </w:numPr>
      </w:pPr>
      <m:oMath>
        <m:r>
          <m:t>B</m:t>
        </m:r>
        <m:r>
          <m:t>E</m:t>
        </m:r>
        <m:r>
          <m:t>F</m:t>
        </m:r>
        <m:r>
          <m:t>G</m:t>
        </m:r>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5"/>
        </w:numPr>
      </w:pPr>
      <m:oMath>
        <m:r>
          <m:t>M</m:t>
        </m:r>
        <m:r>
          <m:t>R</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109" w:name="X32462c7e3a0a11848884f7548d4747bc280232c"/>
    <w:p>
      <w:pPr>
        <w:pStyle w:val="Heading3"/>
      </w:pPr>
      <w:r>
        <w:t xml:space="preserve">Opérations d’assurance vie, décès ou capitalisation :</w:t>
      </w:r>
    </w:p>
    <w:p>
      <w:pPr>
        <w:pStyle w:val="FirstParagraph"/>
      </w:pPr>
      <w:r>
        <w:t xml:space="preserve">L’assurance vie est un instrument financier largement utilisé qui offre une protection et des avantages financiers à long terme. Il s’agit d’un contrat entre un assuré et un assureur, dans lequel l’assuré paie régulièrement des primes en échange d’une garantie de versement d’un capital ou d’une rente à un bénéficiaire désigné en cas de décès de l’assuré. Cependant, l’assurance vie ne se limite pas uniquement à la protection en cas de décès, elle peut également offrir des avantages supplémentaires tels que l’accumulation d’épargne, la constitution d’un capital pour la retraite ou des possibilités de planification successorale.</w:t>
      </w:r>
    </w:p>
    <w:p>
      <w:pPr>
        <w:pStyle w:val="BodyText"/>
      </w:pPr>
      <w:r>
        <w:t xml:space="preserve">L’assurance vie fonctionne sur le principe de la mutualisation des risques. Les primes payées par les assurés sont regroupées pour former un fonds commun, à partir duquel les prestations sont versées aux bénéficiaires advenant le décès de l’assuré. Ce mécanisme permet de protéger financièrement les proches et de garantir une sécurité financière dans des moments difficiles.</w:t>
      </w:r>
    </w:p>
    <w:p>
      <w:pPr>
        <w:pStyle w:val="BodyText"/>
      </w:pPr>
      <w:r>
        <w:t xml:space="preserve">L’une des caractéristiques clés de l’assurance vie est sa nature flexible. Les polices d’assurance vie peuvent être adaptées aux besoins spécifiques de chaque individu, en termes de durée, de montant de la prime et de type de couverture. Il existe différents types d’assurance vie, tels que l’assurance vie temporaire (ou temporaire renouvelable), l’assurance vie entière, l’assurance vie universelle et l’assurance vie variable, offrant ainsi une gamme d’options pour répondre aux objectifs financiers et aux préférences de chacun.</w:t>
      </w:r>
    </w:p>
    <w:bookmarkStart w:id="104" w:name="Xeb1f9d92a4c5859eacf38eb19f2fdc8a983fcd5"/>
    <w:p>
      <w:pPr>
        <w:pStyle w:val="Heading4"/>
      </w:pPr>
      <w:r>
        <w:t xml:space="preserve">Meilleure estimations des engagements (</w:t>
      </w:r>
      <m:oMath>
        <m:r>
          <m:t>B</m:t>
        </m:r>
        <m:sSub>
          <m:e>
            <m:r>
              <m:t>E</m:t>
            </m:r>
          </m:e>
          <m:sub>
            <m:r>
              <m:t>e</m:t>
            </m:r>
            <m:r>
              <m:t>n</m:t>
            </m:r>
            <m:r>
              <m:t>g</m:t>
            </m:r>
          </m:sub>
        </m:sSub>
      </m:oMath>
      <w:r>
        <w:t xml:space="preserve">) :</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w:bookmarkStart w:id="92" w:name="eq-gbmp"/>
      <m:oMathPara>
        <m:oMathParaPr>
          <m:jc m:val="center"/>
        </m:oMathParaPr>
        <m:oMath>
          <m:r>
            <m:t>B</m:t>
          </m:r>
          <m:sSub>
            <m:e>
              <m:r>
                <m:t>E</m:t>
              </m:r>
            </m:e>
            <m:sub>
              <m:r>
                <m:t>e</m:t>
              </m:r>
              <m:r>
                <m:t>n</m:t>
              </m:r>
              <m:r>
                <m:t>g</m:t>
              </m:r>
            </m:sub>
          </m:sSub>
          <m:r>
            <m:rPr>
              <m:sty m:val="p"/>
            </m:rPr>
            <m:t>=</m:t>
          </m:r>
          <m:r>
            <m:t>B</m:t>
          </m:r>
          <m:r>
            <m:t>E</m:t>
          </m:r>
          <m:r>
            <m:t>G</m:t>
          </m:r>
          <m:r>
            <m:t>P</m:t>
          </m:r>
          <m:r>
            <m:rPr>
              <m:sty m:val="p"/>
            </m:rPr>
            <m:t>+</m:t>
          </m:r>
          <m:r>
            <m:t>B</m:t>
          </m:r>
          <m:r>
            <m:t>D</m:t>
          </m:r>
          <m:r>
            <m:t>F</m:t>
          </m:r>
          <m:r>
            <m:t> </m:t>
          </m:r>
          <m:r>
            <m:rPr>
              <m:sty m:val="p"/>
            </m:rPr>
            <m:t>,</m:t>
          </m:r>
          <m:r>
            <m:t>  </m:t>
          </m:r>
          <m:d>
            <m:dPr>
              <m:begChr m:val="("/>
              <m:endChr m:val=")"/>
              <m:sepChr m:val=""/>
              <m:grow/>
            </m:dPr>
            <m:e>
              <m:r>
                <m:t>12</m:t>
              </m:r>
            </m:e>
          </m:d>
        </m:oMath>
      </m:oMathPara>
      <w:bookmarkEnd w:id="92"/>
    </w:p>
    <w:p>
      <w:pPr>
        <w:pStyle w:val="FirstParagraph"/>
      </w:pPr>
      <w:r>
        <w:t xml:space="preserve">avec :</w:t>
      </w:r>
    </w:p>
    <w:p>
      <w:pPr>
        <w:numPr>
          <w:ilvl w:val="0"/>
          <w:numId w:val="1016"/>
        </w:numPr>
        <w:pStyle w:val="Compact"/>
      </w:pPr>
      <m:oMath>
        <m:r>
          <m:t>B</m:t>
        </m:r>
        <m:r>
          <m:t>E</m:t>
        </m:r>
        <m:r>
          <m:t>G</m:t>
        </m:r>
        <m:r>
          <m:t>P</m:t>
        </m:r>
      </m:oMath>
      <w:r>
        <w:t xml:space="preserve">: la meilleure estimation des garanties probabilisées.</w:t>
      </w:r>
    </w:p>
    <w:p>
      <w:pPr>
        <w:numPr>
          <w:ilvl w:val="0"/>
          <w:numId w:val="1016"/>
        </w:numPr>
        <w:pStyle w:val="Compact"/>
      </w:pPr>
      <m:oMath>
        <m:r>
          <m:t>B</m:t>
        </m:r>
        <m:r>
          <m:t>D</m:t>
        </m:r>
        <m:r>
          <m:t>F</m:t>
        </m:r>
      </m:oMath>
      <w:r>
        <w:t xml:space="preserve">: les bénéfices discrétionnaires futurs.</w:t>
      </w:r>
    </w:p>
    <w:bookmarkStart w:id="100" w:name="sec-MEGP"/>
    <w:p>
      <w:pPr>
        <w:pStyle w:val="Heading5"/>
      </w:pPr>
      <w:r>
        <w:t xml:space="preserve">Meilleure estimation des garanties probabilisées :</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w:bookmarkStart w:id="93" w:name="eq-gbmp"/>
      <m:oMathPara>
        <m:oMathParaPr>
          <m:jc m:val="center"/>
        </m:oMathParaPr>
        <m:oMath>
          <m:r>
            <m:t>B</m:t>
          </m:r>
          <m:r>
            <m:t>E</m:t>
          </m:r>
          <m:r>
            <m:t>G</m:t>
          </m:r>
          <m:r>
            <m:t>P</m:t>
          </m:r>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D</m:t>
                      </m:r>
                      <m:r>
                        <m:t>e</m:t>
                      </m:r>
                      <m:sSub>
                        <m:e>
                          <m:r>
                            <m:t>c</m:t>
                          </m:r>
                        </m:e>
                        <m:sub>
                          <m:r>
                            <m:t>t</m:t>
                          </m:r>
                        </m:sub>
                      </m:sSub>
                      <m:r>
                        <m:rPr>
                          <m:sty m:val="p"/>
                        </m:rPr>
                        <m:t>−</m:t>
                      </m:r>
                      <m:r>
                        <m:t>E</m:t>
                      </m:r>
                      <m:r>
                        <m:t>n</m:t>
                      </m:r>
                      <m:sSub>
                        <m:e>
                          <m:r>
                            <m:t>c</m:t>
                          </m:r>
                        </m:e>
                        <m:sub>
                          <m:r>
                            <m:t>t</m:t>
                          </m:r>
                        </m:sub>
                      </m:sSub>
                    </m:e>
                  </m:d>
                </m:num>
                <m:den>
                  <m:sSup>
                    <m:e>
                      <m:d>
                        <m:dPr>
                          <m:begChr m:val="("/>
                          <m:endChr m:val=")"/>
                          <m:sepChr m:val=""/>
                          <m:grow/>
                        </m:dPr>
                        <m:e>
                          <m:r>
                            <m:t>1</m:t>
                          </m:r>
                          <m:r>
                            <m:rPr>
                              <m:sty m:val="p"/>
                            </m:rPr>
                            <m:t>+</m:t>
                          </m:r>
                          <m:sSub>
                            <m:e>
                              <m:r>
                                <m:t>r</m:t>
                              </m:r>
                            </m:e>
                            <m:sub>
                              <m:r>
                                <m:t>t</m:t>
                              </m:r>
                            </m:sub>
                          </m:sSub>
                        </m:e>
                      </m:d>
                    </m:e>
                    <m:sup>
                      <m:r>
                        <m:t>t</m:t>
                      </m:r>
                    </m:sup>
                  </m:sSup>
                </m:den>
              </m:f>
            </m:e>
          </m:nary>
          <m:r>
            <m:t> </m:t>
          </m:r>
          <m:r>
            <m:rPr>
              <m:sty m:val="p"/>
            </m:rPr>
            <m:t>,</m:t>
          </m:r>
          <m:r>
            <m:t>  </m:t>
          </m:r>
          <m:d>
            <m:dPr>
              <m:begChr m:val="("/>
              <m:endChr m:val=")"/>
              <m:sepChr m:val=""/>
              <m:grow/>
            </m:dPr>
            <m:e>
              <m:r>
                <m:t>13</m:t>
              </m:r>
            </m:e>
          </m:d>
        </m:oMath>
      </m:oMathPara>
      <w:bookmarkEnd w:id="93"/>
    </w:p>
    <w:p>
      <w:pPr>
        <w:pStyle w:val="FirstParagraph"/>
      </w:pPr>
      <w:r>
        <w:t xml:space="preserve">avec :</w:t>
      </w:r>
    </w:p>
    <w:p>
      <w:pPr>
        <w:numPr>
          <w:ilvl w:val="0"/>
          <w:numId w:val="1017"/>
        </w:numPr>
      </w:pPr>
      <m:oMath>
        <m:r>
          <m:t>E</m:t>
        </m:r>
        <m:r>
          <m:t>n</m:t>
        </m:r>
        <m:sSub>
          <m:e>
            <m:r>
              <m:t>c</m:t>
            </m:r>
          </m:e>
          <m:sub>
            <m:r>
              <m:t>t</m:t>
            </m:r>
          </m:sub>
        </m:sSub>
      </m:oMath>
      <w:r>
        <w:t xml:space="preserve">: Les encaissements à la date</w:t>
      </w:r>
      <w:r>
        <w:t xml:space="preserve"> </w:t>
      </w:r>
      <m:oMath>
        <m:r>
          <m:t>t</m:t>
        </m:r>
      </m:oMath>
      <w:r>
        <w:t xml:space="preserve"> </w:t>
      </w:r>
      <w:r>
        <w:t xml:space="preserve">qui correspondent aux engagements des assurés.</w:t>
      </w:r>
    </w:p>
    <w:p>
      <w:pPr>
        <w:numPr>
          <w:ilvl w:val="0"/>
          <w:numId w:val="1017"/>
        </w:numPr>
      </w:pPr>
      <m:oMath>
        <m:r>
          <m:t>D</m:t>
        </m:r>
        <m:r>
          <m:t>e</m:t>
        </m:r>
        <m:sSub>
          <m:e>
            <m:r>
              <m:t>c</m:t>
            </m:r>
          </m:e>
          <m:sub>
            <m:r>
              <m:t>t</m:t>
            </m:r>
          </m:sub>
        </m:sSub>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7"/>
        </w:numPr>
      </w:pPr>
      <w:r>
        <w:rPr>
          <w:bCs/>
          <w:b/>
        </w:rPr>
        <w:t xml:space="preserve">La table de mortalité</w:t>
      </w:r>
      <w:r>
        <w:t xml:space="preserve">: La table de mortalité TV 88-90 pour les assurances en cas de vie ou la table de mortalité TD 88-90 pour les assurances en cas de décès (</w:t>
      </w:r>
      <w:r>
        <w:rPr>
          <w:bCs/>
          <w:b/>
        </w:rPr>
        <w:t xml:space="preserve">prévues à l’annexe</w:t>
      </w:r>
      <w:r>
        <w:t xml:space="preserve">), auxquelles l’entreprise d’assurances et de réassurance peut substituer une table de mortalité d’expérience, matérialisant la mortalité propre à la population de ses assurés et ce, après accord de l’Autorité ;</w:t>
      </w:r>
    </w:p>
    <w:p>
      <w:pPr>
        <w:numPr>
          <w:ilvl w:val="0"/>
          <w:numId w:val="1017"/>
        </w:numPr>
      </w:pPr>
      <w:r>
        <w:rPr>
          <w:bCs/>
          <w:b/>
        </w:rPr>
        <w:t xml:space="preserve">La table de rachat en montant</w:t>
      </w:r>
      <w:r>
        <w:t xml:space="preserve">.</w:t>
      </w:r>
    </w:p>
    <w:p>
      <w:pPr>
        <w:numPr>
          <w:ilvl w:val="0"/>
          <w:numId w:val="1017"/>
        </w:numPr>
      </w:pPr>
      <w:r>
        <w:rPr>
          <w:bCs/>
          <w:b/>
        </w:rPr>
        <w:t xml:space="preserve">La table de résiliation</w:t>
      </w:r>
      <w:r>
        <w:t xml:space="preserve">.</w:t>
      </w:r>
    </w:p>
    <w:p>
      <w:pPr>
        <w:numPr>
          <w:ilvl w:val="0"/>
          <w:numId w:val="1017"/>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quarto/share/formats/docx/tip.png" id="9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Applications/quarto/share/formats/docx/tip.png" id="9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98"/>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sSub>
                <m:e>
                  <m:r>
                    <m:t>P</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w:bookmarkStart w:id="99" w:name="eq-gbmp"/>
            <m:oMathPara>
              <m:oMathParaPr>
                <m:jc m:val="center"/>
              </m:oMathParaPr>
              <m:oMath>
                <m:r>
                  <m:t>D</m:t>
                </m:r>
                <m:r>
                  <m:t>e</m:t>
                </m:r>
                <m:sSub>
                  <m:e>
                    <m:r>
                      <m:t>c</m:t>
                    </m:r>
                  </m:e>
                  <m:sub>
                    <m:r>
                      <m:t>t</m:t>
                    </m:r>
                  </m:sub>
                </m:sSub>
                <m:r>
                  <m:rPr>
                    <m:sty m:val="p"/>
                  </m:rPr>
                  <m:t>=</m:t>
                </m:r>
                <m:r>
                  <m:t>K</m:t>
                </m:r>
                <m:r>
                  <m:rPr>
                    <m:sty m:val="p"/>
                  </m:rPr>
                  <m:t>×</m:t>
                </m:r>
                <m:r>
                  <m:t>N</m:t>
                </m:r>
                <m:r>
                  <m:t>b</m:t>
                </m:r>
                <m:sSub>
                  <m:e>
                    <m:r>
                      <m:t>P</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r>
                  <m:t> </m:t>
                </m:r>
                <m:r>
                  <m:rPr>
                    <m:sty m:val="p"/>
                  </m:rPr>
                  <m:t>,</m:t>
                </m:r>
                <m:r>
                  <m:t>  </m:t>
                </m:r>
                <m:d>
                  <m:dPr>
                    <m:begChr m:val="("/>
                    <m:endChr m:val=")"/>
                    <m:sepChr m:val=""/>
                    <m:grow/>
                  </m:dPr>
                  <m:e>
                    <m:r>
                      <m:t>14</m:t>
                    </m:r>
                  </m:e>
                </m:d>
              </m:oMath>
            </m:oMathPara>
            <w:bookmarkEnd w:id="99"/>
          </w:p>
        </w:tc>
      </w:tr>
    </w:tbl>
    <w:bookmarkEnd w:id="100"/>
    <w:bookmarkStart w:id="103" w:name="bénéfices-discrétionnaires-futurs"/>
    <w:p>
      <w:pPr>
        <w:pStyle w:val="Heading5"/>
      </w:pPr>
      <w:r>
        <w:t xml:space="preserve">Bénéfices discrétionnaires futurs :</w:t>
      </w:r>
    </w:p>
    <w:p>
      <w:pPr>
        <w:pStyle w:val="FirstParagraph"/>
      </w:pPr>
      <w:r>
        <w:t xml:space="preserve">Les bénéfices discrétionnaires futurs sont évalués pour chaque ensemble homogène de contrats.</w:t>
      </w:r>
    </w:p>
    <w:p>
      <w:pPr>
        <w:pStyle w:val="BodyText"/>
      </w:pPr>
      <w:bookmarkStart w:id="101" w:name="eq-gbmp"/>
      <m:oMathPara>
        <m:oMathParaPr>
          <m:jc m:val="center"/>
        </m:oMathParaPr>
        <m:oMath>
          <m:r>
            <m:t>B</m:t>
          </m:r>
          <m:r>
            <m:t>D</m:t>
          </m:r>
          <m:r>
            <m:t>F</m:t>
          </m:r>
          <m:r>
            <m:rPr>
              <m:sty m:val="p"/>
            </m:rPr>
            <m:t>=</m:t>
          </m:r>
          <m:r>
            <m:t>P</m:t>
          </m:r>
          <m:r>
            <m:t>P</m:t>
          </m:r>
          <m:r>
            <m:t>B</m:t>
          </m:r>
          <m:r>
            <m:rPr>
              <m:sty m:val="p"/>
            </m:rPr>
            <m:t>+</m:t>
          </m:r>
          <m:bar>
            <m:barPr>
              <m:pos m:val="top"/>
            </m:barPr>
            <m:e>
              <m:r>
                <m:t>T</m:t>
              </m:r>
              <m:r>
                <m:t>P</m:t>
              </m:r>
              <m:r>
                <m:t>B</m:t>
              </m:r>
            </m:e>
          </m:bar>
          <m:r>
            <m:rPr>
              <m:sty m:val="p"/>
            </m:rPr>
            <m:t>×</m:t>
          </m:r>
          <m:d>
            <m:dPr>
              <m:begChr m:val="("/>
              <m:endChr m:val=")"/>
              <m:sepChr m:val=""/>
              <m:grow/>
            </m:dPr>
            <m:e>
              <m:r>
                <m:t>S</m:t>
              </m:r>
              <m:r>
                <m:t>T</m:t>
              </m:r>
              <m:r>
                <m:rPr>
                  <m:sty m:val="p"/>
                </m:rPr>
                <m:t>+</m:t>
              </m:r>
              <m:r>
                <m:t>S</m:t>
              </m:r>
              <m:r>
                <m:t>F</m:t>
              </m:r>
            </m:e>
          </m:d>
          <m:r>
            <m:rPr>
              <m:sty m:val="p"/>
            </m:rPr>
            <m:t>×</m:t>
          </m:r>
          <m:sSub>
            <m:e>
              <m:r>
                <m:rPr>
                  <m:sty m:val="b"/>
                </m:rPr>
                <m:t>1</m:t>
              </m:r>
            </m:e>
            <m:sub>
              <m:d>
                <m:dPr>
                  <m:begChr m:val="("/>
                  <m:endChr m:val=")"/>
                  <m:sepChr m:val=""/>
                  <m:grow/>
                </m:dPr>
                <m:e>
                  <m:r>
                    <m:t>S</m:t>
                  </m:r>
                  <m:r>
                    <m:t>T</m:t>
                  </m:r>
                  <m:r>
                    <m:rPr>
                      <m:sty m:val="p"/>
                    </m:rPr>
                    <m:t>+</m:t>
                  </m:r>
                  <m:r>
                    <m:t>S</m:t>
                  </m:r>
                  <m:r>
                    <m:t>F</m:t>
                  </m:r>
                </m:e>
              </m:d>
              <m:r>
                <m:rPr>
                  <m:sty m:val="p"/>
                </m:rPr>
                <m:t>&gt;</m:t>
              </m:r>
              <m:r>
                <m:t>0</m:t>
              </m:r>
            </m:sub>
          </m:sSub>
          <m:r>
            <m:rPr>
              <m:sty m:val="p"/>
            </m:rPr>
            <m:t>,</m:t>
          </m:r>
          <m:r>
            <m:t>  </m:t>
          </m:r>
          <m:d>
            <m:dPr>
              <m:begChr m:val="("/>
              <m:endChr m:val=")"/>
              <m:sepChr m:val=""/>
              <m:grow/>
            </m:dPr>
            <m:e>
              <m:r>
                <m:t>15</m:t>
              </m:r>
            </m:e>
          </m:d>
        </m:oMath>
      </m:oMathPara>
      <w:bookmarkEnd w:id="101"/>
    </w:p>
    <w:p>
      <w:pPr>
        <w:pStyle w:val="FirstParagraph"/>
      </w:pPr>
      <w:r>
        <w:t xml:space="preserve">avec :</w:t>
      </w:r>
    </w:p>
    <w:p>
      <w:pPr>
        <w:numPr>
          <w:ilvl w:val="0"/>
          <w:numId w:val="1018"/>
        </w:numPr>
      </w:pPr>
      <m:oMath>
        <m:r>
          <m:t>P</m:t>
        </m:r>
        <m:r>
          <m:t>P</m:t>
        </m:r>
        <m:r>
          <m:t>B</m:t>
        </m:r>
      </m:oMath>
      <w:r>
        <w:t xml:space="preserve"> </w:t>
      </w:r>
      <w:r>
        <w:t xml:space="preserve">: Le montant de la provision pour participation aux bénéfices, évaluée à la valeur comptable.</w:t>
      </w:r>
    </w:p>
    <w:p>
      <w:pPr>
        <w:numPr>
          <w:ilvl w:val="0"/>
          <w:numId w:val="1018"/>
        </w:numPr>
      </w:pPr>
      <m:oMath>
        <m:r>
          <m:t>S</m:t>
        </m:r>
        <m:r>
          <m:t>T</m:t>
        </m:r>
      </m:oMath>
      <w:r>
        <w:t xml:space="preserve"> </w:t>
      </w:r>
      <w:r>
        <w:t xml:space="preserve">: Somme des soldes techniques.</w:t>
      </w:r>
    </w:p>
    <w:p>
      <w:pPr>
        <w:numPr>
          <w:ilvl w:val="0"/>
          <w:numId w:val="1018"/>
        </w:numPr>
      </w:pPr>
      <m:oMath>
        <m:bar>
          <m:barPr>
            <m:pos m:val="top"/>
          </m:barPr>
          <m:e>
            <m:r>
              <m:t>T</m:t>
            </m:r>
            <m:r>
              <m:t>P</m:t>
            </m:r>
            <m:r>
              <m:t>B</m:t>
            </m:r>
          </m:e>
        </m:bar>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w:bookmarkStart w:id="102" w:name="eq-gbmp"/>
      <m:oMathPara>
        <m:oMathParaPr>
          <m:jc m:val="center"/>
        </m:oMathParaPr>
        <m:oMath>
          <m:bar>
            <m:barPr>
              <m:pos m:val="top"/>
            </m:barPr>
            <m:e>
              <m:r>
                <m:t>T</m:t>
              </m:r>
              <m:r>
                <m:t>P</m:t>
              </m:r>
              <m:r>
                <m:t>B</m:t>
              </m:r>
            </m:e>
          </m:bar>
          <m:r>
            <m:rPr>
              <m:sty m:val="p"/>
            </m:rPr>
            <m:t>=</m:t>
          </m:r>
          <m:f>
            <m:fPr>
              <m:type m:val="bar"/>
            </m:fPr>
            <m:num>
              <m:r>
                <m:t>D</m:t>
              </m:r>
              <m:r>
                <m:t>o</m:t>
              </m:r>
              <m:r>
                <m:t>t</m:t>
              </m:r>
            </m:num>
            <m:den>
              <m:r>
                <m:t>R</m:t>
              </m:r>
              <m:r>
                <m:t>T</m:t>
              </m:r>
              <m:r>
                <m:rPr>
                  <m:sty m:val="p"/>
                </m:rPr>
                <m:t>+</m:t>
              </m:r>
              <m:r>
                <m:t>R</m:t>
              </m:r>
              <m:r>
                <m:t>F</m:t>
              </m:r>
            </m:den>
          </m:f>
          <m:r>
            <m:rPr>
              <m:sty m:val="p"/>
            </m:rPr>
            <m:t>,</m:t>
          </m:r>
          <m:r>
            <m:t>  </m:t>
          </m:r>
          <m:d>
            <m:dPr>
              <m:begChr m:val="("/>
              <m:endChr m:val=")"/>
              <m:sepChr m:val=""/>
              <m:grow/>
            </m:dPr>
            <m:e>
              <m:r>
                <m:t>16</m:t>
              </m:r>
            </m:e>
          </m:d>
        </m:oMath>
      </m:oMathPara>
      <w:bookmarkEnd w:id="102"/>
    </w:p>
    <w:p>
      <w:pPr>
        <w:pStyle w:val="FirstParagraph"/>
      </w:pPr>
      <w:r>
        <w:t xml:space="preserve">avec :</w:t>
      </w:r>
    </w:p>
    <w:p>
      <w:pPr>
        <w:numPr>
          <w:ilvl w:val="0"/>
          <w:numId w:val="1019"/>
        </w:numPr>
        <w:pStyle w:val="Compact"/>
      </w:pPr>
      <m:oMath>
        <m:r>
          <m:t>D</m:t>
        </m:r>
        <m:r>
          <m:t>o</m:t>
        </m:r>
        <m:r>
          <m:t>t</m:t>
        </m:r>
      </m:oMath>
      <w:r>
        <w:t xml:space="preserve"> </w:t>
      </w:r>
      <w:r>
        <w:t xml:space="preserve">: somme des dotations au titre, des trois derniers exercices clos au moins.</w:t>
      </w:r>
    </w:p>
    <w:p>
      <w:pPr>
        <w:numPr>
          <w:ilvl w:val="0"/>
          <w:numId w:val="1019"/>
        </w:numPr>
        <w:pStyle w:val="Compact"/>
      </w:pPr>
      <m:oMath>
        <m:r>
          <m:t>R</m:t>
        </m:r>
        <m:r>
          <m:t>T</m:t>
        </m:r>
      </m:oMath>
      <w:r>
        <w:t xml:space="preserve"> </w:t>
      </w:r>
      <w:r>
        <w:t xml:space="preserve">:les résultats techniques.</w:t>
      </w:r>
    </w:p>
    <w:p>
      <w:pPr>
        <w:numPr>
          <w:ilvl w:val="0"/>
          <w:numId w:val="1019"/>
        </w:numPr>
        <w:pStyle w:val="Compact"/>
      </w:pPr>
      <m:oMath>
        <m:r>
          <m:t>R</m:t>
        </m:r>
        <m:r>
          <m:t>F</m:t>
        </m:r>
      </m:oMath>
      <w:r>
        <w:t xml:space="preserve"> </w:t>
      </w:r>
      <w:r>
        <w:t xml:space="preserve">:les résultats financiers.</w:t>
      </w:r>
    </w:p>
    <w:bookmarkEnd w:id="103"/>
    <w:bookmarkEnd w:id="104"/>
    <w:bookmarkStart w:id="108" w:name="Xb36307078f8a6b20714aed4cb695975c0bea969"/>
    <w:p>
      <w:pPr>
        <w:pStyle w:val="Heading4"/>
      </w:pPr>
      <w:r>
        <w:t xml:space="preserve">Meilleure estimation des frais de gestions (</w:t>
      </w:r>
      <m:oMath>
        <m:r>
          <m:t>B</m:t>
        </m:r>
        <m:r>
          <m:t>E</m:t>
        </m:r>
        <m:r>
          <m:t>F</m:t>
        </m:r>
        <m:r>
          <m:t>G</m:t>
        </m:r>
      </m:oMath>
      <w:r>
        <w:t xml:space="preserve">) :</w:t>
      </w:r>
    </w:p>
    <w:p>
      <w:pPr>
        <w:pStyle w:val="FirstParagraph"/>
      </w:pPr>
      <w:r>
        <w:t xml:space="preserve">La meilleure estimation des frais de gestion correspond à la somme actualisée des flux de frais de gestion futurs probabilisés.</w:t>
      </w:r>
    </w:p>
    <w:p>
      <w:pPr>
        <w:pStyle w:val="BodyText"/>
      </w:pPr>
      <w:bookmarkStart w:id="105" w:name="eq-gbmp"/>
      <m:oMathPara>
        <m:oMathParaPr>
          <m:jc m:val="center"/>
        </m:oMathParaPr>
        <m:oMath>
          <m:r>
            <m:t>B</m:t>
          </m:r>
          <m:r>
            <m:t>E</m:t>
          </m:r>
          <m:r>
            <m:t>F</m:t>
          </m:r>
          <m:r>
            <m:t>G</m:t>
          </m:r>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d>
            <m:dPr>
              <m:begChr m:val="("/>
              <m:endChr m:val=")"/>
              <m:sepChr m:val=""/>
              <m:grow/>
            </m:dPr>
            <m:e>
              <m:r>
                <m:t>17</m:t>
              </m:r>
            </m:e>
          </m:d>
        </m:oMath>
      </m:oMathPara>
      <w:bookmarkEnd w:id="105"/>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w:bookmarkStart w:id="106" w:name="eq-gbmp"/>
      <m:oMathPara>
        <m:oMathParaPr>
          <m:jc m:val="center"/>
        </m:oMathParaPr>
        <m:oMath>
          <m:r>
            <m:t>F</m:t>
          </m:r>
          <m:sSub>
            <m:e>
              <m:r>
                <m:t>G</m:t>
              </m:r>
            </m:e>
            <m:sub>
              <m:r>
                <m:t>t</m:t>
              </m:r>
            </m:sub>
          </m:sSub>
          <m:r>
            <m:rPr>
              <m:sty m:val="p"/>
            </m:rPr>
            <m:t>=</m:t>
          </m:r>
          <m:r>
            <m:t>N</m:t>
          </m:r>
          <m:r>
            <m:t>b</m:t>
          </m:r>
          <m:sSub>
            <m:e>
              <m:r>
                <m:t>C</m:t>
              </m:r>
            </m:e>
            <m:sub>
              <m:r>
                <m:t>t</m:t>
              </m:r>
            </m:sub>
          </m:sSub>
          <m:r>
            <m:rPr>
              <m:sty m:val="p"/>
            </m:rPr>
            <m:t>×</m:t>
          </m:r>
          <m:bar>
            <m:barPr>
              <m:pos m:val="top"/>
            </m:barPr>
            <m:e>
              <m:r>
                <m:t>F</m:t>
              </m:r>
              <m:r>
                <m:t>G</m:t>
              </m:r>
              <m:sSub>
                <m:e>
                  <m:r>
                    <m:t>U</m:t>
                  </m:r>
                </m:e>
                <m:sub>
                  <m:r>
                    <m:t>t</m:t>
                  </m:r>
                </m:sub>
              </m:sSub>
            </m:e>
          </m:bar>
          <m:r>
            <m:t> </m:t>
          </m:r>
          <m:r>
            <m:rPr>
              <m:sty m:val="p"/>
            </m:rPr>
            <m:t>,</m:t>
          </m:r>
          <m:r>
            <m:t>  </m:t>
          </m:r>
          <m:d>
            <m:dPr>
              <m:begChr m:val="("/>
              <m:endChr m:val=")"/>
              <m:sepChr m:val=""/>
              <m:grow/>
            </m:dPr>
            <m:e>
              <m:r>
                <m:t>18</m:t>
              </m:r>
            </m:e>
          </m:d>
        </m:oMath>
      </m:oMathPara>
      <w:bookmarkEnd w:id="106"/>
    </w:p>
    <w:p>
      <w:pPr>
        <w:pStyle w:val="FirstParagraph"/>
      </w:pPr>
      <w:r>
        <w:t xml:space="preserve">avec :</w:t>
      </w:r>
    </w:p>
    <w:p>
      <w:pPr>
        <w:numPr>
          <w:ilvl w:val="0"/>
          <w:numId w:val="1020"/>
        </w:numPr>
        <w:pStyle w:val="Compact"/>
      </w:pPr>
      <m:oMath>
        <m:sSub>
          <m:e>
            <m:acc>
              <m:accPr>
                <m:chr m:val="‾"/>
              </m:accPr>
              <m:e>
                <m:r>
                  <m:t>F</m:t>
                </m:r>
                <m:r>
                  <m:t>G</m:t>
                </m:r>
                <m:r>
                  <m:t>U</m:t>
                </m:r>
              </m:e>
            </m:acc>
          </m:e>
          <m:sub>
            <m:r>
              <m:t>t</m:t>
            </m:r>
          </m:sub>
        </m:sSub>
      </m:oMath>
      <w:r>
        <w:t xml:space="preserve"> </w:t>
      </w:r>
      <w:r>
        <w:t xml:space="preserve">: Le montant de frais de gestion unitaire moyen est estimé en considérant la moyenne sur les trois derniers exercices clos des montants de frais de gestion unitaires.</w:t>
      </w:r>
    </w:p>
    <w:p>
      <w:pPr>
        <w:numPr>
          <w:ilvl w:val="0"/>
          <w:numId w:val="1020"/>
        </w:numPr>
        <w:pStyle w:val="Compact"/>
      </w:pPr>
      <m:oMath>
        <m:r>
          <m:t>N</m:t>
        </m:r>
        <m:r>
          <m:t>b</m:t>
        </m:r>
        <m:sSub>
          <m:e>
            <m:r>
              <m:t>C</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20"/>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w:bookmarkStart w:id="107" w:name="eq-gbmp"/>
      <m:oMathPara>
        <m:oMathParaPr>
          <m:jc m:val="center"/>
        </m:oMathParaPr>
        <m:oMath>
          <m:bar>
            <m:barPr>
              <m:pos m:val="top"/>
            </m:barPr>
            <m:e>
              <m:r>
                <m:t>F</m:t>
              </m:r>
              <m:r>
                <m:t>G</m:t>
              </m:r>
              <m:sSub>
                <m:e>
                  <m:r>
                    <m:t>U</m:t>
                  </m:r>
                </m:e>
                <m:sub>
                  <m:r>
                    <m:t>t</m:t>
                  </m:r>
                </m:sub>
              </m:sSub>
            </m:e>
          </m:bar>
          <m:r>
            <m:rPr>
              <m:sty m:val="p"/>
            </m:rPr>
            <m:t>=</m:t>
          </m:r>
          <m:f>
            <m:fPr>
              <m:type m:val="bar"/>
            </m:fPr>
            <m:num>
              <m:r>
                <m:t>1</m:t>
              </m:r>
            </m:num>
            <m:den>
              <m:r>
                <m:t>3</m:t>
              </m:r>
            </m:den>
          </m:f>
          <m:r>
            <m:rPr>
              <m:sty m:val="p"/>
            </m:rPr>
            <m:t>×</m:t>
          </m:r>
          <m:d>
            <m:dPr>
              <m:begChr m:val="("/>
              <m:endChr m:val=")"/>
              <m:sepChr m:val=""/>
              <m:grow/>
            </m:dPr>
            <m:e>
              <m:f>
                <m:fPr>
                  <m:type m:val="bar"/>
                </m:fPr>
                <m:num>
                  <m:r>
                    <m:t>F</m:t>
                  </m:r>
                  <m:sSub>
                    <m:e>
                      <m:r>
                        <m:t>G</m:t>
                      </m:r>
                    </m:e>
                    <m:sub>
                      <m:r>
                        <m:t>t</m:t>
                      </m:r>
                      <m:r>
                        <m:rPr>
                          <m:sty m:val="p"/>
                        </m:rPr>
                        <m:t>−</m:t>
                      </m:r>
                      <m:r>
                        <m:t>1</m:t>
                      </m:r>
                    </m:sub>
                  </m:sSub>
                </m:num>
                <m:den>
                  <m:r>
                    <m:t>N</m:t>
                  </m:r>
                  <m:r>
                    <m:t>b</m:t>
                  </m:r>
                  <m:sSub>
                    <m:e>
                      <m:r>
                        <m:t>C</m:t>
                      </m:r>
                    </m:e>
                    <m:sub>
                      <m:r>
                        <m:t>t</m:t>
                      </m:r>
                      <m:r>
                        <m:rPr>
                          <m:sty m:val="p"/>
                        </m:rPr>
                        <m:t>−</m:t>
                      </m:r>
                      <m:r>
                        <m:t>1</m:t>
                      </m:r>
                    </m:sub>
                  </m:sSub>
                </m:den>
              </m:f>
              <m:r>
                <m:rPr>
                  <m:sty m:val="p"/>
                </m:rPr>
                <m:t>+</m:t>
              </m:r>
              <m:f>
                <m:fPr>
                  <m:type m:val="bar"/>
                </m:fPr>
                <m:num>
                  <m:r>
                    <m:t>F</m:t>
                  </m:r>
                  <m:sSub>
                    <m:e>
                      <m:r>
                        <m:t>G</m:t>
                      </m:r>
                    </m:e>
                    <m:sub>
                      <m:r>
                        <m:t>t</m:t>
                      </m:r>
                      <m:r>
                        <m:rPr>
                          <m:sty m:val="p"/>
                        </m:rPr>
                        <m:t>−</m:t>
                      </m:r>
                      <m:r>
                        <m:t>2</m:t>
                      </m:r>
                    </m:sub>
                  </m:sSub>
                </m:num>
                <m:den>
                  <m:r>
                    <m:t>N</m:t>
                  </m:r>
                  <m:r>
                    <m:t>b</m:t>
                  </m:r>
                  <m:sSub>
                    <m:e>
                      <m:r>
                        <m:t>C</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sSub>
                    <m:e>
                      <m:r>
                        <m:t>C</m:t>
                      </m:r>
                    </m:e>
                    <m:sub>
                      <m:r>
                        <m:t>t</m:t>
                      </m:r>
                      <m:r>
                        <m:rPr>
                          <m:sty m:val="p"/>
                        </m:rPr>
                        <m:t>−</m:t>
                      </m:r>
                      <m:r>
                        <m:t>3</m:t>
                      </m:r>
                    </m:sub>
                  </m:sSub>
                </m:den>
              </m:f>
            </m:e>
          </m:d>
          <m:r>
            <m:t>  </m:t>
          </m:r>
          <m:d>
            <m:dPr>
              <m:begChr m:val="("/>
              <m:endChr m:val=")"/>
              <m:sepChr m:val=""/>
              <m:grow/>
            </m:dPr>
            <m:e>
              <m:r>
                <m:t>19</m:t>
              </m:r>
            </m:e>
          </m:d>
        </m:oMath>
      </m:oMathPara>
      <w:bookmarkEnd w:id="107"/>
    </w:p>
    <w:bookmarkEnd w:id="108"/>
    <w:bookmarkEnd w:id="109"/>
    <w:bookmarkStart w:id="111" w:name="rentes-découlants-des-opérations-non-vie"/>
    <w:p>
      <w:pPr>
        <w:pStyle w:val="Heading3"/>
      </w:pPr>
      <w:r>
        <w:t xml:space="preserve">Rentes découlants des opérations non-vie :</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w:bookmarkStart w:id="110" w:name="eq-gbmp"/>
      <m:oMathPara>
        <m:oMathParaPr>
          <m:jc m:val="center"/>
        </m:oMathParaPr>
        <m:oMath>
          <m:r>
            <m:t>B</m:t>
          </m:r>
          <m:sSub>
            <m:e>
              <m:r>
                <m:t>E</m:t>
              </m:r>
            </m:e>
            <m:sub>
              <m:r>
                <m:t>e</m:t>
              </m:r>
              <m:r>
                <m:t>n</m:t>
              </m:r>
              <m:r>
                <m:t>g</m:t>
              </m:r>
            </m:sub>
          </m:sSub>
          <m:r>
            <m:rPr>
              <m:sty m:val="p"/>
            </m:rPr>
            <m:t>=</m:t>
          </m:r>
          <m:r>
            <m:t>B</m:t>
          </m:r>
          <m:r>
            <m:t>E</m:t>
          </m:r>
          <m:r>
            <m:t>G</m:t>
          </m:r>
          <m:r>
            <m:t>P</m:t>
          </m:r>
          <m:r>
            <m:t> </m:t>
          </m:r>
          <m:r>
            <m:rPr>
              <m:sty m:val="p"/>
            </m:rPr>
            <m:t>,</m:t>
          </m:r>
          <m:r>
            <m:t>  </m:t>
          </m:r>
          <m:d>
            <m:dPr>
              <m:begChr m:val="("/>
              <m:endChr m:val=")"/>
              <m:sepChr m:val=""/>
              <m:grow/>
            </m:dPr>
            <m:e>
              <m:r>
                <m:t>20</m:t>
              </m:r>
            </m:e>
          </m:d>
        </m:oMath>
      </m:oMathPara>
      <w:bookmarkEnd w:id="110"/>
    </w:p>
    <w:p>
      <w:pPr>
        <w:pStyle w:val="FirstParagraph"/>
      </w:pPr>
      <w:r>
        <w:t xml:space="preserve">avec :</w:t>
      </w:r>
    </w:p>
    <w:p>
      <w:pPr>
        <w:numPr>
          <w:ilvl w:val="0"/>
          <w:numId w:val="1021"/>
        </w:numPr>
        <w:pStyle w:val="Compact"/>
      </w:pPr>
      <m:oMath>
        <m:r>
          <m:t>B</m:t>
        </m:r>
        <m:sSub>
          <m:e>
            <m:r>
              <m:t>E</m:t>
            </m:r>
          </m:e>
          <m:sub>
            <m:r>
              <m:t>e</m:t>
            </m:r>
            <m:r>
              <m:t>n</m:t>
            </m:r>
            <m:r>
              <m:t>g</m:t>
            </m:r>
          </m:sub>
        </m:sSub>
      </m:oMath>
      <w:r>
        <w:t xml:space="preserve"> </w:t>
      </w:r>
      <w:r>
        <w:t xml:space="preserve">: la meilleure estimation rentes découlant des opérations d’assurance non vie.</w:t>
      </w:r>
    </w:p>
    <w:p>
      <w:pPr>
        <w:numPr>
          <w:ilvl w:val="0"/>
          <w:numId w:val="1021"/>
        </w:numPr>
        <w:pStyle w:val="Compact"/>
      </w:pPr>
      <m:oMath>
        <m:r>
          <m:t>B</m:t>
        </m:r>
        <m:r>
          <m:t>E</m:t>
        </m:r>
        <m:r>
          <m:t>G</m:t>
        </m:r>
        <m:r>
          <m:t>P</m:t>
        </m:r>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111"/>
    <w:bookmarkStart w:id="158" w:name="X95164bc6af2e862e4c417e49c6d46de2a1b5d80"/>
    <w:p>
      <w:pPr>
        <w:pStyle w:val="Heading3"/>
      </w:pPr>
      <w:r>
        <w:t xml:space="preserve">Opérations d’assurance non vie hors rentes :</w:t>
      </w:r>
    </w:p>
    <w:p>
      <w:pPr>
        <w:pStyle w:val="FirstParagraph"/>
      </w:pPr>
      <w:r>
        <w:t xml:space="preserve">L’assurance non-vie, également connue sous le nom d’assurance dommages, est un secteur d’assurance qui vise à protéger les biens et les responsabilités des individus et des entreprises contre divers risques. Et il couvre une vaste gamme de domaines, tels que les accidents, les catastrophes naturelles, les dommages matériels, la responsabilité civile, les pertes financières, les vols et bien d’autres encore,</w:t>
      </w:r>
      <m:oMath>
        <m:r>
          <m:rPr>
            <m:sty m:val="p"/>
          </m:rPr>
          <m:t>…</m:t>
        </m:r>
      </m:oMath>
    </w:p>
    <w:p>
      <w:pPr>
        <w:pStyle w:val="BodyText"/>
      </w:pPr>
      <w:r>
        <w:t xml:space="preserve">Aussi l’assurance non vie repose sur le principe de la mutualisation des risques, telle que Les assurés paient des primes périodiques à une compagnie d’assurance en échange d’une garantie de recevoir une indemnisation en cas de sinistre. L’assureur collecte les primes de nombreux assurés et utilise ces fonds pour couvrir les pertes subies par ceux qui ont subi des dommages assurés. Ainsi, l’assurance non-vie permet de répartir les risques et de fournir une protection financière contre les événements imprévus qui pourraient causer des pertes matérielles ou des responsabilités juridiques.</w:t>
      </w:r>
    </w:p>
    <w:p>
      <w:pPr>
        <w:pStyle w:val="BodyText"/>
      </w:pPr>
      <w:r>
        <w:t xml:space="preserve">L’assurance non-vie offre une grande variété de produits et de polices adaptés à différents besoins. Parmi les exemples courants d’assurances non-vie, on trouve l’assurance automobile, l’assurance habitation, l’assurance responsabilité civile, l’assurance santé, l’assurance voyage et l’assurance entreprise. Chacune de ces polices est conçue pour offrir une protection spécifique contre les risques liés à ces domaines.</w:t>
      </w:r>
    </w:p>
    <w:bookmarkStart w:id="152" w:name="la-meilleure-estimation-des-engagements"/>
    <w:p>
      <w:pPr>
        <w:pStyle w:val="Heading4"/>
      </w:pPr>
      <w:r>
        <w:t xml:space="preserve">La meilleure estimation des engagements :</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w:bookmarkStart w:id="112" w:name="eq-gbmp"/>
      <m:oMathPara>
        <m:oMathParaPr>
          <m:jc m:val="center"/>
        </m:oMathParaPr>
        <m:oMath>
          <m:r>
            <m:t>B</m:t>
          </m:r>
          <m:sSub>
            <m:e>
              <m:r>
                <m:t>E</m:t>
              </m:r>
            </m:e>
            <m:sub>
              <m:r>
                <m:t>e</m:t>
              </m:r>
              <m:r>
                <m:t>n</m:t>
              </m:r>
              <m:r>
                <m:t>g</m:t>
              </m:r>
            </m:sub>
          </m:sSub>
          <m:r>
            <m:rPr>
              <m:sty m:val="p"/>
            </m:rPr>
            <m:t>=</m:t>
          </m:r>
          <m:r>
            <m:t>B</m:t>
          </m:r>
          <m:r>
            <m:t>E</m:t>
          </m:r>
          <m:r>
            <m:t>S</m:t>
          </m:r>
          <m:r>
            <m:rPr>
              <m:sty m:val="p"/>
            </m:rPr>
            <m:t>+</m:t>
          </m:r>
          <m:r>
            <m:t>B</m:t>
          </m:r>
          <m:r>
            <m:t>E</m:t>
          </m:r>
          <m:r>
            <m:t>P</m:t>
          </m:r>
          <m:r>
            <m:t>  </m:t>
          </m:r>
          <m:d>
            <m:dPr>
              <m:begChr m:val="("/>
              <m:endChr m:val=")"/>
              <m:sepChr m:val=""/>
              <m:grow/>
            </m:dPr>
            <m:e>
              <m:r>
                <m:t>21</m:t>
              </m:r>
            </m:e>
          </m:d>
        </m:oMath>
      </m:oMathPara>
      <w:bookmarkEnd w:id="112"/>
    </w:p>
    <w:bookmarkStart w:id="117" w:name="X9db0096445a49d940cc69c0286ca1bcb6499e49"/>
    <w:p>
      <w:pPr>
        <w:pStyle w:val="Heading5"/>
      </w:pPr>
      <w:r>
        <w:t xml:space="preserve">La meilleure estimation des engagements pour primes(</w:t>
      </w:r>
      <m:oMath>
        <m:r>
          <m:t>B</m:t>
        </m:r>
        <m:r>
          <m:t>E</m:t>
        </m:r>
        <m:r>
          <m:t>P</m:t>
        </m:r>
      </m:oMath>
      <w:r>
        <w:t xml:space="preserve">):</w:t>
      </w:r>
    </w:p>
    <w:p>
      <w:pPr>
        <w:pStyle w:val="FirstParagraph"/>
      </w:pPr>
      <w:r>
        <w:t xml:space="preserve">La meilleure estimation des engagements pour primes correspond à la différence entre :</w:t>
      </w:r>
    </w:p>
    <w:p>
      <w:pPr>
        <w:numPr>
          <w:ilvl w:val="0"/>
          <w:numId w:val="1022"/>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2"/>
        </w:numPr>
        <w:pStyle w:val="Compact"/>
      </w:pPr>
      <w:r>
        <w:t xml:space="preserve">Le montant des primes futures probabilisé et actualisé à la date d’inventaire, net des frais d’acquisition, afférentes aux contrats.</w:t>
      </w:r>
    </w:p>
    <w:p>
      <w:pPr>
        <w:pStyle w:val="FirstParagraph"/>
      </w:pPr>
      <w:bookmarkStart w:id="113" w:name="eq-gbmp"/>
      <m:oMathPara>
        <m:oMathParaPr>
          <m:jc m:val="center"/>
        </m:oMathParaPr>
        <m:oMath>
          <m:r>
            <m:t>B</m:t>
          </m:r>
          <m:r>
            <m:t>E</m:t>
          </m:r>
          <m:r>
            <m:t>P</m:t>
          </m:r>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r>
            <m:t> </m:t>
          </m:r>
          <m:r>
            <m:rPr>
              <m:sty m:val="p"/>
            </m:rPr>
            <m:t>,</m:t>
          </m:r>
          <m:r>
            <m:t>  </m:t>
          </m:r>
          <m:d>
            <m:dPr>
              <m:begChr m:val="("/>
              <m:endChr m:val=")"/>
              <m:sepChr m:val=""/>
              <m:grow/>
            </m:dPr>
            <m:e>
              <m:r>
                <m:t>22</m:t>
              </m:r>
            </m:e>
          </m:d>
        </m:oMath>
      </m:oMathPara>
      <w:bookmarkEnd w:id="113"/>
    </w:p>
    <w:p>
      <w:pPr>
        <w:pStyle w:val="FirstParagraph"/>
      </w:pPr>
      <w:r>
        <w:t xml:space="preserve">avec:</w:t>
      </w:r>
    </w:p>
    <w:p>
      <w:pPr>
        <w:numPr>
          <w:ilvl w:val="0"/>
          <w:numId w:val="1023"/>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3"/>
        </w:numPr>
        <w:pStyle w:val="Compact"/>
      </w:pPr>
      <m:oMath>
        <m:r>
          <m:t>P</m:t>
        </m:r>
        <m:r>
          <m:t>F</m:t>
        </m:r>
        <m:r>
          <m:t>P</m:t>
        </m:r>
      </m:oMath>
      <w:r>
        <w:t xml:space="preserve">: Le montant des primes futures probabilisé.</w:t>
      </w:r>
    </w:p>
    <w:p>
      <w:pPr>
        <w:numPr>
          <w:ilvl w:val="0"/>
          <w:numId w:val="1023"/>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w:bookmarkStart w:id="114" w:name="eq-gbmp"/>
      <m:oMathPara>
        <m:oMathParaPr>
          <m:jc m:val="center"/>
        </m:oMathParaPr>
        <m:oMath>
          <m:bar>
            <m:barPr>
              <m:pos m:val="top"/>
            </m:barPr>
            <m:e>
              <m:r>
                <m:t>F</m:t>
              </m:r>
              <m:r>
                <m:t>R</m:t>
              </m:r>
              <m:r>
                <m:t>F</m:t>
              </m:r>
              <m:sSub>
                <m:e>
                  <m:r>
                    <m:t>P</m:t>
                  </m:r>
                </m:e>
                <m:sub>
                  <m:r>
                    <m:t>t</m:t>
                  </m:r>
                </m:sub>
              </m:sSub>
            </m:e>
          </m:bar>
          <m:r>
            <m:rPr>
              <m:sty m:val="p"/>
            </m:rPr>
            <m:t>=</m:t>
          </m:r>
          <m:r>
            <m:t>T</m:t>
          </m:r>
          <m:r>
            <m:t>L</m:t>
          </m:r>
          <m:r>
            <m:rPr>
              <m:sty m:val="p"/>
            </m:rPr>
            <m:t>*</m:t>
          </m:r>
          <m:bar>
            <m:barPr>
              <m:pos m:val="top"/>
            </m:barPr>
            <m:e>
              <m:r>
                <m:t>R</m:t>
              </m:r>
              <m:r>
                <m:t>S</m:t>
              </m:r>
            </m:e>
          </m:bar>
          <m:r>
            <m:rPr>
              <m:sty m:val="p"/>
            </m:rPr>
            <m:t>*</m:t>
          </m:r>
          <m:d>
            <m:dPr>
              <m:begChr m:val="("/>
              <m:endChr m:val=")"/>
              <m:sepChr m:val=""/>
              <m:grow/>
            </m:dPr>
            <m:e>
              <m:r>
                <m:t>P</m:t>
              </m:r>
              <m:r>
                <m:t>P</m:t>
              </m:r>
              <m:r>
                <m:t>N</m:t>
              </m:r>
              <m:r>
                <m:t>A</m:t>
              </m:r>
              <m:r>
                <m:rPr>
                  <m:sty m:val="p"/>
                </m:rPr>
                <m:t>+</m:t>
              </m:r>
              <m:r>
                <m:t>P</m:t>
              </m:r>
              <m:r>
                <m:t>F</m:t>
              </m:r>
              <m:r>
                <m:t>P</m:t>
              </m:r>
            </m:e>
          </m:d>
          <m:r>
            <m:rPr>
              <m:sty m:val="p"/>
            </m:rPr>
            <m:t>,</m:t>
          </m:r>
          <m:r>
            <m:t>  </m:t>
          </m:r>
          <m:d>
            <m:dPr>
              <m:begChr m:val="("/>
              <m:endChr m:val=")"/>
              <m:sepChr m:val=""/>
              <m:grow/>
            </m:dPr>
            <m:e>
              <m:r>
                <m:t>23</m:t>
              </m:r>
            </m:e>
          </m:d>
        </m:oMath>
      </m:oMathPara>
      <w:bookmarkEnd w:id="114"/>
    </w:p>
    <w:p>
      <w:pPr>
        <w:pStyle w:val="FirstParagraph"/>
      </w:pPr>
      <w:r>
        <w:t xml:space="preserve">où:</w:t>
      </w:r>
    </w:p>
    <w:p>
      <w:pPr>
        <w:numPr>
          <w:ilvl w:val="0"/>
          <w:numId w:val="1024"/>
        </w:numPr>
        <w:pStyle w:val="Compact"/>
      </w:pPr>
      <m:oMath>
        <m:r>
          <m:t>T</m:t>
        </m:r>
        <m:r>
          <m:t>L</m:t>
        </m:r>
      </m:oMath>
      <w:r>
        <w:t xml:space="preserve">: le taux de liquidation, il est estimé en fonction de la cadence de liquidation des engagements pour sinistres survenus.</w:t>
      </w:r>
    </w:p>
    <w:p>
      <w:pPr>
        <w:numPr>
          <w:ilvl w:val="0"/>
          <w:numId w:val="1024"/>
        </w:numPr>
        <w:pStyle w:val="Compact"/>
      </w:pPr>
      <m:oMath>
        <m:bar>
          <m:barPr>
            <m:pos m:val="top"/>
          </m:barPr>
          <m:e>
            <m:r>
              <m:t>R</m:t>
            </m:r>
            <m:r>
              <m:t>S</m:t>
            </m:r>
          </m:e>
        </m:bar>
      </m:oMath>
      <w:r>
        <w:t xml:space="preserve">: le ratio de sinistralité moyen telle que:</w:t>
      </w:r>
    </w:p>
    <w:p>
      <w:pPr>
        <w:pStyle w:val="Compact"/>
      </w:pPr>
      <w:bookmarkStart w:id="115" w:name="eq-gbmp"/>
      <m:oMathPara>
        <m:oMathParaPr>
          <m:jc m:val="center"/>
        </m:oMathParaPr>
        <m:oMath>
          <m:sSub>
            <m:e>
              <m:bar>
                <m:barPr>
                  <m:pos m:val="top"/>
                </m:barPr>
                <m:e>
                  <m:r>
                    <m:t>R</m:t>
                  </m:r>
                  <m:r>
                    <m:t>S</m:t>
                  </m:r>
                </m:e>
              </m:bar>
            </m:e>
            <m:sub>
              <m:r>
                <m:t>t</m:t>
              </m:r>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r>
            <m:rPr>
              <m:sty m:val="p"/>
            </m:rPr>
            <m:t>,</m:t>
          </m:r>
          <m:r>
            <m:t>  </m:t>
          </m:r>
          <m:d>
            <m:dPr>
              <m:begChr m:val="("/>
              <m:endChr m:val=")"/>
              <m:sepChr m:val=""/>
              <m:grow/>
            </m:dPr>
            <m:e>
              <m:r>
                <m:t>24</m:t>
              </m:r>
            </m:e>
          </m:d>
        </m:oMath>
      </m:oMathPara>
      <w:bookmarkEnd w:id="115"/>
    </w:p>
    <w:p>
      <w:pPr>
        <w:pStyle w:val="FirstParagraph"/>
      </w:pPr>
      <w:r>
        <w:t xml:space="preserve">avec :</w:t>
      </w:r>
    </w:p>
    <w:p>
      <w:pPr>
        <w:numPr>
          <w:ilvl w:val="0"/>
          <w:numId w:val="1025"/>
        </w:numPr>
        <w:pStyle w:val="Compact"/>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5"/>
        </w:numPr>
        <w:pStyle w:val="Compact"/>
      </w:pPr>
      <m:oMath>
        <m:r>
          <m:t>P</m:t>
        </m:r>
        <m:r>
          <m:t>A</m:t>
        </m:r>
      </m:oMath>
      <w:r>
        <w:t xml:space="preserve"> </w:t>
      </w:r>
      <w:r>
        <w:t xml:space="preserve">les primes acquises.</w:t>
      </w:r>
    </w:p>
    <w:p>
      <w:pPr>
        <w:pStyle w:val="FirstParagraph"/>
      </w:pPr>
      <w:r>
        <w:t xml:space="preserve">Tell que :</w:t>
      </w:r>
    </w:p>
    <w:p>
      <w:pPr>
        <w:pStyle w:val="BodyText"/>
      </w:pPr>
      <w:bookmarkStart w:id="116" w:name="eq-gbmp"/>
      <m:oMathPara>
        <m:oMathParaPr>
          <m:jc m:val="center"/>
        </m:oMathParaPr>
        <m:oMath>
          <m:r>
            <m:t>C</m:t>
          </m:r>
          <m:sSub>
            <m:e>
              <m:r>
                <m:t>U</m:t>
              </m:r>
            </m:e>
            <m:sub>
              <m:r>
                <m:t>t</m:t>
              </m:r>
            </m:sub>
          </m:sSub>
          <m:r>
            <m:rPr>
              <m:sty m:val="p"/>
            </m:rPr>
            <m:t>=</m:t>
          </m:r>
          <m:r>
            <m:t>R</m:t>
          </m:r>
          <m:r>
            <m:t>è</m:t>
          </m:r>
          <m:r>
            <m:t>g</m:t>
          </m:r>
          <m:sSub>
            <m:e>
              <m:r>
                <m:t>C</m:t>
              </m:r>
            </m:e>
            <m:sub>
              <m:r>
                <m:t>t</m:t>
              </m:r>
            </m:sub>
          </m:sSub>
          <m:r>
            <m:rPr>
              <m:sty m:val="p"/>
            </m:rPr>
            <m:t>+</m:t>
          </m:r>
          <m:r>
            <m:t>R</m:t>
          </m:r>
          <m:r>
            <m:t>è</m:t>
          </m:r>
          <m:r>
            <m:t>g</m:t>
          </m:r>
          <m:sSub>
            <m:e>
              <m:r>
                <m:t>F</m:t>
              </m:r>
            </m:e>
            <m:sub>
              <m:r>
                <m:t>t</m:t>
              </m:r>
            </m:sub>
          </m:sSub>
          <m:r>
            <m:t> </m:t>
          </m:r>
          <m:r>
            <m:rPr>
              <m:sty m:val="p"/>
            </m:rPr>
            <m:t>,</m:t>
          </m:r>
          <m:r>
            <m:t>  </m:t>
          </m:r>
          <m:d>
            <m:dPr>
              <m:begChr m:val="("/>
              <m:endChr m:val=")"/>
              <m:sepChr m:val=""/>
              <m:grow/>
            </m:dPr>
            <m:e>
              <m:r>
                <m:t>25</m:t>
              </m:r>
            </m:e>
          </m:d>
        </m:oMath>
      </m:oMathPara>
      <w:bookmarkEnd w:id="116"/>
    </w:p>
    <w:p>
      <w:pPr>
        <w:pStyle w:val="FirstParagraph"/>
      </w:pPr>
      <w:r>
        <w:t xml:space="preserve">avec :</w:t>
      </w:r>
    </w:p>
    <w:p>
      <w:pPr>
        <w:numPr>
          <w:ilvl w:val="0"/>
          <w:numId w:val="1026"/>
        </w:numPr>
        <w:pStyle w:val="Compact"/>
      </w:pPr>
      <m:oMath>
        <m:r>
          <m:t>R</m:t>
        </m:r>
        <m:r>
          <m:t>è</m:t>
        </m:r>
        <m:r>
          <m:t>g</m:t>
        </m:r>
        <m:sSub>
          <m:e>
            <m:r>
              <m:t>C</m:t>
            </m:r>
          </m:e>
          <m:sub>
            <m:r>
              <m:t>t</m:t>
            </m:r>
          </m:sub>
        </m:sSub>
      </m:oMath>
      <w:r>
        <w:t xml:space="preserve"> </w:t>
      </w:r>
      <w:r>
        <w:t xml:space="preserve">: les règlements cumulés.</w:t>
      </w:r>
    </w:p>
    <w:p>
      <w:pPr>
        <w:numPr>
          <w:ilvl w:val="0"/>
          <w:numId w:val="1026"/>
        </w:numPr>
        <w:pStyle w:val="Compact"/>
      </w:pPr>
      <m:oMath>
        <m:r>
          <m:t>R</m:t>
        </m:r>
        <m:r>
          <m:t>è</m:t>
        </m:r>
        <m:r>
          <m:t>g</m:t>
        </m:r>
        <m:sSub>
          <m:e>
            <m:r>
              <m:t>F</m:t>
            </m:r>
          </m:e>
          <m:sub>
            <m:r>
              <m:t>t</m:t>
            </m:r>
          </m:sub>
        </m:sSub>
      </m:oMath>
      <w:r>
        <w:t xml:space="preserve">: les règlements futurs.</w:t>
      </w:r>
    </w:p>
    <w:p>
      <w:pPr>
        <w:numPr>
          <w:ilvl w:val="0"/>
          <w:numId w:val="1026"/>
        </w:numPr>
        <w:pStyle w:val="Compact"/>
      </w:pPr>
      <m:oMath>
        <m:r>
          <m:t>P</m:t>
        </m:r>
        <m:r>
          <m:t>P</m:t>
        </m:r>
        <m:r>
          <m:t>N</m:t>
        </m:r>
        <m:r>
          <m:t>A</m:t>
        </m:r>
      </m:oMath>
      <w:r>
        <w:t xml:space="preserve">: La provision pour primes non acquises.</w:t>
      </w:r>
    </w:p>
    <w:p>
      <w:pPr>
        <w:numPr>
          <w:ilvl w:val="0"/>
          <w:numId w:val="1026"/>
        </w:numPr>
        <w:pStyle w:val="Compact"/>
      </w:pPr>
      <m:oMath>
        <m:r>
          <m:t>P</m:t>
        </m:r>
        <m:r>
          <m:t>F</m:t>
        </m:r>
        <m:r>
          <m:t>P</m:t>
        </m:r>
      </m:oMath>
      <w:r>
        <w:t xml:space="preserve">: Le montant des primes futures probabilisé.</w:t>
      </w:r>
    </w:p>
    <w:bookmarkEnd w:id="117"/>
    <w:bookmarkStart w:id="119" w:name="Xb466634c561e035f1de049d287c041259c7ccc5"/>
    <w:p>
      <w:pPr>
        <w:pStyle w:val="Heading5"/>
      </w:pPr>
      <w:r>
        <w:t xml:space="preserve">La meilleure estimation des engagements pour sinistres nets (</w:t>
      </w:r>
      <m:oMath>
        <m:r>
          <m:t>B</m:t>
        </m:r>
        <m:r>
          <m:t>E</m:t>
        </m:r>
        <m:r>
          <m:t>S</m:t>
        </m:r>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w:bookmarkStart w:id="118" w:name="eq-gbmp"/>
      <m:oMathPara>
        <m:oMathParaPr>
          <m:jc m:val="center"/>
        </m:oMathParaPr>
        <m:oMath>
          <m:r>
            <m:t>B</m:t>
          </m:r>
          <m:r>
            <m:t>E</m:t>
          </m:r>
          <m:r>
            <m:t>S</m:t>
          </m:r>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r>
            <m:rPr>
              <m:sty m:val="p"/>
            </m:rPr>
            <m:t>,</m:t>
          </m:r>
          <m:r>
            <m:t>  </m:t>
          </m:r>
          <m:d>
            <m:dPr>
              <m:begChr m:val="("/>
              <m:endChr m:val=")"/>
              <m:sepChr m:val=""/>
              <m:grow/>
            </m:dPr>
            <m:e>
              <m:r>
                <m:t>26</m:t>
              </m:r>
            </m:e>
          </m:d>
        </m:oMath>
      </m:oMathPara>
      <w:bookmarkEnd w:id="118"/>
    </w:p>
    <w:p>
      <w:pPr>
        <w:pStyle w:val="FirstParagraph"/>
      </w:pPr>
      <w:r>
        <w:t xml:space="preserve">avec:</w:t>
      </w:r>
    </w:p>
    <w:p>
      <w:pPr>
        <w:numPr>
          <w:ilvl w:val="0"/>
          <w:numId w:val="1027"/>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exigée parl’ACAPS.</w:t>
      </w:r>
    </w:p>
    <w:bookmarkEnd w:id="119"/>
    <w:bookmarkStart w:id="120" w:name="X574a46407ada84d5774a3057497baf873ebb70b"/>
    <w:p>
      <w:pPr>
        <w:pStyle w:val="Heading5"/>
      </w:pPr>
      <w:r>
        <w:t xml:space="preserve">Méthode de calcul des flux de réglements futurs probabilisés pour les opérations non-vie hors rentes</w:t>
      </w:r>
    </w:p>
    <w:bookmarkEnd w:id="120"/>
    <w:bookmarkStart w:id="142" w:name="méthode-des-cadences-chain-ladder"/>
    <w:p>
      <w:pPr>
        <w:pStyle w:val="Heading5"/>
      </w:pPr>
      <w:r>
        <w:t xml:space="preserve">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jc w:val="start"/>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Applications/quarto/share/formats/docx/note.png" id="123" name="Picture"/>
                          <pic:cNvPicPr>
                            <a:picLocks noChangeArrowheads="1" noChangeAspect="1"/>
                          </pic:cNvPicPr>
                        </pic:nvPicPr>
                        <pic:blipFill>
                          <a:blip r:embed="rId1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 :</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Applications/quarto/share/formats/docx/note.png" id="125" name="Picture"/>
                          <pic:cNvPicPr>
                            <a:picLocks noChangeArrowheads="1" noChangeAspect="1"/>
                          </pic:cNvPicPr>
                        </pic:nvPicPr>
                        <pic:blipFill>
                          <a:blip r:embed="rId1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 :</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w:bookmarkStart w:id="126" w:name="eq-gbmp"/>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rPr>
                    <m:sty m:val="p"/>
                  </m:rPr>
                  <m:t>,</m:t>
                </m:r>
                <m:r>
                  <m:t>  </m:t>
                </m:r>
                <m:r>
                  <m:rPr>
                    <m:nor/>
                    <m:sty m:val="p"/>
                  </m:rPr>
                  <m:t>pour</m:t>
                </m:r>
                <m:r>
                  <m:t>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r>
                  <m:t>  </m:t>
                </m:r>
                <m:d>
                  <m:dPr>
                    <m:begChr m:val="("/>
                    <m:endChr m:val=")"/>
                    <m:sepChr m:val=""/>
                    <m:grow/>
                  </m:dPr>
                  <m:e>
                    <m:r>
                      <m:t>27</m:t>
                    </m:r>
                  </m:e>
                </m:d>
              </m:oMath>
            </m:oMathPara>
            <w:bookmarkEnd w:id="126"/>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quarto/share/formats/docx/note.png" id="128" name="Picture"/>
                          <pic:cNvPicPr>
                            <a:picLocks noChangeArrowheads="1" noChangeAspect="1"/>
                          </pic:cNvPicPr>
                        </pic:nvPicPr>
                        <pic:blipFill>
                          <a:blip r:embed="rId1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 :</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8"/>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9"/>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9" name="Picture"/>
                  <a:graphic>
                    <a:graphicData uri="http://schemas.openxmlformats.org/drawingml/2006/picture">
                      <pic:pic>
                        <pic:nvPicPr>
                          <pic:cNvPr descr="/Applications/quarto/share/formats/docx/note.png" id="130" name="Picture"/>
                          <pic:cNvPicPr>
                            <a:picLocks noChangeArrowheads="1" noChangeAspect="1"/>
                          </pic:cNvPicPr>
                        </pic:nvPicPr>
                        <pic:blipFill>
                          <a:blip r:embed="rId1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 :</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w:bookmarkStart w:id="131" w:name="eq-gbmp"/>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r>
                  <m:t> </m:t>
                </m:r>
                <m:r>
                  <m:rPr>
                    <m:sty m:val="p"/>
                  </m:rPr>
                  <m:t>,</m:t>
                </m:r>
                <m:r>
                  <m:t>  </m:t>
                </m:r>
                <m:d>
                  <m:dPr>
                    <m:begChr m:val="("/>
                    <m:endChr m:val=")"/>
                    <m:sepChr m:val=""/>
                    <m:grow/>
                  </m:dPr>
                  <m:e>
                    <m:r>
                      <m:t>28</m:t>
                    </m:r>
                  </m:e>
                </m:d>
              </m:oMath>
            </m:oMathPara>
            <w:bookmarkEnd w:id="131"/>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Applications/quarto/share/formats/docx/note.png" id="133" name="Picture"/>
                          <pic:cNvPicPr>
                            <a:picLocks noChangeArrowheads="1" noChangeAspect="1"/>
                          </pic:cNvPicPr>
                        </pic:nvPicPr>
                        <pic:blipFill>
                          <a:blip r:embed="rId1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 :</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w:bookmarkStart w:id="134" w:name="eq-gbmp"/>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r>
                  <m:t> </m:t>
                </m:r>
                <m:r>
                  <m:rPr>
                    <m:sty m:val="p"/>
                  </m:rPr>
                  <m:t>,</m:t>
                </m:r>
                <m:r>
                  <m:t>  </m:t>
                </m:r>
                <m:d>
                  <m:dPr>
                    <m:begChr m:val="("/>
                    <m:endChr m:val=")"/>
                    <m:sepChr m:val=""/>
                    <m:grow/>
                  </m:dPr>
                  <m:e>
                    <m:r>
                      <m:t>29</m:t>
                    </m:r>
                  </m:e>
                </m:d>
              </m:oMath>
            </m:oMathPara>
            <w:bookmarkEnd w:id="134"/>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w:bookmarkStart w:id="135" w:name="eq-gbmp"/>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r>
                  <m:t>  </m:t>
                </m:r>
                <m:d>
                  <m:dPr>
                    <m:begChr m:val="("/>
                    <m:endChr m:val=")"/>
                    <m:sepChr m:val=""/>
                    <m:grow/>
                  </m:dPr>
                  <m:e>
                    <m:r>
                      <m:t>30</m:t>
                    </m:r>
                  </m:e>
                </m:d>
              </m:oMath>
            </m:oMathPara>
            <w:bookmarkEnd w:id="135"/>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6" name="Picture"/>
                  <a:graphic>
                    <a:graphicData uri="http://schemas.openxmlformats.org/drawingml/2006/picture">
                      <pic:pic>
                        <pic:nvPicPr>
                          <pic:cNvPr descr="/Applications/quarto/share/formats/docx/note.png" id="137" name="Picture"/>
                          <pic:cNvPicPr>
                            <a:picLocks noChangeArrowheads="1" noChangeAspect="1"/>
                          </pic:cNvPicPr>
                        </pic:nvPicPr>
                        <pic:blipFill>
                          <a:blip r:embed="rId1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 :</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w:bookmarkStart w:id="138" w:name="eq-gbmp"/>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 </m:t>
                </m:r>
                <m:r>
                  <m:t>p</m:t>
                </m:r>
                <m:r>
                  <m:t>o</m:t>
                </m:r>
                <m:r>
                  <m:t>u</m:t>
                </m:r>
                <m:r>
                  <m:t>r</m:t>
                </m:r>
                <m:r>
                  <m:t> </m:t>
                </m:r>
                <m:r>
                  <m:t> </m:t>
                </m:r>
                <m:r>
                  <m:t>1</m:t>
                </m:r>
                <m:r>
                  <m:rPr>
                    <m:sty m:val="p"/>
                  </m:rPr>
                  <m:t>≤</m:t>
                </m:r>
                <m:r>
                  <m:t>i</m:t>
                </m:r>
                <m:r>
                  <m:rPr>
                    <m:sty m:val="p"/>
                  </m:rPr>
                  <m:t>,</m:t>
                </m:r>
                <m:r>
                  <m:t>j</m:t>
                </m:r>
                <m:r>
                  <m:rPr>
                    <m:sty m:val="p"/>
                  </m:rPr>
                  <m:t>≤</m:t>
                </m:r>
                <m:r>
                  <m:t>n</m:t>
                </m:r>
                <m:r>
                  <m:t> </m:t>
                </m:r>
                <m:r>
                  <m:rPr>
                    <m:sty m:val="p"/>
                  </m:rPr>
                  <m:t>,</m:t>
                </m:r>
                <m:r>
                  <m:t>  </m:t>
                </m:r>
                <m:d>
                  <m:dPr>
                    <m:begChr m:val="("/>
                    <m:endChr m:val=")"/>
                    <m:sepChr m:val=""/>
                    <m:grow/>
                  </m:dPr>
                  <m:e>
                    <m:r>
                      <m:t>31</m:t>
                    </m:r>
                  </m:e>
                </m:d>
              </m:oMath>
            </m:oMathPara>
            <w:bookmarkEnd w:id="138"/>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Applications/quarto/share/formats/docx/note.png" id="140" name="Picture"/>
                          <pic:cNvPicPr>
                            <a:picLocks noChangeArrowheads="1" noChangeAspect="1"/>
                          </pic:cNvPicPr>
                        </pic:nvPicPr>
                        <pic:blipFill>
                          <a:blip r:embed="rId1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w:bookmarkStart w:id="141" w:name="eq-gbmp"/>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a</m:t>
                </m:r>
                <m:r>
                  <m:t>v</m:t>
                </m:r>
                <m:r>
                  <m:t>e</m:t>
                </m:r>
                <m:r>
                  <m:t>c</m:t>
                </m:r>
                <m:r>
                  <m:t> </m:t>
                </m:r>
                <m:r>
                  <m:t> </m:t>
                </m:r>
                <m:r>
                  <m:t>1</m:t>
                </m:r>
                <m:r>
                  <m:rPr>
                    <m:sty m:val="p"/>
                  </m:rPr>
                  <m:t>≤</m:t>
                </m:r>
                <m:r>
                  <m:t>p</m:t>
                </m:r>
                <m:r>
                  <m:rPr>
                    <m:sty m:val="p"/>
                  </m:rPr>
                  <m:t>≤</m:t>
                </m:r>
                <m:r>
                  <m:t>n</m:t>
                </m:r>
                <m:r>
                  <m:t>  </m:t>
                </m:r>
                <m:d>
                  <m:dPr>
                    <m:begChr m:val="("/>
                    <m:endChr m:val=")"/>
                    <m:sepChr m:val=""/>
                    <m:grow/>
                  </m:dPr>
                  <m:e>
                    <m:r>
                      <m:t>32</m:t>
                    </m:r>
                  </m:e>
                </m:d>
              </m:oMath>
            </m:oMathPara>
            <w:bookmarkEnd w:id="141"/>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142"/>
    <w:bookmarkStart w:id="143" w:name="méthode-des-cadences-avec-inflation"/>
    <w:p>
      <w:pPr>
        <w:pStyle w:val="Heading5"/>
      </w:pPr>
      <w:r>
        <w:t xml:space="preserve">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143"/>
    <w:bookmarkStart w:id="145" w:name="la-méthode-du-ratio-de-paiement"/>
    <w:p>
      <w:pPr>
        <w:pStyle w:val="Heading5"/>
      </w:pPr>
      <w:r>
        <w:t xml:space="preserve">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w:bookmarkStart w:id="144" w:name="eq-gbmp"/>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r>
            <m:t>  </m:t>
          </m:r>
          <m:d>
            <m:dPr>
              <m:begChr m:val="("/>
              <m:endChr m:val=")"/>
              <m:sepChr m:val=""/>
              <m:grow/>
            </m:dPr>
            <m:e>
              <m:r>
                <m:t>33</m:t>
              </m:r>
            </m:e>
          </m:d>
        </m:oMath>
      </m:oMathPara>
      <w:bookmarkEnd w:id="144"/>
    </w:p>
    <w:bookmarkEnd w:id="145"/>
    <w:bookmarkStart w:id="151" w:name="la-méthode-du-ratio-de-paiement-1"/>
    <w:p>
      <w:pPr>
        <w:pStyle w:val="Heading5"/>
      </w:pPr>
      <w:r>
        <w:t xml:space="preserve">La méthode du ratio de paiement</w:t>
      </w:r>
    </w:p>
    <w:p>
      <w:pPr>
        <w:pStyle w:val="FirstParagraph"/>
      </w:pPr>
      <w:r>
        <w:t xml:space="preserve">La méthode de Bornhuetter-Ferguson</w:t>
      </w:r>
      <w:r>
        <w:rPr>
          <w:rStyle w:val="FootnoteReference"/>
        </w:rPr>
        <w:footnoteReference w:id="146"/>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147"/>
      </w:r>
      <w:r>
        <w:t xml:space="preserve"> </w:t>
      </w:r>
      <w:r>
        <w:t xml:space="preserve">Cette méthode se formule comme suit :</w:t>
      </w:r>
    </w:p>
    <w:p>
      <w:pPr>
        <w:pStyle w:val="BodyText"/>
      </w:pPr>
      <w:bookmarkStart w:id="148" w:name="eq-gbmp"/>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r>
            <m:rPr>
              <m:sty m:val="p"/>
            </m:rPr>
            <m:t>×</m:t>
          </m:r>
          <m:d>
            <m:dPr>
              <m:begChr m:val="("/>
              <m:endChr m:val=")"/>
              <m:sepChr m:val=""/>
              <m:grow/>
            </m:dPr>
            <m:e>
              <m:r>
                <m:t>1</m:t>
              </m:r>
              <m:r>
                <m:rPr>
                  <m:sty m:val="p"/>
                </m:rPr>
                <m:t>−</m:t>
              </m:r>
              <m:f>
                <m:fPr>
                  <m:type m:val="bar"/>
                </m:fPr>
                <m:num>
                  <m:r>
                    <m:t>1</m:t>
                  </m:r>
                </m:num>
                <m:den>
                  <m:r>
                    <m:t>L</m:t>
                  </m:r>
                  <m:r>
                    <m:t>D</m:t>
                  </m:r>
                  <m:r>
                    <m:t>F</m:t>
                  </m:r>
                </m:den>
              </m:f>
            </m:e>
          </m:d>
          <m:r>
            <m:t> </m:t>
          </m:r>
          <m:r>
            <m:rPr>
              <m:sty m:val="p"/>
            </m:rPr>
            <m:t>,</m:t>
          </m:r>
          <m:r>
            <m:t>  </m:t>
          </m:r>
          <m:d>
            <m:dPr>
              <m:begChr m:val="("/>
              <m:endChr m:val=")"/>
              <m:sepChr m:val=""/>
              <m:grow/>
            </m:dPr>
            <m:e>
              <m:r>
                <m:t>34</m:t>
              </m:r>
            </m:e>
          </m:d>
        </m:oMath>
      </m:oMathPara>
      <w:bookmarkEnd w:id="148"/>
    </w:p>
    <w:p>
      <w:pPr>
        <w:pStyle w:val="FirstParagraph"/>
      </w:pPr>
      <w:r>
        <w:t xml:space="preserve">avec :</w:t>
      </w:r>
    </w:p>
    <w:p>
      <w:pPr>
        <w:numPr>
          <w:ilvl w:val="0"/>
          <w:numId w:val="1030"/>
        </w:numPr>
        <w:pStyle w:val="Compact"/>
      </w:pPr>
      <m:oMath>
        <m:r>
          <m:t>L</m:t>
        </m:r>
      </m:oMath>
      <w:r>
        <w:t xml:space="preserve"> </w:t>
      </w:r>
      <w:r>
        <w:t xml:space="preserve">: coût total estimé par cette méthode.</w:t>
      </w:r>
    </w:p>
    <w:p>
      <w:pPr>
        <w:numPr>
          <w:ilvl w:val="0"/>
          <w:numId w:val="1030"/>
        </w:numPr>
        <w:pStyle w:val="Compact"/>
      </w:pPr>
      <m:oMath>
        <m:r>
          <m:t>D</m:t>
        </m:r>
      </m:oMath>
      <w:r>
        <w:t xml:space="preserve"> </w:t>
      </w:r>
      <w:r>
        <w:t xml:space="preserve">: coût total estimé en fonction des sinistres connues.</w:t>
      </w:r>
    </w:p>
    <w:p>
      <w:pPr>
        <w:numPr>
          <w:ilvl w:val="0"/>
          <w:numId w:val="1030"/>
        </w:numPr>
        <w:pStyle w:val="Compact"/>
      </w:pPr>
      <m:oMath>
        <m:r>
          <m:t>A</m:t>
        </m:r>
      </m:oMath>
      <w:r>
        <w:t xml:space="preserve"> </w:t>
      </w:r>
      <w:r>
        <w:t xml:space="preserve">: coût total (connus + tardifs) attendu a priori.</w:t>
      </w:r>
    </w:p>
    <w:p>
      <w:pPr>
        <w:numPr>
          <w:ilvl w:val="0"/>
          <w:numId w:val="1030"/>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49" name="Picture"/>
                  <a:graphic>
                    <a:graphicData uri="http://schemas.openxmlformats.org/drawingml/2006/picture">
                      <pic:pic>
                        <pic:nvPicPr>
                          <pic:cNvPr descr="/Applications/quarto/share/formats/docx/tip.png" id="15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51"/>
    <w:bookmarkEnd w:id="152"/>
    <w:bookmarkStart w:id="157" w:name="X7e63ab4301a770f99d7cb8d654e83cd2564e4b4"/>
    <w:p>
      <w:pPr>
        <w:pStyle w:val="Heading4"/>
      </w:pPr>
      <w:r>
        <w:t xml:space="preserve">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w:bookmarkStart w:id="153" w:name="eq-gbmp"/>
      <m:oMathPara>
        <m:oMathParaPr>
          <m:jc m:val="center"/>
        </m:oMathParaPr>
        <m:oMath>
          <m:r>
            <m:t>B</m:t>
          </m:r>
          <m:r>
            <m:t>E</m:t>
          </m:r>
          <m:r>
            <m:t>F</m:t>
          </m:r>
          <m:r>
            <m:t>G</m:t>
          </m:r>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r>
            <m:t> </m:t>
          </m:r>
          <m:r>
            <m:rPr>
              <m:sty m:val="p"/>
            </m:rPr>
            <m:t>,</m:t>
          </m:r>
          <m:r>
            <m:t>  </m:t>
          </m:r>
          <m:d>
            <m:dPr>
              <m:begChr m:val="("/>
              <m:endChr m:val=")"/>
              <m:sepChr m:val=""/>
              <m:grow/>
            </m:dPr>
            <m:e>
              <m:r>
                <m:t>35</m:t>
              </m:r>
            </m:e>
          </m:d>
        </m:oMath>
      </m:oMathPara>
      <w:bookmarkEnd w:id="153"/>
    </w:p>
    <w:p>
      <w:pPr>
        <w:pStyle w:val="FirstParagraph"/>
      </w:pPr>
      <w:r>
        <w:t xml:space="preserve">avec:</w:t>
      </w:r>
    </w:p>
    <w:p>
      <w:pPr>
        <w:numPr>
          <w:ilvl w:val="0"/>
          <w:numId w:val="1031"/>
        </w:numPr>
        <w:pStyle w:val="Compact"/>
      </w:pPr>
      <m:oMath>
        <m:r>
          <m:t>F</m:t>
        </m:r>
        <m:r>
          <m:t>F</m:t>
        </m:r>
        <m:r>
          <m:t>G</m:t>
        </m:r>
        <m:r>
          <m:t>F</m:t>
        </m:r>
      </m:oMath>
      <w:r>
        <w:t xml:space="preserve">: les flux de frais de gestion futurs. telle que:</w:t>
      </w:r>
    </w:p>
    <w:p>
      <w:pPr>
        <w:pStyle w:val="Compact"/>
      </w:pPr>
      <w:bookmarkStart w:id="154" w:name="eq-gbmp"/>
      <m:oMathPara>
        <m:oMathParaPr>
          <m:jc m:val="center"/>
        </m:oMathParaPr>
        <m:oMath>
          <m:r>
            <m:t>F</m:t>
          </m:r>
          <m:r>
            <m:t>F</m:t>
          </m:r>
          <m:r>
            <m:t>G</m:t>
          </m:r>
          <m:r>
            <m:t>F</m:t>
          </m:r>
          <m:r>
            <m:rPr>
              <m:sty m:val="p"/>
            </m:rPr>
            <m:t>=</m:t>
          </m:r>
          <m:bar>
            <m:barPr>
              <m:pos m:val="top"/>
            </m:barPr>
            <m:e>
              <m:r>
                <m:t>T</m:t>
              </m:r>
              <m:r>
                <m:t>F</m:t>
              </m:r>
              <m:r>
                <m:t>G</m:t>
              </m:r>
            </m:e>
          </m:bar>
          <m:r>
            <m:rPr>
              <m:sty m:val="p"/>
            </m:rPr>
            <m:t>×</m:t>
          </m:r>
          <m:d>
            <m:dPr>
              <m:begChr m:val="("/>
              <m:endChr m:val=")"/>
              <m:sepChr m:val=""/>
              <m:grow/>
            </m:dPr>
            <m:e>
              <m:r>
                <m:t>B</m:t>
              </m:r>
              <m:r>
                <m:t>E</m:t>
              </m:r>
              <m:r>
                <m:t>S</m:t>
              </m:r>
              <m:r>
                <m:rPr>
                  <m:sty m:val="p"/>
                </m:rPr>
                <m:t>+</m:t>
              </m:r>
              <m:r>
                <m:t>B</m:t>
              </m:r>
              <m:r>
                <m:t>E</m:t>
              </m:r>
              <m:r>
                <m:t>P</m:t>
              </m:r>
            </m:e>
          </m:d>
          <m:r>
            <m:t> </m:t>
          </m:r>
          <m:r>
            <m:rPr>
              <m:sty m:val="p"/>
            </m:rPr>
            <m:t>,</m:t>
          </m:r>
          <m:r>
            <m:t>  </m:t>
          </m:r>
          <m:d>
            <m:dPr>
              <m:begChr m:val="("/>
              <m:endChr m:val=")"/>
              <m:sepChr m:val=""/>
              <m:grow/>
            </m:dPr>
            <m:e>
              <m:r>
                <m:t>36</m:t>
              </m:r>
            </m:e>
          </m:d>
        </m:oMath>
      </m:oMathPara>
      <w:bookmarkEnd w:id="154"/>
    </w:p>
    <w:p>
      <w:pPr>
        <w:pStyle w:val="FirstParagraph"/>
      </w:pPr>
      <w:r>
        <w:t xml:space="preserve">et:</w:t>
      </w:r>
    </w:p>
    <w:p>
      <w:pPr>
        <w:numPr>
          <w:ilvl w:val="0"/>
          <w:numId w:val="1032"/>
        </w:numPr>
        <w:pStyle w:val="Compact"/>
      </w:pPr>
      <m:oMath>
        <m:r>
          <m:t>T</m:t>
        </m:r>
        <m:r>
          <m:t>F</m:t>
        </m:r>
        <m:r>
          <m:t>G</m:t>
        </m:r>
        <m:r>
          <m:t>M</m:t>
        </m:r>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w:bookmarkStart w:id="155" w:name="eq-gbmp"/>
      <m:oMathPara>
        <m:oMathParaPr>
          <m:jc m:val="center"/>
        </m:oMathParaPr>
        <m:oMath>
          <m:bar>
            <m:barPr>
              <m:pos m:val="top"/>
            </m:barPr>
            <m:e>
              <m:r>
                <m:t>T</m:t>
              </m:r>
              <m:r>
                <m:t>F</m:t>
              </m:r>
              <m:r>
                <m:t>G</m:t>
              </m:r>
            </m:e>
          </m:bar>
          <m:r>
            <m:rPr>
              <m:sty m:val="p"/>
            </m:rPr>
            <m:t>=</m:t>
          </m:r>
          <m:f>
            <m:fPr>
              <m:type m:val="bar"/>
            </m:fPr>
            <m:num>
              <m:r>
                <m:t>T</m:t>
              </m:r>
              <m:r>
                <m:t>F</m:t>
              </m:r>
              <m:sSub>
                <m:e>
                  <m:r>
                    <m:t>G</m:t>
                  </m:r>
                </m:e>
                <m:sub>
                  <m:r>
                    <m:t>t</m:t>
                  </m:r>
                </m:sub>
              </m:sSub>
              <m:r>
                <m:rPr>
                  <m:sty m:val="p"/>
                </m:rPr>
                <m:t>+</m:t>
              </m:r>
              <m:r>
                <m:t>T</m:t>
              </m:r>
              <m:r>
                <m:t>F</m:t>
              </m:r>
              <m:sSub>
                <m:e>
                  <m:r>
                    <m:t>G</m:t>
                  </m:r>
                </m:e>
                <m:sub>
                  <m:r>
                    <m:t>t</m:t>
                  </m:r>
                  <m:r>
                    <m:rPr>
                      <m:sty m:val="p"/>
                    </m:rPr>
                    <m:t>−</m:t>
                  </m:r>
                  <m:r>
                    <m:t>1</m:t>
                  </m:r>
                </m:sub>
              </m:sSub>
              <m:r>
                <m:rPr>
                  <m:sty m:val="p"/>
                </m:rPr>
                <m:t>+</m:t>
              </m:r>
              <m:r>
                <m:t>T</m:t>
              </m:r>
              <m:r>
                <m:t>F</m:t>
              </m:r>
              <m:sSub>
                <m:e>
                  <m:r>
                    <m:t>G</m:t>
                  </m:r>
                </m:e>
                <m:sub>
                  <m:r>
                    <m:t>t</m:t>
                  </m:r>
                  <m:r>
                    <m:rPr>
                      <m:sty m:val="p"/>
                    </m:rPr>
                    <m:t>−</m:t>
                  </m:r>
                  <m:r>
                    <m:t>2</m:t>
                  </m:r>
                </m:sub>
              </m:sSub>
            </m:num>
            <m:den>
              <m:r>
                <m:t>3</m:t>
              </m:r>
            </m:den>
          </m:f>
          <m:r>
            <m:t> </m:t>
          </m:r>
          <m:r>
            <m:rPr>
              <m:sty m:val="p"/>
            </m:rPr>
            <m:t>,</m:t>
          </m:r>
          <m:r>
            <m:t>  </m:t>
          </m:r>
          <m:d>
            <m:dPr>
              <m:begChr m:val="("/>
              <m:endChr m:val=")"/>
              <m:sepChr m:val=""/>
              <m:grow/>
            </m:dPr>
            <m:e>
              <m:r>
                <m:t>37</m:t>
              </m:r>
            </m:e>
          </m:d>
        </m:oMath>
      </m:oMathPara>
      <w:bookmarkEnd w:id="155"/>
    </w:p>
    <w:p>
      <w:pPr>
        <w:pStyle w:val="FirstParagraph"/>
      </w:pPr>
      <w:r>
        <w:t xml:space="preserve">ainsi que :</w:t>
      </w:r>
    </w:p>
    <w:p>
      <w:pPr>
        <w:pStyle w:val="BodyText"/>
      </w:pPr>
      <w:bookmarkStart w:id="156" w:name="eq-gbmp"/>
      <m:oMathPara>
        <m:oMathParaPr>
          <m:jc m:val="center"/>
        </m:oMathParaPr>
        <m:oMath>
          <m:r>
            <m:t>T</m:t>
          </m:r>
          <m:r>
            <m:t>F</m:t>
          </m:r>
          <m:sSub>
            <m:e>
              <m:r>
                <m:t>G</m:t>
              </m:r>
            </m:e>
            <m:sub>
              <m:r>
                <m:t>t</m:t>
              </m:r>
            </m:sub>
          </m:sSub>
          <m:r>
            <m:rPr>
              <m:sty m:val="p"/>
            </m:rPr>
            <m:t>=</m:t>
          </m:r>
          <m:f>
            <m:fPr>
              <m:type m:val="bar"/>
            </m:fPr>
            <m:num>
              <m:r>
                <m:t>F</m:t>
              </m:r>
              <m:r>
                <m:t>G</m:t>
              </m:r>
            </m:num>
            <m:den>
              <m:r>
                <m:t>B</m:t>
              </m:r>
              <m:r>
                <m:t>E</m:t>
              </m:r>
              <m:r>
                <m:t>S</m:t>
              </m:r>
              <m:r>
                <m:rPr>
                  <m:sty m:val="p"/>
                </m:rPr>
                <m:t>+</m:t>
              </m:r>
              <m:r>
                <m:t>R</m:t>
              </m:r>
              <m:r>
                <m:t>E</m:t>
              </m:r>
              <m:r>
                <m:t>C</m:t>
              </m:r>
            </m:den>
          </m:f>
          <m:r>
            <m:t> </m:t>
          </m:r>
          <m:r>
            <m:rPr>
              <m:sty m:val="p"/>
            </m:rPr>
            <m:t>,</m:t>
          </m:r>
          <m:r>
            <m:t>  </m:t>
          </m:r>
          <m:d>
            <m:dPr>
              <m:begChr m:val="("/>
              <m:endChr m:val=")"/>
              <m:sepChr m:val=""/>
              <m:grow/>
            </m:dPr>
            <m:e>
              <m:r>
                <m:t>38</m:t>
              </m:r>
            </m:e>
          </m:d>
        </m:oMath>
      </m:oMathPara>
      <w:bookmarkEnd w:id="156"/>
    </w:p>
    <w:p>
      <w:pPr>
        <w:pStyle w:val="FirstParagraph"/>
      </w:pPr>
      <w:r>
        <w:t xml:space="preserve">avec :</w:t>
      </w:r>
    </w:p>
    <w:p>
      <w:pPr>
        <w:numPr>
          <w:ilvl w:val="0"/>
          <w:numId w:val="1033"/>
        </w:numPr>
        <w:pStyle w:val="Compact"/>
      </w:pPr>
      <m:oMath>
        <m:r>
          <m:t>F</m:t>
        </m:r>
        <m:r>
          <m:t>G</m:t>
        </m:r>
      </m:oMath>
      <w:r>
        <w:t xml:space="preserve">: le montant frais de gestion.</w:t>
      </w:r>
    </w:p>
    <w:p>
      <w:pPr>
        <w:numPr>
          <w:ilvl w:val="0"/>
          <w:numId w:val="1033"/>
        </w:numPr>
        <w:pStyle w:val="Compact"/>
      </w:pPr>
      <m:oMath>
        <m:r>
          <m:t>R</m:t>
        </m:r>
        <m:r>
          <m:t>E</m:t>
        </m:r>
        <m:r>
          <m:t>C</m:t>
        </m:r>
      </m:oMath>
      <w:r>
        <w:t xml:space="preserve"> </w:t>
      </w:r>
      <w:r>
        <w:t xml:space="preserve">: les règlements au titre de l’exercice clos.</w:t>
      </w:r>
    </w:p>
    <w:bookmarkEnd w:id="157"/>
    <w:bookmarkEnd w:id="158"/>
    <w:bookmarkEnd w:id="159"/>
    <w:bookmarkEnd w:id="160"/>
    <w:bookmarkStart w:id="180" w:name="chapitre-v-part-des-cessionnaires"/>
    <w:p>
      <w:pPr>
        <w:pStyle w:val="Heading1"/>
      </w:pPr>
      <w:r>
        <w:t xml:space="preserve">5. CHAPITRE V : Part des cessionnaires</w:t>
      </w:r>
    </w:p>
    <w:bookmarkStart w:id="179" w:name="Xf3f8abd7a5710234231d4d992dd0ccf8ee2969b"/>
    <w:p>
      <w:pPr>
        <w:pStyle w:val="Heading2"/>
      </w:pPr>
      <w:r>
        <w:t xml:space="preserve">5.1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w:bookmarkStart w:id="161" w:name="eq-gbmp"/>
      <m:oMathPara>
        <m:oMathParaPr>
          <m:jc m:val="center"/>
        </m:oMathParaPr>
        <m:oMath>
          <m:r>
            <m:t>P</m:t>
          </m:r>
          <m:r>
            <m:t>C</m:t>
          </m:r>
          <m:r>
            <m:rPr>
              <m:sty m:val="p"/>
            </m:rPr>
            <m:t>=</m:t>
          </m:r>
          <m:r>
            <m:t>B</m:t>
          </m:r>
          <m:r>
            <m:t>E</m:t>
          </m:r>
          <m:r>
            <m:t>C</m:t>
          </m:r>
          <m:r>
            <m:rPr>
              <m:sty m:val="p"/>
            </m:rPr>
            <m:t>−</m:t>
          </m:r>
          <m:r>
            <m:t>A</m:t>
          </m:r>
          <m:r>
            <m:t>d</m:t>
          </m:r>
          <m:r>
            <m:t>j</m:t>
          </m:r>
          <m:r>
            <m:t>  </m:t>
          </m:r>
          <m:d>
            <m:dPr>
              <m:begChr m:val="("/>
              <m:endChr m:val=")"/>
              <m:sepChr m:val=""/>
              <m:grow/>
            </m:dPr>
            <m:e>
              <m:r>
                <m:t>39</m:t>
              </m:r>
            </m:e>
          </m:d>
        </m:oMath>
      </m:oMathPara>
      <w:bookmarkEnd w:id="161"/>
    </w:p>
    <w:bookmarkStart w:id="166" w:name="Xa95ba47c318081750f82f16389a34a7647ac1fa"/>
    <w:p>
      <w:pPr>
        <w:pStyle w:val="Heading3"/>
      </w:pPr>
      <w:r>
        <w:t xml:space="preserve">La meilleure estimation des engagements cédés (</w:t>
      </w:r>
      <m:oMath>
        <m:r>
          <m:t>B</m:t>
        </m:r>
        <m:r>
          <m:t>E</m:t>
        </m:r>
        <m:r>
          <m:t>C</m:t>
        </m:r>
      </m:oMath>
      <w:r>
        <w:t xml:space="preserve">) :</w:t>
      </w:r>
    </w:p>
    <w:bookmarkStart w:id="163" w:name="X0f00ae71319169104bfd1725b5f02737fc4d35e"/>
    <w:p>
      <w:pPr>
        <w:pStyle w:val="Heading4"/>
      </w:pPr>
      <w:r>
        <w:t xml:space="preserve">Les opérations d’assurance vie, décès ou de capitalisation :</w:t>
      </w:r>
    </w:p>
    <w:p>
      <w:pPr>
        <w:pStyle w:val="FirstParagraph"/>
      </w:pPr>
      <w:r>
        <w:t xml:space="preserve">la meilleure estimation des engagements cédés est évaluée en multipliant la meilleure estimation des engagements par le rapport entre d’une part, la part des cessionnaires dans les provisions mathématiques et dans les provisions pour capitaux, rentes et rachats à payer et d’autre part, la somme des provisions mathématiques , des provisions pour capitaux, rentes et rachats à payer bruts de réassurance.</w:t>
      </w:r>
    </w:p>
    <w:p>
      <w:pPr>
        <w:pStyle w:val="BodyText"/>
      </w:pPr>
      <w:bookmarkStart w:id="162" w:name="eq-gbmp"/>
      <m:oMathPara>
        <m:oMathParaPr>
          <m:jc m:val="center"/>
        </m:oMathParaPr>
        <m:oMath>
          <m:r>
            <m:t>B</m:t>
          </m:r>
          <m:r>
            <m:t>E</m:t>
          </m:r>
          <m:r>
            <m:t>C</m:t>
          </m:r>
          <m:r>
            <m:rPr>
              <m:sty m:val="p"/>
            </m:rPr>
            <m:t>=</m:t>
          </m:r>
          <m:r>
            <m:t>T</m:t>
          </m:r>
          <m:r>
            <m:t>C</m:t>
          </m:r>
          <m:r>
            <m:rPr>
              <m:sty m:val="p"/>
            </m:rPr>
            <m:t>×</m:t>
          </m:r>
          <m:r>
            <m:t>B</m:t>
          </m:r>
          <m:sSub>
            <m:e>
              <m:r>
                <m:t>E</m:t>
              </m:r>
            </m:e>
            <m:sub>
              <m:r>
                <m:t>e</m:t>
              </m:r>
              <m:r>
                <m:t>n</m:t>
              </m:r>
              <m:r>
                <m:t>g</m:t>
              </m:r>
            </m:sub>
          </m:sSub>
          <m:r>
            <m:t> </m:t>
          </m:r>
          <m:r>
            <m:rPr>
              <m:sty m:val="p"/>
            </m:rPr>
            <m:t>,</m:t>
          </m:r>
          <m:r>
            <m:t>  </m:t>
          </m:r>
          <m:d>
            <m:dPr>
              <m:begChr m:val="("/>
              <m:endChr m:val=")"/>
              <m:sepChr m:val=""/>
              <m:grow/>
            </m:dPr>
            <m:e>
              <m:r>
                <m:t>40</m:t>
              </m:r>
            </m:e>
          </m:d>
        </m:oMath>
      </m:oMathPara>
      <w:bookmarkEnd w:id="162"/>
    </w:p>
    <w:p>
      <w:pPr>
        <w:pStyle w:val="FirstParagraph"/>
      </w:pPr>
      <w:r>
        <w:t xml:space="preserve">avec :</w:t>
      </w:r>
    </w:p>
    <w:p>
      <w:pPr>
        <w:numPr>
          <w:ilvl w:val="0"/>
          <w:numId w:val="1034"/>
        </w:numPr>
        <w:pStyle w:val="Compact"/>
      </w:pPr>
      <m:oMath>
        <m:r>
          <m:t>T</m:t>
        </m:r>
        <m:r>
          <m:t>C</m:t>
        </m:r>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63"/>
    <w:bookmarkStart w:id="165" w:name="les-opérations-non-vie"/>
    <w:p>
      <w:pPr>
        <w:pStyle w:val="Heading4"/>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w:bookmarkStart w:id="164" w:name="eq-gbmp"/>
      <m:oMathPara>
        <m:oMathParaPr>
          <m:jc m:val="center"/>
        </m:oMathParaPr>
        <m:oMath>
          <m:r>
            <m:t>B</m:t>
          </m:r>
          <m:r>
            <m:t>E</m:t>
          </m:r>
          <m:r>
            <m:t>C</m:t>
          </m:r>
          <m:r>
            <m:rPr>
              <m:sty m:val="p"/>
            </m:rPr>
            <m:t>=</m:t>
          </m:r>
          <m:r>
            <m:t> </m:t>
          </m:r>
          <m:r>
            <m:t>B</m:t>
          </m:r>
          <m:r>
            <m:t>E</m:t>
          </m:r>
          <m:r>
            <m:t>S</m:t>
          </m:r>
          <m:r>
            <m:t>C</m:t>
          </m:r>
          <m:r>
            <m:rPr>
              <m:sty m:val="p"/>
            </m:rPr>
            <m:t>+</m:t>
          </m:r>
          <m:r>
            <m:t> </m:t>
          </m:r>
          <m:r>
            <m:t>B</m:t>
          </m:r>
          <m:r>
            <m:t>E</m:t>
          </m:r>
          <m:r>
            <m:t>P</m:t>
          </m:r>
          <m:r>
            <m:t>C</m:t>
          </m:r>
          <m:r>
            <m:t> </m:t>
          </m:r>
          <m:r>
            <m:rPr>
              <m:sty m:val="p"/>
            </m:rPr>
            <m:t>,</m:t>
          </m:r>
          <m:r>
            <m:t>  </m:t>
          </m:r>
          <m:d>
            <m:dPr>
              <m:begChr m:val="("/>
              <m:endChr m:val=")"/>
              <m:sepChr m:val=""/>
              <m:grow/>
            </m:dPr>
            <m:e>
              <m:r>
                <m:t>41</m:t>
              </m:r>
            </m:e>
          </m:d>
        </m:oMath>
      </m:oMathPara>
      <w:bookmarkEnd w:id="164"/>
    </w:p>
    <w:p>
      <w:pPr>
        <w:pStyle w:val="FirstParagraph"/>
      </w:pPr>
      <w:r>
        <w:t xml:space="preserve">avec :</w:t>
      </w:r>
    </w:p>
    <w:p>
      <w:pPr>
        <w:numPr>
          <w:ilvl w:val="0"/>
          <w:numId w:val="1035"/>
        </w:numPr>
      </w:pPr>
      <m:oMath>
        <m:r>
          <m:t>B</m:t>
        </m:r>
        <m:r>
          <m:t>E</m:t>
        </m:r>
        <m:r>
          <m:t>S</m:t>
        </m:r>
        <m:r>
          <m:t>C</m:t>
        </m:r>
        <m:r>
          <m:rPr>
            <m:sty m:val="p"/>
          </m:rPr>
          <m:t>=</m:t>
        </m:r>
        <m:r>
          <m:t>T</m:t>
        </m:r>
        <m:r>
          <m:t>C</m:t>
        </m:r>
        <m:r>
          <m:t>S</m:t>
        </m:r>
        <m:r>
          <m:rPr>
            <m:sty m:val="p"/>
          </m:rPr>
          <m:t>×</m:t>
        </m:r>
        <m:r>
          <m:t>B</m:t>
        </m:r>
        <m:r>
          <m:t>E</m:t>
        </m:r>
        <m:r>
          <m:t>S</m:t>
        </m:r>
      </m:oMath>
      <w:r>
        <w:t xml:space="preserve"> </w:t>
      </w:r>
      <w:r>
        <w:t xml:space="preserve">: La meilleure estimation des engagements pour sinistres cédés est évaluée en multipliant la meilleure estimation des engagements pour sinistres nets de recours par (</w:t>
      </w:r>
      <w:r>
        <w:t xml:space="preserve">$TCS}$</w:t>
      </w:r>
      <w:r>
        <w:t xml:space="preserve">), le rapport entre la part des cessionnaires dans les provisions pour sinistres à payer et la provision pour sinistres à payer brute de réassurance.</w:t>
      </w:r>
    </w:p>
    <w:p>
      <w:pPr>
        <w:numPr>
          <w:ilvl w:val="0"/>
          <w:numId w:val="1035"/>
        </w:numPr>
      </w:pPr>
      <m:oMath>
        <m:r>
          <m:t>B</m:t>
        </m:r>
        <m:r>
          <m:t>E</m:t>
        </m:r>
        <m:r>
          <m:t>P</m:t>
        </m:r>
        <m:r>
          <m:t>C</m:t>
        </m:r>
        <m:r>
          <m:rPr>
            <m:sty m:val="p"/>
          </m:rPr>
          <m:t>=</m:t>
        </m:r>
        <m:r>
          <m:t>T</m:t>
        </m:r>
        <m:r>
          <m:t>C</m:t>
        </m:r>
        <m:r>
          <m:t>P</m:t>
        </m:r>
        <m:r>
          <m:rPr>
            <m:sty m:val="p"/>
          </m:rPr>
          <m:t>×</m:t>
        </m:r>
        <m:r>
          <m:t>B</m:t>
        </m:r>
        <m:r>
          <m:t>E</m:t>
        </m:r>
        <m:r>
          <m:t>P</m:t>
        </m:r>
      </m:oMath>
      <w:r>
        <w:t xml:space="preserve"> </w:t>
      </w:r>
      <w:r>
        <w:t xml:space="preserve">: La meilleure estimation des engagements pour primes cédés est évaluée en multipliant la meilleure estimation des engagements pour primes par le taux de cession de primes. Le taux de cession (</w:t>
      </w:r>
      <m:oMath>
        <m:r>
          <m:t>T</m:t>
        </m:r>
        <m:r>
          <m:t>C</m:t>
        </m:r>
        <m:r>
          <m:t>P</m:t>
        </m:r>
      </m:oMath>
      <w:r>
        <w:t xml:space="preserve">) de primes précité correspond au rapport entre les primes brutes non vie (cessions) et les primes émises de l’exercice.</w:t>
      </w:r>
    </w:p>
    <w:bookmarkEnd w:id="165"/>
    <w:bookmarkEnd w:id="166"/>
    <w:bookmarkStart w:id="178" w:name="lajustement-pour-défaut-de-contrepartie"/>
    <w:p>
      <w:pPr>
        <w:pStyle w:val="Heading3"/>
      </w:pPr>
      <w:r>
        <w:t xml:space="preserve">L’ajustement pour défaut de contrepartie :</w:t>
      </w:r>
    </w:p>
    <w:p>
      <w:pPr>
        <w:pStyle w:val="FirstParagraph"/>
      </w:pPr>
      <w:r>
        <w:t xml:space="preserve">En cas de réassuarance, la compagnie d’assurance se confronte à un nouveau risque, celui de défaut de contrepartie. En effet, il se pourrait que les risques cédés par l’assureur ne soient pas supportés par le réassureur. Il est ainsi primordial de tenir en compte ce risque dans le calcul des meilleures estimations en effectuant un ajustement.</w:t>
      </w:r>
      <w:r>
        <w:t xml:space="preserve"> </w:t>
      </w: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w:t>
      </w:r>
      <w:r>
        <w:rPr>
          <w:iCs/>
          <w:i/>
        </w:rPr>
        <w:t xml:space="preserve">ACAPS</w:t>
      </w:r>
      <w:r>
        <w:t xml:space="preserve"> </w:t>
      </w:r>
      <w:r>
        <w:t xml:space="preserve">propose une méthode de détermination des flux d’ajustement futurs décrite à</w:t>
      </w:r>
      <w:r>
        <w:t xml:space="preserve"> </w:t>
      </w:r>
      <w:r>
        <w:rPr>
          <w:bCs/>
          <w:b/>
        </w:rPr>
        <w:t xml:space="preserve">l’annexe N°6</w:t>
      </w:r>
      <w:r>
        <w:t xml:space="preserve"> </w:t>
      </w:r>
      <w:r>
        <w:t xml:space="preserve">de la circulaire de l’ACAPS. Cette méthode suit un certain nombre d’étapes que nous décrivons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Applications/quarto/share/formats/docx/note.png" id="168" name="Picture"/>
                          <pic:cNvPicPr>
                            <a:picLocks noChangeArrowheads="1" noChangeAspect="1"/>
                          </pic:cNvPicPr>
                        </pic:nvPicPr>
                        <pic:blipFill>
                          <a:blip r:embed="rId1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B</m:t>
              </m:r>
              <m:r>
                <m:t>E</m:t>
              </m:r>
              <m:sSub>
                <m:e>
                  <m:r>
                    <m:t>C</m:t>
                  </m:r>
                </m:e>
                <m:sub>
                  <m:r>
                    <m:t>i</m:t>
                  </m:r>
                </m:sub>
              </m:sSub>
            </m:oMath>
            <w:r>
              <w:t xml:space="preserve"> </w:t>
            </w:r>
            <w:r>
              <w:t xml:space="preserve">est calculée comme suit :</w:t>
            </w:r>
          </w:p>
          <w:p>
            <w:pPr>
              <w:pStyle w:val="BodyText"/>
            </w:pPr>
            <w:bookmarkStart w:id="169" w:name="eq-gbmp"/>
            <m:oMathPara>
              <m:oMathParaPr>
                <m:jc m:val="center"/>
              </m:oMathParaPr>
              <m:oMath>
                <m:r>
                  <m:t>B</m:t>
                </m:r>
                <m:r>
                  <m:t>E</m:t>
                </m:r>
                <m:sSub>
                  <m:e>
                    <m:r>
                      <m:t>C</m:t>
                    </m:r>
                  </m:e>
                  <m:sub>
                    <m:r>
                      <m:t>i</m:t>
                    </m:r>
                  </m:sub>
                </m:sSub>
                <m:r>
                  <m:rPr>
                    <m:sty m:val="p"/>
                  </m:rPr>
                  <m:t>=</m:t>
                </m:r>
                <m:d>
                  <m:dPr>
                    <m:begChr m:val="("/>
                    <m:endChr m:val=")"/>
                    <m:sepChr m:val=""/>
                    <m:grow/>
                  </m:dPr>
                  <m:e>
                    <m:r>
                      <m:t>B</m:t>
                    </m:r>
                    <m:r>
                      <m:t>E</m:t>
                    </m:r>
                    <m:sSub>
                      <m:e>
                        <m:r>
                          <m:t>S</m:t>
                        </m:r>
                      </m:e>
                      <m:sub>
                        <m:r>
                          <m:t>i</m:t>
                        </m:r>
                      </m:sub>
                    </m:sSub>
                    <m:r>
                      <m:rPr>
                        <m:sty m:val="p"/>
                      </m:rPr>
                      <m:t>×</m:t>
                    </m:r>
                    <m:r>
                      <m:t>R</m:t>
                    </m:r>
                    <m:sSub>
                      <m:e>
                        <m:r>
                          <m:t>S</m:t>
                        </m:r>
                      </m:e>
                      <m:sub>
                        <m:r>
                          <m:t>0</m:t>
                        </m:r>
                      </m:sub>
                    </m:sSub>
                    <m:r>
                      <m:rPr>
                        <m:sty m:val="p"/>
                      </m:rPr>
                      <m:t>+</m:t>
                    </m:r>
                    <m:r>
                      <m:t>B</m:t>
                    </m:r>
                    <m:r>
                      <m:t>E</m:t>
                    </m:r>
                    <m:sSub>
                      <m:e>
                        <m:r>
                          <m:t>P</m:t>
                        </m:r>
                      </m:e>
                      <m:sub>
                        <m:r>
                          <m:t>i</m:t>
                        </m:r>
                      </m:sub>
                    </m:sSub>
                    <m:r>
                      <m:rPr>
                        <m:sty m:val="p"/>
                      </m:rPr>
                      <m:t>×</m:t>
                    </m:r>
                    <m:r>
                      <m:t>R</m:t>
                    </m:r>
                    <m:sSub>
                      <m:e>
                        <m:r>
                          <m:t>P</m:t>
                        </m:r>
                      </m:e>
                      <m:sub>
                        <m:r>
                          <m:t>0</m:t>
                        </m:r>
                      </m:sub>
                    </m:sSub>
                  </m:e>
                </m:d>
                <m:r>
                  <m:t> </m:t>
                </m:r>
                <m:r>
                  <m:rPr>
                    <m:sty m:val="p"/>
                  </m:rPr>
                  <m:t>,</m:t>
                </m:r>
                <m:r>
                  <m:t>  </m:t>
                </m:r>
                <m:d>
                  <m:dPr>
                    <m:begChr m:val="("/>
                    <m:endChr m:val=")"/>
                    <m:sepChr m:val=""/>
                    <m:grow/>
                  </m:dPr>
                  <m:e>
                    <m:r>
                      <m:t>42</m:t>
                    </m:r>
                  </m:e>
                </m:d>
              </m:oMath>
            </m:oMathPara>
            <w:bookmarkEnd w:id="169"/>
          </w:p>
          <w:p>
            <w:pPr>
              <w:pStyle w:val="FirstParagraph"/>
            </w:pPr>
            <w:r>
              <w:t xml:space="preserve">où:</w:t>
            </w:r>
          </w:p>
          <w:p>
            <w:pPr>
              <w:numPr>
                <w:ilvl w:val="0"/>
                <w:numId w:val="1036"/>
              </w:numPr>
              <w:pStyle w:val="Compact"/>
            </w:pPr>
            <m:oMath>
              <m:r>
                <m:t>B</m:t>
              </m:r>
              <m:r>
                <m:t>E</m:t>
              </m:r>
              <m:sSub>
                <m:e>
                  <m:r>
                    <m:t>S</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6"/>
              </w:numPr>
              <w:pStyle w:val="Compact"/>
            </w:pPr>
            <m:oMath>
              <m:r>
                <m:t>B</m:t>
              </m:r>
              <m:r>
                <m:t>E</m:t>
              </m:r>
              <m:sSub>
                <m:e>
                  <m:r>
                    <m:t>P</m:t>
                  </m:r>
                </m:e>
                <m:sub>
                  <m:r>
                    <m:t>i</m:t>
                  </m:r>
                </m:sub>
              </m:sSub>
            </m:oMath>
            <w:r>
              <w:t xml:space="preserve">: correspond à la meilleure estimation des engagements pour primes projetée à la date i.</w:t>
            </w:r>
          </w:p>
          <w:p>
            <w:pPr>
              <w:numPr>
                <w:ilvl w:val="0"/>
                <w:numId w:val="1036"/>
              </w:numPr>
              <w:pStyle w:val="Compact"/>
            </w:pPr>
            <w:r>
              <w:t xml:space="preserve">Les termes</w:t>
            </w:r>
            <w:r>
              <w:t xml:space="preserve"> </w:t>
            </w:r>
            <m:oMath>
              <m:r>
                <m:t>R</m:t>
              </m:r>
              <m:sSub>
                <m:e>
                  <m:r>
                    <m:t>S</m:t>
                  </m:r>
                </m:e>
                <m:sub>
                  <m:r>
                    <m:t>0</m:t>
                  </m:r>
                </m:sub>
              </m:sSub>
            </m:oMath>
            <w:r>
              <w:t xml:space="preserve"> </w:t>
            </w:r>
            <w:r>
              <w:t xml:space="preserve">et</w:t>
            </w:r>
            <w:r>
              <w:t xml:space="preserve"> </w:t>
            </w:r>
            <m:oMath>
              <m:r>
                <m:t>R</m:t>
              </m:r>
              <m:sSub>
                <m:e>
                  <m:r>
                    <m:t>P</m:t>
                  </m:r>
                </m:e>
                <m:sub>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w:bookmarkStart w:id="170" w:name="eq-gbmp"/>
            <m:oMathPara>
              <m:oMathParaPr>
                <m:jc m:val="center"/>
              </m:oMathParaPr>
              <m:oMath>
                <m:r>
                  <m:t>B</m:t>
                </m:r>
                <m:r>
                  <m:t>E</m:t>
                </m:r>
                <m:sSub>
                  <m:e>
                    <m:r>
                      <m:t>C</m:t>
                    </m:r>
                  </m:e>
                  <m:sub>
                    <m:r>
                      <m:t>i</m:t>
                    </m:r>
                  </m:sub>
                </m:sSub>
                <m:r>
                  <m:rPr>
                    <m:sty m:val="p"/>
                  </m:rPr>
                  <m:t>=</m:t>
                </m:r>
                <m:d>
                  <m:dPr>
                    <m:begChr m:val="("/>
                    <m:endChr m:val=")"/>
                    <m:sepChr m:val=""/>
                    <m:grow/>
                  </m:dPr>
                  <m:e>
                    <m:r>
                      <m:t>B</m:t>
                    </m:r>
                    <m:r>
                      <m:t>E</m:t>
                    </m:r>
                    <m:r>
                      <m:t>G</m:t>
                    </m:r>
                    <m:sSub>
                      <m:e>
                        <m:r>
                          <m:t>P</m:t>
                        </m:r>
                      </m:e>
                      <m:sub>
                        <m:r>
                          <m:t>i</m:t>
                        </m:r>
                      </m:sub>
                    </m:sSub>
                    <m:r>
                      <m:rPr>
                        <m:sty m:val="p"/>
                      </m:rPr>
                      <m:t>+</m:t>
                    </m:r>
                    <m:r>
                      <m:t>B</m:t>
                    </m:r>
                    <m:r>
                      <m:t>D</m:t>
                    </m:r>
                    <m:sSub>
                      <m:e>
                        <m:r>
                          <m:t>F</m:t>
                        </m:r>
                      </m:e>
                      <m:sub>
                        <m:r>
                          <m:t>i</m:t>
                        </m:r>
                      </m:sub>
                    </m:sSub>
                  </m:e>
                </m:d>
                <m:r>
                  <m:rPr>
                    <m:sty m:val="p"/>
                  </m:rPr>
                  <m:t>×</m:t>
                </m:r>
                <m:sSub>
                  <m:e>
                    <m:r>
                      <m:t>R</m:t>
                    </m:r>
                  </m:e>
                  <m:sub>
                    <m:r>
                      <m:t>0</m:t>
                    </m:r>
                  </m:sub>
                </m:sSub>
                <m:r>
                  <m:t> </m:t>
                </m:r>
                <m:r>
                  <m:rPr>
                    <m:sty m:val="p"/>
                  </m:rPr>
                  <m:t>,</m:t>
                </m:r>
                <m:r>
                  <m:t>  </m:t>
                </m:r>
                <m:d>
                  <m:dPr>
                    <m:begChr m:val="("/>
                    <m:endChr m:val=")"/>
                    <m:sepChr m:val=""/>
                    <m:grow/>
                  </m:dPr>
                  <m:e>
                    <m:r>
                      <m:t>43</m:t>
                    </m:r>
                  </m:e>
                </m:d>
              </m:oMath>
            </m:oMathPara>
            <w:bookmarkEnd w:id="170"/>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w:bookmarkStart w:id="171" w:name="eq-gbmp"/>
            <m:oMathPara>
              <m:oMathParaPr>
                <m:jc m:val="center"/>
              </m:oMathParaPr>
              <m:oMath>
                <m:r>
                  <m:t>B</m:t>
                </m:r>
                <m:r>
                  <m:t>E</m:t>
                </m:r>
                <m:r>
                  <m:t>C</m:t>
                </m:r>
                <m:r>
                  <m:rPr>
                    <m:sty m:val="p"/>
                  </m:rPr>
                  <m:t>=</m:t>
                </m:r>
                <m:r>
                  <m:t>B</m:t>
                </m:r>
                <m:r>
                  <m:t>E</m:t>
                </m:r>
                <m:r>
                  <m:t>G</m:t>
                </m:r>
                <m:sSub>
                  <m:e>
                    <m:r>
                      <m:t>P</m:t>
                    </m:r>
                  </m:e>
                  <m:sub>
                    <m:r>
                      <m:t>i</m:t>
                    </m:r>
                  </m:sub>
                </m:sSub>
                <m:r>
                  <m:rPr>
                    <m:sty m:val="p"/>
                  </m:rPr>
                  <m:t>×</m:t>
                </m:r>
                <m:sSub>
                  <m:e>
                    <m:r>
                      <m:t>R</m:t>
                    </m:r>
                  </m:e>
                  <m:sub>
                    <m:r>
                      <m:t>0</m:t>
                    </m:r>
                  </m:sub>
                </m:sSub>
                <m:r>
                  <m:t> </m:t>
                </m:r>
                <m:r>
                  <m:rPr>
                    <m:sty m:val="p"/>
                  </m:rPr>
                  <m:t>,</m:t>
                </m:r>
                <m:r>
                  <m:t>  </m:t>
                </m:r>
                <m:d>
                  <m:dPr>
                    <m:begChr m:val="("/>
                    <m:endChr m:val=")"/>
                    <m:sepChr m:val=""/>
                    <m:grow/>
                  </m:dPr>
                  <m:e>
                    <m:r>
                      <m:t>44</m:t>
                    </m:r>
                  </m:e>
                </m:d>
              </m:oMath>
            </m:oMathPara>
            <w:bookmarkEnd w:id="171"/>
          </w:p>
          <w:p>
            <w:pPr>
              <w:pStyle w:val="FirstParagraph"/>
            </w:pPr>
            <w:r>
              <w:t xml:space="preserve">où :</w:t>
            </w:r>
          </w:p>
          <w:p>
            <w:pPr>
              <w:numPr>
                <w:ilvl w:val="0"/>
                <w:numId w:val="1037"/>
              </w:numPr>
            </w:pP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p>
          <w:p>
            <w:pPr>
              <w:numPr>
                <w:ilvl w:val="0"/>
                <w:numId w:val="1037"/>
              </w:numPr>
            </w:pPr>
            <w:r>
              <w:t xml:space="preserve">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Applications/quarto/share/formats/docx/note.png" id="173" name="Picture"/>
                          <pic:cNvPicPr>
                            <a:picLocks noChangeArrowheads="1" noChangeAspect="1"/>
                          </pic:cNvPicPr>
                        </pic:nvPicPr>
                        <pic:blipFill>
                          <a:blip r:embed="rId1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w:bookmarkStart w:id="174" w:name="eq-gbmp"/>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B</m:t>
                    </m:r>
                    <m:r>
                      <m:t>E</m:t>
                    </m:r>
                    <m:r>
                      <m:t>C</m:t>
                    </m:r>
                    <m:r>
                      <m:rPr>
                        <m:sty m:val="p"/>
                      </m:rPr>
                      <m:t>−</m:t>
                    </m:r>
                    <m:r>
                      <m:t>D</m:t>
                    </m:r>
                    <m:r>
                      <m:t>E</m:t>
                    </m:r>
                    <m:r>
                      <m:t>V</m:t>
                    </m:r>
                    <m:r>
                      <m:rPr>
                        <m:sty m:val="p"/>
                      </m:rPr>
                      <m:t>+</m:t>
                    </m:r>
                    <m:r>
                      <m:t>S</m:t>
                    </m:r>
                    <m:r>
                      <m:t>D</m:t>
                    </m:r>
                    <m:r>
                      <m:t>R</m:t>
                    </m:r>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r>
                  <m:t> </m:t>
                </m:r>
                <m:r>
                  <m:rPr>
                    <m:sty m:val="p"/>
                  </m:rPr>
                  <m:t>,</m:t>
                </m:r>
                <m:r>
                  <m:t>  </m:t>
                </m:r>
                <m:d>
                  <m:dPr>
                    <m:begChr m:val="("/>
                    <m:endChr m:val=")"/>
                    <m:sepChr m:val=""/>
                    <m:grow/>
                  </m:dPr>
                  <m:e>
                    <m:r>
                      <m:t>45</m:t>
                    </m:r>
                  </m:e>
                </m:d>
              </m:oMath>
            </m:oMathPara>
            <w:bookmarkEnd w:id="174"/>
          </w:p>
          <w:p>
            <w:pPr>
              <w:pStyle w:val="FirstParagraph"/>
            </w:pPr>
            <w:r>
              <w:t xml:space="preserve">avec:</w:t>
            </w:r>
          </w:p>
          <w:p>
            <w:pPr>
              <w:numPr>
                <w:ilvl w:val="0"/>
                <w:numId w:val="1038"/>
              </w:numPr>
              <w:pStyle w:val="Compact"/>
            </w:pPr>
            <m:oMath>
              <m:r>
                <m:t>D</m:t>
              </m:r>
              <m:r>
                <m:t>E</m:t>
              </m:r>
              <m:r>
                <m:t>V</m:t>
              </m:r>
            </m:oMath>
            <w:r>
              <w:t xml:space="preserve"> </w:t>
            </w:r>
            <w:r>
              <w:t xml:space="preserve">:dépôtven espèces et en valeurs.</w:t>
            </w:r>
          </w:p>
          <w:p>
            <w:pPr>
              <w:numPr>
                <w:ilvl w:val="0"/>
                <w:numId w:val="1038"/>
              </w:numPr>
              <w:pStyle w:val="Compact"/>
            </w:pPr>
            <m:oMath>
              <m:r>
                <m:t>S</m:t>
              </m:r>
              <m:r>
                <m:t>D</m:t>
              </m:r>
              <m:r>
                <m:t>R</m:t>
              </m:r>
            </m:oMath>
            <w:r>
              <w:t xml:space="preserve"> </w:t>
            </w:r>
            <w:r>
              <w:t xml:space="preserve">:solde de réassurance</w:t>
            </w:r>
          </w:p>
          <w:p>
            <w:pPr>
              <w:pStyle w:val="FirstParagraph"/>
            </w:pPr>
            <w:pPr>
              <w:spacing w:after="16"/>
            </w:pPr>
            <w:r>
              <w:t xml:space="preserve">La probabilité de défaut annuelle</w:t>
            </w:r>
            <w:r>
              <w:t xml:space="preserve"> </w:t>
            </w:r>
            <m:oMath>
              <m:r>
                <m:t>P</m:t>
              </m:r>
              <m:r>
                <m:t>D</m:t>
              </m:r>
            </m:oMath>
            <w:r>
              <w:t xml:space="preserve"> </w:t>
            </w:r>
            <w:r>
              <w:t xml:space="preserve">du cessionnaire est établie conformément au tableau prévu a l’annexe.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Applications/quarto/share/formats/docx/note.png" id="176" name="Picture"/>
                          <pic:cNvPicPr>
                            <a:picLocks noChangeArrowheads="1" noChangeAspect="1"/>
                          </pic:cNvPicPr>
                        </pic:nvPicPr>
                        <pic:blipFill>
                          <a:blip r:embed="rId1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w:bookmarkStart w:id="177" w:name="eq-gbmp"/>
            <m:oMathPara>
              <m:oMathParaPr>
                <m:jc m:val="center"/>
              </m:oMathParaPr>
              <m:oMath>
                <m:r>
                  <m:t>A</m:t>
                </m:r>
                <m:r>
                  <m:t>d</m:t>
                </m:r>
                <m:r>
                  <m:t>j</m:t>
                </m:r>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r>
                  <m:t> </m:t>
                </m:r>
                <m:r>
                  <m:rPr>
                    <m:sty m:val="p"/>
                  </m:rPr>
                  <m:t>,</m:t>
                </m:r>
                <m:r>
                  <m:t>  </m:t>
                </m:r>
                <m:d>
                  <m:dPr>
                    <m:begChr m:val="("/>
                    <m:endChr m:val=")"/>
                    <m:sepChr m:val=""/>
                    <m:grow/>
                  </m:dPr>
                  <m:e>
                    <m:r>
                      <m:t>46</m:t>
                    </m:r>
                  </m:e>
                </m:d>
              </m:oMath>
            </m:oMathPara>
            <w:bookmarkEnd w:id="177"/>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78"/>
    <w:bookmarkEnd w:id="179"/>
    <w:bookmarkEnd w:id="180"/>
    <w:bookmarkStart w:id="244" w:name="X996f6371680290ab18e96c29df36c0fb21384d3"/>
    <w:p>
      <w:pPr>
        <w:pStyle w:val="Heading1"/>
      </w:pPr>
      <w:r>
        <w:t xml:space="preserve">6. CHAPITRE VI : Capital de Solvabilité Requis</w:t>
      </w:r>
    </w:p>
    <w:bookmarkStart w:id="243" w:name="définition-générale"/>
    <w:p>
      <w:pPr>
        <w:pStyle w:val="Heading2"/>
      </w:pPr>
      <w:r>
        <w:t xml:space="preserve">6.1 Définition générale</w:t>
      </w:r>
    </w:p>
    <w:p>
      <w:pPr>
        <w:pStyle w:val="FirstParagraph"/>
      </w:pPr>
      <w:r>
        <w:t xml:space="preserve">Au cours de son existence, la compagnie d’assurance ou de réassurance fait face à plusieurs engagements dont la plus part sont risqués. Ce tas de risques encourus demande donc des préventions afin d’éviter ou de supporter leur avénement. Subséquemment, il est tout naturel de se demandait quel montant la compagnie devrait avoir à l’instant</w:t>
      </w:r>
      <w:r>
        <w:t xml:space="preserve"> </w:t>
      </w:r>
      <m:oMath>
        <m:r>
          <m:t>t</m:t>
        </m:r>
      </m:oMath>
      <w:r>
        <w:t xml:space="preserve"> </w:t>
      </w:r>
      <w:r>
        <w:t xml:space="preserve">pour se couvrir des risques éventuels d’où l’introduction de la notion de</w:t>
      </w:r>
      <w:r>
        <w:t xml:space="preserve"> </w:t>
      </w:r>
      <w:r>
        <w:rPr>
          <w:iCs/>
          <w:i/>
        </w:rPr>
        <w:t xml:space="preserve">Capital de Solvabilité Requis</w:t>
      </w:r>
      <w:r>
        <w:t xml:space="preserve"> </w:t>
      </w:r>
      <w:r>
        <w:t xml:space="preserve">(</w:t>
      </w:r>
      <m:oMath>
        <m:r>
          <m:t>C</m:t>
        </m:r>
        <m:r>
          <m:t>S</m:t>
        </m:r>
        <m:r>
          <m:t>R</m:t>
        </m:r>
      </m:oMath>
      <w:r>
        <w:t xml:space="preserve">).</w:t>
      </w:r>
    </w:p>
    <w:p>
      <w:pPr>
        <w:pStyle w:val="BodyText"/>
      </w:pPr>
      <w:r>
        <w:t xml:space="preserve">Comme son nom l’indique, le CSR correspond au capital dont a besoin une entreprise d’assurance ou de réassurance pour faire face à tous les risques qui peuvent survenir dans le futur et limiter la probabilité de ruine.</w:t>
      </w:r>
    </w:p>
    <w:p>
      <w:pPr>
        <w:pStyle w:val="BodyText"/>
      </w:pPr>
      <w:r>
        <w:t xml:space="preserve">Commençons d’abord par la définition des différents risques dans les secteurs d’assurance et de réassurance pris en compte dans le projet</w:t>
      </w:r>
      <w:r>
        <w:t xml:space="preserve"> </w:t>
      </w:r>
      <w:r>
        <w:rPr>
          <w:iCs/>
          <w:i/>
        </w:rPr>
        <w:t xml:space="preserve">SBR</w:t>
      </w:r>
      <w:r>
        <w:t xml:space="preserve"> </w:t>
      </w:r>
      <w:r>
        <w:t xml:space="preserve">:</w:t>
      </w:r>
    </w:p>
    <w:p>
      <w:pPr>
        <w:numPr>
          <w:ilvl w:val="0"/>
          <w:numId w:val="1039"/>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9"/>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9"/>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9"/>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9"/>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9"/>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Tous les risques supportés par le capital de solvabilité requis, on peut les résumer dans le schéma suivant :</w:t>
      </w:r>
    </w:p>
    <w:tbl>
      <w:tblPr>
        <w:tblStyle w:val="Table"/>
        <w:tblW w:type="pct" w:w="5000"/>
        <w:tblLook w:firstRow="0" w:lastRow="0" w:firstColumn="0" w:lastColumn="0" w:noHBand="0" w:noVBand="0" w:val="0000"/>
        <w:jc w:val="start"/>
      </w:tblPr>
      <w:tblGrid>
        <w:gridCol w:w="7920"/>
      </w:tblGrid>
      <w:tr>
        <w:tc>
          <w:tcPr/>
          <w:bookmarkStart w:id="184" w:name="fig-piliers"/>
          <w:p>
            <w:pPr>
              <w:jc w:val="center"/>
            </w:pPr>
            <w:r>
              <w:drawing>
                <wp:inline>
                  <wp:extent cx="5334000" cy="3015219"/>
                  <wp:effectExtent b="0" l="0" r="0" t="0"/>
                  <wp:docPr descr="" title="" id="182" name="Picture"/>
                  <a:graphic>
                    <a:graphicData uri="http://schemas.openxmlformats.org/drawingml/2006/picture">
                      <pic:pic>
                        <pic:nvPicPr>
                          <pic:cNvPr descr="Rapport-PFE_files/figure-html/Risques.png" id="183" name="Picture"/>
                          <pic:cNvPicPr>
                            <a:picLocks noChangeArrowheads="1" noChangeAspect="1"/>
                          </pic:cNvPicPr>
                        </pic:nvPicPr>
                        <pic:blipFill>
                          <a:blip r:embed="rId181"/>
                          <a:stretch>
                            <a:fillRect/>
                          </a:stretch>
                        </pic:blipFill>
                        <pic:spPr bwMode="auto">
                          <a:xfrm>
                            <a:off x="0" y="0"/>
                            <a:ext cx="5334000" cy="30152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Présentation des risques</w:t>
            </w:r>
          </w:p>
          <w:bookmarkEnd w:id="184"/>
        </w:tc>
      </w:tr>
    </w:tbl>
    <w:p>
      <w:pPr>
        <w:pStyle w:val="BodyText"/>
      </w:pPr>
      <w:r>
        <w:t xml:space="preserve">Selon le circulaire de l’autorité de Contrôle des assurances et de la Prévoyance Sociale (ACAPS) le capital de solvabilité requis est constitué de la somme des éléments suivants :</w:t>
      </w:r>
    </w:p>
    <w:p>
      <w:pPr>
        <w:numPr>
          <w:ilvl w:val="0"/>
          <w:numId w:val="1040"/>
        </w:numPr>
      </w:pPr>
      <w:r>
        <w:t xml:space="preserve">Le capital de solvabilité requis de base.</w:t>
      </w:r>
    </w:p>
    <w:p>
      <w:pPr>
        <w:numPr>
          <w:ilvl w:val="0"/>
          <w:numId w:val="1040"/>
        </w:numPr>
      </w:pPr>
      <w:r>
        <w:t xml:space="preserve">L’exigence de capital relative au risque opérationnel.</w:t>
      </w:r>
    </w:p>
    <w:p>
      <w:pPr>
        <w:numPr>
          <w:ilvl w:val="0"/>
          <w:numId w:val="1040"/>
        </w:numPr>
      </w:pPr>
      <w:r>
        <w:t xml:space="preserve">L’ajustement visant à tenir compte de la capacité d’absorption des pertes par les assurés.</w:t>
      </w:r>
    </w:p>
    <w:p>
      <w:pPr>
        <w:numPr>
          <w:ilvl w:val="0"/>
          <w:numId w:val="1040"/>
        </w:numPr>
      </w:pPr>
      <w:r>
        <w:t xml:space="preserve">L’ajustement visant à tenir compte de la capacité d’absorption des pertes par les impôts différés.</w:t>
      </w:r>
    </w:p>
    <w:p>
      <w:pPr>
        <w:pStyle w:val="FirstParagraph"/>
      </w:pPr>
      <w:bookmarkStart w:id="185" w:name="eq-gbmp"/>
      <m:oMathPara>
        <m:oMathParaPr>
          <m:jc m:val="center"/>
        </m:oMathParaPr>
        <m:oMath>
          <m:r>
            <m:t>C</m:t>
          </m:r>
          <m:r>
            <m:t>S</m:t>
          </m:r>
          <m:r>
            <m:t>R</m:t>
          </m:r>
          <m:r>
            <m:rPr>
              <m:sty m:val="p"/>
            </m:rPr>
            <m:t>=</m:t>
          </m:r>
          <m:r>
            <m:t>C</m:t>
          </m:r>
          <m:r>
            <m:t>S</m:t>
          </m:r>
          <m:r>
            <m:t>R</m:t>
          </m:r>
          <m:r>
            <m:t>B</m:t>
          </m:r>
          <m:r>
            <m:rPr>
              <m:sty m:val="p"/>
            </m:rPr>
            <m:t>+</m:t>
          </m:r>
          <m:r>
            <m:t>C</m:t>
          </m:r>
          <m:r>
            <m:t>S</m:t>
          </m:r>
          <m:r>
            <m:t>R</m:t>
          </m:r>
          <m:r>
            <m:t>O</m:t>
          </m:r>
          <m:r>
            <m:rPr>
              <m:sty m:val="p"/>
            </m:rPr>
            <m:t>−</m:t>
          </m:r>
          <m:r>
            <m:t>m</m:t>
          </m:r>
          <m:r>
            <m:t>a</m:t>
          </m:r>
          <m:r>
            <m:t>x</m:t>
          </m:r>
          <m:d>
            <m:dPr>
              <m:begChr m:val="("/>
              <m:endChr m:val=")"/>
              <m:sepChr m:val=""/>
              <m:grow/>
            </m:dPr>
            <m:e>
              <m:r>
                <m:t>A</m:t>
              </m:r>
              <m:r>
                <m:t>d</m:t>
              </m:r>
              <m:r>
                <m:t>j</m:t>
              </m:r>
              <m:r>
                <m:rPr>
                  <m:sty m:val="p"/>
                </m:rPr>
                <m:t>,</m:t>
              </m:r>
              <m:r>
                <m:t>0</m:t>
              </m:r>
            </m:e>
          </m:d>
          <m:r>
            <m:t>  </m:t>
          </m:r>
          <m:d>
            <m:dPr>
              <m:begChr m:val="("/>
              <m:endChr m:val=")"/>
              <m:sepChr m:val=""/>
              <m:grow/>
            </m:dPr>
            <m:e>
              <m:r>
                <m:t>47</m:t>
              </m:r>
            </m:e>
          </m:d>
        </m:oMath>
      </m:oMathPara>
      <w:bookmarkEnd w:id="185"/>
    </w:p>
    <w:bookmarkStart w:id="233" w:name="X0beb716fe9114a411569a04c6802232189d90bd"/>
    <w:p>
      <w:pPr>
        <w:pStyle w:val="Heading3"/>
      </w:pPr>
      <w:r>
        <w:t xml:space="preserve">Le capital de solvabilité requis de base (</w:t>
      </w:r>
      <m:oMath>
        <m:r>
          <m:t>C</m:t>
        </m:r>
        <m:r>
          <m:t>S</m:t>
        </m:r>
        <m:r>
          <m:t>R</m:t>
        </m:r>
        <m:r>
          <m:t>B</m:t>
        </m:r>
      </m:oMath>
      <w:r>
        <w:t xml:space="preserve">) :</w:t>
      </w:r>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et de reassurance d’évaluer de manière précise les montants de capitaux nécessaires pour couvrir leurs risques spécifiques et d’assurer une solvabilité adéquate.</w:t>
      </w:r>
    </w:p>
    <w:p>
      <w:pPr>
        <w:pStyle w:val="BodyText"/>
      </w:pPr>
      <w:r>
        <w:t xml:space="preserve">Le capital de solvabilité requis de base peut s’écrit mathématiquement comme suit:</w:t>
      </w:r>
    </w:p>
    <w:p>
      <w:pPr>
        <w:pStyle w:val="BodyText"/>
      </w:pPr>
      <w:bookmarkStart w:id="186" w:name="eq-gbmp"/>
      <m:oMathPara>
        <m:oMathParaPr>
          <m:jc m:val="center"/>
        </m:oMathParaPr>
        <m:oMath>
          <m:r>
            <m:t>C</m:t>
          </m:r>
          <m:r>
            <m:t>S</m:t>
          </m:r>
          <m:r>
            <m:t>R</m:t>
          </m:r>
          <m:r>
            <m:t>B</m:t>
          </m:r>
          <m:r>
            <m:rPr>
              <m:sty m:val="p"/>
            </m:rPr>
            <m:t>=</m:t>
          </m:r>
          <m:rad>
            <m:radPr>
              <m:degHide m:val="1"/>
            </m:radPr>
            <m:deg/>
            <m:e>
              <m:nary>
                <m:naryPr>
                  <m:chr m:val="∑"/>
                  <m:limLoc m:val="undOvr"/>
                  <m:subHide m:val="0"/>
                  <m:supHide m:val="1"/>
                </m:naryPr>
                <m:sub>
                  <m:r>
                    <m:t>i</m:t>
                  </m:r>
                  <m:r>
                    <m:rPr>
                      <m:sty m:val="p"/>
                    </m:rPr>
                    <m:t>,</m:t>
                  </m:r>
                  <m:r>
                    <m:t>j</m:t>
                  </m:r>
                  <m:r>
                    <m:rPr>
                      <m:sty m:val="p"/>
                    </m:rPr>
                    <m:t>∈</m:t>
                  </m:r>
                  <m:r>
                    <m:t>R</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r>
            <m:t>  </m:t>
          </m:r>
          <m:d>
            <m:dPr>
              <m:begChr m:val="("/>
              <m:endChr m:val=")"/>
              <m:sepChr m:val=""/>
              <m:grow/>
            </m:dPr>
            <m:e>
              <m:r>
                <m:t>48</m:t>
              </m:r>
            </m:e>
          </m:d>
        </m:oMath>
      </m:oMathPara>
      <w:bookmarkEnd w:id="186"/>
    </w:p>
    <w:p>
      <w:pPr>
        <w:pStyle w:val="FirstParagraph"/>
      </w:pPr>
      <w:r>
        <w:t xml:space="preserve">avec :</w:t>
      </w:r>
    </w:p>
    <w:p>
      <w:pPr>
        <w:numPr>
          <w:ilvl w:val="0"/>
          <w:numId w:val="1041"/>
        </w:numPr>
      </w:pPr>
      <w:r>
        <w:t xml:space="preserve">R</w:t>
      </w:r>
      <w:r>
        <w:t xml:space="preserve"> </w:t>
      </w:r>
      <m:oMath>
        <m:r>
          <m:rPr>
            <m:sty m:val="p"/>
          </m:rPr>
          <m:t>=</m:t>
        </m:r>
      </m:oMath>
      <w:r>
        <w:t xml:space="preserve"> </w:t>
      </w:r>
      <w:r>
        <w:t xml:space="preserve">{Marché, Concentration, Contrepartie, Souscription Vie, Souscription Non - Vie}</w:t>
      </w:r>
    </w:p>
    <w:p>
      <w:pPr>
        <w:numPr>
          <w:ilvl w:val="0"/>
          <w:numId w:val="1041"/>
        </w:numPr>
      </w:pPr>
      <m:oMath>
        <m:r>
          <m:t>ρ</m:t>
        </m:r>
      </m:oMath>
      <w:r>
        <w:t xml:space="preserve"> </w:t>
      </w:r>
      <w:r>
        <w:t xml:space="preserve">: Coefficients de corrélations.</w:t>
      </w:r>
    </w:p>
    <w:p>
      <w:pPr>
        <w:pStyle w:val="FirstParagraph"/>
      </w:pPr>
      <w:r>
        <w:t xml:space="preserve">Jusqu’à présent, les coefficients de corrélation exactes entre les sous risques ne sont pas encore publiés par l’ACAPS, pour cette raison on a supposé l’indépendance entres tous ces sous risques sous risques, donc la matrice de corrélation va être de cette forme :</w:t>
      </w:r>
    </w:p>
    <w:tbl>
      <w:tblPr>
        <w:tblStyle w:val="Table"/>
        <w:tblW w:type="pct" w:w="5000"/>
        <w:tblLook w:firstRow="1" w:lastRow="0" w:firstColumn="0" w:lastColumn="0" w:noHBand="0" w:noVBand="0" w:val="0020"/>
        <w:jc w:val="start"/>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Concentration</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Contrepartie</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Sousc. vie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Sousc. non-vie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bl>
    <w:bookmarkStart w:id="198" w:name="Xd580944961825346609976270960f9aba7a07dd"/>
    <w:p>
      <w:pPr>
        <w:pStyle w:val="Heading4"/>
      </w:pPr>
      <w:r>
        <w:t xml:space="preserve">EXIGENCE DE CAPITAL RELATIVE AUX RISQUES DE MARCHE (</w:t>
      </w:r>
      <m:oMath>
        <m:r>
          <m:t>C</m:t>
        </m:r>
        <m:r>
          <m:t>S</m:t>
        </m:r>
        <m:sSub>
          <m:e>
            <m:r>
              <m:t>R</m:t>
            </m:r>
          </m:e>
          <m:sub>
            <m:r>
              <m:t>M</m:t>
            </m:r>
          </m:sub>
        </m:sSub>
      </m:oMath>
      <w:r>
        <w:t xml:space="preserve">) :</w:t>
      </w:r>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w:bookmarkStart w:id="187" w:name="eq-gbmp"/>
      <m:oMathPara>
        <m:oMathParaPr>
          <m:jc m:val="center"/>
        </m:oMathParaPr>
        <m:oMath>
          <m:r>
            <m:t>C</m:t>
          </m:r>
          <m:r>
            <m:t>S</m:t>
          </m:r>
          <m:sSub>
            <m:e>
              <m:r>
                <m:t>R</m:t>
              </m:r>
            </m:e>
            <m:sub>
              <m:r>
                <m:t>M</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r>
            <m:t>  </m:t>
          </m:r>
          <m:d>
            <m:dPr>
              <m:begChr m:val="("/>
              <m:endChr m:val=")"/>
              <m:sepChr m:val=""/>
              <m:grow/>
            </m:dPr>
            <m:e>
              <m:r>
                <m:t>49</m:t>
              </m:r>
            </m:e>
          </m:d>
        </m:oMath>
      </m:oMathPara>
      <w:bookmarkEnd w:id="187"/>
    </w:p>
    <w:p>
      <w:pPr>
        <w:pStyle w:val="FirstParagraph"/>
      </w:pPr>
      <w:r>
        <w:t xml:space="preserve">avec :</w:t>
      </w:r>
    </w:p>
    <w:p>
      <w:pPr>
        <w:numPr>
          <w:ilvl w:val="0"/>
          <w:numId w:val="1042"/>
        </w:numPr>
      </w:pPr>
      <w:r>
        <w:t xml:space="preserve">RM</w:t>
      </w:r>
      <w:r>
        <w:t xml:space="preserve"> </w:t>
      </w:r>
      <m:oMath>
        <m:r>
          <m:rPr>
            <m:sty m:val="p"/>
          </m:rPr>
          <m:t>∈</m:t>
        </m:r>
      </m:oMath>
      <w:r>
        <w:t xml:space="preserve"> </w:t>
      </w:r>
      <w:r>
        <w:t xml:space="preserve">{action, taux, immobilier, écart de taux et change}</w:t>
      </w:r>
    </w:p>
    <w:p>
      <w:pPr>
        <w:numPr>
          <w:ilvl w:val="0"/>
          <w:numId w:val="1042"/>
        </w:numPr>
      </w:pPr>
      <m:oMath>
        <m:r>
          <m:t>ρ</m:t>
        </m:r>
      </m:oMath>
      <w:r>
        <w:t xml:space="preserve"> </w:t>
      </w:r>
      <w:r>
        <w:t xml:space="preserve">: Coefficients de corrélations.</w:t>
      </w:r>
    </w:p>
    <w:bookmarkStart w:id="189" w:name="X00e0c68f46971b87c6648cfb4c5abb243b9d28f"/>
    <w:p>
      <w:pPr>
        <w:pStyle w:val="Heading5"/>
      </w:pPr>
      <w:r>
        <w:t xml:space="preserve">L’exigence de capital relative au risque action (</w:t>
      </w:r>
      <m:oMath>
        <m:r>
          <m:t>C</m:t>
        </m:r>
        <m:r>
          <m:t>S</m:t>
        </m:r>
        <m:sSub>
          <m:e>
            <m:r>
              <m:t>R</m:t>
            </m:r>
          </m:e>
          <m:sub>
            <m:r>
              <m:t>A</m:t>
            </m:r>
          </m:sub>
        </m:sSub>
      </m:oMath>
      <w:r>
        <w:t xml:space="preserve">) :</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w:bookmarkStart w:id="188" w:name="eq-gbmp"/>
      <m:oMathPara>
        <m:oMathParaPr>
          <m:jc m:val="center"/>
        </m:oMathParaPr>
        <m:oMath>
          <m:r>
            <m:t>C</m:t>
          </m:r>
          <m:r>
            <m:t>S</m:t>
          </m:r>
          <m:sSub>
            <m:e>
              <m:r>
                <m:t>R</m:t>
              </m:r>
            </m:e>
            <m:sub>
              <m:r>
                <m:t>A</m:t>
              </m:r>
            </m:sub>
          </m:sSub>
          <m:r>
            <m:rPr>
              <m:sty m:val="p"/>
            </m:rPr>
            <m:t>=</m:t>
          </m:r>
          <m:r>
            <m:t>B</m:t>
          </m:r>
          <m:sSub>
            <m:e>
              <m:r>
                <m:t>E</m:t>
              </m:r>
            </m:e>
            <m:sub>
              <m:r>
                <m:t>e</m:t>
              </m:r>
              <m:r>
                <m:t>n</m:t>
              </m:r>
              <m:r>
                <m:t>g</m:t>
              </m:r>
            </m:sub>
          </m:sSub>
          <m:d>
            <m:dPr>
              <m:begChr m:val="("/>
              <m:endChr m:val=")"/>
              <m:sepChr m:val=""/>
              <m:grow/>
            </m:dPr>
            <m:e>
              <m:r>
                <m:t>C</m:t>
              </m:r>
              <m:r>
                <m:t>h</m:t>
              </m:r>
              <m:r>
                <m:t>o</m:t>
              </m:r>
              <m:r>
                <m:t>c</m:t>
              </m:r>
            </m:e>
          </m:d>
          <m:r>
            <m:rPr>
              <m:sty m:val="p"/>
            </m:rPr>
            <m:t>−</m:t>
          </m:r>
          <m:r>
            <m:t>B</m:t>
          </m:r>
          <m:sSub>
            <m:e>
              <m:r>
                <m:t>E</m:t>
              </m:r>
            </m:e>
            <m:sub>
              <m:r>
                <m:t>e</m:t>
              </m:r>
              <m:r>
                <m:t>n</m:t>
              </m:r>
              <m:r>
                <m:t>g</m:t>
              </m:r>
            </m:sub>
          </m:sSub>
          <m:r>
            <m:t> </m:t>
          </m:r>
          <m:r>
            <m:rPr>
              <m:sty m:val="p"/>
            </m:rPr>
            <m:t>,</m:t>
          </m:r>
          <m:r>
            <m:t>  </m:t>
          </m:r>
          <m:d>
            <m:dPr>
              <m:begChr m:val="("/>
              <m:endChr m:val=")"/>
              <m:sepChr m:val=""/>
              <m:grow/>
            </m:dPr>
            <m:e>
              <m:r>
                <m:t>50</m:t>
              </m:r>
            </m:e>
          </m:d>
        </m:oMath>
      </m:oMathPara>
      <w:bookmarkEnd w:id="188"/>
    </w:p>
    <w:p>
      <w:pPr>
        <w:pStyle w:val="FirstParagraph"/>
      </w:pPr>
      <w:r>
        <w:t xml:space="preserve">avec :</w:t>
      </w:r>
    </w:p>
    <w:p>
      <w:pPr>
        <w:pStyle w:val="BodyText"/>
      </w:pPr>
      <m:oMath>
        <m:r>
          <m:t>B</m:t>
        </m:r>
        <m:r>
          <m:t>E</m:t>
        </m:r>
        <m:sSub>
          <m:e>
            <m:r>
              <m:t>C</m:t>
            </m:r>
          </m:e>
          <m:sub>
            <m:r>
              <m:t>e</m:t>
            </m:r>
            <m:r>
              <m:t>n</m:t>
            </m:r>
            <m:r>
              <m:t>g</m:t>
            </m:r>
          </m:sub>
        </m:sSub>
        <m:d>
          <m:dPr>
            <m:begChr m:val="("/>
            <m:endChr m:val=")"/>
            <m:sepChr m:val=""/>
            <m:grow/>
          </m:dPr>
          <m:e>
            <m:r>
              <m:t>C</m:t>
            </m:r>
            <m:r>
              <m:t>h</m:t>
            </m:r>
            <m:r>
              <m:t>o</m:t>
            </m:r>
            <m:r>
              <m:t>c</m:t>
            </m:r>
          </m:e>
        </m:d>
      </m:oMath>
      <w:r>
        <w:t xml:space="preserve"> </w:t>
      </w:r>
      <w:r>
        <w:t xml:space="preserve">: Best estimant des engagements après le choque de la valeur du marché des action.</w:t>
      </w:r>
    </w:p>
    <w:p>
      <w:pPr>
        <w:pStyle w:val="BodyText"/>
      </w:pPr>
      <m:oMath>
        <m:r>
          <m:t>B</m:t>
        </m:r>
        <m:sSub>
          <m:e>
            <m:r>
              <m:t>E</m:t>
            </m:r>
          </m:e>
          <m:sub>
            <m:r>
              <m:t>e</m:t>
            </m:r>
            <m:r>
              <m:t>n</m:t>
            </m:r>
            <m:r>
              <m:t>g</m:t>
            </m:r>
          </m:sub>
        </m:sSub>
      </m:oMath>
      <w:r>
        <w:t xml:space="preserve">: Best estimant des engagements.</w:t>
      </w:r>
    </w:p>
    <w:bookmarkEnd w:id="189"/>
    <w:bookmarkStart w:id="191" w:name="Xb5fc351290b7d10916dfe69a1c5c8a08a269b48"/>
    <w:p>
      <w:pPr>
        <w:pStyle w:val="Heading5"/>
      </w:pPr>
      <w:r>
        <w:t xml:space="preserve">L’exigence de capital relative au risque de taux (</w:t>
      </w:r>
      <m:oMath>
        <m:r>
          <m:t>C</m:t>
        </m:r>
        <m:r>
          <m:t>S</m:t>
        </m:r>
        <m:sSub>
          <m:e>
            <m:r>
              <m:t>R</m:t>
            </m:r>
          </m:e>
          <m:sub>
            <m:r>
              <m:t>T</m:t>
            </m:r>
          </m:sub>
        </m:sSub>
      </m:oMath>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w:bookmarkStart w:id="190" w:name="eq-gbmp"/>
      <m:oMathPara>
        <m:oMathParaPr>
          <m:jc m:val="center"/>
        </m:oMathParaPr>
        <m:oMath>
          <m:r>
            <m:t>C</m:t>
          </m:r>
          <m:r>
            <m:t>S</m:t>
          </m:r>
          <m:sSub>
            <m:e>
              <m:r>
                <m:t>R</m:t>
              </m:r>
            </m:e>
            <m:sub>
              <m:r>
                <m:t>T</m:t>
              </m:r>
            </m:sub>
          </m:sSub>
          <m:r>
            <m:rPr>
              <m:sty m:val="p"/>
            </m:rPr>
            <m:t>=</m:t>
          </m:r>
          <m:r>
            <m:t>m</m:t>
          </m:r>
          <m:r>
            <m:t>a</m:t>
          </m:r>
          <m:r>
            <m:t>x</m:t>
          </m:r>
          <m:d>
            <m:dPr>
              <m:begChr m:val="("/>
              <m:endChr m:val=")"/>
              <m:sepChr m:val=""/>
              <m:grow/>
            </m:dPr>
            <m:e>
              <m:r>
                <m:t>C</m:t>
              </m:r>
              <m:r>
                <m:t>S</m:t>
              </m:r>
              <m:sSub>
                <m:e>
                  <m:r>
                    <m:t>R</m:t>
                  </m:r>
                </m:e>
                <m:sub>
                  <m:r>
                    <m:t>T</m:t>
                  </m:r>
                  <m:r>
                    <m:t>H</m:t>
                  </m:r>
                </m:sub>
              </m:sSub>
              <m:r>
                <m:rPr>
                  <m:sty m:val="p"/>
                </m:rPr>
                <m:t>;</m:t>
              </m:r>
              <m:r>
                <m:t>C</m:t>
              </m:r>
              <m:r>
                <m:t>S</m:t>
              </m:r>
              <m:sSub>
                <m:e>
                  <m:r>
                    <m:t>R</m:t>
                  </m:r>
                </m:e>
                <m:sub>
                  <m:r>
                    <m:t>T</m:t>
                  </m:r>
                  <m:r>
                    <m:t>B</m:t>
                  </m:r>
                </m:sub>
              </m:sSub>
            </m:e>
          </m:d>
          <m:r>
            <m:t> </m:t>
          </m:r>
          <m:r>
            <m:rPr>
              <m:sty m:val="p"/>
            </m:rPr>
            <m:t>,</m:t>
          </m:r>
          <m:r>
            <m:t>  </m:t>
          </m:r>
          <m:d>
            <m:dPr>
              <m:begChr m:val="("/>
              <m:endChr m:val=")"/>
              <m:sepChr m:val=""/>
              <m:grow/>
            </m:dPr>
            <m:e>
              <m:r>
                <m:t>51</m:t>
              </m:r>
            </m:e>
          </m:d>
        </m:oMath>
      </m:oMathPara>
      <w:bookmarkEnd w:id="190"/>
    </w:p>
    <w:p>
      <w:pPr>
        <w:pStyle w:val="FirstParagraph"/>
      </w:pPr>
      <w:r>
        <w:t xml:space="preserve">avec :</w:t>
      </w:r>
    </w:p>
    <w:p>
      <w:pPr>
        <w:pStyle w:val="BodyText"/>
      </w:pPr>
      <m:oMath>
        <m:r>
          <m:t>C</m:t>
        </m:r>
        <m:r>
          <m:t>S</m:t>
        </m:r>
        <m:sSub>
          <m:e>
            <m:r>
              <m:t>R</m:t>
            </m:r>
          </m:e>
          <m:sub>
            <m:r>
              <m:t>T</m:t>
            </m:r>
            <m:r>
              <m:t>H</m:t>
            </m:r>
          </m:sub>
        </m:sSub>
      </m:oMath>
      <w:r>
        <w:t xml:space="preserve">:Best estimate des engagements pour le scenario de hausse de taux.</w:t>
      </w:r>
      <w:r>
        <w:t xml:space="preserve"> </w:t>
      </w:r>
      <m:oMath>
        <m:r>
          <m:t>C</m:t>
        </m:r>
        <m:r>
          <m:t>S</m:t>
        </m:r>
        <m:sSub>
          <m:e>
            <m:r>
              <m:t>R</m:t>
            </m:r>
          </m:e>
          <m:sub>
            <m:r>
              <m:t>T</m:t>
            </m:r>
            <m:r>
              <m:t>B</m:t>
            </m:r>
          </m:sub>
        </m:sSub>
      </m:oMath>
      <w:r>
        <w:t xml:space="preserve">:Best estimate des engagements pour le scenario baisse de taux.</w:t>
      </w:r>
    </w:p>
    <w:p>
      <w:pPr>
        <w:pStyle w:val="BodyText"/>
      </w:pPr>
      <w:r>
        <w:t xml:space="preserve">telle que :</w:t>
      </w:r>
    </w:p>
    <w:p>
      <w:pPr>
        <w:pStyle w:val="BodyText"/>
      </w:pPr>
      <m:oMathPara>
        <m:oMathParaPr>
          <m:jc m:val="center"/>
        </m:oMathParaPr>
        <m:oMath>
          <m:r>
            <m:t>C</m:t>
          </m:r>
          <m:r>
            <m:t>S</m:t>
          </m:r>
          <m:sSub>
            <m:e>
              <m:r>
                <m:t>R</m:t>
              </m:r>
            </m:e>
            <m:sub>
              <m:r>
                <m:t>T</m:t>
              </m:r>
              <m:r>
                <m:t>B</m:t>
              </m:r>
            </m:sub>
          </m:sSub>
          <m:r>
            <m:rPr>
              <m:sty m:val="p"/>
            </m:rPr>
            <m:t>=</m:t>
          </m:r>
          <m:r>
            <m:t>B</m:t>
          </m:r>
          <m:sSub>
            <m:e>
              <m:r>
                <m:t>E</m:t>
              </m:r>
            </m:e>
            <m:sub>
              <m:r>
                <m:t>T</m:t>
              </m:r>
              <m:r>
                <m:t>B</m:t>
              </m:r>
            </m:sub>
          </m:sSub>
          <m:r>
            <m:rPr>
              <m:sty m:val="p"/>
            </m:rPr>
            <m:t>−</m:t>
          </m:r>
          <m:r>
            <m:t>B</m:t>
          </m:r>
          <m:r>
            <m:t>E</m:t>
          </m:r>
        </m:oMath>
      </m:oMathPara>
    </w:p>
    <w:p>
      <w:pPr>
        <w:pStyle w:val="FirstParagraph"/>
      </w:pPr>
      <w:r>
        <w:br/>
      </w:r>
    </w:p>
    <w:p>
      <w:pPr>
        <w:pStyle w:val="BodyText"/>
      </w:pPr>
      <m:oMathPara>
        <m:oMathParaPr>
          <m:jc m:val="center"/>
        </m:oMathParaPr>
        <m:oMath>
          <m:r>
            <m:t>C</m:t>
          </m:r>
          <m:r>
            <m:t>S</m:t>
          </m:r>
          <m:sSub>
            <m:e>
              <m:r>
                <m:t>R</m:t>
              </m:r>
            </m:e>
            <m:sub>
              <m:r>
                <m:t>T</m:t>
              </m:r>
              <m:r>
                <m:t>H</m:t>
              </m:r>
            </m:sub>
          </m:sSub>
          <m:r>
            <m:rPr>
              <m:sty m:val="p"/>
            </m:rPr>
            <m:t>=</m:t>
          </m:r>
          <m:r>
            <m:t>B</m:t>
          </m:r>
          <m:sSub>
            <m:e>
              <m:r>
                <m:t>E</m:t>
              </m:r>
            </m:e>
            <m:sub>
              <m:r>
                <m:t>T</m:t>
              </m:r>
              <m:r>
                <m:t>H</m:t>
              </m:r>
            </m:sub>
          </m:sSub>
          <m:r>
            <m:rPr>
              <m:sty m:val="p"/>
            </m:rPr>
            <m:t>−</m:t>
          </m:r>
          <m:r>
            <m:t>B</m:t>
          </m:r>
          <m:r>
            <m:t>E</m:t>
          </m:r>
        </m:oMath>
      </m:oMathPara>
    </w:p>
    <w:bookmarkEnd w:id="191"/>
    <w:bookmarkStart w:id="193" w:name="Xeb2f88f8cd8813d75e563cba8910ca5b880a2ff"/>
    <w:p>
      <w:pPr>
        <w:pStyle w:val="Heading5"/>
      </w:pPr>
      <w:r>
        <w:t xml:space="preserve">L’exigence de capital relative au risque immobilier (</w:t>
      </w:r>
      <m:oMath>
        <m:r>
          <m:t>C</m:t>
        </m:r>
        <m:r>
          <m:t>S</m:t>
        </m:r>
        <m:sSub>
          <m:e>
            <m:r>
              <m:t>R</m:t>
            </m:r>
          </m:e>
          <m:sub>
            <m:r>
              <m:t>I</m:t>
            </m:r>
          </m:sub>
        </m:sSub>
      </m:oMath>
      <w:r>
        <w:t xml:space="preserve">) :</w:t>
      </w:r>
    </w:p>
    <w:p>
      <w:pPr>
        <w:pStyle w:val="FirstParagraph"/>
      </w:pPr>
      <w:r>
        <w:t xml:space="preserve">L’exigence de capital relative au risque immobilier est la perte de fonds propres due à une baisse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w:bookmarkStart w:id="192" w:name="eq-gbmp"/>
      <m:oMathPara>
        <m:oMathParaPr>
          <m:jc m:val="center"/>
        </m:oMathParaPr>
        <m:oMath>
          <m:r>
            <m:t>C</m:t>
          </m:r>
          <m:r>
            <m:t>S</m:t>
          </m:r>
          <m:sSub>
            <m:e>
              <m:r>
                <m:t>R</m:t>
              </m:r>
            </m:e>
            <m:sub>
              <m:r>
                <m:t>I</m:t>
              </m:r>
            </m:sub>
          </m:sSub>
          <m:r>
            <m:rPr>
              <m:sty m:val="p"/>
            </m:rPr>
            <m:t>=</m:t>
          </m:r>
          <m:r>
            <m:t>B</m:t>
          </m:r>
          <m:sSub>
            <m:e>
              <m:r>
                <m:t>E</m:t>
              </m:r>
            </m:e>
            <m:sub>
              <m:r>
                <m:t>e</m:t>
              </m:r>
              <m:r>
                <m:t>n</m:t>
              </m:r>
              <m:r>
                <m:t>g</m:t>
              </m:r>
            </m:sub>
          </m:sSub>
          <m:d>
            <m:dPr>
              <m:begChr m:val="("/>
              <m:endChr m:val=")"/>
              <m:sepChr m:val=""/>
              <m:grow/>
            </m:dPr>
            <m:e>
              <m:r>
                <m:t>C</m:t>
              </m:r>
              <m:r>
                <m:t>h</m:t>
              </m:r>
              <m:r>
                <m:t>o</m:t>
              </m:r>
              <m:r>
                <m:t>c</m:t>
              </m:r>
            </m:e>
          </m:d>
          <m:r>
            <m:rPr>
              <m:sty m:val="p"/>
            </m:rPr>
            <m:t>−</m:t>
          </m:r>
          <m:r>
            <m:t>B</m:t>
          </m:r>
          <m:sSub>
            <m:e>
              <m:r>
                <m:t>E</m:t>
              </m:r>
            </m:e>
            <m:sub>
              <m:r>
                <m:t>e</m:t>
              </m:r>
              <m:r>
                <m:t>n</m:t>
              </m:r>
              <m:r>
                <m:t>g</m:t>
              </m:r>
            </m:sub>
          </m:sSub>
          <m:r>
            <m:t> </m:t>
          </m:r>
          <m:r>
            <m:rPr>
              <m:sty m:val="p"/>
            </m:rPr>
            <m:t>,</m:t>
          </m:r>
          <m:r>
            <m:t>  </m:t>
          </m:r>
          <m:d>
            <m:dPr>
              <m:begChr m:val="("/>
              <m:endChr m:val=")"/>
              <m:sepChr m:val=""/>
              <m:grow/>
            </m:dPr>
            <m:e>
              <m:r>
                <m:t>52</m:t>
              </m:r>
            </m:e>
          </m:d>
        </m:oMath>
      </m:oMathPara>
      <w:bookmarkEnd w:id="192"/>
    </w:p>
    <w:p>
      <w:pPr>
        <w:pStyle w:val="FirstParagraph"/>
      </w:pPr>
      <w:r>
        <w:t xml:space="preserve">avec :</w:t>
      </w:r>
    </w:p>
    <w:p>
      <w:pPr>
        <w:pStyle w:val="BodyText"/>
      </w:pPr>
      <m:oMath>
        <m:r>
          <m:t>B</m:t>
        </m:r>
        <m:sSub>
          <m:e>
            <m:r>
              <m:t>E</m:t>
            </m:r>
          </m:e>
          <m:sub>
            <m:r>
              <m:t>e</m:t>
            </m:r>
            <m:r>
              <m:t>n</m:t>
            </m:r>
            <m:r>
              <m:t>g</m:t>
            </m:r>
          </m:sub>
        </m:sSub>
        <m:d>
          <m:dPr>
            <m:begChr m:val="("/>
            <m:endChr m:val=")"/>
            <m:sepChr m:val=""/>
            <m:grow/>
          </m:dPr>
          <m:e>
            <m:r>
              <m:t>C</m:t>
            </m:r>
            <m:r>
              <m:t>h</m:t>
            </m:r>
            <m:r>
              <m:t>o</m:t>
            </m:r>
            <m:r>
              <m:t>c</m:t>
            </m:r>
          </m:e>
        </m:d>
      </m:oMath>
      <w:r>
        <w:t xml:space="preserve"> </w:t>
      </w:r>
      <w:r>
        <w:t xml:space="preserve">: La meilleure estimation des engagements choqué par une baisse de la valeur des actifs immobiliers.</w:t>
      </w:r>
    </w:p>
    <w:p>
      <w:pPr>
        <w:pStyle w:val="BodyText"/>
      </w:pPr>
      <m:oMath>
        <m:r>
          <m:t>B</m:t>
        </m:r>
        <m:sSub>
          <m:e>
            <m:r>
              <m:t>E</m:t>
            </m:r>
          </m:e>
          <m:sub>
            <m:r>
              <m:t>e</m:t>
            </m:r>
            <m:r>
              <m:t>n</m:t>
            </m:r>
            <m:r>
              <m:t>g</m:t>
            </m:r>
          </m:sub>
        </m:sSub>
      </m:oMath>
      <w:r>
        <w:t xml:space="preserve"> </w:t>
      </w:r>
      <w:r>
        <w:t xml:space="preserve">: La meilleure estimation des engagements avant choque.</w:t>
      </w:r>
    </w:p>
    <w:bookmarkEnd w:id="193"/>
    <w:bookmarkStart w:id="195" w:name="X26a52ae9805b11f9d1baa2a487f517d03749fc0"/>
    <w:p>
      <w:pPr>
        <w:pStyle w:val="Heading5"/>
      </w:pPr>
      <w:r>
        <w:t xml:space="preserve">L’exigence de capital relative au risque d’écart de taux (</w:t>
      </w:r>
      <m:oMath>
        <m:r>
          <m:t>C</m:t>
        </m:r>
        <m:r>
          <m:t>S</m:t>
        </m:r>
        <m:sSub>
          <m:e>
            <m:r>
              <m:t>R</m:t>
            </m:r>
          </m:e>
          <m:sub>
            <m:r>
              <m:t>E</m:t>
            </m:r>
            <m:r>
              <m:t>T</m:t>
            </m:r>
          </m:sub>
        </m:sSub>
      </m:oMath>
      <w:r>
        <w:t xml:space="preserve">) :</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bookmarkStart w:id="194" w:name="eq-gbmp"/>
      <m:oMathPara>
        <m:oMathParaPr>
          <m:jc m:val="center"/>
        </m:oMathParaPr>
        <m:oMath>
          <m:r>
            <m:t>C</m:t>
          </m:r>
          <m:r>
            <m:t>S</m:t>
          </m:r>
          <m:sSub>
            <m:e>
              <m:r>
                <m:t>R</m:t>
              </m:r>
            </m:e>
            <m:sub>
              <m:r>
                <m:t>E</m:t>
              </m:r>
              <m:r>
                <m:t>T</m:t>
              </m:r>
            </m:sub>
          </m:sSub>
          <m:r>
            <m:rPr>
              <m:sty m:val="p"/>
            </m:rPr>
            <m:t>=</m:t>
          </m:r>
          <m:r>
            <m:t>B</m:t>
          </m:r>
          <m:sSub>
            <m:e>
              <m:r>
                <m:t>E</m:t>
              </m:r>
            </m:e>
            <m:sub>
              <m:r>
                <m:t>e</m:t>
              </m:r>
              <m:r>
                <m:t>n</m:t>
              </m:r>
              <m:r>
                <m:t>g</m:t>
              </m:r>
            </m:sub>
          </m:sSub>
          <m:d>
            <m:dPr>
              <m:begChr m:val="("/>
              <m:endChr m:val=")"/>
              <m:sepChr m:val=""/>
              <m:grow/>
            </m:dPr>
            <m:e>
              <m:r>
                <m:t>C</m:t>
              </m:r>
              <m:r>
                <m:t>h</m:t>
              </m:r>
              <m:r>
                <m:t>o</m:t>
              </m:r>
              <m:r>
                <m:t>c</m:t>
              </m:r>
            </m:e>
          </m:d>
          <m:r>
            <m:rPr>
              <m:sty m:val="p"/>
            </m:rPr>
            <m:t>−</m:t>
          </m:r>
          <m:r>
            <m:t>B</m:t>
          </m:r>
          <m:sSub>
            <m:e>
              <m:r>
                <m:t>E</m:t>
              </m:r>
            </m:e>
            <m:sub>
              <m:r>
                <m:t>e</m:t>
              </m:r>
              <m:r>
                <m:t>n</m:t>
              </m:r>
              <m:r>
                <m:t>g</m:t>
              </m:r>
            </m:sub>
          </m:sSub>
          <m:r>
            <m:t> </m:t>
          </m:r>
          <m:r>
            <m:rPr>
              <m:sty m:val="p"/>
            </m:rPr>
            <m:t>,</m:t>
          </m:r>
          <m:r>
            <m:t>  </m:t>
          </m:r>
          <m:d>
            <m:dPr>
              <m:begChr m:val="("/>
              <m:endChr m:val=")"/>
              <m:sepChr m:val=""/>
              <m:grow/>
            </m:dPr>
            <m:e>
              <m:r>
                <m:t>53</m:t>
              </m:r>
            </m:e>
          </m:d>
        </m:oMath>
      </m:oMathPara>
      <w:bookmarkEnd w:id="194"/>
    </w:p>
    <w:p>
      <w:pPr>
        <w:pStyle w:val="FirstParagraph"/>
      </w:pPr>
      <m:oMath>
        <m:r>
          <m:t>B</m:t>
        </m:r>
        <m:sSub>
          <m:e>
            <m:r>
              <m:t>E</m:t>
            </m:r>
          </m:e>
          <m:sub>
            <m:r>
              <m:t>e</m:t>
            </m:r>
            <m:r>
              <m:t>n</m:t>
            </m:r>
            <m:r>
              <m:t>g</m:t>
            </m:r>
          </m:sub>
        </m:sSub>
      </m:oMath>
      <w:r>
        <w:t xml:space="preserve"> </w:t>
      </w:r>
      <w:r>
        <w:t xml:space="preserve">: La meilleure estimation des engagements avant choque.</w:t>
      </w:r>
    </w:p>
    <w:p>
      <w:pPr>
        <w:pStyle w:val="BodyText"/>
      </w:pPr>
      <m:oMath>
        <m:r>
          <m:t>B</m:t>
        </m:r>
        <m:sSub>
          <m:e>
            <m:r>
              <m:t>E</m:t>
            </m:r>
          </m:e>
          <m:sub>
            <m:r>
              <m:t>e</m:t>
            </m:r>
            <m:r>
              <m:t>n</m:t>
            </m:r>
            <m:r>
              <m:t>g</m:t>
            </m:r>
          </m:sub>
        </m:sSub>
        <m:d>
          <m:dPr>
            <m:begChr m:val="("/>
            <m:endChr m:val=")"/>
            <m:sepChr m:val=""/>
            <m:grow/>
          </m:dPr>
          <m:e>
            <m:r>
              <m:t>C</m:t>
            </m:r>
            <m:r>
              <m:t>h</m:t>
            </m:r>
            <m:r>
              <m:t>o</m:t>
            </m:r>
            <m:r>
              <m:t>c</m:t>
            </m:r>
          </m:e>
        </m:d>
      </m:oMath>
      <w:r>
        <w:t xml:space="preserve"> </w:t>
      </w:r>
      <w:r>
        <w:t xml:space="preserve">: La meilleure estimation des engagements choqué par une baisse de la valeur des titres de créances non émis ou non garantis par l’Etat.</w:t>
      </w:r>
    </w:p>
    <w:p>
      <w:pPr>
        <w:pStyle w:val="BodyText"/>
      </w:pPr>
      <w:r>
        <w:t xml:space="preserve">Les taux de baisse à appliquer sont calculés en fonction de la duration et de la prime de risque à l’émission.</w:t>
      </w:r>
    </w:p>
    <w:bookmarkEnd w:id="195"/>
    <w:bookmarkStart w:id="197" w:name="X5e99c74a71772d632d6e09c172891fadaa66da1"/>
    <w:p>
      <w:pPr>
        <w:pStyle w:val="Heading5"/>
      </w:pPr>
      <w:r>
        <w:t xml:space="preserve">L’exigence de capital relative au sous-risque de change (</w:t>
      </w:r>
      <m:oMath>
        <m:r>
          <m:t>C</m:t>
        </m:r>
        <m:r>
          <m:t>S</m:t>
        </m:r>
        <m:sSub>
          <m:e>
            <m:r>
              <m:t>R</m:t>
            </m:r>
          </m:e>
          <m:sub>
            <m:r>
              <m:t>C</m:t>
            </m:r>
            <m:r>
              <m:t>h</m:t>
            </m:r>
          </m:sub>
        </m:sSub>
      </m:oMath>
      <w:r>
        <w:t xml:space="preserve">) :</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43"/>
        </w:numPr>
        <w:pStyle w:val="Compact"/>
      </w:pPr>
      <w:r>
        <w:t xml:space="preserve">l’exigence de capital pour risque d’augmentation de la valeur de la devise étrangère par rapport au dirham.</w:t>
      </w:r>
    </w:p>
    <w:p>
      <w:pPr>
        <w:numPr>
          <w:ilvl w:val="0"/>
          <w:numId w:val="1043"/>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égale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w:bookmarkStart w:id="196" w:name="eq-gbmp"/>
      <m:oMathPara>
        <m:oMathParaPr>
          <m:jc m:val="center"/>
        </m:oMathParaPr>
        <m:oMath>
          <m:r>
            <m:t>C</m:t>
          </m:r>
          <m:r>
            <m:t>S</m:t>
          </m:r>
          <m:sSub>
            <m:e>
              <m:r>
                <m:t>R</m:t>
              </m:r>
            </m:e>
            <m:sub>
              <m:r>
                <m:t>C</m:t>
              </m:r>
              <m:r>
                <m:t>h</m:t>
              </m:r>
            </m:sub>
          </m:sSub>
          <m:r>
            <m:rPr>
              <m:sty m:val="p"/>
            </m:rPr>
            <m:t>=</m:t>
          </m:r>
          <m:nary>
            <m:naryPr>
              <m:chr m:val="∑"/>
              <m:limLoc m:val="undOvr"/>
              <m:subHide m:val="0"/>
              <m:supHide m:val="1"/>
            </m:naryPr>
            <m:sub>
              <m:r>
                <m:t>i</m:t>
              </m:r>
              <m:r>
                <m:rPr>
                  <m:sty m:val="p"/>
                </m:rPr>
                <m:t>∈</m:t>
              </m:r>
              <m:r>
                <m:t>R</m:t>
              </m:r>
              <m:r>
                <m:t>C</m:t>
              </m:r>
            </m:sub>
            <m:sup>
              <m:r>
                <m:t>​</m:t>
              </m:r>
            </m:sup>
            <m:e>
              <m:r>
                <m:t>C</m:t>
              </m:r>
            </m:e>
          </m:nary>
          <m:r>
            <m:t>S</m:t>
          </m:r>
          <m:sSub>
            <m:e>
              <m:r>
                <m:t>R</m:t>
              </m:r>
            </m:e>
            <m:sub>
              <m:r>
                <m:t>C</m:t>
              </m:r>
              <m:sSub>
                <m:e>
                  <m:r>
                    <m:t>h</m:t>
                  </m:r>
                </m:e>
                <m:sub>
                  <m:r>
                    <m:t>i</m:t>
                  </m:r>
                </m:sub>
              </m:sSub>
            </m:sub>
          </m:sSub>
          <m:r>
            <m:t> </m:t>
          </m:r>
          <m:r>
            <m:rPr>
              <m:sty m:val="p"/>
            </m:rPr>
            <m:t>,</m:t>
          </m:r>
          <m:r>
            <m:t>  </m:t>
          </m:r>
          <m:d>
            <m:dPr>
              <m:begChr m:val="("/>
              <m:endChr m:val=")"/>
              <m:sepChr m:val=""/>
              <m:grow/>
            </m:dPr>
            <m:e>
              <m:r>
                <m:t>54</m:t>
              </m:r>
            </m:e>
          </m:d>
        </m:oMath>
      </m:oMathPara>
      <w:bookmarkEnd w:id="196"/>
    </w:p>
    <w:p>
      <w:pPr>
        <w:pStyle w:val="FirstParagraph"/>
      </w:pPr>
      <w:r>
        <w:t xml:space="preserve">avec :</w:t>
      </w:r>
    </w:p>
    <w:p>
      <w:pPr>
        <w:pStyle w:val="BodyText"/>
      </w:pPr>
      <m:oMath>
        <m:r>
          <m:t>R</m:t>
        </m:r>
        <m:r>
          <m:t>C</m:t>
        </m:r>
      </m:oMath>
      <w:r>
        <w:t xml:space="preserve"> </w:t>
      </w:r>
      <w:r>
        <w:t xml:space="preserve">= {risque de change pour chaque devise étrangère }</w:t>
      </w:r>
    </w:p>
    <w:p>
      <w:pPr>
        <w:pStyle w:val="BodyText"/>
      </w:pPr>
      <w:r>
        <w:t xml:space="preserve">et,</w:t>
      </w:r>
    </w:p>
    <w:p>
      <w:pPr>
        <w:pStyle w:val="BodyText"/>
      </w:pPr>
      <m:oMathPara>
        <m:oMathParaPr>
          <m:jc m:val="center"/>
        </m:oMathParaPr>
        <m:oMath>
          <m:r>
            <m:t>C</m:t>
          </m:r>
          <m:r>
            <m:t>S</m:t>
          </m:r>
          <m:sSub>
            <m:e>
              <m:r>
                <m:t>R</m:t>
              </m:r>
            </m:e>
            <m:sub>
              <m:r>
                <m:t>C</m:t>
              </m:r>
              <m:sSub>
                <m:e>
                  <m:r>
                    <m:t>h</m:t>
                  </m:r>
                </m:e>
                <m:sub>
                  <m:r>
                    <m:t>i</m:t>
                  </m:r>
                </m:sub>
              </m:sSub>
            </m:sub>
          </m:sSub>
          <m:r>
            <m:rPr>
              <m:sty m:val="p"/>
            </m:rPr>
            <m:t>=</m:t>
          </m:r>
          <m:r>
            <m:t>m</m:t>
          </m:r>
          <m:r>
            <m:t>a</m:t>
          </m:r>
          <m:r>
            <m:t>x</m:t>
          </m:r>
          <m:d>
            <m:dPr>
              <m:begChr m:val="("/>
              <m:endChr m:val=")"/>
              <m:sepChr m:val=""/>
              <m:grow/>
            </m:dPr>
            <m:e>
              <m:r>
                <m:t>C</m:t>
              </m:r>
              <m:r>
                <m:t>S</m:t>
              </m:r>
              <m:sSub>
                <m:e>
                  <m:r>
                    <m:t>R</m:t>
                  </m:r>
                </m:e>
                <m:sub>
                  <m:r>
                    <m:t>i</m:t>
                  </m:r>
                </m:sub>
              </m:sSub>
              <m:d>
                <m:dPr>
                  <m:begChr m:val="("/>
                  <m:endChr m:val=")"/>
                  <m:sepChr m:val=""/>
                  <m:grow/>
                </m:dPr>
                <m:e>
                  <m:r>
                    <m:t>A</m:t>
                  </m:r>
                  <m:r>
                    <m:t>u</m:t>
                  </m:r>
                  <m:r>
                    <m:t>g</m:t>
                  </m:r>
                </m:e>
              </m:d>
              <m:r>
                <m:t> </m:t>
              </m:r>
              <m:r>
                <m:rPr>
                  <m:sty m:val="p"/>
                </m:rPr>
                <m:t>;</m:t>
              </m:r>
              <m:r>
                <m:t> </m:t>
              </m:r>
              <m:r>
                <m:t>C</m:t>
              </m:r>
              <m:r>
                <m:t>S</m:t>
              </m:r>
              <m:sSub>
                <m:e>
                  <m:r>
                    <m:t>R</m:t>
                  </m:r>
                </m:e>
                <m:sub>
                  <m:r>
                    <m:t>i</m:t>
                  </m:r>
                </m:sub>
              </m:sSub>
              <m:d>
                <m:dPr>
                  <m:begChr m:val="("/>
                  <m:endChr m:val=")"/>
                  <m:sepChr m:val=""/>
                  <m:grow/>
                </m:dPr>
                <m:e>
                  <m:r>
                    <m:t>D</m:t>
                  </m:r>
                  <m:r>
                    <m:t>i</m:t>
                  </m:r>
                  <m:r>
                    <m:t>m</m:t>
                  </m:r>
                </m:e>
              </m:d>
            </m:e>
          </m:d>
        </m:oMath>
      </m:oMathPara>
    </w:p>
    <w:p>
      <w:pPr>
        <w:pStyle w:val="FirstParagraph"/>
      </w:pPr>
      <w:r>
        <w:t xml:space="preserve">- CSR_{i}(Aug) : L’exigence de capital pour risque d’augmentation de la valeur de la devise étrangère par rapport au dirham.</w:t>
      </w:r>
      <w:r>
        <w:t xml:space="preserve"> </w:t>
      </w:r>
      <w:r>
        <w:t xml:space="preserve">- CSR_{i}(Dim) : L’exigence de capital pour risque de diminution de la valeur de la devise étrangère par rapport au dirham.</w:t>
      </w:r>
    </w:p>
    <w:p>
      <w:pPr>
        <w:pStyle w:val="BodyText"/>
      </w:pPr>
      <w:r>
        <w:t xml:space="preserve">Tell que:</w:t>
      </w:r>
    </w:p>
    <w:p>
      <w:pPr>
        <w:pStyle w:val="BodyText"/>
      </w:pPr>
      <m:oMathPara>
        <m:oMathParaPr>
          <m:jc m:val="center"/>
        </m:oMathParaPr>
        <m:oMath>
          <m:r>
            <m:t>C</m:t>
          </m:r>
          <m:r>
            <m:t>S</m:t>
          </m:r>
          <m:sSub>
            <m:e>
              <m:r>
                <m:t>R</m:t>
              </m:r>
            </m:e>
            <m:sub>
              <m:r>
                <m:t>i</m:t>
              </m:r>
            </m:sub>
          </m:sSub>
          <m:d>
            <m:dPr>
              <m:begChr m:val="("/>
              <m:endChr m:val=")"/>
              <m:sepChr m:val=""/>
              <m:grow/>
            </m:dPr>
            <m:e>
              <m:r>
                <m:t>A</m:t>
              </m:r>
              <m:r>
                <m:t>u</m:t>
              </m:r>
              <m:r>
                <m:t>g</m:t>
              </m:r>
            </m:e>
          </m:d>
          <m:r>
            <m:rPr>
              <m:sty m:val="p"/>
            </m:rPr>
            <m:t>=</m:t>
          </m:r>
          <m:r>
            <m:t>B</m:t>
          </m:r>
          <m:r>
            <m:t>E</m:t>
          </m:r>
          <m:d>
            <m:dPr>
              <m:begChr m:val="("/>
              <m:endChr m:val=")"/>
              <m:sepChr m:val=""/>
              <m:grow/>
            </m:dPr>
            <m:e>
              <m:r>
                <m:t>A</m:t>
              </m:r>
              <m:r>
                <m:t>u</m:t>
              </m:r>
              <m:r>
                <m:t>g</m:t>
              </m:r>
            </m:e>
          </m:d>
          <m:r>
            <m:rPr>
              <m:sty m:val="p"/>
            </m:rPr>
            <m:t>−</m:t>
          </m:r>
          <m:r>
            <m:t>B</m:t>
          </m:r>
          <m:r>
            <m:t>E</m:t>
          </m:r>
          <m:r>
            <m:t> </m:t>
          </m:r>
          <m:r>
            <m:rPr>
              <m:sty m:val="p"/>
            </m:rPr>
            <m:t>;</m:t>
          </m:r>
        </m:oMath>
      </m:oMathPara>
    </w:p>
    <w:p>
      <w:pPr>
        <w:pStyle w:val="FirstParagraph"/>
      </w:pPr>
      <m:oMathPara>
        <m:oMathParaPr>
          <m:jc m:val="center"/>
        </m:oMathParaPr>
        <m:oMath>
          <m:r>
            <m:t>C</m:t>
          </m:r>
          <m:r>
            <m:t>S</m:t>
          </m:r>
          <m:sSub>
            <m:e>
              <m:r>
                <m:t>R</m:t>
              </m:r>
            </m:e>
            <m:sub>
              <m:r>
                <m:t>i</m:t>
              </m:r>
            </m:sub>
          </m:sSub>
          <m:d>
            <m:dPr>
              <m:begChr m:val="("/>
              <m:endChr m:val=")"/>
              <m:sepChr m:val=""/>
              <m:grow/>
            </m:dPr>
            <m:e>
              <m:r>
                <m:t>D</m:t>
              </m:r>
              <m:r>
                <m:t>i</m:t>
              </m:r>
              <m:r>
                <m:t>m</m:t>
              </m:r>
            </m:e>
          </m:d>
          <m:r>
            <m:rPr>
              <m:sty m:val="p"/>
            </m:rPr>
            <m:t>=</m:t>
          </m:r>
          <m:r>
            <m:t>B</m:t>
          </m:r>
          <m:r>
            <m:t>E</m:t>
          </m:r>
          <m:d>
            <m:dPr>
              <m:begChr m:val="("/>
              <m:endChr m:val=")"/>
              <m:sepChr m:val=""/>
              <m:grow/>
            </m:dPr>
            <m:e>
              <m:r>
                <m:t>D</m:t>
              </m:r>
              <m:r>
                <m:t>i</m:t>
              </m:r>
              <m:r>
                <m:t>m</m:t>
              </m:r>
            </m:e>
          </m:d>
          <m:r>
            <m:rPr>
              <m:sty m:val="p"/>
            </m:rPr>
            <m:t>−</m:t>
          </m:r>
          <m:r>
            <m:t>B</m:t>
          </m:r>
          <m:r>
            <m:t>E</m:t>
          </m:r>
          <m:r>
            <m:t> </m:t>
          </m:r>
          <m:r>
            <m:rPr>
              <m:sty m:val="p"/>
            </m:rPr>
            <m:t>;</m:t>
          </m:r>
        </m:oMath>
      </m:oMathPara>
    </w:p>
    <w:p>
      <w:pPr>
        <w:pStyle w:val="FirstParagraph"/>
      </w:pPr>
      <w:r>
        <w:t xml:space="preserve">avec :</w:t>
      </w:r>
    </w:p>
    <w:p>
      <w:pPr>
        <w:pStyle w:val="BodyText"/>
      </w:pPr>
      <m:oMath>
        <m:r>
          <m:t>B</m:t>
        </m:r>
        <m:r>
          <m:t>E</m:t>
        </m:r>
        <m:d>
          <m:dPr>
            <m:begChr m:val="("/>
            <m:endChr m:val=")"/>
            <m:sepChr m:val=""/>
            <m:grow/>
          </m:dPr>
          <m:e>
            <m:r>
              <m:t>A</m:t>
            </m:r>
            <m:r>
              <m:t>u</m:t>
            </m:r>
            <m:r>
              <m:t>g</m:t>
            </m:r>
          </m:e>
        </m:d>
      </m:oMath>
      <w:r>
        <w:t xml:space="preserve"> </w:t>
      </w:r>
      <w:r>
        <w:t xml:space="preserve">: Meilleur estimation des engagement pour le scénario d’augmentation de la valeur de la devise étrangère par rapport au dirham.</w:t>
      </w:r>
    </w:p>
    <w:p>
      <w:pPr>
        <w:pStyle w:val="BodyText"/>
      </w:pPr>
      <m:oMath>
        <m:r>
          <m:t>B</m:t>
        </m:r>
        <m:r>
          <m:t>E</m:t>
        </m:r>
        <m:d>
          <m:dPr>
            <m:begChr m:val="("/>
            <m:endChr m:val=")"/>
            <m:sepChr m:val=""/>
            <m:grow/>
          </m:dPr>
          <m:e>
            <m:r>
              <m:t>D</m:t>
            </m:r>
            <m:r>
              <m:t>i</m:t>
            </m:r>
            <m:r>
              <m:t>m</m:t>
            </m:r>
          </m:e>
        </m:d>
      </m:oMath>
      <w:r>
        <w:t xml:space="preserve"> </w:t>
      </w:r>
      <w:r>
        <w:t xml:space="preserve">: Meilleur estimation des engagement pour le scénario de diminution de la valeur de la devise étrangère par rapport au dirham.</w:t>
      </w:r>
    </w:p>
    <w:bookmarkEnd w:id="197"/>
    <w:bookmarkEnd w:id="198"/>
    <w:bookmarkStart w:id="210" w:name="Xd0f4af3e42e2da5a32c41da94ab3029f0007a55"/>
    <w:p>
      <w:pPr>
        <w:pStyle w:val="Heading4"/>
      </w:pPr>
      <w:r>
        <w:t xml:space="preserve">Exigence de capital relative au risque de contrepartie (</w:t>
      </w:r>
      <m:oMath>
        <m:r>
          <m:t>C</m:t>
        </m:r>
        <m:r>
          <m:t>S</m:t>
        </m:r>
        <m:sSub>
          <m:e>
            <m:r>
              <m:t>R</m:t>
            </m:r>
          </m:e>
          <m:sub>
            <m:r>
              <m:t>C</m:t>
            </m:r>
            <m:r>
              <m:t>p</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w:bookmarkStart w:id="199" w:name="eq-gbmp"/>
      <m:oMathPara>
        <m:oMathParaPr>
          <m:jc m:val="center"/>
        </m:oMathParaPr>
        <m:oMath>
          <m:r>
            <m:t>C</m:t>
          </m:r>
          <m:r>
            <m:t>S</m:t>
          </m:r>
          <m:sSub>
            <m:e>
              <m:r>
                <m:t>R</m:t>
              </m:r>
            </m:e>
            <m:sub>
              <m:r>
                <m:t>C</m:t>
              </m:r>
              <m:r>
                <m:t>p</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C</m:t>
                          </m:r>
                          <m:sSub>
                            <m:e>
                              <m:r>
                                <m:t>p</m:t>
                              </m:r>
                            </m:e>
                            <m:sub>
                              <m:r>
                                <m:t>i</m:t>
                              </m:r>
                            </m:sub>
                          </m:sSub>
                        </m:sub>
                      </m:sSub>
                      <m:r>
                        <m:rPr>
                          <m:sty m:val="p"/>
                        </m:rPr>
                        <m:t>×</m:t>
                      </m:r>
                      <m:r>
                        <m:t>C</m:t>
                      </m:r>
                      <m:r>
                        <m:t>S</m:t>
                      </m:r>
                      <m:sSub>
                        <m:e>
                          <m:r>
                            <m:t>R</m:t>
                          </m:r>
                        </m:e>
                        <m:sub>
                          <m:r>
                            <m:t>C</m:t>
                          </m:r>
                          <m:sSub>
                            <m:e>
                              <m:r>
                                <m:t>p</m:t>
                              </m:r>
                            </m:e>
                            <m:sub>
                              <m:r>
                                <m:t>j</m:t>
                              </m:r>
                            </m:sub>
                          </m:sSub>
                        </m:sub>
                      </m:sSub>
                    </m:e>
                  </m:d>
                </m:e>
              </m:nary>
            </m:e>
          </m:rad>
          <m:r>
            <m:t>  </m:t>
          </m:r>
          <m:d>
            <m:dPr>
              <m:begChr m:val="("/>
              <m:endChr m:val=")"/>
              <m:sepChr m:val=""/>
              <m:grow/>
            </m:dPr>
            <m:e>
              <m:r>
                <m:t>55</m:t>
              </m:r>
            </m:e>
          </m:d>
        </m:oMath>
      </m:oMathPara>
      <w:bookmarkEnd w:id="199"/>
    </w:p>
    <w:p>
      <w:pPr>
        <w:pStyle w:val="FirstParagraph"/>
      </w:pPr>
      <w:r>
        <w:t xml:space="preserve">avec : $</w:t>
      </w:r>
      <w:r>
        <w:t xml:space="preserve"> </w:t>
      </w:r>
      <w:r>
        <w:t xml:space="preserve">Type = {</w:t>
      </w:r>
      <w:r>
        <w:t xml:space="preserve"> </w:t>
      </w:r>
      <w:r>
        <w:t xml:space="preserve"> </w:t>
      </w:r>
      <w:r>
        <w:t xml:space="preserve">;</w:t>
      </w:r>
      <w:r>
        <w:t xml:space="preserve"> </w:t>
      </w:r>
      <w:r>
        <w:t xml:space="preserve"> </w:t>
      </w:r>
      <w:r>
        <w:t xml:space="preserve">}$</w:t>
      </w:r>
    </w:p>
    <w:bookmarkStart w:id="207" w:name="X303ad4190ba297cc4664f228835544b0eb3361f"/>
    <w:p>
      <w:pPr>
        <w:pStyle w:val="Heading5"/>
      </w:pPr>
      <w:r>
        <w:t xml:space="preserve">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 méthode décrite dans</w:t>
      </w:r>
      <w:r>
        <w:t xml:space="preserve"> </w:t>
      </w:r>
      <w:r>
        <w:rPr>
          <w:bCs/>
          <w:b/>
        </w:rPr>
        <w:t xml:space="preserve">l’annexe 9</w:t>
      </w:r>
      <w:r>
        <w:t xml:space="preserve"> </w:t>
      </w:r>
      <w:r>
        <w:t xml:space="preserve">du circulaire de l’ACAPS.Cette méthode et comme suit :</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44"/>
        </w:numPr>
        <w:pStyle w:val="Compact"/>
      </w:pPr>
      <w:r>
        <w:t xml:space="preserve">Pour un contrat de réassurance:</w:t>
      </w:r>
    </w:p>
    <w:p>
      <w:pPr>
        <w:pStyle w:val="FirstParagraph"/>
      </w:pPr>
      <w:bookmarkStart w:id="200" w:name="eq-gbmp"/>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t>C</m:t>
                  </m:r>
                  <m:r>
                    <m:t>r</m:t>
                  </m:r>
                  <m:r>
                    <m:t>C</m:t>
                  </m:r>
                  <m:r>
                    <m:rPr>
                      <m:sty m:val="p"/>
                    </m:rPr>
                    <m:t>+</m:t>
                  </m:r>
                  <m:r>
                    <m:t>A</m:t>
                  </m:r>
                  <m:sSub>
                    <m:e>
                      <m:r>
                        <m:t>R</m:t>
                      </m:r>
                    </m:e>
                    <m:sub>
                      <m:r>
                        <m:t>i</m:t>
                      </m:r>
                    </m:sub>
                  </m:sSub>
                </m:e>
              </m:d>
              <m:r>
                <m:rPr>
                  <m:sty m:val="p"/>
                </m:rPr>
                <m:t>−</m:t>
              </m:r>
              <m:r>
                <m:rPr>
                  <m:nor/>
                  <m:sty m:val="p"/>
                </m:rPr>
                <m:t>DEV</m:t>
              </m:r>
              <m:r>
                <m:rPr>
                  <m:sty m:val="p"/>
                </m:rPr>
                <m:t>;</m:t>
              </m:r>
              <m:r>
                <m:t>0</m:t>
              </m:r>
            </m:e>
          </m:d>
          <m:r>
            <m:t>  </m:t>
          </m:r>
          <m:d>
            <m:dPr>
              <m:begChr m:val="("/>
              <m:endChr m:val=")"/>
              <m:sepChr m:val=""/>
              <m:grow/>
            </m:dPr>
            <m:e>
              <m:r>
                <m:t>56</m:t>
              </m:r>
            </m:e>
          </m:d>
        </m:oMath>
      </m:oMathPara>
      <w:bookmarkEnd w:id="200"/>
    </w:p>
    <w:p>
      <w:pPr>
        <w:pStyle w:val="FirstParagraph"/>
      </w:pPr>
      <w:r>
        <w:t xml:space="preserve">Où :</w:t>
      </w:r>
    </w:p>
    <w:p>
      <w:pPr>
        <w:numPr>
          <w:ilvl w:val="0"/>
          <w:numId w:val="1045"/>
        </w:numPr>
        <w:pStyle w:val="Compact"/>
      </w:pPr>
      <m:oMath>
        <m:r>
          <m:t>B</m:t>
        </m:r>
        <m:r>
          <m:t>E</m:t>
        </m:r>
        <m:sSub>
          <m:e>
            <m:r>
              <m:t>C</m:t>
            </m:r>
          </m:e>
          <m:sub>
            <m:r>
              <m:t>i</m:t>
            </m:r>
          </m:sub>
        </m:sSub>
      </m:oMath>
      <w:r>
        <w:t xml:space="preserve"> </w:t>
      </w:r>
      <w:r>
        <w:t xml:space="preserve">: La meilleure estimation des engagements cédés au cessionnaire ;</w:t>
      </w:r>
    </w:p>
    <w:p>
      <w:pPr>
        <w:numPr>
          <w:ilvl w:val="0"/>
          <w:numId w:val="1045"/>
        </w:numPr>
        <w:pStyle w:val="Compact"/>
      </w:pPr>
      <m:oMath>
        <m:r>
          <m:t>L</m:t>
        </m:r>
        <m:r>
          <m:t>G</m:t>
        </m:r>
        <m:sSub>
          <m:e>
            <m:r>
              <m:t>D</m:t>
            </m:r>
          </m:e>
          <m:sub>
            <m:r>
              <m:t>i</m:t>
            </m:r>
          </m:sub>
        </m:sSub>
      </m:oMath>
      <w:r>
        <w:t xml:space="preserve"> </w:t>
      </w:r>
      <w:r>
        <w:t xml:space="preserve">: la perte en cas de défaut du cessionnaire i ;</w:t>
      </w:r>
    </w:p>
    <w:p>
      <w:pPr>
        <w:numPr>
          <w:ilvl w:val="0"/>
          <w:numId w:val="1045"/>
        </w:numPr>
        <w:pStyle w:val="Compact"/>
      </w:pPr>
      <m:oMath>
        <m:r>
          <m:t>D</m:t>
        </m:r>
        <m:r>
          <m:t>E</m:t>
        </m:r>
        <m:r>
          <m:t>V</m:t>
        </m:r>
      </m:oMath>
      <w:r>
        <w:t xml:space="preserve"> </w:t>
      </w:r>
      <w:r>
        <w:t xml:space="preserve">: le montant des dépôts en espèces ou en valeurs du cessionnaire i ;</w:t>
      </w:r>
    </w:p>
    <w:p>
      <w:pPr>
        <w:numPr>
          <w:ilvl w:val="0"/>
          <w:numId w:val="1045"/>
        </w:numPr>
        <w:pStyle w:val="Compact"/>
      </w:pPr>
      <m:oMath>
        <m:r>
          <m:t>C</m:t>
        </m:r>
        <m:r>
          <m:t>r</m:t>
        </m:r>
        <m:r>
          <m:t>C</m:t>
        </m:r>
      </m:oMath>
      <w:r>
        <w:t xml:space="preserve"> </w:t>
      </w:r>
      <w:r>
        <w:t xml:space="preserve">: les créances sur les cessionaires</w:t>
      </w:r>
    </w:p>
    <w:p>
      <w:pPr>
        <w:numPr>
          <w:ilvl w:val="0"/>
          <w:numId w:val="1045"/>
        </w:numPr>
        <w:pStyle w:val="Compact"/>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bookmarkStart w:id="206" w:name="pour-un-contrat-dacceptation"/>
    <w:p>
      <w:pPr>
        <w:pStyle w:val="Heading6"/>
      </w:pPr>
      <w:r>
        <w:t xml:space="preserve">Pour un contrat d’acceptation :</w:t>
      </w:r>
    </w:p>
    <w:p>
      <w:pPr>
        <w:pStyle w:val="FirstParagraph"/>
      </w:pPr>
      <w:bookmarkStart w:id="201" w:name="eq-gbmp"/>
      <m:oMathPara>
        <m:oMathParaPr>
          <m:jc m:val="center"/>
        </m:oMathParaPr>
        <m:oMath>
          <m:r>
            <m:t>L</m:t>
          </m:r>
          <m:r>
            <m:t>G</m:t>
          </m:r>
          <m:sSub>
            <m:e>
              <m:r>
                <m:t>D</m:t>
              </m:r>
            </m:e>
            <m:sub>
              <m:r>
                <m:t>i</m:t>
              </m:r>
            </m:sub>
          </m:sSub>
          <m:r>
            <m:rPr>
              <m:sty m:val="p"/>
            </m:rPr>
            <m:t>=</m:t>
          </m:r>
          <m:r>
            <m:t>m</m:t>
          </m:r>
          <m:r>
            <m:t>a</m:t>
          </m:r>
          <m:r>
            <m:t>x</m:t>
          </m:r>
          <m:d>
            <m:dPr>
              <m:begChr m:val="("/>
              <m:endChr m:val=")"/>
              <m:sepChr m:val=""/>
              <m:grow/>
            </m:dPr>
            <m:e>
              <m:r>
                <m:t>D</m:t>
              </m:r>
              <m:r>
                <m:t>E</m:t>
              </m:r>
              <m:sSub>
                <m:e>
                  <m:r>
                    <m:t>C</m:t>
                  </m:r>
                </m:e>
                <m:sub>
                  <m:r>
                    <m:t>i</m:t>
                  </m:r>
                </m:sub>
              </m:sSub>
              <m:r>
                <m:rPr>
                  <m:sty m:val="p"/>
                </m:rPr>
                <m:t>+</m:t>
              </m:r>
              <m:r>
                <m:t>C</m:t>
              </m:r>
              <m:r>
                <m:t>r</m:t>
              </m:r>
              <m:r>
                <m:t>C</m:t>
              </m:r>
              <m:sSub>
                <m:e>
                  <m:r>
                    <m:t>d</m:t>
                  </m:r>
                </m:e>
                <m:sub>
                  <m:r>
                    <m:t>i</m:t>
                  </m:r>
                </m:sub>
              </m:sSub>
              <m:r>
                <m:rPr>
                  <m:sty m:val="p"/>
                </m:rPr>
                <m:t>−</m:t>
              </m:r>
              <m:r>
                <m:t>P</m:t>
              </m:r>
              <m:sSub>
                <m:e>
                  <m:r>
                    <m:t>T</m:t>
                  </m:r>
                </m:e>
                <m:sub>
                  <m:r>
                    <m:t>i</m:t>
                  </m:r>
                </m:sub>
              </m:sSub>
              <m:r>
                <m:t> </m:t>
              </m:r>
              <m:r>
                <m:rPr>
                  <m:sty m:val="p"/>
                </m:rPr>
                <m:t>;</m:t>
              </m:r>
              <m:r>
                <m:t> </m:t>
              </m:r>
              <m:r>
                <m:t>0</m:t>
              </m:r>
            </m:e>
          </m:d>
          <m:r>
            <m:t> </m:t>
          </m:r>
          <m:r>
            <m:rPr>
              <m:sty m:val="p"/>
            </m:rPr>
            <m:t>,</m:t>
          </m:r>
          <m:r>
            <m:t>  </m:t>
          </m:r>
          <m:d>
            <m:dPr>
              <m:begChr m:val="("/>
              <m:endChr m:val=")"/>
              <m:sepChr m:val=""/>
              <m:grow/>
            </m:dPr>
            <m:e>
              <m:r>
                <m:t>57</m:t>
              </m:r>
            </m:e>
          </m:d>
        </m:oMath>
      </m:oMathPara>
      <w:bookmarkEnd w:id="201"/>
    </w:p>
    <w:p>
      <w:pPr>
        <w:pStyle w:val="FirstParagraph"/>
      </w:pPr>
      <w:r>
        <w:t xml:space="preserve">où :</w:t>
      </w:r>
    </w:p>
    <w:p>
      <w:pPr>
        <w:numPr>
          <w:ilvl w:val="0"/>
          <w:numId w:val="1046"/>
        </w:numPr>
        <w:pStyle w:val="Compact"/>
      </w:pPr>
      <m:oMath>
        <m:r>
          <m:t>L</m:t>
        </m:r>
        <m:r>
          <m:t>G</m:t>
        </m:r>
        <m:sSub>
          <m:e>
            <m:r>
              <m:t>D</m:t>
            </m:r>
          </m:e>
          <m:sub>
            <m:r>
              <m:t>i</m:t>
            </m:r>
          </m:sub>
        </m:sSub>
      </m:oMath>
      <w:r>
        <w:t xml:space="preserve">: la perte en cas de défaut de la cédante i ;</w:t>
      </w:r>
    </w:p>
    <w:p>
      <w:pPr>
        <w:numPr>
          <w:ilvl w:val="0"/>
          <w:numId w:val="1046"/>
        </w:numPr>
        <w:pStyle w:val="Compact"/>
      </w:pPr>
      <w:r>
        <w:t xml:space="preserve">$ DEC_i$ : le montant des dépôts en espèces déposés chez la cédante i ;</w:t>
      </w:r>
    </w:p>
    <w:p>
      <w:pPr>
        <w:numPr>
          <w:ilvl w:val="0"/>
          <w:numId w:val="1046"/>
        </w:numPr>
        <w:pStyle w:val="Compact"/>
      </w:pPr>
      <w:r>
        <w:t xml:space="preserve">$ CrCd$ : la Créance sur la cédante ;</w:t>
      </w:r>
    </w:p>
    <w:p>
      <w:pPr>
        <w:numPr>
          <w:ilvl w:val="0"/>
          <w:numId w:val="1046"/>
        </w:numPr>
        <w:pStyle w:val="Compact"/>
      </w:pPr>
      <m:oMath>
        <m:r>
          <m:t>P</m:t>
        </m:r>
        <m:sSub>
          <m:e>
            <m:r>
              <m:t>T</m:t>
            </m:r>
          </m:e>
          <m:sub>
            <m:r>
              <m:t>i</m:t>
            </m:r>
          </m:sub>
        </m:sSub>
      </m:oMath>
      <w:r>
        <w:t xml:space="preserve"> </w:t>
      </w:r>
      <w:r>
        <w:t xml:space="preserve">: le montant des provisions techniques acceptées avec la cédante i ;</w:t>
      </w:r>
    </w:p>
    <w:p>
      <w:pPr>
        <w:pStyle w:val="FirstParagraph"/>
      </w:pPr>
      <w:r>
        <w:rPr>
          <w:bCs/>
          <w:b/>
        </w:rPr>
        <w:t xml:space="preserve">Pour un avoir auprès d’un organisme dépositaire</w:t>
      </w:r>
      <w:r>
        <w:t xml:space="preserve"> </w:t>
      </w:r>
      <w:r>
        <w:t xml:space="preserve">:{-}</w:t>
      </w:r>
    </w:p>
    <w:p>
      <w:pPr>
        <w:pStyle w:val="BodyText"/>
      </w:pPr>
      <w:bookmarkStart w:id="202" w:name="eq-gbmp"/>
      <m:oMathPara>
        <m:oMathParaPr>
          <m:jc m:val="center"/>
        </m:oMathParaPr>
        <m:oMath>
          <m:r>
            <m:t>L</m:t>
          </m:r>
          <m:r>
            <m:t>G</m:t>
          </m:r>
          <m:sSub>
            <m:e>
              <m:r>
                <m:t>D</m:t>
              </m:r>
            </m:e>
            <m:sub>
              <m:r>
                <m:t>i</m:t>
              </m:r>
            </m:sub>
          </m:sSub>
          <m:r>
            <m:rPr>
              <m:sty m:val="p"/>
            </m:rPr>
            <m:t>=</m:t>
          </m:r>
          <m:r>
            <m:t>m</m:t>
          </m:r>
          <m:r>
            <m:t>a</m:t>
          </m:r>
          <m:r>
            <m:t>x</m:t>
          </m:r>
          <m:d>
            <m:dPr>
              <m:begChr m:val="("/>
              <m:endChr m:val=")"/>
              <m:sepChr m:val=""/>
              <m:grow/>
            </m:dPr>
            <m:e>
              <m:r>
                <m:t>A</m:t>
              </m:r>
              <m:sSub>
                <m:e>
                  <m:r>
                    <m:t>B</m:t>
                  </m:r>
                </m:e>
                <m:sub>
                  <m:r>
                    <m:t>i</m:t>
                  </m:r>
                </m:sub>
              </m:sSub>
              <m:r>
                <m:rPr>
                  <m:sty m:val="p"/>
                </m:rPr>
                <m:t>;</m:t>
              </m:r>
              <m:r>
                <m:t>0</m:t>
              </m:r>
            </m:e>
          </m:d>
          <m:r>
            <m:t>  </m:t>
          </m:r>
          <m:d>
            <m:dPr>
              <m:begChr m:val="("/>
              <m:endChr m:val=")"/>
              <m:sepChr m:val=""/>
              <m:grow/>
            </m:dPr>
            <m:e>
              <m:r>
                <m:t>58</m:t>
              </m:r>
            </m:e>
          </m:d>
        </m:oMath>
      </m:oMathPara>
      <w:bookmarkEnd w:id="202"/>
    </w:p>
    <w:p>
      <w:pPr>
        <w:pStyle w:val="FirstParagraph"/>
      </w:pPr>
      <w:r>
        <w:t xml:space="preserve">où :</w:t>
      </w:r>
    </w:p>
    <w:p>
      <w:pPr>
        <w:pStyle w:val="BodyText"/>
      </w:pPr>
      <w:r>
        <w:t xml:space="preserve">-</w:t>
      </w:r>
      <m:oMath>
        <m:r>
          <m:t>L</m:t>
        </m:r>
        <m:r>
          <m:t>G</m:t>
        </m:r>
        <m:sSub>
          <m:e>
            <m:r>
              <m:t>D</m:t>
            </m:r>
          </m:e>
          <m:sub>
            <m:r>
              <m:t>i</m:t>
            </m:r>
          </m:sub>
        </m:sSub>
      </m:oMath>
      <w:r>
        <w:t xml:space="preserve"> </w:t>
      </w:r>
      <w:r>
        <w:t xml:space="preserve">: la perte en cas de défaut de la banque i ;</w:t>
      </w:r>
      <w:r>
        <w:t xml:space="preserve"> </w:t>
      </w:r>
      <w:r>
        <w:t xml:space="preserve">-</w:t>
      </w:r>
      <m:oMath>
        <m:r>
          <m:t>A</m:t>
        </m:r>
        <m:r>
          <m:t>B</m:t>
        </m:r>
      </m:oMath>
      <w:r>
        <w:t xml:space="preserve"> </w:t>
      </w:r>
      <w:r>
        <w:t xml:space="preserve">: L’Avoirs en banque.</w:t>
      </w:r>
    </w:p>
    <w:p>
      <w:pPr>
        <w:pStyle w:val="BodyText"/>
      </w:pPr>
      <w:r>
        <w:rPr>
          <w:bCs/>
          <w:b/>
        </w:rPr>
        <w:t xml:space="preserve">2ème étape:</w:t>
      </w:r>
      <w:r>
        <w:t xml:space="preserve"> </w:t>
      </w:r>
      <w:r>
        <w:t xml:space="preserve">Sommation des LGD par échelle de notation :</w:t>
      </w:r>
    </w:p>
    <w:p>
      <w:pPr>
        <w:pStyle w:val="BodyText"/>
      </w:pPr>
      <w:r>
        <w:rPr>
          <w:bCs/>
          <w:b/>
        </w:rPr>
        <w:t xml:space="preserve">Pour chaque échelle de notation</w:t>
      </w:r>
      <w:r>
        <w:t xml:space="preserve"> </w:t>
      </w:r>
      <m:oMath>
        <m:r>
          <m:t>k</m:t>
        </m:r>
      </m:oMath>
      <w:r>
        <w:t xml:space="preserve"> </w:t>
      </w:r>
      <w:r>
        <w:t xml:space="preserve">:</w:t>
      </w:r>
    </w:p>
    <w:p>
      <w:pPr>
        <w:pStyle w:val="BodyText"/>
      </w:pPr>
      <w:bookmarkStart w:id="203" w:name="eq-gbmp"/>
      <m:oMathPara>
        <m:oMathParaPr>
          <m:jc m:val="center"/>
        </m:oMathParaPr>
        <m:oMath>
          <m:r>
            <m:t>T</m:t>
          </m:r>
          <m:r>
            <m:t>L</m:t>
          </m:r>
          <m:r>
            <m:t>G</m:t>
          </m:r>
          <m:sSub>
            <m:e>
              <m:r>
                <m:t>D</m:t>
              </m:r>
            </m:e>
            <m:sub>
              <m:r>
                <m:t>K</m:t>
              </m:r>
            </m:sub>
          </m:sSub>
          <m:r>
            <m:rPr>
              <m:sty m:val="p"/>
            </m:rPr>
            <m:t>=</m:t>
          </m:r>
          <m:nary>
            <m:naryPr>
              <m:chr m:val="∑"/>
              <m:limLoc m:val="undOvr"/>
              <m:subHide m:val="0"/>
              <m:supHide m:val="1"/>
            </m:naryPr>
            <m:sub>
              <m:r>
                <m:t>i</m:t>
              </m:r>
            </m:sub>
            <m:sup>
              <m:r>
                <m:t>​</m:t>
              </m:r>
            </m:sup>
            <m:e>
              <m:r>
                <m:t>L</m:t>
              </m:r>
            </m:e>
          </m:nary>
          <m:r>
            <m:t>G</m:t>
          </m:r>
          <m:sSub>
            <m:e>
              <m:r>
                <m:t>D</m:t>
              </m:r>
            </m:e>
            <m:sub>
              <m:r>
                <m:t>k</m:t>
              </m:r>
            </m:sub>
          </m:sSub>
          <m:r>
            <m:t> </m:t>
          </m:r>
          <m:r>
            <m:rPr>
              <m:sty m:val="p"/>
            </m:rPr>
            <m:t>,</m:t>
          </m:r>
          <m:r>
            <m:t>  </m:t>
          </m:r>
          <m:d>
            <m:dPr>
              <m:begChr m:val="("/>
              <m:endChr m:val=")"/>
              <m:sepChr m:val=""/>
              <m:grow/>
            </m:dPr>
            <m:e>
              <m:r>
                <m:t>59</m:t>
              </m:r>
            </m:e>
          </m:d>
        </m:oMath>
      </m:oMathPara>
      <w:bookmarkEnd w:id="203"/>
    </w:p>
    <w:p>
      <w:pPr>
        <w:pStyle w:val="FirstParagraph"/>
      </w:pPr>
      <w:r>
        <w:t xml:space="preserve">avec :</w:t>
      </w:r>
    </w:p>
    <w:p>
      <w:pPr>
        <w:pStyle w:val="BodyText"/>
      </w:pPr>
      <m:oMath>
        <m:r>
          <m:t>i</m:t>
        </m:r>
        <m:r>
          <m:rPr>
            <m:sty m:val="p"/>
          </m:rPr>
          <m:t>=</m:t>
        </m:r>
        <m:r>
          <m:rPr>
            <m:sty m:val="p"/>
          </m:rPr>
          <m:t>{</m:t>
        </m:r>
        <m:r>
          <m:rPr>
            <m:nor/>
            <m:sty m:val="p"/>
          </m:rPr>
          <m:t>Contrepartie faisant partie de la même échels de notation k</m:t>
        </m:r>
        <m:r>
          <m:rPr>
            <m:sty m:val="p"/>
          </m:rPr>
          <m:t>}</m:t>
        </m:r>
      </m:oMath>
    </w:p>
    <w:p>
      <w:pPr>
        <w:pStyle w:val="BodyText"/>
      </w:pPr>
      <w:r>
        <w:rPr>
          <w:bCs/>
          <w:b/>
        </w:rPr>
        <w:t xml:space="preserve">3ème étape:</w:t>
      </w:r>
      <w:r>
        <w:t xml:space="preserve"> </w:t>
      </w:r>
      <w:r>
        <w:t xml:space="preserve">Calcul des volumes suivants :</w:t>
      </w:r>
    </w:p>
    <w:p>
      <w:pPr>
        <w:pStyle w:val="BodyText"/>
      </w:pPr>
      <w:bookmarkStart w:id="204" w:name="eq-gbmp"/>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r>
            <m:t>  </m:t>
          </m:r>
          <m:d>
            <m:dPr>
              <m:begChr m:val="("/>
              <m:endChr m:val=")"/>
              <m:sepChr m:val=""/>
              <m:grow/>
            </m:dPr>
            <m:e>
              <m:r>
                <m:t>60</m:t>
              </m:r>
            </m:e>
          </m:d>
        </m:oMath>
      </m:oMathPara>
      <w:bookmarkEnd w:id="204"/>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7"/>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aux tableaux de l’annexe.</w:t>
      </w:r>
    </w:p>
    <w:p>
      <w:pPr>
        <w:numPr>
          <w:ilvl w:val="0"/>
          <w:numId w:val="1047"/>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7"/>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w:bookmarkStart w:id="205" w:name="eq-gbmp"/>
      <m:oMathPara>
        <m:oMathParaPr>
          <m:jc m:val="center"/>
        </m:oMathParaPr>
        <m:oMath>
          <m:r>
            <m:t>C</m:t>
          </m:r>
          <m:r>
            <m:t>S</m:t>
          </m:r>
          <m:sSub>
            <m:e>
              <m:r>
                <m:t>R</m:t>
              </m:r>
            </m:e>
            <m:sub>
              <m:r>
                <m:t>C</m:t>
              </m:r>
              <m:r>
                <m:t>r</m:t>
              </m:r>
              <m:r>
                <m:t>1</m:t>
              </m:r>
            </m:sub>
          </m:sSub>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Q</m:t>
                    </m:r>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r>
                      <m:t>Q</m:t>
                    </m:r>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r>
                      <m:t>Q</m:t>
                    </m:r>
                    <m:r>
                      <m:rPr>
                        <m:sty m:val="p"/>
                      </m:rPr>
                      <m:t>≥</m:t>
                    </m:r>
                    <m:r>
                      <m:t>x</m:t>
                    </m:r>
                    <m:r>
                      <m:t>2</m:t>
                    </m:r>
                  </m:e>
                </m:mr>
              </m:m>
            </m:e>
          </m:d>
          <m:r>
            <m:t>  </m:t>
          </m:r>
          <m:d>
            <m:dPr>
              <m:begChr m:val="("/>
              <m:endChr m:val=")"/>
              <m:sepChr m:val=""/>
              <m:grow/>
            </m:dPr>
            <m:e>
              <m:r>
                <m:t>61</m:t>
              </m:r>
            </m:e>
          </m:d>
        </m:oMath>
      </m:oMathPara>
      <w:bookmarkEnd w:id="205"/>
    </w:p>
    <w:p>
      <w:pPr>
        <w:pStyle w:val="FirstParagraph"/>
      </w:pPr>
      <w:r>
        <w:t xml:space="preserve">avec :</w:t>
      </w:r>
    </w:p>
    <w:p>
      <w:pPr>
        <w:pStyle w:val="BodyText"/>
      </w:pPr>
      <m:oMath>
        <m:r>
          <m:t>C</m:t>
        </m:r>
        <m:r>
          <m:t>S</m:t>
        </m:r>
        <m:sSub>
          <m:e>
            <m:r>
              <m:t>R</m:t>
            </m:r>
          </m:e>
          <m:sub>
            <m:r>
              <m:t>C</m:t>
            </m:r>
            <m:r>
              <m:t>r</m:t>
            </m:r>
            <m:r>
              <m:t>1</m:t>
            </m:r>
          </m:sub>
        </m:sSub>
      </m:oMath>
      <w:r>
        <w:t xml:space="preserve"> </w:t>
      </w:r>
      <w:r>
        <w:t xml:space="preserve">: Exigence de capital relative au risque de contrepartie de type 1.</w:t>
      </w:r>
    </w:p>
    <w:p>
      <w:pPr>
        <w:pStyle w:val="BodyText"/>
      </w:pPr>
      <w:r>
        <w:t xml:space="preserve">Et,</w:t>
      </w:r>
    </w:p>
    <w:p>
      <w:pPr>
        <w:pStyle w:val="BodyText"/>
      </w:pPr>
      <m:oMathPara>
        <m:oMathParaPr>
          <m:jc m:val="center"/>
        </m:oMathParaPr>
        <m:oMath>
          <m:r>
            <m:t>Q</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t> </m:t>
          </m:r>
          <m:r>
            <m:rPr>
              <m:sty m:val="p"/>
            </m:rPr>
            <m:t>.</m:t>
          </m:r>
        </m:oMath>
      </m:oMathPara>
    </w:p>
    <w:p>
      <w:pPr>
        <w:pStyle w:val="FirstParagraph"/>
      </w:pPr>
      <w:r>
        <w:t xml:space="preserve">Les valeurs de x1, x2 et x3 malheureusement ne sont pas encore publié par l’ACAPS.</w:t>
      </w:r>
    </w:p>
    <w:bookmarkEnd w:id="206"/>
    <w:bookmarkEnd w:id="207"/>
    <w:bookmarkStart w:id="209" w:name="Xde70ab66fad04d143ab07d5ec8525e6812bbe93"/>
    <w:p>
      <w:pPr>
        <w:pStyle w:val="Heading5"/>
      </w:pPr>
      <w:r>
        <w:t xml:space="preserve">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w:bookmarkStart w:id="208" w:name="eq-gbmp"/>
      <m:oMathPara>
        <m:oMathParaPr>
          <m:jc m:val="center"/>
        </m:oMathParaPr>
        <m:oMath>
          <m:r>
            <m:t>C</m:t>
          </m:r>
          <m:r>
            <m:t>S</m:t>
          </m:r>
          <m:sSub>
            <m:e>
              <m:r>
                <m:t>R</m:t>
              </m:r>
            </m:e>
            <m:sub>
              <m:r>
                <m:t>C</m:t>
              </m:r>
              <m:r>
                <m:t>r</m:t>
              </m:r>
              <m:r>
                <m:t>2</m:t>
              </m:r>
            </m:sub>
          </m:sSub>
          <m:r>
            <m:rPr>
              <m:sty m:val="p"/>
            </m:rPr>
            <m:t>=</m:t>
          </m:r>
          <m:r>
            <m:t>C</m:t>
          </m:r>
          <m:r>
            <m:t>S</m:t>
          </m:r>
          <m:sSub>
            <m:e>
              <m:r>
                <m:t>R</m:t>
              </m:r>
            </m:e>
            <m:sub>
              <m:r>
                <m:t>C</m:t>
              </m:r>
              <m:r>
                <m:t>r</m:t>
              </m:r>
              <m:r>
                <m:t>A</m:t>
              </m:r>
              <m:r>
                <m:t>s</m:t>
              </m:r>
            </m:sub>
          </m:sSub>
          <m:r>
            <m:rPr>
              <m:sty m:val="p"/>
            </m:rPr>
            <m:t>+</m:t>
          </m:r>
          <m:r>
            <m:t>C</m:t>
          </m:r>
          <m:r>
            <m:t>S</m:t>
          </m:r>
          <m:sSub>
            <m:e>
              <m:r>
                <m:t>R</m:t>
              </m:r>
            </m:e>
            <m:sub>
              <m:r>
                <m:t>C</m:t>
              </m:r>
              <m:r>
                <m:t>r</m:t>
              </m:r>
              <m:r>
                <m:t>I</m:t>
              </m:r>
            </m:sub>
          </m:sSub>
          <m:r>
            <m:rPr>
              <m:sty m:val="p"/>
            </m:rPr>
            <m:t>+</m:t>
          </m:r>
          <m:r>
            <m:t>C</m:t>
          </m:r>
          <m:r>
            <m:t>S</m:t>
          </m:r>
          <m:sSub>
            <m:e>
              <m:r>
                <m:t>R</m:t>
              </m:r>
            </m:e>
            <m:sub>
              <m:r>
                <m:t>A</m:t>
              </m:r>
              <m:r>
                <m:t>C</m:t>
              </m:r>
              <m:r>
                <m:t>r</m:t>
              </m:r>
            </m:sub>
          </m:sSub>
          <m:r>
            <m:t> </m:t>
          </m:r>
          <m:r>
            <m:rPr>
              <m:sty m:val="p"/>
            </m:rPr>
            <m:t>,</m:t>
          </m:r>
          <m:r>
            <m:t>  </m:t>
          </m:r>
          <m:d>
            <m:dPr>
              <m:begChr m:val="("/>
              <m:endChr m:val=")"/>
              <m:sepChr m:val=""/>
              <m:grow/>
            </m:dPr>
            <m:e>
              <m:r>
                <m:t>62</m:t>
              </m:r>
            </m:e>
          </m:d>
        </m:oMath>
      </m:oMathPara>
      <w:bookmarkEnd w:id="208"/>
    </w:p>
    <w:p>
      <w:pPr>
        <w:pStyle w:val="FirstParagraph"/>
      </w:pPr>
      <w:r>
        <w:t xml:space="preserve">avec :</w:t>
      </w:r>
    </w:p>
    <w:p>
      <w:pPr>
        <w:numPr>
          <w:ilvl w:val="0"/>
          <w:numId w:val="1048"/>
        </w:numPr>
      </w:pPr>
      <w:r>
        <w:t xml:space="preserve">$CSR_{CrAs} $ : 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8"/>
        </w:numPr>
      </w:pPr>
      <w:r>
        <w:t xml:space="preserve">$CSR_{CrI} $ : 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8"/>
        </w:numPr>
      </w:pPr>
      <m:oMath>
        <m:r>
          <m:t>C</m:t>
        </m:r>
        <m:r>
          <m:t>S</m:t>
        </m:r>
        <m:sSub>
          <m:e>
            <m:r>
              <m:t>R</m:t>
            </m:r>
          </m:e>
          <m:sub>
            <m:r>
              <m:t>A</m:t>
            </m:r>
            <m:r>
              <m:t>C</m:t>
            </m:r>
            <m:r>
              <m:t>r</m:t>
            </m:r>
          </m:sub>
        </m:sSub>
      </m:oMath>
      <w:r>
        <w:t xml:space="preserve"> </w:t>
      </w:r>
      <w:r>
        <w:t xml:space="preserve">: 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209"/>
    <w:bookmarkEnd w:id="210"/>
    <w:bookmarkStart w:id="212" w:name="X15a1da03d8684dc8ce6b1dc35f3172f6a170f16"/>
    <w:p>
      <w:pPr>
        <w:pStyle w:val="Heading4"/>
      </w:pPr>
      <w:r>
        <w:t xml:space="preserve">Exigence de capital relative au risque de concentration (</w:t>
      </w:r>
      <m:oMath>
        <m:r>
          <m:t>C</m:t>
        </m:r>
        <m:r>
          <m:t>S</m:t>
        </m:r>
        <m:sSub>
          <m:e>
            <m:r>
              <m:t>R</m:t>
            </m:r>
          </m:e>
          <m:sub>
            <m:r>
              <m:t>C</m:t>
            </m:r>
            <m:r>
              <m:t>t</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w:bookmarkStart w:id="211" w:name="eq-gbmp"/>
      <m:oMathPara>
        <m:oMathParaPr>
          <m:jc m:val="center"/>
        </m:oMathParaPr>
        <m:oMath>
          <m:r>
            <m:t>C</m:t>
          </m:r>
          <m:r>
            <m:t>S</m:t>
          </m:r>
          <m:sSub>
            <m:e>
              <m:r>
                <m:t>R</m:t>
              </m:r>
            </m:e>
            <m:sub>
              <m:r>
                <m:t>C</m:t>
              </m:r>
              <m:r>
                <m:t>t</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r>
            <m:t>  </m:t>
          </m:r>
          <m:d>
            <m:dPr>
              <m:begChr m:val="("/>
              <m:endChr m:val=")"/>
              <m:sepChr m:val=""/>
              <m:grow/>
            </m:dPr>
            <m:e>
              <m:r>
                <m:t>63</m:t>
              </m:r>
            </m:e>
          </m:d>
        </m:oMath>
      </m:oMathPara>
      <w:bookmarkEnd w:id="211"/>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212"/>
    <w:bookmarkStart w:id="224" w:name="X2470a9544a3a84f77916bd2af990c87d4d406ea"/>
    <w:p>
      <w:pPr>
        <w:pStyle w:val="Heading4"/>
      </w:pPr>
      <w:r>
        <w:t xml:space="preserve">Exigence de capital relative au risque de souscription vie (</w:t>
      </w:r>
      <m:oMath>
        <m:r>
          <m:t>C</m:t>
        </m:r>
        <m:r>
          <m:t>S</m:t>
        </m:r>
        <m:sSub>
          <m:e>
            <m:r>
              <m:t>R</m:t>
            </m:r>
          </m:e>
          <m:sub>
            <m:r>
              <m:t>S</m:t>
            </m:r>
            <m:r>
              <m:t>V</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w:bookmarkStart w:id="213" w:name="eq-gbmp"/>
      <m:oMathPara>
        <m:oMathParaPr>
          <m:jc m:val="center"/>
        </m:oMathParaPr>
        <m:oMath>
          <m:r>
            <m:t>C</m:t>
          </m:r>
          <m:r>
            <m:t>S</m:t>
          </m:r>
          <m:sSub>
            <m:e>
              <m:r>
                <m:t>R</m:t>
              </m:r>
            </m:e>
            <m:sub>
              <m:r>
                <m:t>S</m:t>
              </m:r>
              <m:r>
                <m:t>V</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d>
            <m:dPr>
              <m:begChr m:val="("/>
              <m:endChr m:val=")"/>
              <m:sepChr m:val=""/>
              <m:grow/>
            </m:dPr>
            <m:e>
              <m:r>
                <m:t>64</m:t>
              </m:r>
            </m:e>
          </m:d>
        </m:oMath>
      </m:oMathPara>
      <w:bookmarkEnd w:id="213"/>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215" w:name="X6a4c0aaf7a00518f44a130d187f964ddf1b88a9"/>
    <w:p>
      <w:pPr>
        <w:pStyle w:val="Heading5"/>
      </w:pPr>
      <w:r>
        <w:t xml:space="preserve">Exigence de capital pour risque de mortalité (</w:t>
      </w:r>
      <m:oMath>
        <m:r>
          <m:t>C</m:t>
        </m:r>
        <m:r>
          <m:t>S</m:t>
        </m:r>
        <m:sSub>
          <m:e>
            <m:r>
              <m:t>R</m:t>
            </m:r>
          </m:e>
          <m:sub>
            <m:r>
              <m:t>m</m:t>
            </m:r>
            <m:r>
              <m:t>o</m:t>
            </m:r>
            <m:r>
              <m:t>r</m:t>
            </m:r>
            <m:r>
              <m:t>t</m:t>
            </m:r>
          </m:sub>
        </m:sSub>
      </m:oMath>
      <w:r>
        <w:t xml:space="preserve">) :</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w:bookmarkStart w:id="214" w:name="eq-gbmp"/>
      <m:oMathPara>
        <m:oMathParaPr>
          <m:jc m:val="center"/>
        </m:oMathParaPr>
        <m:oMath>
          <m:r>
            <m:t>C</m:t>
          </m:r>
          <m:r>
            <m:t>S</m:t>
          </m:r>
          <m:sSub>
            <m:e>
              <m:r>
                <m:t>R</m:t>
              </m:r>
            </m:e>
            <m:sub>
              <m:r>
                <m:t>m</m:t>
              </m:r>
              <m:r>
                <m:t>o</m:t>
              </m:r>
              <m:r>
                <m:t>r</m:t>
              </m:r>
              <m:r>
                <m:t>t</m:t>
              </m:r>
            </m:sub>
          </m:sSub>
          <m:r>
            <m:rPr>
              <m:sty m:val="p"/>
            </m:rPr>
            <m:t>=</m:t>
          </m:r>
          <m:r>
            <m:t>B</m:t>
          </m:r>
          <m:r>
            <m:t>E</m:t>
          </m:r>
          <m:d>
            <m:dPr>
              <m:begChr m:val="("/>
              <m:endChr m:val=")"/>
              <m:sepChr m:val=""/>
              <m:grow/>
            </m:dPr>
            <m:e>
              <m:r>
                <m:t>C</m:t>
              </m:r>
              <m:r>
                <m:t>h</m:t>
              </m:r>
              <m:r>
                <m:t>o</m:t>
              </m:r>
              <m:r>
                <m:t>c</m:t>
              </m:r>
            </m:e>
          </m:d>
          <m:r>
            <m:rPr>
              <m:sty m:val="p"/>
            </m:rPr>
            <m:t>−</m:t>
          </m:r>
          <m:r>
            <m:t>B</m:t>
          </m:r>
          <m:r>
            <m:t>E</m:t>
          </m:r>
          <m:r>
            <m:t> </m:t>
          </m:r>
          <m:r>
            <m:rPr>
              <m:sty m:val="p"/>
            </m:rPr>
            <m:t>,</m:t>
          </m:r>
          <m:r>
            <m:t>  </m:t>
          </m:r>
          <m:d>
            <m:dPr>
              <m:begChr m:val="("/>
              <m:endChr m:val=")"/>
              <m:sepChr m:val=""/>
              <m:grow/>
            </m:dPr>
            <m:e>
              <m:r>
                <m:t>65</m:t>
              </m:r>
            </m:e>
          </m:d>
        </m:oMath>
      </m:oMathPara>
      <w:bookmarkEnd w:id="214"/>
    </w:p>
    <w:p>
      <w:pPr>
        <w:pStyle w:val="FirstParagraph"/>
      </w:pPr>
      <w:r>
        <w:t xml:space="preserve">avec :</w:t>
      </w:r>
    </w:p>
    <w:p>
      <w:pPr>
        <w:pStyle w:val="BodyText"/>
      </w:pPr>
      <m:oMathPara>
        <m:oMathParaPr>
          <m:jc m:val="center"/>
        </m:oMathParaPr>
        <m:oMath>
          <m:r>
            <m:t>T</m:t>
          </m:r>
          <m:r>
            <m:t>M</m:t>
          </m:r>
          <m:d>
            <m:dPr>
              <m:begChr m:val="("/>
              <m:endChr m:val=")"/>
              <m:sepChr m:val=""/>
              <m:grow/>
            </m:dPr>
            <m:e>
              <m:r>
                <m:t>C</m:t>
              </m:r>
              <m:r>
                <m:t>h</m:t>
              </m:r>
              <m:r>
                <m:t>o</m:t>
              </m:r>
              <m:r>
                <m:t>c</m:t>
              </m:r>
            </m:e>
          </m:d>
          <m:r>
            <m:rPr>
              <m:sty m:val="p"/>
            </m:rPr>
            <m:t>=</m:t>
          </m:r>
          <m:r>
            <m:t>T</m:t>
          </m:r>
          <m:r>
            <m:t>M</m:t>
          </m:r>
          <m:r>
            <m:rPr>
              <m:sty m:val="p"/>
            </m:rPr>
            <m:t>×</m:t>
          </m:r>
          <m:d>
            <m:dPr>
              <m:begChr m:val="("/>
              <m:endChr m:val=")"/>
              <m:sepChr m:val=""/>
              <m:grow/>
            </m:dPr>
            <m:e>
              <m:r>
                <m:t>1</m:t>
              </m:r>
              <m:r>
                <m:rPr>
                  <m:sty m:val="p"/>
                </m:rPr>
                <m:t>+</m:t>
              </m:r>
              <m:r>
                <m:t>X</m:t>
              </m:r>
              <m:r>
                <m:rPr>
                  <m:sty m:val="p"/>
                </m:rPr>
                <m:t>%</m:t>
              </m:r>
            </m:e>
          </m:d>
          <m:r>
            <m:t> </m:t>
          </m:r>
          <m:r>
            <m:rPr>
              <m:sty m:val="p"/>
            </m:rPr>
            <m:t>,</m:t>
          </m:r>
        </m:oMath>
      </m:oMathPara>
    </w:p>
    <w:p>
      <w:pPr>
        <w:pStyle w:val="FirstParagraph"/>
      </w:pPr>
      <w:r>
        <w:t xml:space="preserve">telle que :</w:t>
      </w:r>
    </w:p>
    <w:p>
      <w:pPr>
        <w:pStyle w:val="BodyText"/>
      </w:pPr>
      <m:oMath>
        <m:r>
          <m:t>T</m:t>
        </m:r>
        <m:r>
          <m:t>M</m:t>
        </m:r>
      </m:oMath>
      <w:r>
        <w:t xml:space="preserve"> </w:t>
      </w:r>
      <w:r>
        <w:t xml:space="preserve">: Taux de Mortalité avant choc.</w:t>
      </w:r>
      <w:r>
        <w:t xml:space="preserve"> </w:t>
      </w:r>
      <m:oMath>
        <m:r>
          <m:t>T</m:t>
        </m:r>
        <m:r>
          <m:t>M</m:t>
        </m:r>
        <m:d>
          <m:dPr>
            <m:begChr m:val="("/>
            <m:endChr m:val=")"/>
            <m:sepChr m:val=""/>
            <m:grow/>
          </m:dPr>
          <m:e>
            <m:r>
              <m:t>C</m:t>
            </m:r>
            <m:r>
              <m:t>h</m:t>
            </m:r>
            <m:r>
              <m:t>o</m:t>
            </m:r>
            <m:r>
              <m:t>c</m:t>
            </m:r>
          </m:e>
        </m:d>
      </m:oMath>
      <w:r>
        <w:t xml:space="preserve"> </w:t>
      </w:r>
      <w:r>
        <w:t xml:space="preserve">: Le taux de mortalité choqué par une hausse de X%.</w:t>
      </w:r>
    </w:p>
    <w:p>
      <w:pPr>
        <w:pStyle w:val="BodyText"/>
      </w:pPr>
      <w:r>
        <w:t xml:space="preserve">Selon l’Acaps, le taux de choc pour la mortalité est estimé à 30 %.</w:t>
      </w:r>
    </w:p>
    <w:bookmarkEnd w:id="215"/>
    <w:bookmarkStart w:id="217" w:name="X8575fcc7d08a11d35988144d33aa87c665af295"/>
    <w:p>
      <w:pPr>
        <w:pStyle w:val="Heading5"/>
      </w:pPr>
      <w:r>
        <w:t xml:space="preserve">Exigence de capital pour risque de longévité (</w:t>
      </w:r>
      <m:oMath>
        <m:r>
          <m:t>C</m:t>
        </m:r>
        <m:r>
          <m:t>S</m:t>
        </m:r>
        <m:sSub>
          <m:e>
            <m:r>
              <m:t>R</m:t>
            </m:r>
          </m:e>
          <m:sub>
            <m:r>
              <m:t>L</m:t>
            </m:r>
            <m:r>
              <m:t>o</m:t>
            </m:r>
            <m:r>
              <m:t>n</m:t>
            </m:r>
          </m:sub>
        </m:sSub>
      </m:oMath>
      <w:r>
        <w:t xml:space="preserve">) :</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w:bookmarkStart w:id="216" w:name="eq-gbmp"/>
      <m:oMathPara>
        <m:oMathParaPr>
          <m:jc m:val="center"/>
        </m:oMathParaPr>
        <m:oMath>
          <m:r>
            <m:t>C</m:t>
          </m:r>
          <m:r>
            <m:t>S</m:t>
          </m:r>
          <m:sSub>
            <m:e>
              <m:r>
                <m:t>R</m:t>
              </m:r>
            </m:e>
            <m:sub>
              <m:r>
                <m:t>L</m:t>
              </m:r>
              <m:r>
                <m:t>o</m:t>
              </m:r>
              <m:r>
                <m:t>n</m:t>
              </m:r>
            </m:sub>
          </m:sSub>
          <m:r>
            <m:rPr>
              <m:sty m:val="p"/>
            </m:rPr>
            <m:t>=</m:t>
          </m:r>
          <m:r>
            <m:t>B</m:t>
          </m:r>
          <m:r>
            <m:t>E</m:t>
          </m:r>
          <m:d>
            <m:dPr>
              <m:begChr m:val="("/>
              <m:endChr m:val=")"/>
              <m:sepChr m:val=""/>
              <m:grow/>
            </m:dPr>
            <m:e>
              <m:r>
                <m:t>C</m:t>
              </m:r>
              <m:r>
                <m:t>h</m:t>
              </m:r>
              <m:r>
                <m:t>o</m:t>
              </m:r>
              <m:r>
                <m:t>c</m:t>
              </m:r>
            </m:e>
          </m:d>
          <m:r>
            <m:rPr>
              <m:sty m:val="p"/>
            </m:rPr>
            <m:t>−</m:t>
          </m:r>
          <m:r>
            <m:t>B</m:t>
          </m:r>
          <m:r>
            <m:t>E</m:t>
          </m:r>
          <m:r>
            <m:t>  </m:t>
          </m:r>
          <m:d>
            <m:dPr>
              <m:begChr m:val="("/>
              <m:endChr m:val=")"/>
              <m:sepChr m:val=""/>
              <m:grow/>
            </m:dPr>
            <m:e>
              <m:r>
                <m:t>66</m:t>
              </m:r>
            </m:e>
          </m:d>
        </m:oMath>
      </m:oMathPara>
      <w:bookmarkEnd w:id="216"/>
    </w:p>
    <w:p>
      <w:pPr>
        <w:pStyle w:val="FirstParagraph"/>
      </w:pPr>
      <w:r>
        <w:t xml:space="preserve">avec :</w:t>
      </w:r>
    </w:p>
    <w:p>
      <w:pPr>
        <w:pStyle w:val="BodyText"/>
      </w:pPr>
      <m:oMathPara>
        <m:oMathParaPr>
          <m:jc m:val="center"/>
        </m:oMathParaPr>
        <m:oMath>
          <m:r>
            <m:t>T</m:t>
          </m:r>
          <m:r>
            <m:t>M</m:t>
          </m:r>
          <m:d>
            <m:dPr>
              <m:begChr m:val="("/>
              <m:endChr m:val=")"/>
              <m:sepChr m:val=""/>
              <m:grow/>
            </m:dPr>
            <m:e>
              <m:r>
                <m:t>C</m:t>
              </m:r>
              <m:r>
                <m:t>h</m:t>
              </m:r>
              <m:r>
                <m:t>o</m:t>
              </m:r>
              <m:r>
                <m:t>c</m:t>
              </m:r>
            </m:e>
          </m:d>
          <m:r>
            <m:rPr>
              <m:sty m:val="p"/>
            </m:rPr>
            <m:t>=</m:t>
          </m:r>
          <m:r>
            <m:t>T</m:t>
          </m:r>
          <m:r>
            <m:t>M</m:t>
          </m:r>
          <m:r>
            <m:rPr>
              <m:sty m:val="p"/>
            </m:rPr>
            <m:t>×</m:t>
          </m:r>
          <m:d>
            <m:dPr>
              <m:begChr m:val="("/>
              <m:endChr m:val=")"/>
              <m:sepChr m:val=""/>
              <m:grow/>
            </m:dPr>
            <m:e>
              <m:r>
                <m:t>1</m:t>
              </m:r>
              <m:r>
                <m:rPr>
                  <m:sty m:val="p"/>
                </m:rPr>
                <m:t>−</m:t>
              </m:r>
              <m:r>
                <m:t>X</m:t>
              </m:r>
              <m:r>
                <m:rPr>
                  <m:sty m:val="p"/>
                </m:rPr>
                <m:t>%</m:t>
              </m:r>
            </m:e>
          </m:d>
          <m:r>
            <m:t> </m:t>
          </m:r>
          <m:r>
            <m:rPr>
              <m:sty m:val="p"/>
            </m:rPr>
            <m:t>,</m:t>
          </m:r>
        </m:oMath>
      </m:oMathPara>
    </w:p>
    <w:p>
      <w:pPr>
        <w:pStyle w:val="FirstParagraph"/>
      </w:pPr>
      <m:oMath>
        <m:r>
          <m:t>T</m:t>
        </m:r>
        <m:r>
          <m:t>M</m:t>
        </m:r>
      </m:oMath>
      <w:r>
        <w:t xml:space="preserve"> </w:t>
      </w:r>
      <w:r>
        <w:t xml:space="preserve">: Taux de Mortalité.</w:t>
      </w:r>
      <w:r>
        <w:t xml:space="preserve"> </w:t>
      </w:r>
      <m:oMath>
        <m:r>
          <m:t>T</m:t>
        </m:r>
        <m:r>
          <m:t>M</m:t>
        </m:r>
        <m:d>
          <m:dPr>
            <m:begChr m:val="("/>
            <m:endChr m:val=")"/>
            <m:sepChr m:val=""/>
            <m:grow/>
          </m:dPr>
          <m:e>
            <m:r>
              <m:t>C</m:t>
            </m:r>
            <m:r>
              <m:t>h</m:t>
            </m:r>
            <m:r>
              <m:t>o</m:t>
            </m:r>
            <m:r>
              <m:t>c</m:t>
            </m:r>
          </m:e>
        </m:d>
      </m:oMath>
      <w:r>
        <w:t xml:space="preserve"> </w:t>
      </w:r>
      <w:r>
        <w:t xml:space="preserve">: Le taux de mortalité choqué par une hausse de X%.</w:t>
      </w:r>
    </w:p>
    <w:bookmarkEnd w:id="217"/>
    <w:bookmarkStart w:id="219" w:name="Xf9593f399cde8ef9ae9c140ec93b1cb9af95941"/>
    <w:p>
      <w:pPr>
        <w:pStyle w:val="Heading5"/>
      </w:pPr>
      <w:r>
        <w:t xml:space="preserve">Exigence de capital pour risque de rachat (</w:t>
      </w:r>
      <m:oMath>
        <m:r>
          <m:t>C</m:t>
        </m:r>
        <m:r>
          <m:t>S</m:t>
        </m:r>
        <m:sSub>
          <m:e>
            <m:r>
              <m:t>R</m:t>
            </m:r>
          </m:e>
          <m:sub>
            <m:r>
              <m:t>R</m:t>
            </m:r>
          </m:sub>
        </m:sSub>
      </m:oMath>
      <w:r>
        <w:t xml:space="preserve">) :</w:t>
      </w:r>
    </w:p>
    <w:p>
      <w:pPr>
        <w:pStyle w:val="FirstParagraph"/>
      </w:pPr>
      <w:r>
        <w:t xml:space="preserve">d’abord c’est quoi un rachat en assurance vie ?</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numPr>
          <w:ilvl w:val="0"/>
          <w:numId w:val="1049"/>
        </w:numPr>
      </w:pPr>
      <w:r>
        <w:rPr>
          <w:bCs/>
          <w:b/>
        </w:rPr>
        <w:t xml:space="preserve">Le rachat partiel</w:t>
      </w:r>
      <w:r>
        <w:t xml:space="preserve"> </w:t>
      </w:r>
      <w:r>
        <w:t xml:space="preserve">: les assures peuvent récupérer une fraction de la valeur du contrat qui sera constituée d’une part de capital et d’une part d’intérêts capitalisés s’ils ont par exemple besoin de liquidités pour un projet précis. Le rachat partiel permet de ne pas mettre un terme au contrat et de ne pas perdre l’antériorité fiscale.</w:t>
      </w:r>
    </w:p>
    <w:p>
      <w:pPr>
        <w:numPr>
          <w:ilvl w:val="0"/>
          <w:numId w:val="1049"/>
        </w:numPr>
      </w:pPr>
      <w:r>
        <w:rPr>
          <w:bCs/>
          <w:b/>
        </w:rPr>
        <w:t xml:space="preserve">Le rachat total</w:t>
      </w:r>
      <w:r>
        <w:t xml:space="preserve"> </w:t>
      </w:r>
      <w:r>
        <w:t xml:space="preserve">: les assures peuvent récupérer l’intégralité de la valeur de rachat de leur assurance vie, et leur contrat prend fin, entraînant la perte de l’antériorité fiscale.</w:t>
      </w:r>
    </w:p>
    <w:p>
      <w:pPr>
        <w:pStyle w:val="FirstParagraph"/>
      </w:pPr>
      <w:r>
        <w:t xml:space="preserve">L’exigence de capital pour risque de rachat est correspond au maximum entre les exigences de capitaux suivantes:</w:t>
      </w:r>
    </w:p>
    <w:p>
      <w:pPr>
        <w:numPr>
          <w:ilvl w:val="0"/>
          <w:numId w:val="1050"/>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51"/>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w:bookmarkStart w:id="218" w:name="eq-gbmp"/>
      <m:oMathPara>
        <m:oMathParaPr>
          <m:jc m:val="center"/>
        </m:oMathParaPr>
        <m:oMath>
          <m:r>
            <m:t>C</m:t>
          </m:r>
          <m:r>
            <m:t>S</m:t>
          </m:r>
          <m:sSub>
            <m:e>
              <m:r>
                <m:t>R</m:t>
              </m:r>
            </m:e>
            <m:sub>
              <m:r>
                <m:t>R</m:t>
              </m:r>
            </m:sub>
          </m:sSub>
          <m:r>
            <m:rPr>
              <m:sty m:val="p"/>
            </m:rPr>
            <m:t>=</m:t>
          </m:r>
          <m:r>
            <m:t>m</m:t>
          </m:r>
          <m:r>
            <m:t>a</m:t>
          </m:r>
          <m:r>
            <m:t>x</m:t>
          </m:r>
          <m:d>
            <m:dPr>
              <m:begChr m:val="("/>
              <m:endChr m:val=")"/>
              <m:sepChr m:val=""/>
              <m:grow/>
            </m:dPr>
            <m:e>
              <m:r>
                <m:t>C</m:t>
              </m:r>
              <m:r>
                <m:t>S</m:t>
              </m:r>
              <m:sSub>
                <m:e>
                  <m:r>
                    <m:t>R</m:t>
                  </m:r>
                </m:e>
                <m:sub>
                  <m:r>
                    <m:t>R</m:t>
                  </m:r>
                  <m:r>
                    <m:t>H</m:t>
                  </m:r>
                  <m:r>
                    <m:t>T</m:t>
                  </m:r>
                </m:sub>
              </m:sSub>
              <m:r>
                <m:rPr>
                  <m:sty m:val="p"/>
                </m:rPr>
                <m:t>;</m:t>
              </m:r>
              <m:r>
                <m:t>C</m:t>
              </m:r>
              <m:r>
                <m:t>S</m:t>
              </m:r>
              <m:sSub>
                <m:e>
                  <m:r>
                    <m:t>R</m:t>
                  </m:r>
                </m:e>
                <m:sub>
                  <m:r>
                    <m:t>R</m:t>
                  </m:r>
                  <m:r>
                    <m:t>B</m:t>
                  </m:r>
                  <m:r>
                    <m:t>T</m:t>
                  </m:r>
                </m:sub>
              </m:sSub>
            </m:e>
          </m:d>
          <m:r>
            <m:t> </m:t>
          </m:r>
          <m:r>
            <m:rPr>
              <m:sty m:val="p"/>
            </m:rPr>
            <m:t>,</m:t>
          </m:r>
          <m:r>
            <m:t>  </m:t>
          </m:r>
          <m:d>
            <m:dPr>
              <m:begChr m:val="("/>
              <m:endChr m:val=")"/>
              <m:sepChr m:val=""/>
              <m:grow/>
            </m:dPr>
            <m:e>
              <m:r>
                <m:t>67</m:t>
              </m:r>
            </m:e>
          </m:d>
        </m:oMath>
      </m:oMathPara>
      <w:bookmarkEnd w:id="218"/>
    </w:p>
    <w:p>
      <w:pPr>
        <w:pStyle w:val="FirstParagraph"/>
      </w:pPr>
      <w:r>
        <w:t xml:space="preserve">avec :</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C</m:t>
                    </m:r>
                    <m:r>
                      <m:t>S</m:t>
                    </m:r>
                    <m:sSub>
                      <m:e>
                        <m:r>
                          <m:t>R</m:t>
                        </m:r>
                      </m:e>
                      <m:sub>
                        <m:r>
                          <m:t>R</m:t>
                        </m:r>
                        <m:r>
                          <m:t>H</m:t>
                        </m:r>
                        <m:r>
                          <m:t>T</m:t>
                        </m:r>
                      </m:sub>
                    </m:sSub>
                    <m:r>
                      <m:rPr>
                        <m:sty m:val="p"/>
                      </m:rPr>
                      <m:t>=</m:t>
                    </m:r>
                    <m:r>
                      <m:t>B</m:t>
                    </m:r>
                    <m:sSub>
                      <m:e>
                        <m:r>
                          <m:t>E</m:t>
                        </m:r>
                      </m:e>
                      <m:sub>
                        <m:r>
                          <m:t>R</m:t>
                        </m:r>
                        <m:r>
                          <m:t>H</m:t>
                        </m:r>
                        <m:r>
                          <m:t>T</m:t>
                        </m:r>
                      </m:sub>
                    </m:sSub>
                    <m:r>
                      <m:rPr>
                        <m:sty m:val="p"/>
                      </m:rPr>
                      <m:t>−</m:t>
                    </m:r>
                    <m:r>
                      <m:t>B</m:t>
                    </m:r>
                    <m:r>
                      <m:t>E</m:t>
                    </m:r>
                  </m:e>
                </m:mr>
                <m:mr>
                  <m:e>
                    <m:r>
                      <m:t>C</m:t>
                    </m:r>
                    <m:r>
                      <m:t>S</m:t>
                    </m:r>
                    <m:sSub>
                      <m:e>
                        <m:r>
                          <m:t>R</m:t>
                        </m:r>
                      </m:e>
                      <m:sub>
                        <m:r>
                          <m:t>R</m:t>
                        </m:r>
                        <m:r>
                          <m:t>B</m:t>
                        </m:r>
                        <m:r>
                          <m:t>T</m:t>
                        </m:r>
                      </m:sub>
                    </m:sSub>
                    <m:r>
                      <m:rPr>
                        <m:sty m:val="p"/>
                      </m:rPr>
                      <m:t>=</m:t>
                    </m:r>
                    <m:r>
                      <m:t>B</m:t>
                    </m:r>
                    <m:sSub>
                      <m:e>
                        <m:r>
                          <m:t>E</m:t>
                        </m:r>
                      </m:e>
                      <m:sub>
                        <m:r>
                          <m:t>R</m:t>
                        </m:r>
                        <m:r>
                          <m:t>B</m:t>
                        </m:r>
                        <m:r>
                          <m:t>T</m:t>
                        </m:r>
                      </m:sub>
                    </m:sSub>
                    <m:r>
                      <m:rPr>
                        <m:sty m:val="p"/>
                      </m:rPr>
                      <m:t>−</m:t>
                    </m:r>
                    <m:r>
                      <m:t>B</m:t>
                    </m:r>
                    <m:r>
                      <m:t>E</m:t>
                    </m:r>
                  </m:e>
                </m:mr>
              </m:m>
            </m:e>
          </m:d>
        </m:oMath>
      </m:oMathPara>
    </w:p>
    <w:p>
      <w:pPr>
        <w:pStyle w:val="FirstParagraph"/>
      </w:pPr>
      <w:r>
        <w:t xml:space="preserve">tell que :</w:t>
      </w:r>
    </w:p>
    <w:p>
      <w:pPr>
        <w:pStyle w:val="BodyText"/>
      </w:pPr>
      <m:oMath>
        <m:r>
          <m:t>B</m:t>
        </m:r>
        <m:sSub>
          <m:e>
            <m:r>
              <m:t>E</m:t>
            </m:r>
          </m:e>
          <m:sub>
            <m:r>
              <m:t>R</m:t>
            </m:r>
            <m:r>
              <m:t>H</m:t>
            </m:r>
            <m:r>
              <m:t>T</m:t>
            </m:r>
          </m:sub>
        </m:sSub>
      </m:oMath>
      <w:r>
        <w:t xml:space="preserve"> </w:t>
      </w:r>
      <w:r>
        <w:t xml:space="preserve">: Meilleur estimation des engagements pour le scenario d’une hausse des taux de rachat.</w:t>
      </w:r>
      <w:r>
        <w:t xml:space="preserve"> </w:t>
      </w:r>
      <m:oMath>
        <m:r>
          <m:t>B</m:t>
        </m:r>
        <m:sSub>
          <m:e>
            <m:r>
              <m:t>E</m:t>
            </m:r>
          </m:e>
          <m:sub>
            <m:r>
              <m:t>R</m:t>
            </m:r>
            <m:r>
              <m:t>B</m:t>
            </m:r>
            <m:r>
              <m:t>T</m:t>
            </m:r>
          </m:sub>
        </m:sSub>
      </m:oMath>
      <w:r>
        <w:t xml:space="preserve"> </w:t>
      </w:r>
      <w:r>
        <w:t xml:space="preserve">: Meilleur estimation des engagements pour le scenario d’une baisse des taux de rachat.</w:t>
      </w:r>
    </w:p>
    <w:bookmarkEnd w:id="219"/>
    <w:bookmarkStart w:id="221" w:name="X3f53d97ac0100081bf14cce1c7c4c7b66f159ab"/>
    <w:p>
      <w:pPr>
        <w:pStyle w:val="Heading5"/>
      </w:pPr>
      <w:r>
        <w:t xml:space="preserve">Exigence de capital relative au risque de frais (</w:t>
      </w:r>
      <m:oMath>
        <m:r>
          <m:t>C</m:t>
        </m:r>
        <m:r>
          <m:t>S</m:t>
        </m:r>
        <m:sSub>
          <m:e>
            <m:r>
              <m:t>R</m:t>
            </m:r>
          </m:e>
          <m:sub>
            <m:r>
              <m:t>F</m:t>
            </m:r>
          </m:sub>
        </m:sSub>
      </m:oMath>
      <w:r>
        <w:t xml:space="preserve">) :</w:t>
      </w:r>
    </w:p>
    <w:p>
      <w:pPr>
        <w:pStyle w:val="FirstParagraph"/>
      </w:pPr>
      <w:r>
        <w:t xml:space="preserve">L’exigence de capital relative au risque de frais correspond à la perte de fonds propres due à des augmentations combinées de :</w:t>
      </w:r>
    </w:p>
    <w:p>
      <w:pPr>
        <w:numPr>
          <w:ilvl w:val="0"/>
          <w:numId w:val="1052"/>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52"/>
        </w:numPr>
        <w:pStyle w:val="Compact"/>
      </w:pPr>
      <m:oMath>
        <m:r>
          <m:t>X</m:t>
        </m:r>
      </m:oMath>
      <w:r>
        <w:t xml:space="preserve"> </w:t>
      </w:r>
      <w:r>
        <w:t xml:space="preserve">par année de projection du montant de frais de gestion unitaire moyen précité.</w:t>
      </w:r>
    </w:p>
    <w:p>
      <w:pPr>
        <w:pStyle w:val="FirstParagraph"/>
      </w:pPr>
      <w:bookmarkStart w:id="220" w:name="eq-gbmp"/>
      <m:oMathPara>
        <m:oMathParaPr>
          <m:jc m:val="center"/>
        </m:oMathParaPr>
        <m:oMath>
          <m:r>
            <m:t>C</m:t>
          </m:r>
          <m:r>
            <m:t>S</m:t>
          </m:r>
          <m:sSub>
            <m:e>
              <m:r>
                <m:t>R</m:t>
              </m:r>
            </m:e>
            <m:sub>
              <m:r>
                <m:t>F</m:t>
              </m:r>
            </m:sub>
          </m:sSub>
          <m:r>
            <m:rPr>
              <m:sty m:val="p"/>
            </m:rPr>
            <m:t>=</m:t>
          </m:r>
          <m:r>
            <m:t>B</m:t>
          </m:r>
          <m:sSub>
            <m:e>
              <m:r>
                <m:t>E</m:t>
              </m:r>
            </m:e>
            <m:sub>
              <m:r>
                <m:t>F</m:t>
              </m:r>
            </m:sub>
          </m:sSub>
          <m:d>
            <m:dPr>
              <m:begChr m:val="("/>
              <m:endChr m:val=")"/>
              <m:sepChr m:val=""/>
              <m:grow/>
            </m:dPr>
            <m:e>
              <m:r>
                <m:t>C</m:t>
              </m:r>
              <m:r>
                <m:t>h</m:t>
              </m:r>
              <m:r>
                <m:t>o</m:t>
              </m:r>
              <m:r>
                <m:t>c</m:t>
              </m:r>
            </m:e>
          </m:d>
          <m:r>
            <m:rPr>
              <m:sty m:val="p"/>
            </m:rPr>
            <m:t>−</m:t>
          </m:r>
          <m:r>
            <m:t>B</m:t>
          </m:r>
          <m:sSub>
            <m:e>
              <m:r>
                <m:t>E</m:t>
              </m:r>
            </m:e>
            <m:sub>
              <m:r>
                <m:t>F</m:t>
              </m:r>
            </m:sub>
          </m:sSub>
          <m:r>
            <m:t>  </m:t>
          </m:r>
          <m:d>
            <m:dPr>
              <m:begChr m:val="("/>
              <m:endChr m:val=")"/>
              <m:sepChr m:val=""/>
              <m:grow/>
            </m:dPr>
            <m:e>
              <m:r>
                <m:t>68</m:t>
              </m:r>
            </m:e>
          </m:d>
        </m:oMath>
      </m:oMathPara>
      <w:bookmarkEnd w:id="220"/>
    </w:p>
    <w:bookmarkEnd w:id="221"/>
    <w:bookmarkStart w:id="223" w:name="Xc425fc38e0e5ab3433dbb608f017e66bae918da"/>
    <w:p>
      <w:pPr>
        <w:pStyle w:val="Heading5"/>
      </w:pPr>
      <w:r>
        <w:t xml:space="preserve">Exigence de capital relative au risque de catastrophe (</w:t>
      </w:r>
      <m:oMath>
        <m:r>
          <m:t>C</m:t>
        </m:r>
        <m:r>
          <m:t>S</m:t>
        </m:r>
        <m:sSub>
          <m:e>
            <m:r>
              <m:t>R</m:t>
            </m:r>
          </m:e>
          <m:sub>
            <m:r>
              <m:t>C</m:t>
            </m:r>
            <m:r>
              <m:t>a</m:t>
            </m:r>
            <m:r>
              <m:t>t</m:t>
            </m:r>
          </m:sub>
        </m:sSub>
      </m:oMath>
      <w:r>
        <w:t xml:space="preserve">) :</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p>
      <w:pPr>
        <w:pStyle w:val="BodyText"/>
      </w:pPr>
      <w:bookmarkStart w:id="222" w:name="eq-gbmp"/>
      <m:oMathPara>
        <m:oMathParaPr>
          <m:jc m:val="center"/>
        </m:oMathParaPr>
        <m:oMath>
          <m:r>
            <m:t>C</m:t>
          </m:r>
          <m:r>
            <m:t>S</m:t>
          </m:r>
          <m:sSub>
            <m:e>
              <m:r>
                <m:t>R</m:t>
              </m:r>
            </m:e>
            <m:sub>
              <m:r>
                <m:t>C</m:t>
              </m:r>
              <m:r>
                <m:t>a</m:t>
              </m:r>
              <m:r>
                <m:t>t</m:t>
              </m:r>
            </m:sub>
          </m:sSub>
          <m:r>
            <m:rPr>
              <m:sty m:val="p"/>
            </m:rPr>
            <m:t>=</m:t>
          </m:r>
          <m:r>
            <m:t>B</m:t>
          </m:r>
          <m:r>
            <m:t>E</m:t>
          </m:r>
          <m:d>
            <m:dPr>
              <m:begChr m:val="("/>
              <m:endChr m:val=")"/>
              <m:sepChr m:val=""/>
              <m:grow/>
            </m:dPr>
            <m:e>
              <m:r>
                <m:t>C</m:t>
              </m:r>
              <m:r>
                <m:t>h</m:t>
              </m:r>
              <m:r>
                <m:t>o</m:t>
              </m:r>
              <m:r>
                <m:t>c</m:t>
              </m:r>
            </m:e>
          </m:d>
          <m:r>
            <m:rPr>
              <m:sty m:val="p"/>
            </m:rPr>
            <m:t>−</m:t>
          </m:r>
          <m:r>
            <m:t>B</m:t>
          </m:r>
          <m:r>
            <m:t>E</m:t>
          </m:r>
          <m:r>
            <m:t> </m:t>
          </m:r>
          <m:r>
            <m:rPr>
              <m:sty m:val="p"/>
            </m:rPr>
            <m:t>,</m:t>
          </m:r>
          <m:r>
            <m:t>  </m:t>
          </m:r>
          <m:d>
            <m:dPr>
              <m:begChr m:val="("/>
              <m:endChr m:val=")"/>
              <m:sepChr m:val=""/>
              <m:grow/>
            </m:dPr>
            <m:e>
              <m:r>
                <m:t>69</m:t>
              </m:r>
            </m:e>
          </m:d>
        </m:oMath>
      </m:oMathPara>
      <w:bookmarkEnd w:id="222"/>
    </w:p>
    <w:p>
      <w:pPr>
        <w:pStyle w:val="FirstParagraph"/>
      </w:pPr>
      <w:r>
        <w:t xml:space="preserve">avec :</w:t>
      </w:r>
      <w:r>
        <w:t xml:space="preserve"> </w:t>
      </w:r>
      <m:oMath>
        <m:r>
          <m:t>B</m:t>
        </m:r>
        <m:r>
          <m:t>E</m:t>
        </m:r>
        <m:d>
          <m:dPr>
            <m:begChr m:val="("/>
            <m:endChr m:val=")"/>
            <m:sepChr m:val=""/>
            <m:grow/>
          </m:dPr>
          <m:e>
            <m:r>
              <m:t>C</m:t>
            </m:r>
            <m:r>
              <m:t>h</m:t>
            </m:r>
            <m:r>
              <m:t>o</m:t>
            </m:r>
            <m:r>
              <m:t>c</m:t>
            </m:r>
          </m:e>
        </m:d>
      </m:oMath>
      <w:r>
        <w:t xml:space="preserve"> </w:t>
      </w:r>
      <w:r>
        <w:t xml:space="preserve">: Meilleure estimation après le choc par un coefficient X%, ce taux est estimé par l’ACAPS de 0,2 %.</w:t>
      </w:r>
      <w:r>
        <w:t xml:space="preserve"> </w:t>
      </w:r>
      <m:oMath>
        <m:r>
          <m:t>B</m:t>
        </m:r>
        <m:r>
          <m:t>E</m:t>
        </m:r>
      </m:oMath>
      <w:r>
        <w:t xml:space="preserve">: Meilleure estimation sans aucun choc.</w:t>
      </w:r>
    </w:p>
    <w:bookmarkEnd w:id="223"/>
    <w:bookmarkEnd w:id="224"/>
    <w:bookmarkStart w:id="232" w:name="Xbd0ac9d5bee7e5f803a71cc891308fb216ea9f5"/>
    <w:p>
      <w:pPr>
        <w:pStyle w:val="Heading4"/>
      </w:pPr>
      <w:r>
        <w:t xml:space="preserve">Exigence de capital relative au risque de souscription non vie (</w:t>
      </w:r>
      <m:oMath>
        <m:r>
          <m:t>C</m:t>
        </m:r>
        <m:r>
          <m:t>S</m:t>
        </m:r>
        <m:sSub>
          <m:e>
            <m:r>
              <m:t>R</m:t>
            </m:r>
          </m:e>
          <m:sub>
            <m:r>
              <m:t>S</m:t>
            </m:r>
            <m:r>
              <m:t>N</m:t>
            </m:r>
            <m:r>
              <m:t>V</m:t>
            </m:r>
          </m:sub>
        </m:sSub>
      </m:oMath>
      <w:r>
        <w:t xml:space="preserve">) :</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w:bookmarkStart w:id="225" w:name="eq-gbmp"/>
      <m:oMathPara>
        <m:oMathParaPr>
          <m:jc m:val="center"/>
        </m:oMathParaPr>
        <m:oMath>
          <m:r>
            <m:t>C</m:t>
          </m:r>
          <m:r>
            <m:t>S</m:t>
          </m:r>
          <m:sSub>
            <m:e>
              <m:r>
                <m:t>R</m:t>
              </m:r>
            </m:e>
            <m:sub>
              <m:r>
                <m:t>S</m:t>
              </m:r>
              <m:r>
                <m:t>N</m:t>
              </m:r>
              <m:r>
                <m:t>V</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r>
            <m:t>  </m:t>
          </m:r>
          <m:d>
            <m:dPr>
              <m:begChr m:val="("/>
              <m:endChr m:val=")"/>
              <m:sepChr m:val=""/>
              <m:grow/>
            </m:dPr>
            <m:e>
              <m:r>
                <m:t>70</m:t>
              </m:r>
            </m:e>
          </m:d>
        </m:oMath>
      </m:oMathPara>
      <w:bookmarkEnd w:id="225"/>
    </w:p>
    <w:p>
      <w:pPr>
        <w:pStyle w:val="FirstParagraph"/>
      </w:pPr>
      <w:r>
        <w:t xml:space="preserve">avec :</w:t>
      </w:r>
    </w:p>
    <w:p>
      <w:pPr>
        <w:pStyle w:val="BodyText"/>
      </w:pPr>
      <m:oMath>
        <m:r>
          <m:t>i</m:t>
        </m:r>
        <m:r>
          <m:rPr>
            <m:sty m:val="p"/>
          </m:rPr>
          <m:t>,</m:t>
        </m:r>
        <m:r>
          <m:t>j</m:t>
        </m:r>
        <m:r>
          <m:rPr>
            <m:sty m:val="p"/>
          </m:rPr>
          <m:t>∈</m:t>
        </m:r>
        <m:r>
          <m:rPr>
            <m:sty m:val="p"/>
          </m:rPr>
          <m:t>{</m:t>
        </m:r>
        <m:r>
          <m:rPr>
            <m:nor/>
            <m:sty m:val="p"/>
          </m:rPr>
          <m:t>Primes, Provisions, Catastrophe</m:t>
        </m:r>
        <m:r>
          <m:rPr>
            <m:sty m:val="p"/>
          </m:rPr>
          <m:t>}</m:t>
        </m:r>
      </m:oMath>
    </w:p>
    <w:p>
      <w:pPr>
        <w:pStyle w:val="BodyText"/>
      </w:pPr>
      <m:oMath>
        <m:r>
          <m:t>ρ</m:t>
        </m:r>
      </m:oMath>
      <w:r>
        <w:t xml:space="preserve"> </w:t>
      </w:r>
      <w:r>
        <w:t xml:space="preserve">: le coefficient de corrélation.</w:t>
      </w:r>
    </w:p>
    <w:bookmarkStart w:id="227" w:name="Xae7d56ebf3941082763747c73c9ac177ca68057"/>
    <w:p>
      <w:pPr>
        <w:pStyle w:val="Heading5"/>
      </w:pPr>
      <w:r>
        <w:t xml:space="preserve">Exigence de capital relative au sous-risque de primes (</w:t>
      </w:r>
      <m:oMath>
        <m:r>
          <m:t>C</m:t>
        </m:r>
        <m:r>
          <m:t>S</m:t>
        </m:r>
        <m:sSub>
          <m:e>
            <m:r>
              <m:t>R</m:t>
            </m:r>
          </m:e>
          <m:sub>
            <m:r>
              <m:t>P</m:t>
            </m:r>
          </m:sub>
        </m:sSub>
      </m:oMath>
      <w:r>
        <w:t xml:space="preserve">) :</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w:bookmarkStart w:id="226" w:name="eq-gbmp"/>
      <m:oMathPara>
        <m:oMathParaPr>
          <m:jc m:val="center"/>
        </m:oMathParaPr>
        <m:oMath>
          <m:r>
            <m:t>C</m:t>
          </m:r>
          <m:r>
            <m:t>S</m:t>
          </m:r>
          <m:sSub>
            <m:e>
              <m:r>
                <m:t>R</m:t>
              </m:r>
            </m:e>
            <m:sub>
              <m:r>
                <m:t>P</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d>
            <m:dPr>
              <m:begChr m:val="("/>
              <m:endChr m:val=")"/>
              <m:sepChr m:val=""/>
              <m:grow/>
            </m:dPr>
            <m:e>
              <m:r>
                <m:t>71</m:t>
              </m:r>
            </m:e>
          </m:d>
        </m:oMath>
      </m:oMathPara>
      <w:bookmarkEnd w:id="226"/>
    </w:p>
    <w:p>
      <w:pPr>
        <w:pStyle w:val="FirstParagraph"/>
      </w:pPr>
      <w:r>
        <w:t xml:space="preserve">avec :</w:t>
      </w:r>
    </w:p>
    <w:p>
      <w:pPr>
        <w:pStyle w:val="BodyText"/>
      </w:pPr>
      <m:oMath>
        <m:r>
          <m:t>i</m:t>
        </m:r>
        <m:r>
          <m:rPr>
            <m:sty m:val="p"/>
          </m:rPr>
          <m:t>,</m:t>
        </m:r>
        <m:r>
          <m:t>j</m:t>
        </m:r>
        <m:r>
          <m:rPr>
            <m:sty m:val="p"/>
          </m:rPr>
          <m:t>∈</m:t>
        </m:r>
        <m:r>
          <m:rPr>
            <m:sty m:val="p"/>
          </m:rPr>
          <m:t>{</m:t>
        </m:r>
        <m:r>
          <m:rPr>
            <m:nor/>
            <m:sty m:val="p"/>
          </m:rPr>
          <m:t>Les sous-risques de primes par sous-categorie </m:t>
        </m:r>
        <m:r>
          <m:rPr>
            <m:sty m:val="p"/>
          </m:rPr>
          <m:t>}</m:t>
        </m:r>
      </m:oMath>
    </w:p>
    <w:p>
      <w:pPr>
        <w:pStyle w:val="BodyText"/>
      </w:pPr>
      <m:oMath>
        <m:r>
          <m:t>ρ</m:t>
        </m:r>
      </m:oMath>
      <w:r>
        <w:t xml:space="preserve"> </w:t>
      </w:r>
      <w:r>
        <w:t xml:space="preserve">: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
            <m:e>
              <m:r>
                <m:t>R</m:t>
              </m:r>
            </m:e>
            <m:sub>
              <m:r>
                <m:t>P</m:t>
              </m:r>
            </m:sub>
          </m:sSub>
          <m:d>
            <m:dPr>
              <m:begChr m:val="("/>
              <m:endChr m:val=")"/>
              <m:sepChr m:val=""/>
              <m:grow/>
            </m:dPr>
            <m:e>
              <m:r>
                <m:rPr>
                  <m:nor/>
                  <m:sty m:val="p"/>
                </m:rPr>
                <m:t>sous-categorie</m:t>
              </m:r>
            </m:e>
          </m:d>
          <m:r>
            <m:rPr>
              <m:sty m:val="p"/>
            </m:rPr>
            <m:t>=</m:t>
          </m:r>
          <m:r>
            <m:t>X</m:t>
          </m:r>
          <m:r>
            <m:rPr>
              <m:sty m:val="p"/>
            </m:rPr>
            <m:t>×</m:t>
          </m:r>
          <m:sSub>
            <m:e>
              <m:r>
                <m:t>σ</m:t>
              </m:r>
            </m:e>
            <m:sub>
              <m:r>
                <m:t>P</m:t>
              </m:r>
            </m:sub>
          </m:sSub>
          <m:r>
            <m:rPr>
              <m:sty m:val="p"/>
            </m:rPr>
            <m:t>×</m:t>
          </m:r>
          <m:r>
            <m:t>P</m:t>
          </m:r>
          <m:r>
            <m:t> </m:t>
          </m:r>
          <m:r>
            <m:rPr>
              <m:sty m:val="p"/>
            </m:rPr>
            <m:t>,</m:t>
          </m:r>
        </m:oMath>
      </m:oMathPara>
    </w:p>
    <w:p>
      <w:pPr>
        <w:pStyle w:val="FirstParagraph"/>
      </w:pPr>
      <w:r>
        <w:t xml:space="preserve">avec :</w:t>
      </w:r>
      <w:r>
        <w:br/>
      </w:r>
    </w:p>
    <w:p>
      <w:pPr>
        <w:pStyle w:val="BodyText"/>
      </w:pPr>
      <m:oMathPara>
        <m:oMathParaPr>
          <m:jc m:val="center"/>
        </m:oMathParaPr>
        <m:oMath>
          <m:r>
            <m:t>P</m:t>
          </m:r>
          <m:r>
            <m:rPr>
              <m:sty m:val="p"/>
            </m:rPr>
            <m:t>=</m:t>
          </m:r>
          <m:r>
            <m:t>P</m:t>
          </m:r>
          <m:r>
            <m:t>A</m:t>
          </m:r>
          <m:r>
            <m:rPr>
              <m:sty m:val="p"/>
            </m:rPr>
            <m:t>+</m:t>
          </m:r>
          <m:r>
            <m:t>P</m:t>
          </m:r>
          <m:r>
            <m:t>P</m:t>
          </m:r>
          <m:r>
            <m:t>N</m:t>
          </m:r>
          <m:r>
            <m:t>A</m:t>
          </m:r>
          <m:r>
            <m:t> </m:t>
          </m:r>
          <m:r>
            <m:rPr>
              <m:sty m:val="p"/>
            </m:rPr>
            <m:t>,</m:t>
          </m:r>
        </m:oMath>
      </m:oMathPara>
    </w:p>
    <w:p>
      <w:pPr>
        <w:pStyle w:val="FirstParagraph"/>
      </w:pPr>
      <w:r>
        <w:t xml:space="preserve">telle que :</w:t>
      </w:r>
      <w:r>
        <w:t xml:space="preserve"> </w:t>
      </w:r>
      <m:oMath>
        <m:r>
          <m:t>P</m:t>
        </m:r>
      </m:oMath>
      <w:r>
        <w:t xml:space="preserve">: Primes.</w:t>
      </w:r>
      <w:r>
        <w:t xml:space="preserve"> </w:t>
      </w:r>
      <m:oMath>
        <m:r>
          <m:t>P</m:t>
        </m:r>
        <m:r>
          <m:t>A</m:t>
        </m:r>
      </m:oMath>
      <w:r>
        <w:t xml:space="preserve"> </w:t>
      </w:r>
      <w:r>
        <w:t xml:space="preserve">: Primes acquises nettes.</w:t>
      </w:r>
      <w:r>
        <w:t xml:space="preserve"> </w:t>
      </w:r>
      <m:oMath>
        <m:r>
          <m:t>P</m:t>
        </m:r>
        <m:r>
          <m:t>P</m:t>
        </m:r>
        <m:r>
          <m:t>N</m:t>
        </m:r>
        <m:r>
          <m:t>A</m:t>
        </m:r>
      </m:oMath>
      <w:r>
        <w:t xml:space="preserve"> </w:t>
      </w:r>
      <w:r>
        <w:t xml:space="preserve">: Provision pour primes non-acquises nettes.</w:t>
      </w:r>
    </w:p>
    <w:bookmarkEnd w:id="227"/>
    <w:bookmarkStart w:id="229" w:name="X533f7701cb3661cf34b00dcb745118a22053996"/>
    <w:p>
      <w:pPr>
        <w:pStyle w:val="Heading5"/>
      </w:pPr>
      <w:r>
        <w:t xml:space="preserve">Exigence de capital relative au sous-risque de provisions (</w:t>
      </w:r>
      <m:oMath>
        <m:r>
          <m:t>C</m:t>
        </m:r>
        <m:r>
          <m:t>S</m:t>
        </m:r>
        <m:sSub>
          <m:e>
            <m:r>
              <m:t>R</m:t>
            </m:r>
          </m:e>
          <m:sub>
            <m:r>
              <m:t>P</m:t>
            </m:r>
            <m:r>
              <m:t>r</m:t>
            </m:r>
          </m:sub>
        </m:sSub>
      </m:oMath>
      <w:r>
        <w:t xml:space="preserve">) :</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w:bookmarkStart w:id="228" w:name="eq-gbmp"/>
      <m:oMathPara>
        <m:oMathParaPr>
          <m:jc m:val="center"/>
        </m:oMathParaPr>
        <m:oMath>
          <m:r>
            <m:t>C</m:t>
          </m:r>
          <m:r>
            <m:t>S</m:t>
          </m:r>
          <m:sSub>
            <m:e>
              <m:r>
                <m:t>R</m:t>
              </m:r>
            </m:e>
            <m:sub>
              <m:r>
                <m:t>P</m:t>
              </m:r>
              <m:r>
                <m:t>r</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r>
            <m:t> </m:t>
          </m:r>
          <m:r>
            <m:rPr>
              <m:sty m:val="p"/>
            </m:rPr>
            <m:t>,</m:t>
          </m:r>
          <m:r>
            <m:t>  </m:t>
          </m:r>
          <m:d>
            <m:dPr>
              <m:begChr m:val="("/>
              <m:endChr m:val=")"/>
              <m:sepChr m:val=""/>
              <m:grow/>
            </m:dPr>
            <m:e>
              <m:r>
                <m:t>72</m:t>
              </m:r>
            </m:e>
          </m:d>
        </m:oMath>
      </m:oMathPara>
      <w:bookmarkEnd w:id="228"/>
    </w:p>
    <w:p>
      <w:pPr>
        <w:pStyle w:val="FirstParagraph"/>
      </w:pPr>
      <w:r>
        <w:t xml:space="preserve">avec :</w:t>
      </w:r>
    </w:p>
    <w:p>
      <w:pPr>
        <w:pStyle w:val="BodyText"/>
      </w:pPr>
      <m:oMath>
        <m:r>
          <m:t>i</m:t>
        </m:r>
        <m:r>
          <m:rPr>
            <m:sty m:val="p"/>
          </m:rPr>
          <m:t>,</m:t>
        </m:r>
        <m:r>
          <m:t>j</m:t>
        </m:r>
        <m:r>
          <m:rPr>
            <m:sty m:val="p"/>
          </m:rPr>
          <m:t>∈</m:t>
        </m:r>
        <m:r>
          <m:rPr>
            <m:sty m:val="p"/>
          </m:rPr>
          <m:t>{</m:t>
        </m:r>
        <m:r>
          <m:rPr>
            <m:nor/>
            <m:sty m:val="p"/>
          </m:rPr>
          <m:t>Les sous-risques de provisions par sous-categorie</m:t>
        </m:r>
        <m:r>
          <m:rPr>
            <m:sty m:val="p"/>
          </m:rPr>
          <m:t>}</m:t>
        </m:r>
      </m:oMath>
      <w:r>
        <w:t xml:space="preserve">.</w:t>
      </w:r>
    </w:p>
    <w:p>
      <w:pPr>
        <w:pStyle w:val="BodyText"/>
      </w:pPr>
      <m:oMath>
        <m:r>
          <m:t>ρ</m:t>
        </m:r>
      </m:oMath>
      <w:r>
        <w:t xml:space="preserve"> </w:t>
      </w:r>
      <w:r>
        <w:t xml:space="preserve">: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
            <m:e>
              <m:r>
                <m:t>R</m:t>
              </m:r>
            </m:e>
            <m:sub>
              <m:r>
                <m:t>P</m:t>
              </m:r>
              <m:r>
                <m:t>r</m:t>
              </m:r>
            </m:sub>
          </m:sSub>
          <m:d>
            <m:dPr>
              <m:begChr m:val="("/>
              <m:endChr m:val=")"/>
              <m:sepChr m:val=""/>
              <m:grow/>
            </m:dPr>
            <m:e>
              <m:r>
                <m:rPr>
                  <m:nor/>
                  <m:sty m:val="p"/>
                </m:rPr>
                <m:t>sous-categorie</m:t>
              </m:r>
            </m:e>
          </m:d>
          <m:r>
            <m:rPr>
              <m:sty m:val="p"/>
            </m:rPr>
            <m:t>=</m:t>
          </m:r>
          <m:r>
            <m:t>X</m:t>
          </m:r>
          <m:r>
            <m:rPr>
              <m:sty m:val="p"/>
            </m:rPr>
            <m:t>%</m:t>
          </m:r>
          <m:r>
            <m:rPr>
              <m:sty m:val="p"/>
            </m:rPr>
            <m:t>×</m:t>
          </m:r>
          <m:sSub>
            <m:e>
              <m:r>
                <m:t>σ</m:t>
              </m:r>
            </m:e>
            <m:sub>
              <m:r>
                <m:t>P</m:t>
              </m:r>
              <m:r>
                <m:t>r</m:t>
              </m:r>
            </m:sub>
          </m:sSub>
          <m:r>
            <m:rPr>
              <m:sty m:val="p"/>
            </m:rPr>
            <m:t>×</m:t>
          </m:r>
          <m:r>
            <m:t>B</m:t>
          </m:r>
          <m:sSub>
            <m:e>
              <m:r>
                <m:t>E</m:t>
              </m:r>
            </m:e>
            <m:sub>
              <m:r>
                <m:t>e</m:t>
              </m:r>
              <m:r>
                <m:t>n</m:t>
              </m:r>
              <m:r>
                <m:t>g</m:t>
              </m:r>
            </m:sub>
          </m:sSub>
        </m:oMath>
      </m:oMathPara>
    </w:p>
    <w:bookmarkEnd w:id="229"/>
    <w:bookmarkStart w:id="231" w:name="X59b87b9c1564dfa6327f8096dc87cc44d59238b"/>
    <w:p>
      <w:pPr>
        <w:pStyle w:val="Heading5"/>
      </w:pPr>
      <w:r>
        <w:t xml:space="preserve">Exigence de capital relative au risque de catastrophe non-vie (</w:t>
      </w:r>
      <m:oMath>
        <m:r>
          <m:t>C</m:t>
        </m:r>
        <m:r>
          <m:t>S</m:t>
        </m:r>
        <m:sSub>
          <m:e>
            <m:r>
              <m:t>R</m:t>
            </m:r>
          </m:e>
          <m:sub>
            <m:r>
              <m:t>C</m:t>
            </m:r>
            <m:r>
              <m:t>a</m:t>
            </m:r>
            <m:r>
              <m:t>t</m:t>
            </m:r>
          </m:sub>
        </m:sSub>
      </m:oMath>
      <w:r>
        <w:t xml:space="preserve">) :</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53"/>
        </w:numPr>
        <w:pStyle w:val="Compact"/>
      </w:pPr>
      <w:r>
        <w:t xml:space="preserve">Individuelles accidents et Invalidité ;</w:t>
      </w:r>
    </w:p>
    <w:p>
      <w:pPr>
        <w:numPr>
          <w:ilvl w:val="0"/>
          <w:numId w:val="1053"/>
        </w:numPr>
        <w:pStyle w:val="Compact"/>
      </w:pPr>
      <w:r>
        <w:t xml:space="preserve">Maladie;</w:t>
      </w:r>
    </w:p>
    <w:p>
      <w:pPr>
        <w:numPr>
          <w:ilvl w:val="0"/>
          <w:numId w:val="1053"/>
        </w:numPr>
        <w:pStyle w:val="Compact"/>
      </w:pPr>
      <w:r>
        <w:t xml:space="preserve">Accidents du travail et maladies professionnelles ;</w:t>
      </w:r>
    </w:p>
    <w:p>
      <w:pPr>
        <w:numPr>
          <w:ilvl w:val="0"/>
          <w:numId w:val="1053"/>
        </w:numPr>
        <w:pStyle w:val="Compact"/>
      </w:pPr>
      <w:r>
        <w:t xml:space="preserve">Responsabilité civile automobile des véhicules terrestres à moteur;</w:t>
      </w:r>
    </w:p>
    <w:p>
      <w:pPr>
        <w:numPr>
          <w:ilvl w:val="0"/>
          <w:numId w:val="1053"/>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53"/>
        </w:numPr>
        <w:pStyle w:val="Compact"/>
      </w:pPr>
      <w:r>
        <w:t xml:space="preserve">Incendie ;</w:t>
      </w:r>
    </w:p>
    <w:p>
      <w:pPr>
        <w:numPr>
          <w:ilvl w:val="0"/>
          <w:numId w:val="1053"/>
        </w:numPr>
        <w:pStyle w:val="Compact"/>
      </w:pPr>
      <w:r>
        <w:t xml:space="preserve">Maritime corps, facultés et responsabilité civile résultant de l’emploi de véhicules fluviaux et maritimes ;</w:t>
      </w:r>
    </w:p>
    <w:p>
      <w:pPr>
        <w:numPr>
          <w:ilvl w:val="0"/>
          <w:numId w:val="1053"/>
        </w:numPr>
        <w:pStyle w:val="Compact"/>
      </w:pPr>
      <w:r>
        <w:t xml:space="preserve">Aviation corps et responsabilité civile résultant de l’emploi des aéronefs ;</w:t>
      </w:r>
    </w:p>
    <w:p>
      <w:pPr>
        <w:numPr>
          <w:ilvl w:val="0"/>
          <w:numId w:val="1053"/>
        </w:numPr>
        <w:pStyle w:val="Compact"/>
      </w:pPr>
      <w:r>
        <w:t xml:space="preserve">Marchandises transportées par voie terrestre ;</w:t>
      </w:r>
    </w:p>
    <w:p>
      <w:pPr>
        <w:numPr>
          <w:ilvl w:val="0"/>
          <w:numId w:val="1053"/>
        </w:numPr>
        <w:pStyle w:val="Compact"/>
      </w:pPr>
      <w:r>
        <w:t xml:space="preserve">Assurance récolte, grêle ou gelée et éléments naturels ;</w:t>
      </w:r>
    </w:p>
    <w:p>
      <w:pPr>
        <w:numPr>
          <w:ilvl w:val="0"/>
          <w:numId w:val="1053"/>
        </w:numPr>
        <w:pStyle w:val="Compact"/>
      </w:pPr>
      <w:r>
        <w:t xml:space="preserve">Crédit et caution;</w:t>
      </w:r>
    </w:p>
    <w:p>
      <w:pPr>
        <w:pStyle w:val="FirstParagraph"/>
      </w:pPr>
      <w:bookmarkStart w:id="230" w:name="eq-gbmp"/>
      <m:oMathPara>
        <m:oMathParaPr>
          <m:jc m:val="center"/>
        </m:oMathParaPr>
        <m:oMath>
          <m:r>
            <m:t>C</m:t>
          </m:r>
          <m:r>
            <m:t>S</m:t>
          </m:r>
          <m:sSub>
            <m:e>
              <m:r>
                <m:t>R</m:t>
              </m:r>
            </m:e>
            <m:sub>
              <m:r>
                <m:t>C</m:t>
              </m:r>
              <m:r>
                <m:t>a</m:t>
              </m:r>
              <m:r>
                <m:t>t</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r>
            <m:t> </m:t>
          </m:r>
          <m:r>
            <m:rPr>
              <m:sty m:val="p"/>
            </m:rPr>
            <m:t>,</m:t>
          </m:r>
          <m:r>
            <m:t>  </m:t>
          </m:r>
          <m:d>
            <m:dPr>
              <m:begChr m:val="("/>
              <m:endChr m:val=")"/>
              <m:sepChr m:val=""/>
              <m:grow/>
            </m:dPr>
            <m:e>
              <m:r>
                <m:t>73</m:t>
              </m:r>
            </m:e>
          </m:d>
        </m:oMath>
      </m:oMathPara>
      <w:bookmarkEnd w:id="230"/>
    </w:p>
    <w:p>
      <w:pPr>
        <w:pStyle w:val="FirstParagraph"/>
      </w:pPr>
      <w:r>
        <w:t xml:space="preserve">telle que, le</w:t>
      </w:r>
      <w:r>
        <w:t xml:space="preserve"> </w:t>
      </w:r>
      <m:oMath>
        <m:r>
          <m:t>i</m:t>
        </m:r>
      </m:oMath>
      <w:r>
        <w:t xml:space="preserve"> </w:t>
      </w:r>
      <w:r>
        <w:t xml:space="preserve">Appartient à la liste des garanties ci-dessus.</w:t>
      </w:r>
    </w:p>
    <w:bookmarkEnd w:id="231"/>
    <w:bookmarkEnd w:id="232"/>
    <w:bookmarkEnd w:id="233"/>
    <w:bookmarkStart w:id="235" w:name="Xd14d4909bf7dda0b454a4d63bb1103fca6ae0cc"/>
    <w:p>
      <w:pPr>
        <w:pStyle w:val="Heading3"/>
      </w:pPr>
      <w:r>
        <w:t xml:space="preserve">Exigence de capital relative au risque opérationnel (</w:t>
      </w:r>
      <m:oMath>
        <m:r>
          <m:t>C</m:t>
        </m:r>
        <m:r>
          <m:t>S</m:t>
        </m:r>
        <m:r>
          <m:t>R</m:t>
        </m:r>
        <m:r>
          <m:t>O</m:t>
        </m:r>
      </m:oMath>
      <w:r>
        <w:t xml:space="preserve">) :</w:t>
      </w:r>
    </w:p>
    <w:p>
      <w:pPr>
        <w:pStyle w:val="FirstParagraph"/>
      </w:pPr>
      <w:r>
        <w:t xml:space="preserve">L’exigence de capital relative au risque opérationnel correspond à X% du capital de solvabilité requis de base.</w:t>
      </w:r>
    </w:p>
    <w:p>
      <w:pPr>
        <w:pStyle w:val="BodyText"/>
      </w:pPr>
      <w:bookmarkStart w:id="234" w:name="eq-gbmp"/>
      <m:oMathPara>
        <m:oMathParaPr>
          <m:jc m:val="center"/>
        </m:oMathParaPr>
        <m:oMath>
          <m:r>
            <m:t>C</m:t>
          </m:r>
          <m:r>
            <m:t>S</m:t>
          </m:r>
          <m:r>
            <m:t>R</m:t>
          </m:r>
          <m:r>
            <m:t>O</m:t>
          </m:r>
          <m:r>
            <m:rPr>
              <m:sty m:val="p"/>
            </m:rPr>
            <m:t>=</m:t>
          </m:r>
          <m:r>
            <m:t>X</m:t>
          </m:r>
          <m:r>
            <m:rPr>
              <m:sty m:val="p"/>
            </m:rPr>
            <m:t>%</m:t>
          </m:r>
          <m:r>
            <m:rPr>
              <m:sty m:val="p"/>
            </m:rPr>
            <m:t>*</m:t>
          </m:r>
          <m:r>
            <m:t>C</m:t>
          </m:r>
          <m:r>
            <m:t>S</m:t>
          </m:r>
          <m:r>
            <m:t>R</m:t>
          </m:r>
          <m:r>
            <m:t>B</m:t>
          </m:r>
          <m:r>
            <m:t>  </m:t>
          </m:r>
          <m:d>
            <m:dPr>
              <m:begChr m:val="("/>
              <m:endChr m:val=")"/>
              <m:sepChr m:val=""/>
              <m:grow/>
            </m:dPr>
            <m:e>
              <m:r>
                <m:t>74</m:t>
              </m:r>
            </m:e>
          </m:d>
        </m:oMath>
      </m:oMathPara>
      <w:bookmarkEnd w:id="234"/>
    </w:p>
    <w:bookmarkEnd w:id="235"/>
    <w:bookmarkStart w:id="242" w:name="X384c0c3c983e0c0cecb046cfdf19f3cf5bf77b3"/>
    <w:p>
      <w:pPr>
        <w:pStyle w:val="Heading3"/>
      </w:pPr>
      <w:r>
        <w:t xml:space="preserve">Ajustement du capital de solvabilité requis :</w:t>
      </w:r>
    </w:p>
    <w:bookmarkStart w:id="237" w:name="Xe8f4b96a75672450572e77d9119309d136820dc"/>
    <w:p>
      <w:pPr>
        <w:pStyle w:val="Heading4"/>
      </w:pPr>
      <w:r>
        <w:t xml:space="preserve">Ajustement visant à tenir compte de la capacité d’absorption des pertes par les assurés (</w:t>
      </w:r>
      <m:oMath>
        <m:r>
          <m:t>A</m:t>
        </m:r>
        <m:r>
          <m:t>d</m:t>
        </m:r>
        <m:sSub>
          <m:e>
            <m:r>
              <m:t>j</m:t>
            </m:r>
          </m:e>
          <m:sub>
            <m:r>
              <m:t>A</m:t>
            </m:r>
            <m:r>
              <m:t>s</m:t>
            </m:r>
          </m:sub>
        </m:sSub>
      </m:oMath>
      <w:r>
        <w:t xml:space="preserve">) :</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w:bookmarkStart w:id="236" w:name="eq-gbmp"/>
      <m:oMathPara>
        <m:oMathParaPr>
          <m:jc m:val="center"/>
        </m:oMathParaPr>
        <m:oMath>
          <m:r>
            <m:t>A</m:t>
          </m:r>
          <m:r>
            <m:t>d</m:t>
          </m:r>
          <m:sSub>
            <m:e>
              <m:r>
                <m:t>j</m:t>
              </m:r>
            </m:e>
            <m:sub>
              <m:r>
                <m:t>A</m:t>
              </m:r>
              <m:r>
                <m:t>s</m:t>
              </m:r>
            </m:sub>
          </m:sSub>
          <m:r>
            <m:rPr>
              <m:sty m:val="p"/>
            </m:rPr>
            <m:t>=</m:t>
          </m:r>
          <m:r>
            <m:t>m</m:t>
          </m:r>
          <m:r>
            <m:t>i</m:t>
          </m:r>
          <m:r>
            <m:t>n</m:t>
          </m:r>
          <m:d>
            <m:dPr>
              <m:begChr m:val="("/>
              <m:endChr m:val=")"/>
              <m:sepChr m:val=""/>
              <m:grow/>
            </m:dPr>
            <m:e>
              <m:r>
                <m:t>C</m:t>
              </m:r>
              <m:r>
                <m:t>S</m:t>
              </m:r>
              <m:r>
                <m:t>R</m:t>
              </m:r>
              <m:sSub>
                <m:e>
                  <m:r>
                    <m:t>B</m:t>
                  </m:r>
                </m:e>
                <m:sub>
                  <m:r>
                    <m:t>n</m:t>
                  </m:r>
                  <m:r>
                    <m:t>e</m:t>
                  </m:r>
                  <m:r>
                    <m:t>t</m:t>
                  </m:r>
                  <m:r>
                    <m:t>t</m:t>
                  </m:r>
                  <m:r>
                    <m:t>e</m:t>
                  </m:r>
                </m:sub>
              </m:sSub>
              <m:r>
                <m:rPr>
                  <m:sty m:val="p"/>
                </m:rPr>
                <m:t>−</m:t>
              </m:r>
              <m:r>
                <m:t>C</m:t>
              </m:r>
              <m:r>
                <m:t>S</m:t>
              </m:r>
              <m:r>
                <m:t>R</m:t>
              </m:r>
              <m:sSub>
                <m:e>
                  <m:r>
                    <m:t>B</m:t>
                  </m:r>
                </m:e>
                <m:sub>
                  <m:r>
                    <m:t>b</m:t>
                  </m:r>
                  <m:r>
                    <m:t>r</m:t>
                  </m:r>
                  <m:r>
                    <m:t>u</m:t>
                  </m:r>
                  <m:r>
                    <m:t>t</m:t>
                  </m:r>
                  <m:r>
                    <m:t>e</m:t>
                  </m:r>
                </m:sub>
              </m:sSub>
              <m:r>
                <m:rPr>
                  <m:sty m:val="p"/>
                </m:rPr>
                <m:t>;</m:t>
              </m:r>
              <m:r>
                <m:t>B</m:t>
              </m:r>
              <m:r>
                <m:t>D</m:t>
              </m:r>
              <m:r>
                <m:t>F</m:t>
              </m:r>
            </m:e>
          </m:d>
          <m:r>
            <m:t> </m:t>
          </m:r>
          <m:r>
            <m:rPr>
              <m:sty m:val="p"/>
            </m:rPr>
            <m:t>,</m:t>
          </m:r>
          <m:r>
            <m:t>  </m:t>
          </m:r>
          <m:d>
            <m:dPr>
              <m:begChr m:val="("/>
              <m:endChr m:val=")"/>
              <m:sepChr m:val=""/>
              <m:grow/>
            </m:dPr>
            <m:e>
              <m:r>
                <m:t>75</m:t>
              </m:r>
            </m:e>
          </m:d>
        </m:oMath>
      </m:oMathPara>
      <w:bookmarkEnd w:id="236"/>
    </w:p>
    <w:p>
      <w:pPr>
        <w:pStyle w:val="FirstParagraph"/>
      </w:pPr>
      <w:r>
        <w:t xml:space="preserve">avec :</w:t>
      </w:r>
      <w:r>
        <w:t xml:space="preserve"> </w:t>
      </w:r>
      <m:oMath>
        <m:r>
          <m:t>A</m:t>
        </m:r>
        <m:r>
          <m:t>d</m:t>
        </m:r>
        <m:sSub>
          <m:e>
            <m:r>
              <m:t>j</m:t>
            </m:r>
          </m:e>
          <m:sub>
            <m:r>
              <m:t>A</m:t>
            </m:r>
            <m:r>
              <m:t>s</m:t>
            </m:r>
          </m:sub>
        </m:sSub>
      </m:oMath>
      <w:r>
        <w:t xml:space="preserve"> </w:t>
      </w:r>
      <w:r>
        <w:t xml:space="preserve">: Ajustement pour tenir compte la capacité d’absorption des pertes par les assurés.</w:t>
      </w:r>
    </w:p>
    <w:bookmarkEnd w:id="237"/>
    <w:bookmarkStart w:id="241" w:name="X853db30fa69a09c5e04203c4cd1553c315569bc"/>
    <w:p>
      <w:pPr>
        <w:pStyle w:val="Heading4"/>
      </w:pPr>
      <w:r>
        <w:t xml:space="preserve">Ajustement visant à tenir compte de la capacité d’absorption des pertes par les impôts différés (</w:t>
      </w:r>
      <m:oMath>
        <m:r>
          <m:t>A</m:t>
        </m:r>
        <m:r>
          <m:t>j</m:t>
        </m:r>
        <m:sSub>
          <m:e>
            <m:r>
              <m:t>t</m:t>
            </m:r>
          </m:e>
          <m:sub>
            <m:r>
              <m:t>I</m:t>
            </m:r>
            <m:r>
              <m:t>D</m:t>
            </m:r>
          </m:sub>
        </m:sSub>
      </m:oMath>
      <w:r>
        <w:t xml:space="preserve">) :</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w:bookmarkStart w:id="238" w:name="eq-gbmp"/>
      <m:oMathPara>
        <m:oMathParaPr>
          <m:jc m:val="center"/>
        </m:oMathParaPr>
        <m:oMath>
          <m:r>
            <m:t>A</m:t>
          </m:r>
          <m:r>
            <m:t>j</m:t>
          </m:r>
          <m:sSub>
            <m:e>
              <m:r>
                <m:t>t</m:t>
              </m:r>
            </m:e>
            <m:sub>
              <m:r>
                <m:t>I</m:t>
              </m:r>
              <m:r>
                <m:t>D</m:t>
              </m:r>
            </m:sub>
          </m:sSub>
          <m:r>
            <m:rPr>
              <m:sty m:val="p"/>
            </m:rPr>
            <m:t>=</m:t>
          </m:r>
          <m:r>
            <m:t>T</m:t>
          </m:r>
          <m:r>
            <m:t>I</m:t>
          </m:r>
          <m:r>
            <m:rPr>
              <m:sty m:val="p"/>
            </m:rPr>
            <m:t>×</m:t>
          </m:r>
          <m:r>
            <m:t>m</m:t>
          </m:r>
          <m:r>
            <m:t>i</m:t>
          </m:r>
          <m:r>
            <m:t>n</m:t>
          </m:r>
          <m:d>
            <m:dPr>
              <m:begChr m:val="("/>
              <m:endChr m:val=")"/>
              <m:sepChr m:val=""/>
              <m:grow/>
            </m:dPr>
            <m:e>
              <m:r>
                <m:t>C</m:t>
              </m:r>
              <m:r>
                <m:t>S</m:t>
              </m:r>
              <m:r>
                <m:t>R</m:t>
              </m:r>
              <m:r>
                <m:t>B</m:t>
              </m:r>
              <m:r>
                <m:rPr>
                  <m:sty m:val="p"/>
                </m:rPr>
                <m:t>+</m:t>
              </m:r>
              <m:r>
                <m:t>C</m:t>
              </m:r>
              <m:r>
                <m:t>S</m:t>
              </m:r>
              <m:r>
                <m:t>R</m:t>
              </m:r>
              <m:r>
                <m:t>O</m:t>
              </m:r>
              <m:r>
                <m:rPr>
                  <m:sty m:val="p"/>
                </m:rPr>
                <m:t>−</m:t>
              </m:r>
              <m:r>
                <m:t>A</m:t>
              </m:r>
              <m:r>
                <m:t>d</m:t>
              </m:r>
              <m:sSub>
                <m:e>
                  <m:r>
                    <m:t>j</m:t>
                  </m:r>
                </m:e>
                <m:sub>
                  <m:r>
                    <m:t>A</m:t>
                  </m:r>
                  <m:r>
                    <m:t>s</m:t>
                  </m:r>
                </m:sub>
              </m:sSub>
              <m:r>
                <m:t> </m:t>
              </m:r>
              <m:r>
                <m:rPr>
                  <m:sty m:val="p"/>
                </m:rPr>
                <m:t>;</m:t>
              </m:r>
              <m:r>
                <m:t> </m:t>
              </m:r>
              <m:r>
                <m:t>I</m:t>
              </m:r>
              <m:sSub>
                <m:e>
                  <m:r>
                    <m:t>D</m:t>
                  </m:r>
                </m:e>
                <m:sub>
                  <m:r>
                    <m:t>p</m:t>
                  </m:r>
                </m:sub>
              </m:sSub>
              <m:r>
                <m:rPr>
                  <m:sty m:val="p"/>
                </m:rPr>
                <m:t>−</m:t>
              </m:r>
              <m:r>
                <m:t>I</m:t>
              </m:r>
              <m:sSub>
                <m:e>
                  <m:r>
                    <m:t>D</m:t>
                  </m:r>
                </m:e>
                <m:sub>
                  <m:r>
                    <m:t>a</m:t>
                  </m:r>
                </m:sub>
              </m:sSub>
            </m:e>
          </m:d>
          <m:r>
            <m:t>  </m:t>
          </m:r>
          <m:d>
            <m:dPr>
              <m:begChr m:val="("/>
              <m:endChr m:val=")"/>
              <m:sepChr m:val=""/>
              <m:grow/>
            </m:dPr>
            <m:e>
              <m:r>
                <m:t>76</m:t>
              </m:r>
            </m:e>
          </m:d>
        </m:oMath>
      </m:oMathPara>
      <w:bookmarkEnd w:id="238"/>
    </w:p>
    <w:p>
      <w:pPr>
        <w:pStyle w:val="FirstParagraph"/>
      </w:pPr>
      <w:r>
        <w:t xml:space="preserve">avec :</w:t>
      </w:r>
      <w:r>
        <w:t xml:space="preserve"> </w:t>
      </w:r>
      <m:oMath>
        <m:r>
          <m:t>A</m:t>
        </m:r>
        <m:r>
          <m:t>j</m:t>
        </m:r>
        <m:sSub>
          <m:e>
            <m:r>
              <m:t>t</m:t>
            </m:r>
          </m:e>
          <m:sub>
            <m:r>
              <m:t>I</m:t>
            </m:r>
            <m:r>
              <m:t>D</m:t>
            </m:r>
          </m:sub>
        </m:sSub>
      </m:oMath>
      <w:r>
        <w:t xml:space="preserve"> </w:t>
      </w:r>
      <w:r>
        <w:t xml:space="preserve">: Ajustement pour tenir compte de la capacité d’absorption des pertes par les impôts différés.</w:t>
      </w:r>
      <w:r>
        <w:t xml:space="preserve"> </w:t>
      </w:r>
      <m:oMath>
        <m:r>
          <m:t>T</m:t>
        </m:r>
        <m:r>
          <m:t>I</m:t>
        </m:r>
      </m:oMath>
      <w:r>
        <w:t xml:space="preserve"> </w:t>
      </w:r>
      <w:r>
        <w:t xml:space="preserve">: aux d’Impôts.</w:t>
      </w:r>
      <w:r>
        <w:t xml:space="preserve"> </w:t>
      </w:r>
      <m:oMath>
        <m:r>
          <m:t>I</m:t>
        </m:r>
        <m:sSub>
          <m:e>
            <m:r>
              <m:t>D</m:t>
            </m:r>
          </m:e>
          <m:sub>
            <m:r>
              <m:t>a</m:t>
            </m:r>
          </m:sub>
        </m:sSub>
      </m:oMath>
      <w:r>
        <w:t xml:space="preserve"> </w:t>
      </w:r>
      <w:r>
        <w:t xml:space="preserve">: Les impôts différés-passif.</w:t>
      </w:r>
      <w:r>
        <w:t xml:space="preserve"> </w:t>
      </w:r>
      <m:oMath>
        <m:r>
          <m:t>I</m:t>
        </m:r>
        <m:sSub>
          <m:e>
            <m:r>
              <m:t>D</m:t>
            </m:r>
          </m:e>
          <m:sub>
            <m:r>
              <m:t>p</m:t>
            </m:r>
          </m:sub>
        </m:sSub>
      </m:oMath>
      <w:r>
        <w:t xml:space="preserve"> </w:t>
      </w:r>
      <w:r>
        <w:t xml:space="preserve">: Les impôts différés-actif.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39" name="Picture"/>
                  <a:graphic>
                    <a:graphicData uri="http://schemas.openxmlformats.org/drawingml/2006/picture">
                      <pic:pic>
                        <pic:nvPicPr>
                          <pic:cNvPr descr="/Applications/quarto/share/formats/docx/tip.png" id="24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241"/>
    <w:bookmarkEnd w:id="242"/>
    <w:bookmarkEnd w:id="243"/>
    <w:bookmarkEnd w:id="244"/>
    <w:bookmarkStart w:id="280" w:name="Xdfd4d006d9124550c85001a73cc2cd266d3535f"/>
    <w:p>
      <w:pPr>
        <w:pStyle w:val="Heading1"/>
      </w:pPr>
      <w:r>
        <w:t xml:space="preserve">7. CHAPITRE VII : Application numérique de la Solvabilité Basée sur les Risque</w:t>
      </w:r>
    </w:p>
    <w:bookmarkStart w:id="245" w:name="Xc80475cd0edec088b34b7c537865a77dbfb7bc2"/>
    <w:p>
      <w:pPr>
        <w:pStyle w:val="Heading2"/>
      </w:pPr>
      <w:r>
        <w:t xml:space="preserve">7.1 Modèle LSTM appliqué au cours de l’indice MASI</w:t>
      </w:r>
    </w:p>
    <w:bookmarkEnd w:id="245"/>
    <w:bookmarkStart w:id="276" w:name="application-de-calcul-des-csr"/>
    <w:p>
      <w:pPr>
        <w:pStyle w:val="Heading2"/>
      </w:pPr>
      <w:r>
        <w:t xml:space="preserve">7.2 Application de calcul des CSR</w:t>
      </w:r>
    </w:p>
    <w:p>
      <w:pPr>
        <w:pStyle w:val="FirstParagraph"/>
      </w:pPr>
      <w:r>
        <w:t xml:space="preserve">Dans le cadre de ce projet, nous avons développé une application permettant de calculer les capitaux de solvabilité requis. Ce calcul passe par plusieurs étapes c’est pourquoi l’application contient plusieurs onglets :</w:t>
      </w:r>
    </w:p>
    <w:p>
      <w:pPr>
        <w:numPr>
          <w:ilvl w:val="0"/>
          <w:numId w:val="1054"/>
        </w:numPr>
        <w:pStyle w:val="Compact"/>
      </w:pPr>
      <w:r>
        <w:rPr>
          <w:bCs/>
          <w:b/>
        </w:rPr>
        <w:t xml:space="preserve">Paramètres</w:t>
      </w:r>
      <w:r>
        <w:t xml:space="preserve"> </w:t>
      </w:r>
      <w:r>
        <w:t xml:space="preserve">: les paramètres généraux de l’application;</w:t>
      </w:r>
      <w:r>
        <w:t xml:space="preserve"> </w:t>
      </w:r>
      <w:r>
        <w:t xml:space="preserve">_</w:t>
      </w:r>
      <w:r>
        <w:t xml:space="preserve"> </w:t>
      </w:r>
      <w:r>
        <w:rPr>
          <w:bCs/>
          <w:b/>
        </w:rPr>
        <w:t xml:space="preserve">Courbe des taux</w:t>
      </w:r>
      <w:r>
        <w:t xml:space="preserve"> </w:t>
      </w:r>
      <w:r>
        <w:t xml:space="preserve">: construction de la courbe des taux zéro coupon;</w:t>
      </w:r>
      <w:r>
        <w:t xml:space="preserve"> </w:t>
      </w:r>
      <w:r>
        <w:t xml:space="preserve">_</w:t>
      </w:r>
      <w:r>
        <w:t xml:space="preserve"> </w:t>
      </w:r>
      <w:r>
        <w:rPr>
          <w:bCs/>
          <w:b/>
        </w:rPr>
        <w:t xml:space="preserve">Non-vie hors rentes</w:t>
      </w:r>
      <w:r>
        <w:t xml:space="preserve"> </w:t>
      </w:r>
      <w:r>
        <w:t xml:space="preserve">: calcul des meilleures estimations pour une apération d’assurance non vie hors rente (exemple de l’accident de travail AT);</w:t>
      </w:r>
    </w:p>
    <w:p>
      <w:pPr>
        <w:numPr>
          <w:ilvl w:val="0"/>
          <w:numId w:val="1054"/>
        </w:numPr>
        <w:pStyle w:val="Compact"/>
      </w:pPr>
      <w:r>
        <w:rPr>
          <w:bCs/>
          <w:b/>
        </w:rPr>
        <w:t xml:space="preserve">Assurance vie</w:t>
      </w:r>
      <w:r>
        <w:t xml:space="preserve"> </w:t>
      </w:r>
      <w:r>
        <w:t xml:space="preserve">: calcul des meilleures estimations pour une apération d’assurance vie (exemple d’un capital garanti dégressif en cas de décès).</w:t>
      </w:r>
    </w:p>
    <w:tbl>
      <w:tblPr>
        <w:tblStyle w:val="Table"/>
        <w:tblW w:type="pct" w:w="5000"/>
        <w:tblLook w:firstRow="0" w:lastRow="0" w:firstColumn="0" w:lastColumn="0" w:noHBand="0" w:noVBand="0" w:val="0000"/>
        <w:jc w:val="start"/>
      </w:tblPr>
      <w:tblGrid>
        <w:gridCol w:w="7920"/>
      </w:tblGrid>
      <w:tr>
        <w:tc>
          <w:tcPr/>
          <w:bookmarkStart w:id="249" w:name="fig-onglets"/>
          <w:p>
            <w:pPr>
              <w:jc w:val="center"/>
            </w:pPr>
            <w:r>
              <w:drawing>
                <wp:inline>
                  <wp:extent cx="5334000" cy="4196219"/>
                  <wp:effectExtent b="0" l="0" r="0" t="0"/>
                  <wp:docPr descr="" title="" id="247" name="Picture"/>
                  <a:graphic>
                    <a:graphicData uri="http://schemas.openxmlformats.org/drawingml/2006/picture">
                      <pic:pic>
                        <pic:nvPicPr>
                          <pic:cNvPr descr="Rapport-PFE_files/figure-html/Onglets_App.png" id="248" name="Picture"/>
                          <pic:cNvPicPr>
                            <a:picLocks noChangeArrowheads="1" noChangeAspect="1"/>
                          </pic:cNvPicPr>
                        </pic:nvPicPr>
                        <pic:blipFill>
                          <a:blip r:embed="rId246"/>
                          <a:stretch>
                            <a:fillRect/>
                          </a:stretch>
                        </pic:blipFill>
                        <pic:spPr bwMode="auto">
                          <a:xfrm>
                            <a:off x="0" y="0"/>
                            <a:ext cx="5334000" cy="41962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Onglets de l’application</w:t>
            </w:r>
          </w:p>
          <w:bookmarkEnd w:id="249"/>
        </w:tc>
      </w:tr>
    </w:tbl>
    <w:p>
      <w:pPr>
        <w:pStyle w:val="BodyText"/>
      </w:pPr>
      <w:r>
        <w:t xml:space="preserve">Cette application a été développée grâce a</w:t>
      </w:r>
      <w:r>
        <w:t xml:space="preserve"> </w:t>
      </w:r>
      <w:hyperlink r:id="rId250">
        <w:r>
          <w:rPr>
            <w:rStyle w:val="Hyperlink"/>
          </w:rPr>
          <w:t xml:space="preserve">Shiny</w:t>
        </w:r>
      </w:hyperlink>
      <w:r>
        <w:t xml:space="preserve"> </w:t>
      </w:r>
      <w:r>
        <w:t xml:space="preserve">et une de ses extensions</w:t>
      </w:r>
      <w:r>
        <w:t xml:space="preserve"> </w:t>
      </w:r>
      <w:hyperlink r:id="rId251">
        <w:r>
          <w:rPr>
            <w:rStyle w:val="Hyperlink"/>
          </w:rPr>
          <w:t xml:space="preserve">bs4dash</w:t>
        </w:r>
      </w:hyperlink>
      <w:r>
        <w:t xml:space="preserve">.</w:t>
      </w:r>
      <w:r>
        <w:t xml:space="preserve"> </w:t>
      </w:r>
      <w:r>
        <w:t xml:space="preserve">En guise d’information, Shiny est un package R qui facilite la création d’applications Web interactives directement à partir de R. Vous pouvez héberger des applications autonomes sur une page Web ou les intégrer dans des documents</w:t>
      </w:r>
      <w:r>
        <w:t xml:space="preserve"> </w:t>
      </w:r>
      <w:r>
        <w:rPr>
          <w:iCs/>
          <w:i/>
        </w:rPr>
        <w:t xml:space="preserve">R Markdown</w:t>
      </w:r>
      <w:r>
        <w:t xml:space="preserve"> </w:t>
      </w:r>
      <w:r>
        <w:t xml:space="preserve">ou créer des tableaux de bord. Vous pouvez également étendre vos applications Shiny avec des thèmes</w:t>
      </w:r>
      <w:r>
        <w:t xml:space="preserve"> </w:t>
      </w:r>
      <w:r>
        <w:rPr>
          <w:iCs/>
          <w:i/>
        </w:rPr>
        <w:t xml:space="preserve">CSS</w:t>
      </w:r>
      <w:r>
        <w:t xml:space="preserve">, des widgets</w:t>
      </w:r>
      <w:r>
        <w:t xml:space="preserve"> </w:t>
      </w:r>
      <w:r>
        <w:rPr>
          <w:iCs/>
          <w:i/>
        </w:rPr>
        <w:t xml:space="preserve">html</w:t>
      </w:r>
      <w:r>
        <w:t xml:space="preserve"> </w:t>
      </w:r>
      <w:r>
        <w:t xml:space="preserve">et des actions</w:t>
      </w:r>
      <w:r>
        <w:t xml:space="preserve"> </w:t>
      </w:r>
      <w:r>
        <w:rPr>
          <w:iCs/>
          <w:i/>
        </w:rPr>
        <w:t xml:space="preserve">JavaScript</w:t>
      </w:r>
      <w:r>
        <w:t xml:space="preserve">, d’où l’intervention de {bs4Dash} dans ce projet. Il permet quant à lui de créer des tableaux de bord</w:t>
      </w:r>
      <w:r>
        <w:t xml:space="preserve"> </w:t>
      </w:r>
      <w:r>
        <w:rPr>
          <w:iCs/>
          <w:i/>
        </w:rPr>
        <w:t xml:space="preserve">Shiny</w:t>
      </w:r>
      <w:r>
        <w:t xml:space="preserve"> </w:t>
      </w:r>
      <w:r>
        <w:t xml:space="preserve">avec la technologie</w:t>
      </w:r>
      <w:r>
        <w:t xml:space="preserve"> </w:t>
      </w:r>
      <w:r>
        <w:rPr>
          <w:iCs/>
          <w:i/>
        </w:rPr>
        <w:t xml:space="preserve">Bootstrap 4</w:t>
      </w:r>
      <w:r>
        <w:t xml:space="preserve">. Le choix du langage R pour développer cette application est motivé par la simplicité du package shiny et de plus ce langage nous est déjà familier puisque c’est l’un des plus utilisés en sciences de données.</w:t>
      </w:r>
    </w:p>
    <w:p>
      <w:pPr>
        <w:pStyle w:val="BodyText"/>
      </w:pPr>
      <w:r>
        <w:t xml:space="preserve">L’application est une agglomération de codes et de calculs, son utilisation nécessite alors de claires indications.</w:t>
      </w:r>
    </w:p>
    <w:bookmarkStart w:id="256" w:name="navigation-dans-le-code-source"/>
    <w:p>
      <w:pPr>
        <w:pStyle w:val="Heading3"/>
      </w:pPr>
      <w:r>
        <w:t xml:space="preserve">Navigation dans le code source</w:t>
      </w:r>
    </w:p>
    <w:p>
      <w:pPr>
        <w:pStyle w:val="FirstParagraph"/>
      </w:pPr>
      <w:r>
        <w:t xml:space="preserve">Le dossier de l’application contient trois fichiers principaux d’extention</w:t>
      </w:r>
      <w:r>
        <w:t xml:space="preserve"> </w:t>
      </w:r>
      <w:r>
        <w:t xml:space="preserve">“</w:t>
      </w:r>
      <w:r>
        <w:t xml:space="preserve">.R</w:t>
      </w:r>
      <w:r>
        <w:t xml:space="preserve">”</w:t>
      </w:r>
      <w:r>
        <w:t xml:space="preserve">. Le premier nommé</w:t>
      </w:r>
      <w:r>
        <w:t xml:space="preserve"> </w:t>
      </w:r>
      <w:r>
        <w:rPr>
          <w:iCs/>
          <w:i/>
        </w:rPr>
        <w:t xml:space="preserve">app.R</w:t>
      </w:r>
      <w:r>
        <w:t xml:space="preserve"> </w:t>
      </w:r>
      <w:r>
        <w:t xml:space="preserve">contient la partie ui (user interface) et server de l’application. Le socond,</w:t>
      </w:r>
      <w:r>
        <w:t xml:space="preserve"> </w:t>
      </w:r>
      <w:r>
        <w:rPr>
          <w:iCs/>
          <w:i/>
        </w:rPr>
        <w:t xml:space="preserve">functions.R</w:t>
      </w:r>
      <w:r>
        <w:t xml:space="preserve"> </w:t>
      </w:r>
      <w:r>
        <w:t xml:space="preserve">détient l’ensemble des fonctions que nous avons programmé et qui sont requis dans le fichier</w:t>
      </w:r>
      <w:r>
        <w:t xml:space="preserve"> </w:t>
      </w:r>
      <w:r>
        <w:rPr>
          <w:iCs/>
          <w:i/>
        </w:rPr>
        <w:t xml:space="preserve">app.R</w:t>
      </w:r>
      <w:r>
        <w:t xml:space="preserve">. Le dernier fichier sert à automatiser l’installation de tous les packages nécessaire pour faire tourner l’applciation et nous l’avons nommé</w:t>
      </w:r>
      <w:r>
        <w:t xml:space="preserve"> </w:t>
      </w:r>
      <w:r>
        <w:rPr>
          <w:iCs/>
          <w:i/>
        </w:rPr>
        <w:t xml:space="preserve">installation packages.R</w:t>
      </w:r>
      <w:r>
        <w:t xml:space="preserve">.</w:t>
      </w:r>
    </w:p>
    <w:p>
      <w:pPr>
        <w:pStyle w:val="BodyText"/>
      </w:pPr>
      <w:r>
        <w:t xml:space="preserve">Les commentaires ont été faits de sorte à faciliter la navigation. Peut importe le fichier, vous pouvez commencer par contracter votre code comme indiqué dans la</w:t>
      </w:r>
      <w:r>
        <w:t xml:space="preserve"> </w:t>
      </w:r>
      <w:hyperlink w:anchor="fig-app_R">
        <w:r>
          <w:rPr>
            <w:rStyle w:val="Hyperlink"/>
          </w:rPr>
          <w:t xml:space="preserve">Figure 8</w:t>
        </w:r>
      </w:hyperlink>
      <w:r>
        <w:t xml:space="preserve">. Cette dernière est celle du code contracté du fichier</w:t>
      </w:r>
      <w:r>
        <w:t xml:space="preserve"> </w:t>
      </w:r>
      <w:r>
        <w:rPr>
          <w:iCs/>
          <w:i/>
        </w:rPr>
        <w:t xml:space="preserve">app.R</w:t>
      </w:r>
      <w:r>
        <w:t xml:space="preserve">. Comme vous pouvez le constater, les titres sont assez significatifs. Vous pouvez donc étendre la partie qui vous intéresse pour avoir accès au code.</w:t>
      </w:r>
      <w:r>
        <w:t xml:space="preserve"> </w:t>
      </w:r>
      <w:r>
        <w:t xml:space="preserve">Cette astuce, simple qu’elle puisse paraître, est très utile pour naviguer dans le code source sachant que le nombre de lignes est pléthoriques.</w:t>
      </w:r>
    </w:p>
    <w:tbl>
      <w:tblPr>
        <w:tblStyle w:val="Table"/>
        <w:tblW w:type="pct" w:w="5000"/>
        <w:tblLook w:firstRow="0" w:lastRow="0" w:firstColumn="0" w:lastColumn="0" w:noHBand="0" w:noVBand="0" w:val="0000"/>
        <w:jc w:val="start"/>
      </w:tblPr>
      <w:tblGrid>
        <w:gridCol w:w="7920"/>
      </w:tblGrid>
      <w:tr>
        <w:tc>
          <w:tcPr/>
          <w:bookmarkStart w:id="255" w:name="fig-app_R"/>
          <w:p>
            <w:pPr>
              <w:jc w:val="center"/>
            </w:pPr>
            <w:r>
              <w:drawing>
                <wp:inline>
                  <wp:extent cx="5334000" cy="3981285"/>
                  <wp:effectExtent b="0" l="0" r="0" t="0"/>
                  <wp:docPr descr="" title="" id="253" name="Picture"/>
                  <a:graphic>
                    <a:graphicData uri="http://schemas.openxmlformats.org/drawingml/2006/picture">
                      <pic:pic>
                        <pic:nvPicPr>
                          <pic:cNvPr descr="Rapport-PFE_files/figure-html/codes_app_R.png" id="254" name="Picture"/>
                          <pic:cNvPicPr>
                            <a:picLocks noChangeArrowheads="1" noChangeAspect="1"/>
                          </pic:cNvPicPr>
                        </pic:nvPicPr>
                        <pic:blipFill>
                          <a:blip r:embed="rId252"/>
                          <a:stretch>
                            <a:fillRect/>
                          </a:stretch>
                        </pic:blipFill>
                        <pic:spPr bwMode="auto">
                          <a:xfrm>
                            <a:off x="0" y="0"/>
                            <a:ext cx="5334000" cy="39812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Fichier app.R</w:t>
            </w:r>
          </w:p>
          <w:bookmarkEnd w:id="255"/>
        </w:tc>
      </w:tr>
    </w:tbl>
    <w:bookmarkEnd w:id="256"/>
    <w:bookmarkStart w:id="261" w:name="paramètres"/>
    <w:p>
      <w:pPr>
        <w:pStyle w:val="Heading3"/>
      </w:pPr>
      <w:r>
        <w:t xml:space="preserve">Paramètres</w:t>
      </w:r>
    </w:p>
    <w:p>
      <w:pPr>
        <w:pStyle w:val="FirstParagraph"/>
      </w:pPr>
      <w:r>
        <w:t xml:space="preserve">Cet onglet est dédié à la spécification de certains paramètres de la normes</w:t>
      </w:r>
      <w:r>
        <w:t xml:space="preserve"> </w:t>
      </w:r>
      <w:r>
        <w:rPr>
          <w:iCs/>
          <w:i/>
        </w:rPr>
        <w:t xml:space="preserve">SBR</w:t>
      </w:r>
      <w:r>
        <w:t xml:space="preserve">. Nous avons donné des valeurs par défaut puisque l’ACAPS n’a toujours pas quantifié de manière officielle ces paramètres. Dans cet onglet on trouve :</w:t>
      </w:r>
    </w:p>
    <w:p>
      <w:pPr>
        <w:numPr>
          <w:ilvl w:val="0"/>
          <w:numId w:val="1055"/>
        </w:numPr>
      </w:pPr>
      <w:r>
        <w:rPr>
          <w:bCs/>
          <w:b/>
        </w:rPr>
        <w:t xml:space="preserve">Choc de mortalité</w:t>
      </w:r>
      <w:r>
        <w:t xml:space="preserve"> </w:t>
      </w:r>
      <w:r>
        <w:t xml:space="preserve">: représente le taux de choc de mortalité que nous avons fixé à</w:t>
      </w:r>
      <w:r>
        <w:t xml:space="preserve"> </w:t>
      </w:r>
      <m:oMath>
        <m:r>
          <m:t>30</m:t>
        </m:r>
        <m:r>
          <m:rPr>
            <m:sty m:val="p"/>
          </m:rPr>
          <m:t>%</m:t>
        </m:r>
      </m:oMath>
      <w:r>
        <w:t xml:space="preserve"> </w:t>
      </w:r>
      <w:r>
        <w:t xml:space="preserve">selon les informations disponibles.</w:t>
      </w:r>
    </w:p>
    <w:p>
      <w:pPr>
        <w:numPr>
          <w:ilvl w:val="0"/>
          <w:numId w:val="1055"/>
        </w:numPr>
      </w:pPr>
      <w:r>
        <w:rPr>
          <w:bCs/>
          <w:b/>
        </w:rPr>
        <w:t xml:space="preserve">Choc de catastrophe</w:t>
      </w:r>
      <w:r>
        <w:t xml:space="preserve"> </w:t>
      </w:r>
      <w:r>
        <w:t xml:space="preserve">: taux de hausse de la mortalité due à une catastrophe naturelle. Ce taux est fixé par défaut à</w:t>
      </w:r>
      <w:r>
        <w:t xml:space="preserve"> </w:t>
      </w:r>
      <m:oMath>
        <m:r>
          <m:t>0</m:t>
        </m:r>
        <m:r>
          <m:rPr>
            <m:sty m:val="p"/>
          </m:rPr>
          <m:t>,</m:t>
        </m:r>
        <m:r>
          <m:t>2</m:t>
        </m:r>
        <m:r>
          <m:rPr>
            <m:sty m:val="p"/>
          </m:rPr>
          <m:t>%</m:t>
        </m:r>
      </m:oMath>
      <w:r>
        <w:t xml:space="preserve"> </w:t>
      </w:r>
      <w:r>
        <w:t xml:space="preserve">puisque l’ACAPS ne l’a pas encore communiqué. Par catastrophe naturelle, on sous entend une circonstance particulière telle qu’une épidémie, un tremblement de terre etc,</w:t>
      </w:r>
    </w:p>
    <w:p>
      <w:pPr>
        <w:numPr>
          <w:ilvl w:val="0"/>
          <w:numId w:val="1055"/>
        </w:numPr>
      </w:pPr>
      <w:r>
        <w:rPr>
          <w:bCs/>
          <w:b/>
        </w:rPr>
        <w:t xml:space="preserve">Probabilité de défaut</w:t>
      </w:r>
      <w:r>
        <w:t xml:space="preserve"> </w:t>
      </w:r>
      <w:r>
        <w:t xml:space="preserve">: représente la probabilité de défaut des cessionnaires. Nous avons pris la valeur de</w:t>
      </w:r>
      <w:r>
        <w:t xml:space="preserve"> </w:t>
      </w:r>
      <m:oMath>
        <m:r>
          <m:t>1</m:t>
        </m:r>
        <m:r>
          <m:rPr>
            <m:sty m:val="p"/>
          </m:rPr>
          <m:t>,</m:t>
        </m:r>
        <m:r>
          <m:t>2</m:t>
        </m:r>
        <m:r>
          <m:rPr>
            <m:sty m:val="p"/>
          </m:rPr>
          <m:t>%</m:t>
        </m:r>
      </m:oMath>
      <w:r>
        <w:t xml:space="preserve"> </w:t>
      </w:r>
      <w:r>
        <w:t xml:space="preserve">qui est la praba de défaut moyenne des réassureurs sur le marché,</w:t>
      </w:r>
    </w:p>
    <w:p>
      <w:pPr>
        <w:numPr>
          <w:ilvl w:val="0"/>
          <w:numId w:val="1055"/>
        </w:numPr>
      </w:pPr>
      <w:r>
        <w:rPr>
          <w:bCs/>
          <w:b/>
        </w:rPr>
        <w:t xml:space="preserve">Cession vie</w:t>
      </w:r>
      <w:r>
        <w:t xml:space="preserve"> </w:t>
      </w:r>
      <w:r>
        <w:t xml:space="preserve">: est le taux de cession des engagements dans le cadre de l’opération d’assurance vie. Ce paramètre dépend du traité de réassurance, autrement dit c’est une entrée définie par l’utilsateur de l’application et non par l’ACAPS. pour les données dont nous disposons, ce taux est de</w:t>
      </w:r>
      <w:r>
        <w:t xml:space="preserve"> </w:t>
      </w:r>
      <m:oMath>
        <m:r>
          <m:t>1</m:t>
        </m:r>
        <m:r>
          <m:rPr>
            <m:sty m:val="p"/>
          </m:rPr>
          <m:t>%</m:t>
        </m:r>
      </m:oMath>
      <w:r>
        <w:t xml:space="preserve">,</w:t>
      </w:r>
    </w:p>
    <w:p>
      <w:pPr>
        <w:numPr>
          <w:ilvl w:val="0"/>
          <w:numId w:val="1055"/>
        </w:numPr>
      </w:pPr>
      <w:r>
        <w:rPr>
          <w:bCs/>
          <w:b/>
        </w:rPr>
        <w:t xml:space="preserve">Cession primes non-vie</w:t>
      </w:r>
      <w:r>
        <w:t xml:space="preserve"> </w:t>
      </w:r>
      <w:r>
        <w:t xml:space="preserve">: taux de cession des primes dans l’opération d’assurance non vie qui vaut</w:t>
      </w:r>
      <w:r>
        <w:t xml:space="preserve"> </w:t>
      </w:r>
      <m:oMath>
        <m:r>
          <m:t>5</m:t>
        </m:r>
        <m:r>
          <m:rPr>
            <m:sty m:val="p"/>
          </m:rPr>
          <m:t>%</m:t>
        </m:r>
      </m:oMath>
      <w:r>
        <w:t xml:space="preserve">,</w:t>
      </w:r>
    </w:p>
    <w:p>
      <w:pPr>
        <w:numPr>
          <w:ilvl w:val="0"/>
          <w:numId w:val="1055"/>
        </w:numPr>
      </w:pPr>
      <w:r>
        <w:rPr>
          <w:bCs/>
          <w:b/>
        </w:rPr>
        <w:t xml:space="preserve">Cession sinistres non-vie</w:t>
      </w:r>
      <w:r>
        <w:t xml:space="preserve"> </w:t>
      </w:r>
      <w:r>
        <w:t xml:space="preserve">: taux de cession des sinistres dans l’opération d’assurance non vie qui vaut</w:t>
      </w:r>
      <w:r>
        <w:t xml:space="preserve"> </w:t>
      </w:r>
      <m:oMath>
        <m:r>
          <m:t>3</m:t>
        </m:r>
        <m:r>
          <m:rPr>
            <m:sty m:val="p"/>
          </m:rPr>
          <m:t>%</m:t>
        </m:r>
      </m:oMath>
      <w:r>
        <w:t xml:space="preserve">,</w:t>
      </w:r>
    </w:p>
    <w:p>
      <w:pPr>
        <w:numPr>
          <w:ilvl w:val="0"/>
          <w:numId w:val="1055"/>
        </w:numPr>
      </w:pPr>
      <w:r>
        <w:t xml:space="preserve">**Augmentation des FG* : taux d’augmentation des frais de gestions valant par défaut dans notre application</w:t>
      </w:r>
      <w:r>
        <w:t xml:space="preserve"> </w:t>
      </w:r>
      <m:oMath>
        <m:r>
          <m:t>14</m:t>
        </m:r>
        <m:r>
          <m:rPr>
            <m:sty m:val="p"/>
          </m:rPr>
          <m:t>%</m:t>
        </m:r>
      </m:oMath>
      <w:r>
        <w:t xml:space="preserve">;</w:t>
      </w:r>
    </w:p>
    <w:p>
      <w:pPr>
        <w:numPr>
          <w:ilvl w:val="0"/>
          <w:numId w:val="1055"/>
        </w:numPr>
      </w:pPr>
      <w:r>
        <w:rPr>
          <w:bCs/>
          <w:b/>
        </w:rPr>
        <w:t xml:space="preserve">Majoration des FG</w:t>
      </w:r>
      <w:r>
        <w:t xml:space="preserve"> </w:t>
      </w:r>
      <w:r>
        <w:t xml:space="preserve">: taux de majoration des frais de gestions qui correspond au taux d’augmentation annuelle pour les années de projection. Il vaut</w:t>
      </w:r>
      <w:r>
        <w:t xml:space="preserve"> </w:t>
      </w:r>
      <m:oMath>
        <m:r>
          <m:t>1</m:t>
        </m:r>
        <m:r>
          <m:rPr>
            <m:sty m:val="p"/>
          </m:rPr>
          <m:t>,</m:t>
        </m:r>
        <m:r>
          <m:t>5</m:t>
        </m:r>
        <m:r>
          <m:rPr>
            <m:sty m:val="p"/>
          </m:rPr>
          <m:t>%</m:t>
        </m:r>
      </m:oMath>
      <w:r>
        <w:t xml:space="preserve">;</w:t>
      </w:r>
    </w:p>
    <w:tbl>
      <w:tblPr>
        <w:tblStyle w:val="Table"/>
        <w:tblW w:type="pct" w:w="5000"/>
        <w:tblLook w:firstRow="0" w:lastRow="0" w:firstColumn="0" w:lastColumn="0" w:noHBand="0" w:noVBand="0" w:val="0000"/>
        <w:jc w:val="start"/>
      </w:tblPr>
      <w:tblGrid>
        <w:gridCol w:w="7920"/>
      </w:tblGrid>
      <w:tr>
        <w:tc>
          <w:tcPr/>
          <w:bookmarkStart w:id="260" w:name="fig-parametres"/>
          <w:p>
            <w:pPr>
              <w:jc w:val="center"/>
            </w:pPr>
            <w:r>
              <w:drawing>
                <wp:inline>
                  <wp:extent cx="5334000" cy="2998910"/>
                  <wp:effectExtent b="0" l="0" r="0" t="0"/>
                  <wp:docPr descr="" title="" id="258" name="Picture"/>
                  <a:graphic>
                    <a:graphicData uri="http://schemas.openxmlformats.org/drawingml/2006/picture">
                      <pic:pic>
                        <pic:nvPicPr>
                          <pic:cNvPr descr="Rapport-PFE_files/figure-html/parametres.png" id="259" name="Picture"/>
                          <pic:cNvPicPr>
                            <a:picLocks noChangeArrowheads="1" noChangeAspect="1"/>
                          </pic:cNvPicPr>
                        </pic:nvPicPr>
                        <pic:blipFill>
                          <a:blip r:embed="rId257"/>
                          <a:stretch>
                            <a:fillRect/>
                          </a:stretch>
                        </pic:blipFill>
                        <pic:spPr bwMode="auto">
                          <a:xfrm>
                            <a:off x="0" y="0"/>
                            <a:ext cx="5334000" cy="29989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Apperçu de l’onglet paramètre</w:t>
            </w:r>
          </w:p>
          <w:bookmarkEnd w:id="260"/>
        </w:tc>
      </w:tr>
    </w:tbl>
    <w:bookmarkEnd w:id="261"/>
    <w:bookmarkStart w:id="274" w:name="courbe-des-taux"/>
    <w:p>
      <w:pPr>
        <w:pStyle w:val="Heading3"/>
      </w:pPr>
      <w:r>
        <w:t xml:space="preserve">Courbe des taux</w:t>
      </w:r>
    </w:p>
    <w:p>
      <w:pPr>
        <w:pStyle w:val="FirstParagraph"/>
      </w:pPr>
      <w:r>
        <w:t xml:space="preserve">La construction de la courbe des taux zéro coupon est une étape cruciale du calcul de CSR. Nous avons inclus ce processus décrit à la</w:t>
      </w:r>
      <w:r>
        <w:t xml:space="preserve"> </w:t>
      </w:r>
      <w:hyperlink w:anchor="sec-courbe_zc">
        <w:r>
          <w:rPr>
            <w:rStyle w:val="Hyperlink"/>
          </w:rPr>
          <w:t xml:space="preserve">Section 2.1</w:t>
        </w:r>
      </w:hyperlink>
      <w:r>
        <w:t xml:space="preserve">. L’application donne la main à l’utilisateur de saisir une date de valeur, le 30 décembre 2022 pour notre étude. Cette date n’est rien d’autre que la date d’inventaire.</w:t>
      </w:r>
    </w:p>
    <w:tbl>
      <w:tblPr>
        <w:tblStyle w:val="Table"/>
        <w:tblW w:type="pct" w:w="5000"/>
        <w:tblLook w:firstRow="0" w:lastRow="0" w:firstColumn="0" w:lastColumn="0" w:noHBand="0" w:noVBand="0" w:val="0000"/>
        <w:jc w:val="start"/>
      </w:tblPr>
      <w:tblGrid>
        <w:gridCol w:w="7920"/>
      </w:tblGrid>
      <w:tr>
        <w:tc>
          <w:tcPr/>
          <w:bookmarkStart w:id="265" w:name="fig-Date_zc"/>
          <w:p>
            <w:pPr>
              <w:jc w:val="center"/>
            </w:pPr>
            <w:r>
              <w:drawing>
                <wp:inline>
                  <wp:extent cx="5334000" cy="2998910"/>
                  <wp:effectExtent b="0" l="0" r="0" t="0"/>
                  <wp:docPr descr="" title="" id="263" name="Picture"/>
                  <a:graphic>
                    <a:graphicData uri="http://schemas.openxmlformats.org/drawingml/2006/picture">
                      <pic:pic>
                        <pic:nvPicPr>
                          <pic:cNvPr descr="Rapport-PFE_files/figure-html/Date_zc.png" id="264" name="Picture"/>
                          <pic:cNvPicPr>
                            <a:picLocks noChangeArrowheads="1" noChangeAspect="1"/>
                          </pic:cNvPicPr>
                        </pic:nvPicPr>
                        <pic:blipFill>
                          <a:blip r:embed="rId262"/>
                          <a:stretch>
                            <a:fillRect/>
                          </a:stretch>
                        </pic:blipFill>
                        <pic:spPr bwMode="auto">
                          <a:xfrm>
                            <a:off x="0" y="0"/>
                            <a:ext cx="5334000" cy="29989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Selection de la date de valeur</w:t>
            </w:r>
          </w:p>
          <w:bookmarkEnd w:id="265"/>
        </w:tc>
      </w:tr>
    </w:tbl>
    <w:p>
      <w:pPr>
        <w:pStyle w:val="BodyText"/>
      </w:pPr>
      <w:r>
        <w:t xml:space="preserve">En suite, l’application se charge de télécharger automatiquement la table des taux des bons de références disponibles sur le site de la Banque Centrale BAM. Cette table est alors utilisée pour faire une interpolation afin de trouver les taux correspondant aux maturités pleines. On utilise ces derniers pour calculer d’abord les taux actuariels et par ricochet les taux zéro coupon. Dans cet onglet, on peut trouver les différentes étapes suivies pour la construction de la courbe des taux zéro coupon, du téléchargement des données au boostraping. De plus, toutes les tables sont exportables sous format pdf, excel, ou csv.</w:t>
      </w:r>
    </w:p>
    <w:tbl>
      <w:tblPr>
        <w:tblStyle w:val="Table"/>
        <w:tblW w:type="pct" w:w="5000"/>
        <w:tblLook w:firstRow="0" w:lastRow="0" w:firstColumn="0" w:lastColumn="0" w:noHBand="0" w:noVBand="0" w:val="0000"/>
        <w:jc w:val="start"/>
      </w:tblPr>
      <w:tblGrid>
        <w:gridCol w:w="7920"/>
      </w:tblGrid>
      <w:tr>
        <w:tc>
          <w:tcPr/>
          <w:bookmarkStart w:id="269" w:name="fig-tzc_app"/>
          <w:p>
            <w:pPr>
              <w:jc w:val="center"/>
            </w:pPr>
            <w:r>
              <w:drawing>
                <wp:inline>
                  <wp:extent cx="5334000" cy="2998910"/>
                  <wp:effectExtent b="0" l="0" r="0" t="0"/>
                  <wp:docPr descr="" title="" id="267" name="Picture"/>
                  <a:graphic>
                    <a:graphicData uri="http://schemas.openxmlformats.org/drawingml/2006/picture">
                      <pic:pic>
                        <pic:nvPicPr>
                          <pic:cNvPr descr="Rapport-PFE_files/figure-html/TauxZC2.png" id="268" name="Picture"/>
                          <pic:cNvPicPr>
                            <a:picLocks noChangeArrowheads="1" noChangeAspect="1"/>
                          </pic:cNvPicPr>
                        </pic:nvPicPr>
                        <pic:blipFill>
                          <a:blip r:embed="rId266"/>
                          <a:stretch>
                            <a:fillRect/>
                          </a:stretch>
                        </pic:blipFill>
                        <pic:spPr bwMode="auto">
                          <a:xfrm>
                            <a:off x="0" y="0"/>
                            <a:ext cx="5334000" cy="29989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Apperçu de la courbe des taux zéro-coupon dans l’application</w:t>
            </w:r>
          </w:p>
          <w:bookmarkEnd w:id="26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73" w:name="fig-tzc"/>
          <w:p>
            <w:pPr>
              <w:jc w:val="center"/>
            </w:pPr>
            <w:r>
              <w:drawing>
                <wp:inline>
                  <wp:extent cx="5334000" cy="1609049"/>
                  <wp:effectExtent b="0" l="0" r="0" t="0"/>
                  <wp:docPr descr="" title="" id="271" name="Picture"/>
                  <a:graphic>
                    <a:graphicData uri="http://schemas.openxmlformats.org/drawingml/2006/picture">
                      <pic:pic>
                        <pic:nvPicPr>
                          <pic:cNvPr descr="Rapport-PFE_files/figure-html/tauxZC.png" id="272" name="Picture"/>
                          <pic:cNvPicPr>
                            <a:picLocks noChangeArrowheads="1" noChangeAspect="1"/>
                          </pic:cNvPicPr>
                        </pic:nvPicPr>
                        <pic:blipFill>
                          <a:blip r:embed="rId270"/>
                          <a:stretch>
                            <a:fillRect/>
                          </a:stretch>
                        </pic:blipFill>
                        <pic:spPr bwMode="auto">
                          <a:xfrm>
                            <a:off x="0" y="0"/>
                            <a:ext cx="5334000" cy="16090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sur la courbe</w:t>
            </w:r>
          </w:p>
          <w:bookmarkEnd w:id="273"/>
        </w:tc>
      </w:tr>
    </w:tbl>
    <w:p>
      <w:pPr>
        <w:pStyle w:val="BodyText"/>
      </w:pPr>
      <w:r>
        <w:t xml:space="preserve">Une fois la courbe construite, nous allons l’utiliser dans la suite de notre application pour le calcul des tous les flux futurs actualisés dont nous aurons besoin.</w:t>
      </w:r>
    </w:p>
    <w:bookmarkEnd w:id="274"/>
    <w:bookmarkStart w:id="275" w:name="opérations-dassurance-non-vie-hors-rente"/>
    <w:p>
      <w:pPr>
        <w:pStyle w:val="Heading3"/>
      </w:pPr>
      <w:r>
        <w:t xml:space="preserve">Opérations d’assurance non-vie hors rente</w:t>
      </w:r>
    </w:p>
    <w:bookmarkEnd w:id="275"/>
    <w:bookmarkEnd w:id="276"/>
    <w:bookmarkStart w:id="279" w:name="Xec1a8240f33c78c61c9bf625a7d43ebee855295"/>
    <w:p>
      <w:pPr>
        <w:pStyle w:val="Heading2"/>
      </w:pPr>
      <w:r>
        <w:t xml:space="preserve">ANNEXE : Correspondance CORRESPONDANCE ENTRE ECHELLE DE NOTATION ET PROBABILITE DE DEFAUT</w:t>
      </w:r>
    </w:p>
    <w:bookmarkStart w:id="277" w:name="echelles-de-notation"/>
    <w:p>
      <w:pPr>
        <w:pStyle w:val="Heading3"/>
      </w:pPr>
      <w:r>
        <w:t xml:space="preserve">Echelles de notation</w:t>
      </w:r>
    </w:p>
    <w:p>
      <w:pPr>
        <w:numPr>
          <w:ilvl w:val="0"/>
          <w:numId w:val="1056"/>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57"/>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277"/>
    <w:bookmarkStart w:id="278"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278"/>
    <w:bookmarkEnd w:id="279"/>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https://www.acaps.ma/fr/l-acaps/missions</w:t>
      </w:r>
    </w:p>
  </w:footnote>
  <w:footnote w:id="25">
    <w:p>
      <w:pPr>
        <w:pStyle w:val="FootnoteText"/>
      </w:pPr>
      <w:r>
        <w:rPr>
          <w:rStyle w:val="FootnoteReference"/>
        </w:rPr>
        <w:footnoteRef/>
      </w:r>
      <w:r>
        <w:t xml:space="preserve"> </w:t>
      </w:r>
      <w:r>
        <w:t xml:space="preserve">https://www.atlas-mag.net/article/marche-africain-de-l-assurance-en-2019-chiffre-d-affaires-des-principaux-pays</w:t>
      </w:r>
    </w:p>
  </w:footnote>
  <w:footnote w:id="27">
    <w:p>
      <w:pPr>
        <w:pStyle w:val="FootnoteText"/>
      </w:pPr>
      <w:r>
        <w:rPr>
          <w:rStyle w:val="FootnoteReference"/>
        </w:rPr>
        <w:footnoteRef/>
      </w:r>
      <w:r>
        <w:t xml:space="preserve"> </w:t>
      </w:r>
      <w:r>
        <w:t xml:space="preserve">solvabilité basée sur les risques assurances maroc Acaps</w:t>
      </w:r>
    </w:p>
  </w:footnote>
  <w:footnote w:id="28">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9">
    <w:p>
      <w:pPr>
        <w:pStyle w:val="FootnoteText"/>
      </w:pPr>
      <w:r>
        <w:rPr>
          <w:rStyle w:val="FootnoteReference"/>
        </w:rPr>
        <w:footnoteRef/>
      </w:r>
      <w:r>
        <w:t xml:space="preserve"> </w:t>
      </w:r>
      <w:r>
        <w:t xml:space="preserve">ORSA : Own Risk and Solvency Assessment</w:t>
      </w:r>
    </w:p>
  </w:footnote>
  <w:footnote w:id="33">
    <w:p>
      <w:pPr>
        <w:pStyle w:val="FootnoteText"/>
      </w:pPr>
      <w:r>
        <w:rPr>
          <w:rStyle w:val="FootnoteReference"/>
        </w:rPr>
        <w:footnoteRef/>
      </w:r>
      <w:r>
        <w:t xml:space="preserve"> </w:t>
      </w:r>
      <w:hyperlink r:id="rId34">
        <w:r>
          <w:rPr>
            <w:rStyle w:val="Hyperlink"/>
          </w:rPr>
          <w:t xml:space="preserve">Ciculaire en préparation concernant le second pilier relatif à la gouvernance</w:t>
        </w:r>
      </w:hyperlink>
    </w:p>
  </w:footnote>
  <w:footnote w:id="40">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65">
    <w:p>
      <w:pPr>
        <w:pStyle w:val="FootnoteText"/>
      </w:pPr>
      <w:r>
        <w:rPr>
          <w:rStyle w:val="FootnoteReference"/>
        </w:rPr>
        <w:footnoteRef/>
      </w:r>
      <w:r>
        <w:t xml:space="preserve"> </w:t>
      </w:r>
      <w:r>
        <w:t xml:space="preserve">Alonso Peña, Ph.D, C++ For Quantitative Finance</w:t>
      </w:r>
    </w:p>
  </w:footnote>
  <w:footnote w:id="82">
    <w:p>
      <w:pPr>
        <w:pStyle w:val="FootnoteText"/>
      </w:pPr>
      <w:r>
        <w:rPr>
          <w:rStyle w:val="FootnoteReference"/>
        </w:rPr>
        <w:footnoteRef/>
      </w:r>
      <w:r>
        <w:t xml:space="preserve"> </w:t>
      </w:r>
      <w:hyperlink r:id="rId83">
        <w:r>
          <w:rPr>
            <w:rStyle w:val="Hyperlink"/>
          </w:rPr>
          <w:t xml:space="preserve">CHapitre: Application</w:t>
        </w:r>
      </w:hyperlink>
    </w:p>
  </w:footnote>
  <w:footnote w:id="98">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146">
    <w:p>
      <w:pPr>
        <w:pStyle w:val="FootnoteText"/>
      </w:pPr>
      <w:r>
        <w:rPr>
          <w:rStyle w:val="FootnoteReference"/>
        </w:rPr>
        <w:footnoteRef/>
      </w:r>
      <w:r>
        <w:t xml:space="preserve"> </w:t>
      </w:r>
      <w:r>
        <w:t xml:space="preserve">The Actuary and IBNR publié en 1972</w:t>
      </w:r>
    </w:p>
  </w:footnote>
  <w:footnote w:id="147">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image" Id="rId30" Target="media/rId30.png" /><Relationship Type="http://schemas.openxmlformats.org/officeDocument/2006/relationships/image" Id="rId70" Target="media/rId70.png" /><Relationship Type="http://schemas.openxmlformats.org/officeDocument/2006/relationships/image" Id="rId41" Target="media/rId41.png" /><Relationship Type="http://schemas.openxmlformats.org/officeDocument/2006/relationships/image" Id="rId262" Target="media/rId262.png" /><Relationship Type="http://schemas.openxmlformats.org/officeDocument/2006/relationships/image" Id="rId78" Target="media/rId78.png" /><Relationship Type="http://schemas.openxmlformats.org/officeDocument/2006/relationships/image" Id="rId246" Target="media/rId246.png" /><Relationship Type="http://schemas.openxmlformats.org/officeDocument/2006/relationships/image" Id="rId84" Target="media/rId84.png" /><Relationship Type="http://schemas.openxmlformats.org/officeDocument/2006/relationships/image" Id="rId181" Target="media/rId181.png" /><Relationship Type="http://schemas.openxmlformats.org/officeDocument/2006/relationships/image" Id="rId74" Target="media/rId74.png" /><Relationship Type="http://schemas.openxmlformats.org/officeDocument/2006/relationships/image" Id="rId266" Target="media/rId266.png" /><Relationship Type="http://schemas.openxmlformats.org/officeDocument/2006/relationships/image" Id="rId252" Target="media/rId252.png" /><Relationship Type="http://schemas.openxmlformats.org/officeDocument/2006/relationships/image" Id="rId257" Target="media/rId257.png" /><Relationship Type="http://schemas.openxmlformats.org/officeDocument/2006/relationships/image" Id="rId35" Target="media/rId35.png" /><Relationship Type="http://schemas.openxmlformats.org/officeDocument/2006/relationships/image" Id="rId270" Target="media/rId270.png" /><Relationship Type="http://schemas.openxmlformats.org/officeDocument/2006/relationships/hyperlink" Id="rId83" Target="" TargetMode="External" /><Relationship Type="http://schemas.openxmlformats.org/officeDocument/2006/relationships/hyperlink" Id="rId34" Target="https://fnh.ma/article/actualite-financiere-maroc/assurances-sbr-un-projet-de-circulaire-en-preparation" TargetMode="External" /><Relationship Type="http://schemas.openxmlformats.org/officeDocument/2006/relationships/hyperlink" Id="rId251" Target="https://rinterface.github.io/bs4Dash/index.html" TargetMode="External" /><Relationship Type="http://schemas.openxmlformats.org/officeDocument/2006/relationships/hyperlink" Id="rId250" Target="https://shiny.posit.co/" TargetMode="External" /><Relationship Type="http://schemas.openxmlformats.org/officeDocument/2006/relationships/hyperlink" Id="rId24" Target="https://www.atlas-mag.net/article/marche-africain-de-l-assurance-en-2019-chiffre-d-affaires-des-principaux-pays" TargetMode="External" /><Relationship Type="http://schemas.openxmlformats.org/officeDocument/2006/relationships/hyperlink" Id="rId47"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83" Target="" TargetMode="External" /><Relationship Type="http://schemas.openxmlformats.org/officeDocument/2006/relationships/hyperlink" Id="rId34" Target="https://fnh.ma/article/actualite-financiere-maroc/assurances-sbr-un-projet-de-circulaire-en-preparation" TargetMode="External" /><Relationship Type="http://schemas.openxmlformats.org/officeDocument/2006/relationships/hyperlink" Id="rId251" Target="https://rinterface.github.io/bs4Dash/index.html" TargetMode="External" /><Relationship Type="http://schemas.openxmlformats.org/officeDocument/2006/relationships/hyperlink" Id="rId250" Target="https://shiny.posit.co/" TargetMode="External" /><Relationship Type="http://schemas.openxmlformats.org/officeDocument/2006/relationships/hyperlink" Id="rId24" Target="https://www.atlas-mag.net/article/marche-africain-de-l-assurance-en-2019-chiffre-d-affaires-des-principaux-pays" TargetMode="External" /><Relationship Type="http://schemas.openxmlformats.org/officeDocument/2006/relationships/hyperlink" Id="rId47"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2023-06-12T16:55:52Z</dcterms:created>
  <dcterms:modified xsi:type="dcterms:W3CDTF">2023-06-12T16:55:52Z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2</vt:lpwstr>
  </property>
  <property fmtid="{D5CDD505-2E9C-101B-9397-08002B2CF9AE}" pid="10" name="toc-title">
    <vt:lpwstr>Table of contents</vt:lpwstr>
  </property>
</Properties>
</file>