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88.png" ContentType="image/png"/>
  <Override PartName="/word/media/rId3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34"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Pays</w:t>
            </w:r>
          </w:p>
        </w:tc>
        <w:tc>
          <w:tcPr/>
          <w:p>
            <w:pPr>
              <w:pStyle w:val="Compact"/>
              <w:jc w:val="left"/>
            </w:pPr>
            <w:r>
              <w:t xml:space="preserve">2002</w:t>
            </w:r>
          </w:p>
        </w:tc>
        <w:tc>
          <w:tcPr/>
          <w:p>
            <w:pPr>
              <w:pStyle w:val="Compact"/>
              <w:jc w:val="left"/>
            </w:pPr>
            <w:r>
              <w:t xml:space="preserve">2006</w:t>
            </w:r>
          </w:p>
        </w:tc>
        <w:tc>
          <w:tcPr/>
          <w:p>
            <w:pPr>
              <w:pStyle w:val="Compact"/>
              <w:jc w:val="left"/>
            </w:pPr>
            <w:r>
              <w:t xml:space="preserve">2010</w:t>
            </w:r>
          </w:p>
        </w:tc>
        <w:tc>
          <w:tcPr/>
          <w:p>
            <w:pPr>
              <w:pStyle w:val="Compact"/>
              <w:jc w:val="left"/>
            </w:pPr>
            <w:r>
              <w:t xml:space="preserve">2014</w:t>
            </w:r>
          </w:p>
        </w:tc>
        <w:tc>
          <w:tcPr/>
          <w:p>
            <w:pPr>
              <w:pStyle w:val="Compact"/>
              <w:jc w:val="left"/>
            </w:pPr>
            <w:r>
              <w:t xml:space="preserve">2018</w:t>
            </w:r>
          </w:p>
        </w:tc>
        <w:tc>
          <w:tcPr/>
          <w:p>
            <w:pPr>
              <w:pStyle w:val="Compact"/>
              <w:jc w:val="left"/>
            </w:pPr>
            <w:r>
              <w:t xml:space="preserve">2019</w:t>
            </w:r>
          </w:p>
        </w:tc>
        <w:tc>
          <w:tcPr/>
          <w:p>
            <w:pPr>
              <w:pStyle w:val="Compact"/>
              <w:jc w:val="left"/>
            </w:pPr>
            <w:r>
              <w:t xml:space="preserve">2020</w:t>
            </w:r>
          </w:p>
        </w:tc>
        <w:tc>
          <w:tcPr/>
          <w:p>
            <w:pPr>
              <w:pStyle w:val="Compact"/>
              <w:jc w:val="left"/>
            </w:pPr>
            <w:r>
              <w:t xml:space="preserve">2021</w:t>
            </w:r>
          </w:p>
        </w:tc>
        <w:tc>
          <w:tcPr/>
          <w:p>
            <w:pPr>
              <w:pStyle w:val="Compact"/>
              <w:jc w:val="left"/>
            </w:pPr>
            <w:r>
              <w:t xml:space="preserve">Evolution 2002/2021</w:t>
            </w:r>
          </w:p>
        </w:tc>
      </w:tr>
      <w:tr>
        <w:tc>
          <w:tcPr/>
          <w:p>
            <w:pPr>
              <w:pStyle w:val="Compact"/>
              <w:jc w:val="left"/>
            </w:pPr>
            <w:r>
              <w:t xml:space="preserve">Afrique du sud</w:t>
            </w:r>
          </w:p>
        </w:tc>
        <w:tc>
          <w:tcPr/>
          <w:p>
            <w:pPr>
              <w:pStyle w:val="Compact"/>
              <w:jc w:val="left"/>
            </w:pPr>
            <w:r>
              <w:t xml:space="preserve">19 575</w:t>
            </w:r>
          </w:p>
        </w:tc>
        <w:tc>
          <w:tcPr/>
          <w:p>
            <w:pPr>
              <w:pStyle w:val="Compact"/>
              <w:jc w:val="left"/>
            </w:pPr>
            <w:r>
              <w:t xml:space="preserve">40 743</w:t>
            </w:r>
          </w:p>
        </w:tc>
        <w:tc>
          <w:tcPr/>
          <w:p>
            <w:pPr>
              <w:pStyle w:val="Compact"/>
              <w:jc w:val="left"/>
            </w:pPr>
            <w:r>
              <w:t xml:space="preserve">48 575</w:t>
            </w:r>
          </w:p>
        </w:tc>
        <w:tc>
          <w:tcPr/>
          <w:p>
            <w:pPr>
              <w:pStyle w:val="Compact"/>
              <w:jc w:val="left"/>
            </w:pPr>
            <w:r>
              <w:t xml:space="preserve">50 502</w:t>
            </w:r>
          </w:p>
        </w:tc>
        <w:tc>
          <w:tcPr/>
          <w:p>
            <w:pPr>
              <w:pStyle w:val="Compact"/>
              <w:jc w:val="left"/>
            </w:pPr>
            <w:r>
              <w:t xml:space="preserve">49 002</w:t>
            </w:r>
          </w:p>
        </w:tc>
        <w:tc>
          <w:tcPr/>
          <w:p>
            <w:pPr>
              <w:pStyle w:val="Compact"/>
              <w:jc w:val="left"/>
            </w:pPr>
            <w:r>
              <w:t xml:space="preserve">46 421</w:t>
            </w:r>
          </w:p>
        </w:tc>
        <w:tc>
          <w:tcPr/>
          <w:p>
            <w:pPr>
              <w:pStyle w:val="Compact"/>
              <w:jc w:val="left"/>
            </w:pPr>
            <w:r>
              <w:t xml:space="preserve">41 110</w:t>
            </w:r>
          </w:p>
        </w:tc>
        <w:tc>
          <w:tcPr/>
          <w:p>
            <w:pPr>
              <w:pStyle w:val="Compact"/>
              <w:jc w:val="left"/>
            </w:pPr>
            <w:r>
              <w:t xml:space="preserve">51 215</w:t>
            </w:r>
          </w:p>
        </w:tc>
        <w:tc>
          <w:tcPr/>
          <w:p>
            <w:pPr>
              <w:pStyle w:val="Compact"/>
              <w:jc w:val="left"/>
            </w:pPr>
            <w:r>
              <w:t xml:space="preserve">162%</w:t>
            </w:r>
          </w:p>
        </w:tc>
      </w:tr>
      <w:tr>
        <w:tc>
          <w:tcPr/>
          <w:p>
            <w:pPr>
              <w:pStyle w:val="Compact"/>
              <w:jc w:val="left"/>
            </w:pPr>
            <w:r>
              <w:t xml:space="preserve">Kenya</w:t>
            </w:r>
          </w:p>
        </w:tc>
        <w:tc>
          <w:tcPr/>
          <w:p>
            <w:pPr>
              <w:pStyle w:val="Compact"/>
              <w:jc w:val="left"/>
            </w:pPr>
            <w:r>
              <w:t xml:space="preserve">369</w:t>
            </w:r>
          </w:p>
        </w:tc>
        <w:tc>
          <w:tcPr/>
          <w:p>
            <w:pPr>
              <w:pStyle w:val="Compact"/>
              <w:jc w:val="left"/>
            </w:pPr>
            <w:r>
              <w:t xml:space="preserve">575</w:t>
            </w:r>
          </w:p>
        </w:tc>
        <w:tc>
          <w:tcPr/>
          <w:p>
            <w:pPr>
              <w:pStyle w:val="Compact"/>
              <w:jc w:val="left"/>
            </w:pPr>
            <w:r>
              <w:t xml:space="preserve">998</w:t>
            </w:r>
          </w:p>
        </w:tc>
        <w:tc>
          <w:tcPr/>
          <w:p>
            <w:pPr>
              <w:pStyle w:val="Compact"/>
              <w:jc w:val="left"/>
            </w:pPr>
            <w:r>
              <w:t xml:space="preserve">1 766</w:t>
            </w:r>
          </w:p>
        </w:tc>
        <w:tc>
          <w:tcPr/>
          <w:p>
            <w:pPr>
              <w:pStyle w:val="Compact"/>
              <w:jc w:val="left"/>
            </w:pPr>
            <w:r>
              <w:t xml:space="preserve">2 098</w:t>
            </w:r>
          </w:p>
        </w:tc>
        <w:tc>
          <w:tcPr/>
          <w:p>
            <w:pPr>
              <w:pStyle w:val="Compact"/>
              <w:jc w:val="left"/>
            </w:pPr>
            <w:r>
              <w:t xml:space="preserve">2 229</w:t>
            </w:r>
          </w:p>
        </w:tc>
        <w:tc>
          <w:tcPr/>
          <w:p>
            <w:pPr>
              <w:pStyle w:val="Compact"/>
              <w:jc w:val="left"/>
            </w:pPr>
            <w:r>
              <w:t xml:space="preserve">2 120</w:t>
            </w:r>
          </w:p>
        </w:tc>
        <w:tc>
          <w:tcPr/>
          <w:p>
            <w:pPr>
              <w:pStyle w:val="Compact"/>
              <w:jc w:val="left"/>
            </w:pPr>
            <w:r>
              <w:t xml:space="preserve">2 424</w:t>
            </w:r>
          </w:p>
        </w:tc>
        <w:tc>
          <w:tcPr/>
          <w:p>
            <w:pPr>
              <w:pStyle w:val="Compact"/>
              <w:jc w:val="left"/>
            </w:pPr>
            <w:r>
              <w:t xml:space="preserve">557%</w:t>
            </w:r>
          </w:p>
        </w:tc>
      </w:tr>
      <w:tr>
        <w:tc>
          <w:tcPr/>
          <w:p>
            <w:pPr>
              <w:pStyle w:val="Compact"/>
              <w:jc w:val="left"/>
            </w:pPr>
            <w:r>
              <w:t xml:space="preserve">Nigéria</w:t>
            </w:r>
          </w:p>
        </w:tc>
        <w:tc>
          <w:tcPr/>
          <w:p>
            <w:pPr>
              <w:pStyle w:val="Compact"/>
              <w:jc w:val="left"/>
            </w:pPr>
            <w:r>
              <w:t xml:space="preserve">388</w:t>
            </w:r>
          </w:p>
        </w:tc>
        <w:tc>
          <w:tcPr/>
          <w:p>
            <w:pPr>
              <w:pStyle w:val="Compact"/>
              <w:jc w:val="left"/>
            </w:pPr>
            <w:r>
              <w:t xml:space="preserve">712</w:t>
            </w:r>
          </w:p>
        </w:tc>
        <w:tc>
          <w:tcPr/>
          <w:p>
            <w:pPr>
              <w:pStyle w:val="Compact"/>
              <w:jc w:val="left"/>
            </w:pPr>
            <w:r>
              <w:t xml:space="preserve">1 340</w:t>
            </w:r>
          </w:p>
        </w:tc>
        <w:tc>
          <w:tcPr/>
          <w:p>
            <w:pPr>
              <w:pStyle w:val="Compact"/>
              <w:jc w:val="left"/>
            </w:pPr>
            <w:r>
              <w:t xml:space="preserve">1 792</w:t>
            </w:r>
          </w:p>
        </w:tc>
        <w:tc>
          <w:tcPr/>
          <w:p>
            <w:pPr>
              <w:pStyle w:val="Compact"/>
              <w:jc w:val="left"/>
            </w:pPr>
            <w:r>
              <w:t xml:space="preserve">1 168</w:t>
            </w:r>
          </w:p>
        </w:tc>
        <w:tc>
          <w:tcPr/>
          <w:p>
            <w:pPr>
              <w:pStyle w:val="Compact"/>
              <w:jc w:val="left"/>
            </w:pPr>
            <w:r>
              <w:t xml:space="preserve">1 393</w:t>
            </w:r>
          </w:p>
        </w:tc>
        <w:tc>
          <w:tcPr/>
          <w:p>
            <w:pPr>
              <w:pStyle w:val="Compact"/>
              <w:jc w:val="left"/>
            </w:pPr>
            <w:r>
              <w:t xml:space="preserve">1 213</w:t>
            </w:r>
          </w:p>
        </w:tc>
        <w:tc>
          <w:tcPr/>
          <w:p>
            <w:pPr>
              <w:pStyle w:val="Compact"/>
              <w:jc w:val="left"/>
            </w:pPr>
            <w:r>
              <w:t xml:space="preserve">1 581</w:t>
            </w:r>
          </w:p>
        </w:tc>
        <w:tc>
          <w:tcPr/>
          <w:p>
            <w:pPr>
              <w:pStyle w:val="Compact"/>
              <w:jc w:val="left"/>
            </w:pPr>
            <w:r>
              <w:t xml:space="preserve">307%</w:t>
            </w:r>
          </w:p>
        </w:tc>
      </w:tr>
      <w:tr>
        <w:tc>
          <w:tcPr/>
          <w:p>
            <w:pPr>
              <w:pStyle w:val="Compact"/>
              <w:jc w:val="left"/>
            </w:pPr>
            <w:r>
              <w:t xml:space="preserve">Namibie</w:t>
            </w:r>
          </w:p>
        </w:tc>
        <w:tc>
          <w:tcPr/>
          <w:p>
            <w:pPr>
              <w:pStyle w:val="Compact"/>
              <w:jc w:val="left"/>
            </w:pPr>
            <w:r>
              <w:t xml:space="preserve">321</w:t>
            </w:r>
          </w:p>
        </w:tc>
        <w:tc>
          <w:tcPr/>
          <w:p>
            <w:pPr>
              <w:pStyle w:val="Compact"/>
              <w:jc w:val="left"/>
            </w:pPr>
            <w:r>
              <w:t xml:space="preserve">563</w:t>
            </w:r>
          </w:p>
        </w:tc>
        <w:tc>
          <w:tcPr/>
          <w:p>
            <w:pPr>
              <w:pStyle w:val="Compact"/>
              <w:jc w:val="left"/>
            </w:pPr>
            <w:r>
              <w:t xml:space="preserve">887</w:t>
            </w:r>
          </w:p>
        </w:tc>
        <w:tc>
          <w:tcPr/>
          <w:p>
            <w:pPr>
              <w:pStyle w:val="Compact"/>
              <w:jc w:val="left"/>
            </w:pPr>
            <w:r>
              <w:t xml:space="preserve">995</w:t>
            </w:r>
          </w:p>
        </w:tc>
        <w:tc>
          <w:tcPr/>
          <w:p>
            <w:pPr>
              <w:pStyle w:val="Compact"/>
              <w:jc w:val="left"/>
            </w:pPr>
            <w:r>
              <w:t xml:space="preserve">1 026</w:t>
            </w:r>
          </w:p>
        </w:tc>
        <w:tc>
          <w:tcPr/>
          <w:p>
            <w:pPr>
              <w:pStyle w:val="Compact"/>
              <w:jc w:val="left"/>
            </w:pPr>
            <w:r>
              <w:t xml:space="preserve">1 305</w:t>
            </w:r>
          </w:p>
        </w:tc>
        <w:tc>
          <w:tcPr/>
          <w:p>
            <w:pPr>
              <w:pStyle w:val="Compact"/>
              <w:jc w:val="left"/>
            </w:pPr>
            <w:r>
              <w:t xml:space="preserve">788</w:t>
            </w:r>
          </w:p>
        </w:tc>
        <w:tc>
          <w:tcPr/>
          <w:p>
            <w:pPr>
              <w:pStyle w:val="Compact"/>
              <w:jc w:val="left"/>
            </w:pPr>
            <w:r>
              <w:t xml:space="preserve">867</w:t>
            </w:r>
          </w:p>
        </w:tc>
        <w:tc>
          <w:tcPr/>
          <w:p>
            <w:pPr>
              <w:pStyle w:val="Compact"/>
              <w:jc w:val="left"/>
            </w:pPr>
            <w:r>
              <w:t xml:space="preserve">170%</w:t>
            </w:r>
          </w:p>
        </w:tc>
      </w:tr>
      <w:tr>
        <w:tc>
          <w:tcPr/>
          <w:p>
            <w:pPr>
              <w:pStyle w:val="Compact"/>
              <w:jc w:val="left"/>
            </w:pPr>
            <w:r>
              <w:t xml:space="preserve">Côte d'Ivoire</w:t>
            </w:r>
          </w:p>
        </w:tc>
        <w:tc>
          <w:tcPr/>
          <w:p>
            <w:pPr>
              <w:pStyle w:val="Compact"/>
              <w:jc w:val="left"/>
            </w:pPr>
            <w:r>
              <w:t xml:space="preserve">177</w:t>
            </w:r>
          </w:p>
        </w:tc>
        <w:tc>
          <w:tcPr/>
          <w:p>
            <w:pPr>
              <w:pStyle w:val="Compact"/>
              <w:jc w:val="left"/>
            </w:pPr>
            <w:r>
              <w:t xml:space="preserve">288</w:t>
            </w:r>
          </w:p>
        </w:tc>
        <w:tc>
          <w:tcPr/>
          <w:p>
            <w:pPr>
              <w:pStyle w:val="Compact"/>
              <w:jc w:val="left"/>
            </w:pPr>
            <w:r>
              <w:t xml:space="preserve">398</w:t>
            </w:r>
          </w:p>
        </w:tc>
        <w:tc>
          <w:tcPr/>
          <w:p>
            <w:pPr>
              <w:pStyle w:val="Compact"/>
              <w:jc w:val="left"/>
            </w:pPr>
            <w:r>
              <w:t xml:space="preserve">457</w:t>
            </w:r>
          </w:p>
        </w:tc>
        <w:tc>
          <w:tcPr/>
          <w:p>
            <w:pPr>
              <w:pStyle w:val="Compact"/>
              <w:jc w:val="left"/>
            </w:pPr>
            <w:r>
              <w:t xml:space="preserve">629</w:t>
            </w:r>
          </w:p>
        </w:tc>
        <w:tc>
          <w:tcPr/>
          <w:p>
            <w:pPr>
              <w:pStyle w:val="Compact"/>
              <w:jc w:val="left"/>
            </w:pPr>
            <w:r>
              <w:t xml:space="preserve">671</w:t>
            </w:r>
          </w:p>
        </w:tc>
        <w:tc>
          <w:tcPr/>
          <w:p>
            <w:pPr>
              <w:pStyle w:val="Compact"/>
              <w:jc w:val="left"/>
            </w:pPr>
            <w:r>
              <w:t xml:space="preserve">778</w:t>
            </w:r>
          </w:p>
        </w:tc>
        <w:tc>
          <w:tcPr/>
          <w:p>
            <w:pPr>
              <w:pStyle w:val="Compact"/>
              <w:jc w:val="left"/>
            </w:pPr>
            <w:r>
              <w:t xml:space="preserve">806</w:t>
            </w:r>
          </w:p>
        </w:tc>
        <w:tc>
          <w:tcPr/>
          <w:p>
            <w:pPr>
              <w:pStyle w:val="Compact"/>
              <w:jc w:val="left"/>
            </w:pPr>
            <w:r>
              <w:t xml:space="preserve">355%</w:t>
            </w:r>
          </w:p>
        </w:tc>
      </w:tr>
      <w:tr>
        <w:tc>
          <w:tcPr/>
          <w:p>
            <w:pPr>
              <w:pStyle w:val="Compact"/>
              <w:jc w:val="left"/>
            </w:pPr>
            <w:r>
              <w:t xml:space="preserve">Ghana (1)</w:t>
            </w:r>
          </w:p>
        </w:tc>
        <w:tc>
          <w:tcPr/>
          <w:p>
            <w:pPr>
              <w:pStyle w:val="Compact"/>
              <w:jc w:val="left"/>
            </w:pPr>
            <w:r>
              <w:t xml:space="preserve">-</w:t>
            </w:r>
          </w:p>
        </w:tc>
        <w:tc>
          <w:tcPr/>
          <w:p>
            <w:pPr>
              <w:pStyle w:val="Compact"/>
              <w:jc w:val="left"/>
            </w:pPr>
            <w:r>
              <w:t xml:space="preserve">165</w:t>
            </w:r>
          </w:p>
        </w:tc>
        <w:tc>
          <w:tcPr/>
          <w:p>
            <w:pPr>
              <w:pStyle w:val="Compact"/>
              <w:jc w:val="left"/>
            </w:pPr>
            <w:r>
              <w:t xml:space="preserve">306</w:t>
            </w:r>
          </w:p>
        </w:tc>
        <w:tc>
          <w:tcPr/>
          <w:p>
            <w:pPr>
              <w:pStyle w:val="Compact"/>
              <w:jc w:val="left"/>
            </w:pPr>
            <w:r>
              <w:t xml:space="preserve">385</w:t>
            </w:r>
          </w:p>
        </w:tc>
        <w:tc>
          <w:tcPr/>
          <w:p>
            <w:pPr>
              <w:pStyle w:val="Compact"/>
              <w:jc w:val="left"/>
            </w:pPr>
            <w:r>
              <w:t xml:space="preserve">605</w:t>
            </w:r>
          </w:p>
        </w:tc>
        <w:tc>
          <w:tcPr/>
          <w:p>
            <w:pPr>
              <w:pStyle w:val="Compact"/>
              <w:jc w:val="left"/>
            </w:pPr>
            <w:r>
              <w:t xml:space="preserve">610</w:t>
            </w:r>
          </w:p>
        </w:tc>
        <w:tc>
          <w:tcPr/>
          <w:p>
            <w:pPr>
              <w:pStyle w:val="Compact"/>
              <w:jc w:val="left"/>
            </w:pPr>
            <w:r>
              <w:t xml:space="preserve">669</w:t>
            </w:r>
          </w:p>
        </w:tc>
        <w:tc>
          <w:tcPr/>
          <w:p>
            <w:pPr>
              <w:pStyle w:val="Compact"/>
              <w:jc w:val="left"/>
            </w:pPr>
            <w:r>
              <w:t xml:space="preserve">789</w:t>
            </w:r>
          </w:p>
        </w:tc>
        <w:tc>
          <w:tcPr/>
          <w:p>
            <w:pPr>
              <w:pStyle w:val="Compact"/>
              <w:jc w:val="left"/>
            </w:pPr>
            <w:r>
              <w:t xml:space="preserve">862%</w:t>
            </w:r>
          </w:p>
        </w:tc>
      </w:tr>
      <w:tr>
        <w:tc>
          <w:tcPr/>
          <w:p>
            <w:pPr>
              <w:pStyle w:val="Compact"/>
              <w:jc w:val="left"/>
            </w:pPr>
            <w:r>
              <w:t xml:space="preserve">Maurice</w:t>
            </w:r>
          </w:p>
        </w:tc>
        <w:tc>
          <w:tcPr/>
          <w:p>
            <w:pPr>
              <w:pStyle w:val="Compact"/>
              <w:jc w:val="left"/>
            </w:pPr>
            <w:r>
              <w:t xml:space="preserve">207</w:t>
            </w:r>
          </w:p>
        </w:tc>
        <w:tc>
          <w:tcPr/>
          <w:p>
            <w:pPr>
              <w:pStyle w:val="Compact"/>
              <w:jc w:val="left"/>
            </w:pPr>
            <w:r>
              <w:t xml:space="preserve">318</w:t>
            </w:r>
          </w:p>
        </w:tc>
        <w:tc>
          <w:tcPr/>
          <w:p>
            <w:pPr>
              <w:pStyle w:val="Compact"/>
              <w:jc w:val="left"/>
            </w:pPr>
            <w:r>
              <w:t xml:space="preserve">508</w:t>
            </w:r>
          </w:p>
        </w:tc>
        <w:tc>
          <w:tcPr/>
          <w:p>
            <w:pPr>
              <w:pStyle w:val="Compact"/>
              <w:jc w:val="left"/>
            </w:pPr>
            <w:r>
              <w:t xml:space="preserve">779</w:t>
            </w:r>
          </w:p>
        </w:tc>
        <w:tc>
          <w:tcPr/>
          <w:p>
            <w:pPr>
              <w:pStyle w:val="Compact"/>
              <w:jc w:val="left"/>
            </w:pPr>
            <w:r>
              <w:t xml:space="preserve">627</w:t>
            </w:r>
          </w:p>
        </w:tc>
        <w:tc>
          <w:tcPr/>
          <w:p>
            <w:pPr>
              <w:pStyle w:val="Compact"/>
              <w:jc w:val="left"/>
            </w:pPr>
            <w:r>
              <w:t xml:space="preserve">516</w:t>
            </w:r>
          </w:p>
        </w:tc>
        <w:tc>
          <w:tcPr/>
          <w:p>
            <w:pPr>
              <w:pStyle w:val="Compact"/>
              <w:jc w:val="left"/>
            </w:pPr>
            <w:r>
              <w:t xml:space="preserve">533</w:t>
            </w:r>
          </w:p>
        </w:tc>
        <w:tc>
          <w:tcPr/>
          <w:p>
            <w:pPr>
              <w:pStyle w:val="Compact"/>
              <w:jc w:val="left"/>
            </w:pPr>
            <w:r>
              <w:t xml:space="preserve">523</w:t>
            </w:r>
          </w:p>
        </w:tc>
        <w:tc>
          <w:tcPr/>
          <w:p>
            <w:pPr>
              <w:pStyle w:val="Compact"/>
              <w:jc w:val="left"/>
            </w:pPr>
            <w:r>
              <w:t xml:space="preserve">153%</w:t>
            </w:r>
          </w:p>
        </w:tc>
      </w:tr>
      <w:tr>
        <w:tc>
          <w:tcPr/>
          <w:p>
            <w:pPr>
              <w:pStyle w:val="Compact"/>
              <w:jc w:val="left"/>
            </w:pPr>
            <w:r>
              <w:t xml:space="preserve">Angola</w:t>
            </w:r>
          </w:p>
        </w:tc>
        <w:tc>
          <w:tcPr/>
          <w:p>
            <w:pPr>
              <w:pStyle w:val="Compact"/>
              <w:jc w:val="left"/>
            </w:pPr>
            <w:r>
              <w:t xml:space="preserve">129</w:t>
            </w:r>
          </w:p>
        </w:tc>
        <w:tc>
          <w:tcPr/>
          <w:p>
            <w:pPr>
              <w:pStyle w:val="Compact"/>
              <w:jc w:val="left"/>
            </w:pPr>
            <w:r>
              <w:t xml:space="preserve">680</w:t>
            </w:r>
          </w:p>
        </w:tc>
        <w:tc>
          <w:tcPr/>
          <w:p>
            <w:pPr>
              <w:pStyle w:val="Compact"/>
              <w:jc w:val="left"/>
            </w:pPr>
            <w:r>
              <w:t xml:space="preserve">828</w:t>
            </w:r>
          </w:p>
        </w:tc>
        <w:tc>
          <w:tcPr/>
          <w:p>
            <w:pPr>
              <w:pStyle w:val="Compact"/>
              <w:jc w:val="left"/>
            </w:pPr>
            <w:r>
              <w:t xml:space="preserve">1 055</w:t>
            </w:r>
          </w:p>
        </w:tc>
        <w:tc>
          <w:tcPr/>
          <w:p>
            <w:pPr>
              <w:pStyle w:val="Compact"/>
              <w:jc w:val="left"/>
            </w:pPr>
            <w:r>
              <w:t xml:space="preserve">450</w:t>
            </w:r>
          </w:p>
        </w:tc>
        <w:tc>
          <w:tcPr/>
          <w:p>
            <w:pPr>
              <w:pStyle w:val="Compact"/>
              <w:jc w:val="left"/>
            </w:pPr>
            <w:r>
              <w:t xml:space="preserve">374</w:t>
            </w:r>
          </w:p>
        </w:tc>
        <w:tc>
          <w:tcPr/>
          <w:p>
            <w:pPr>
              <w:pStyle w:val="Compact"/>
              <w:jc w:val="left"/>
            </w:pPr>
            <w:r>
              <w:t xml:space="preserve">338</w:t>
            </w:r>
          </w:p>
        </w:tc>
        <w:tc>
          <w:tcPr/>
          <w:p>
            <w:pPr>
              <w:pStyle w:val="Compact"/>
              <w:jc w:val="left"/>
            </w:pPr>
            <w:r>
              <w:t xml:space="preserve">494</w:t>
            </w:r>
          </w:p>
        </w:tc>
        <w:tc>
          <w:tcPr/>
          <w:p>
            <w:pPr>
              <w:pStyle w:val="Compact"/>
              <w:jc w:val="left"/>
            </w:pPr>
            <w:r>
              <w:t xml:space="preserve">283%</w:t>
            </w:r>
          </w:p>
        </w:tc>
      </w:tr>
      <w:tr>
        <w:tc>
          <w:tcPr/>
          <w:p>
            <w:pPr>
              <w:pStyle w:val="Compact"/>
              <w:jc w:val="left"/>
            </w:pPr>
            <w:r>
              <w:t xml:space="preserve">Autres pays</w:t>
            </w:r>
          </w:p>
        </w:tc>
        <w:tc>
          <w:tcPr/>
          <w:p>
            <w:pPr>
              <w:pStyle w:val="Compact"/>
              <w:jc w:val="left"/>
            </w:pPr>
            <w:r>
              <w:t xml:space="preserve">1 278</w:t>
            </w:r>
          </w:p>
        </w:tc>
        <w:tc>
          <w:tcPr/>
          <w:p>
            <w:pPr>
              <w:pStyle w:val="Compact"/>
              <w:jc w:val="left"/>
            </w:pPr>
            <w:r>
              <w:t xml:space="preserve">2 019</w:t>
            </w:r>
          </w:p>
        </w:tc>
        <w:tc>
          <w:tcPr/>
          <w:p>
            <w:pPr>
              <w:pStyle w:val="Compact"/>
              <w:jc w:val="left"/>
            </w:pPr>
            <w:r>
              <w:t xml:space="preserve">3 045</w:t>
            </w:r>
          </w:p>
        </w:tc>
        <w:tc>
          <w:tcPr/>
          <w:p>
            <w:pPr>
              <w:pStyle w:val="Compact"/>
              <w:jc w:val="left"/>
            </w:pPr>
            <w:r>
              <w:t xml:space="preserve">12 385</w:t>
            </w:r>
          </w:p>
        </w:tc>
        <w:tc>
          <w:tcPr/>
          <w:p>
            <w:pPr>
              <w:pStyle w:val="Compact"/>
              <w:jc w:val="left"/>
            </w:pPr>
            <w:r>
              <w:t xml:space="preserve">13 769</w:t>
            </w:r>
          </w:p>
        </w:tc>
        <w:tc>
          <w:tcPr/>
          <w:p>
            <w:pPr>
              <w:pStyle w:val="Compact"/>
              <w:jc w:val="left"/>
            </w:pPr>
            <w:r>
              <w:t xml:space="preserve">13 763</w:t>
            </w:r>
          </w:p>
        </w:tc>
        <w:tc>
          <w:tcPr/>
          <w:p>
            <w:pPr>
              <w:pStyle w:val="Compact"/>
              <w:jc w:val="left"/>
            </w:pPr>
            <w:r>
              <w:t xml:space="preserve">14 332</w:t>
            </w:r>
          </w:p>
        </w:tc>
        <w:tc>
          <w:tcPr/>
          <w:p>
            <w:pPr>
              <w:pStyle w:val="Compact"/>
              <w:jc w:val="left"/>
            </w:pPr>
            <w:r>
              <w:t xml:space="preserve">15 491</w:t>
            </w:r>
          </w:p>
        </w:tc>
        <w:tc>
          <w:tcPr/>
          <w:p>
            <w:pPr>
              <w:pStyle w:val="Compact"/>
              <w:jc w:val="left"/>
            </w:pPr>
            <w:r>
              <w:t xml:space="preserve">1112%</w:t>
            </w:r>
          </w:p>
        </w:tc>
      </w:tr>
      <w:tr>
        <w:tc>
          <w:tcPr/>
          <w:p>
            <w:pPr>
              <w:pStyle w:val="Compact"/>
              <w:jc w:val="left"/>
            </w:pPr>
            <w:r>
              <w:t xml:space="preserve">Total</w:t>
            </w:r>
          </w:p>
        </w:tc>
        <w:tc>
          <w:tcPr/>
          <w:p>
            <w:pPr>
              <w:pStyle w:val="Compact"/>
              <w:jc w:val="left"/>
            </w:pPr>
            <w:r>
              <w:t xml:space="preserve">22 444</w:t>
            </w:r>
          </w:p>
        </w:tc>
        <w:tc>
          <w:tcPr/>
          <w:p>
            <w:pPr>
              <w:pStyle w:val="Compact"/>
              <w:jc w:val="left"/>
            </w:pPr>
            <w:r>
              <w:t xml:space="preserve">46 063</w:t>
            </w:r>
          </w:p>
        </w:tc>
        <w:tc>
          <w:tcPr/>
          <w:p>
            <w:pPr>
              <w:pStyle w:val="Compact"/>
              <w:jc w:val="left"/>
            </w:pPr>
            <w:r>
              <w:t xml:space="preserve">56 885</w:t>
            </w:r>
          </w:p>
        </w:tc>
        <w:tc>
          <w:tcPr/>
          <w:p>
            <w:pPr>
              <w:pStyle w:val="Compact"/>
              <w:jc w:val="left"/>
            </w:pPr>
            <w:r>
              <w:t xml:space="preserve">70 116</w:t>
            </w:r>
          </w:p>
        </w:tc>
        <w:tc>
          <w:tcPr/>
          <w:p>
            <w:pPr>
              <w:pStyle w:val="Compact"/>
              <w:jc w:val="left"/>
            </w:pPr>
            <w:r>
              <w:t xml:space="preserve">69 374</w:t>
            </w:r>
          </w:p>
        </w:tc>
        <w:tc>
          <w:tcPr/>
          <w:p>
            <w:pPr>
              <w:pStyle w:val="Compact"/>
              <w:jc w:val="left"/>
            </w:pPr>
            <w:r>
              <w:t xml:space="preserve">67 282</w:t>
            </w:r>
          </w:p>
        </w:tc>
        <w:tc>
          <w:tcPr/>
          <w:p>
            <w:pPr>
              <w:pStyle w:val="Compact"/>
              <w:jc w:val="left"/>
            </w:pPr>
            <w:r>
              <w:t xml:space="preserve">61 881</w:t>
            </w:r>
          </w:p>
        </w:tc>
        <w:tc>
          <w:tcPr/>
          <w:p>
            <w:pPr>
              <w:pStyle w:val="Compact"/>
              <w:jc w:val="left"/>
            </w:pPr>
            <w:r>
              <w:t xml:space="preserve">74 190</w:t>
            </w:r>
          </w:p>
        </w:tc>
        <w:tc>
          <w:tcPr/>
          <w:p>
            <w:pPr>
              <w:pStyle w:val="Compact"/>
              <w:jc w:val="left"/>
            </w:pPr>
            <w:r>
              <w:t xml:space="preserve">230%</w:t>
            </w:r>
          </w:p>
        </w:tc>
      </w:tr>
    </w:tbl>
    <w:bookmarkEnd w:id="24"/>
    <w:p>
      <w:pPr>
        <w:pStyle w:val="BodyText"/>
      </w:pPr>
      <w:r>
        <w:t xml:space="preserve">Le Royaume doit ce succès à la rigueur de sont dispositif prudentiel qui se consolide de plus en plus.</w:t>
      </w:r>
      <w:r>
        <w:t xml:space="preserve"> </w:t>
      </w:r>
      <w:r>
        <w:t xml:space="preserve">La SBR (Solvabilité basée sur les risques) est une réforme prudentielle qui vient en ce sens renforcer cette dynamique. elle vise à conoslider la résilience des compagnies d’assurances face aux différents risques qu’elles encourent. Elle repose sur trois piliers : le pilier quantitatif, le pilier qualitatif et le pilier informatif</w:t>
      </w:r>
      <w:r>
        <w:rPr>
          <w:rStyle w:val="FootnoteReference"/>
        </w:rPr>
        <w:footnoteReference w:id="25"/>
      </w:r>
      <w:r>
        <w:t xml:space="preserve">.</w:t>
      </w:r>
    </w:p>
    <w:p>
      <w:pPr>
        <w:pStyle w:val="BodyText"/>
      </w:pPr>
      <w:r>
        <w:t xml:space="preserve">Le pilier quantitatif définit de nouvelles règles pour calculer le niveau de fonds propres minimum que les assureurs doivent détenir, en fonction de l’ensemble de leur activité et des risques associés. Il introduit également un bilan prudentiel, basé sur la valeur de marché des actifs et des passifs, et une classification des fonds propres éligibles</w:t>
      </w:r>
      <w:r>
        <w:rPr>
          <w:rStyle w:val="FootnoteReference"/>
        </w:rPr>
        <w:footnoteReference w:id="26"/>
      </w:r>
      <w:r>
        <w:t xml:space="preserve">.</w:t>
      </w:r>
    </w:p>
    <w:p>
      <w:pPr>
        <w:pStyle w:val="BodyText"/>
      </w:pPr>
      <w:r>
        <w:t xml:space="preserve">Le pilier qualitatif concerne la gouvernance et le contrôle interne des assureurs, ainsi que la gestion des risques. Il impose aux assureurs de mettre en place des fonctions clés, comme la fonction actuarielle ou la fonction de conformité, et de réaliser une évaluation interne des risques et de la solvabilité (</w:t>
      </w:r>
      <w:r>
        <w:rPr>
          <w:iCs/>
          <w:i/>
        </w:rPr>
        <w:t xml:space="preserve">ORSA</w:t>
      </w:r>
      <w:r>
        <w:rPr>
          <w:rStyle w:val="FootnoteReference"/>
        </w:rPr>
        <w:footnoteReference w:id="27"/>
      </w:r>
      <w:r>
        <w:t xml:space="preserve">). Il applique aussi le principe de « personne prudente » pour la politique d’investissement des assureurs.</w:t>
      </w:r>
      <w:r>
        <w:t xml:space="preserve"> </w:t>
      </w:r>
      <w:r>
        <w:t xml:space="preserve">:::{.callout-tip}</w:t>
      </w:r>
      <w:r>
        <w:t xml:space="preserve"> </w:t>
      </w:r>
      <w:r>
        <w:t xml:space="preserve">## Le principe de « personne prudente »</w:t>
      </w:r>
    </w:p>
    <w:p>
      <w:pPr>
        <w:pStyle w:val="BodyText"/>
      </w:pPr>
      <w:r>
        <w:t xml:space="preserve">Le principe de « personne prudente » est un principe qui s’applique à la politique d’investissement des entreprises d’assurance et de réassurance. Il signifie que les assureurs ne doivent investir que dans des actifs dont ils peuvent correctement identifier, mesurer, suivre, gérer, contrôler et déclarer les risques. Ce principe remplace les limitations d’actif qui existaient auparavant dans le cadre réglementaire. Il vise à garantir l’adéquation des actifs aux engagements envers les assurés, en tenant compte des critères de sécurité, qualité, liquidité et rentabilité.</w:t>
      </w:r>
    </w:p>
    <w:p>
      <w:pPr>
        <w:pStyle w:val="BodyText"/>
      </w:pPr>
      <w:r>
        <w:t xml:space="preserve">:::</w:t>
      </w:r>
    </w:p>
    <w:p>
      <w:pPr>
        <w:pStyle w:val="BodyText"/>
      </w:pPr>
      <w:r>
        <w:t xml:space="preserve">Le pilier informatif porte sur le reporting et la publication d’information par les assureurs. Il vise à renforcer la transparence et la discipline de marché, en imposant aux assureurs de communiquer au régulateur et au public des informations sur leur situation financière, leur profil de risque et leur système de gouvernance².</w:t>
      </w:r>
    </w:p>
    <w:p>
      <w:pPr>
        <w:pStyle w:val="BodyText"/>
      </w:pPr>
      <w:r>
        <w:t xml:space="preserve">La réforme SBR est entrée en vigueur progressivement au Maroc depuis 2019. Le régulateur du secteur, l’ACAPS (Autorité de contrôle des assurances et de la prévoyance sociale), a élaboré plusieurs textes réglementaires pour accompagner sa mise œuvre. Le dernier projet de circulaire en date concerne le second pilier relatif à la gouvernance</w:t>
      </w:r>
      <w:r>
        <w:rPr>
          <w:rStyle w:val="FootnoteReference"/>
        </w:rPr>
        <w:footnoteReference w:id="28"/>
      </w:r>
      <w:r>
        <w:t xml:space="preserve">.</w:t>
      </w:r>
    </w:p>
    <w:tbl>
      <w:tblPr>
        <w:tblStyle w:val="Table"/>
        <w:tblW w:type="pct" w:w="5000"/>
        <w:tblLook w:firstRow="0" w:lastRow="0" w:firstColumn="0" w:lastColumn="0" w:noHBand="0" w:noVBand="0" w:val="0000"/>
      </w:tblPr>
      <w:tblGrid>
        <w:gridCol w:w="7920"/>
      </w:tblGrid>
      <w:tr>
        <w:tc>
          <w:tcPr/>
          <w:bookmarkStart w:id="33" w:name="fig-piliers"/>
          <w:p>
            <w:pPr>
              <w:pStyle w:val="Figure"/>
              <w:jc w:val="center"/>
            </w:pPr>
            <w:r>
              <w:drawing>
                <wp:inline>
                  <wp:extent cx="5334000" cy="2998910"/>
                  <wp:effectExtent b="0" l="0" r="0" t="0"/>
                  <wp:docPr descr="" title="" id="31" name="Picture"/>
                  <a:graphic>
                    <a:graphicData uri="http://schemas.openxmlformats.org/drawingml/2006/picture">
                      <pic:pic>
                        <pic:nvPicPr>
                          <pic:cNvPr descr="Rapport%20PFE_files/piliers.png" id="32" name="Picture"/>
                          <pic:cNvPicPr>
                            <a:picLocks noChangeArrowheads="1" noChangeAspect="1"/>
                          </pic:cNvPicPr>
                        </pic:nvPicPr>
                        <pic:blipFill>
                          <a:blip r:embed="rId30"/>
                          <a:stretch>
                            <a:fillRect/>
                          </a:stretch>
                        </pic:blipFill>
                        <pic:spPr bwMode="auto">
                          <a:xfrm>
                            <a:off x="0" y="0"/>
                            <a:ext cx="5334000" cy="29989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33"/>
        </w:tc>
      </w:tr>
    </w:tbl>
    <w:bookmarkEnd w:id="34"/>
    <w:bookmarkStart w:id="35" w:name="piliers-1-exigences-quantitatives"/>
    <w:p>
      <w:pPr>
        <w:pStyle w:val="Heading2"/>
      </w:pPr>
      <w:r>
        <w:t xml:space="preserve">3 Piliers 1: Exigences quantitatives</w:t>
      </w:r>
    </w:p>
    <w:p>
      <w:pPr>
        <w:pStyle w:val="FirstParagraph"/>
      </w:pPr>
      <w:r>
        <w:t xml:space="preserve">Sur les trois piliers de la normes SBR, notre rapport de stage se concentre essentiellement sur le pilier 1. Ce dernier spécifie toutes les dipositions réglementaires afin de satisfaire les exigences quantitatives de la norme.</w:t>
      </w:r>
      <w:r>
        <w:t xml:space="preserve"> </w:t>
      </w:r>
      <w:r>
        <w:t xml:space="preserve">La détermination du capital de solvabilité requis (</w:t>
      </w:r>
      <m:oMath>
        <m:r>
          <m:t>C</m:t>
        </m:r>
        <m:r>
          <m:t>S</m:t>
        </m:r>
        <m:r>
          <m:t>R</m:t>
        </m:r>
      </m:oMath>
      <w:r>
        <w:t xml:space="preserve">) et la fixation des Fonds propres (</w:t>
      </w:r>
      <m:oMath>
        <m:r>
          <m:t>F</m:t>
        </m:r>
        <m:r>
          <m:t>P</m:t>
        </m:r>
      </m:oMath>
      <w:r>
        <w:t xml:space="preserve">) nécessite l’établissement annuel d’un bilan prudentiel.</w:t>
      </w:r>
    </w:p>
    <w:bookmarkEnd w:id="35"/>
    <w:bookmarkStart w:id="47" w:name="valorisation-de-lactif"/>
    <w:p>
      <w:pPr>
        <w:pStyle w:val="Heading2"/>
      </w:pPr>
      <w:r>
        <w:t xml:space="preserve">4 Valorisation de l’actif</w:t>
      </w:r>
    </w:p>
    <w:bookmarkStart w:id="46" w:name="actions-cotées-à-la-bourse"/>
    <w:p>
      <w:pPr>
        <w:pStyle w:val="Heading3"/>
      </w:pPr>
      <w:r>
        <w:t xml:space="preserve">4.1 Actions cotées à la bourse</w:t>
      </w:r>
    </w:p>
    <w:p>
      <w:pPr>
        <w:pStyle w:val="FirstParagraph"/>
      </w:pPr>
      <w:r>
        <w:t xml:space="preserve">Les actions cotées à la bourse de Casablanca sont valorisées conformément à la</w:t>
      </w:r>
      <w:r>
        <w:t xml:space="preserve"> </w:t>
      </w:r>
      <w:r>
        <w:rPr>
          <w:iCs/>
          <w:i/>
        </w:rPr>
        <w:t xml:space="preserve">Spécification technique 7</w:t>
      </w:r>
      <w:r>
        <w:t xml:space="preserve"> </w:t>
      </w:r>
      <w:r>
        <w:t xml:space="preserve">de la</w:t>
      </w:r>
      <w:r>
        <w:t xml:space="preserve"> </w:t>
      </w:r>
      <w:r>
        <w:rPr>
          <w:iCs/>
          <w:i/>
        </w:rPr>
        <w:t xml:space="preserve">Section 2</w:t>
      </w:r>
      <w:r>
        <w:t xml:space="preserve"> </w:t>
      </w:r>
      <w:r>
        <w:t xml:space="preserve">de la circulaire de l’ACAPS comme suit :</w:t>
      </w:r>
    </w:p>
    <w:p>
      <w:pPr>
        <w:numPr>
          <w:ilvl w:val="0"/>
          <w:numId w:val="1002"/>
        </w:numPr>
        <w:pStyle w:val="Compact"/>
      </w:pPr>
      <w:r>
        <w:t xml:space="preserve">Dernier coté avant la date d’inventaire</w:t>
      </w:r>
    </w:p>
    <w:p>
      <w:pPr>
        <w:numPr>
          <w:ilvl w:val="0"/>
          <w:numId w:val="1002"/>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Start w:id="45" w:name="modélisation-du-prix-des-actions"/>
    <w:p>
      <w:pPr>
        <w:pStyle w:val="Heading4"/>
      </w:pPr>
      <w:r>
        <w:t xml:space="preserve">4.1.1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44" w:name="modèle-de-black-scholes"/>
    <w:p>
      <w:pPr>
        <w:pStyle w:val="Heading5"/>
      </w:pPr>
      <w:r>
        <w:t xml:space="preserve">4.1.1.1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36"/>
      </w:r>
    </w:p>
    <w:p>
      <w:pPr>
        <w:pStyle w:val="BodyText"/>
      </w:pPr>
      <w:bookmarkStart w:id="37"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37"/>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38"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38"/>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39"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39"/>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40"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40"/>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42" name="Picture"/>
                  <a:graphic>
                    <a:graphicData uri="http://schemas.openxmlformats.org/drawingml/2006/picture">
                      <pic:pic>
                        <pic:nvPicPr>
                          <pic:cNvPr descr="Rapport-PFE_files/figure-docx/unnamed-chunk-2-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44"/>
    <w:bookmarkEnd w:id="45"/>
    <w:bookmarkEnd w:id="46"/>
    <w:bookmarkEnd w:id="47"/>
    <w:bookmarkStart w:id="57" w:name="X07868ea8b9ac752e9889fc2a9eede4b2fc4d338"/>
    <w:p>
      <w:pPr>
        <w:pStyle w:val="Heading2"/>
      </w:pPr>
      <w:r>
        <w:t xml:space="preserve">5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w:t>
      </w:r>
      <w:r>
        <w:t xml:space="preserve"> </w:t>
      </w:r>
      <w:hyperlink r:id="rId48">
        <w:r>
          <w:rPr>
            <w:rStyle w:val="Hyperlink"/>
          </w:rPr>
          <w:t xml:space="preserve">BANK AL MAGHRIB</w:t>
        </w:r>
      </w:hyperlink>
      <w:r>
        <w:t xml:space="preserve">. Ces taux en fait, sont des taux monétaires pour les maturités inférieures ou égales à un an, alors qu’il représente un taux actuariel pour les maturités supérieures à un an, de plus ils ne sont disponibles que pour certaines maturités.</w:t>
      </w:r>
    </w:p>
    <w:bookmarkStart w:id="49" w:name="tbl-taux_ref"/>
    <w:p>
      <w:pPr>
        <w:pStyle w:val="TableCaption"/>
      </w:pPr>
      <w:r>
        <w:t xml:space="preserve">Table 2: Taux de référence des bons du Trésor du 30/12/2022</w:t>
      </w:r>
    </w:p>
    <w:tbl>
      <w:tblPr>
        <w:tblStyle w:val="Table"/>
        <w:tblW w:type="auto" w:w="0"/>
        <w:tblLook w:firstRow="1" w:lastRow="0" w:firstColumn="0" w:lastColumn="0" w:noHBand="0" w:noVBand="0" w:val="0020"/>
        <w:tblCaption w:val="Table 2: Taux de référence des bons du Trésor du 30/12/2022"/>
      </w:tblPr>
      <w:tblGrid>
        <w:gridCol w:w="1320"/>
        <w:gridCol w:w="1320"/>
        <w:gridCol w:w="1320"/>
        <w:gridCol w:w="1320"/>
        <w:gridCol w:w="1320"/>
        <w:gridCol w:w="1320"/>
      </w:tblGrid>
      <w:tr>
        <w:trPr>
          <w:tblHeader w:val="true"/>
        </w:trPr>
        <w:tc>
          <w:tcPr/>
          <w:p>
            <w:pPr>
              <w:pStyle w:val="Compact"/>
              <w:jc w:val="left"/>
            </w:pPr>
            <w:r>
              <w:t xml:space="preserve">Date d'échéance</w:t>
            </w:r>
          </w:p>
        </w:tc>
        <w:tc>
          <w:tcPr/>
          <w:p>
            <w:pPr>
              <w:pStyle w:val="Compact"/>
              <w:jc w:val="left"/>
            </w:pPr>
            <w:r>
              <w:t xml:space="preserve">Transaction</w:t>
            </w:r>
          </w:p>
        </w:tc>
        <w:tc>
          <w:tcPr/>
          <w:p>
            <w:pPr>
              <w:pStyle w:val="Compact"/>
              <w:jc w:val="right"/>
            </w:pPr>
            <w:r>
              <w:t xml:space="preserve">Taux moyen pondéré</w:t>
            </w:r>
          </w:p>
        </w:tc>
        <w:tc>
          <w:tcPr/>
          <w:p>
            <w:pPr>
              <w:pStyle w:val="Compact"/>
              <w:jc w:val="left"/>
            </w:pPr>
            <w:r>
              <w:t xml:space="preserve">Taux moyen pondéré (%)</w:t>
            </w:r>
          </w:p>
        </w:tc>
        <w:tc>
          <w:tcPr/>
          <w:p>
            <w:pPr>
              <w:pStyle w:val="Compact"/>
              <w:jc w:val="left"/>
            </w:pPr>
            <w:r>
              <w:t xml:space="preserve">Date de la valeur</w:t>
            </w:r>
          </w:p>
        </w:tc>
        <w:tc>
          <w:tcPr/>
          <w:p>
            <w:pPr>
              <w:pStyle w:val="Compact"/>
              <w:jc w:val="right"/>
            </w:pPr>
            <w:r>
              <w:t xml:space="preserve">Maturité</w:t>
            </w:r>
          </w:p>
        </w:tc>
      </w:tr>
      <w:tr>
        <w:tc>
          <w:tcPr/>
          <w:p>
            <w:pPr>
              <w:pStyle w:val="Compact"/>
              <w:jc w:val="left"/>
            </w:pPr>
            <w:r>
              <w:t xml:space="preserve">17/01/2022</w:t>
            </w:r>
          </w:p>
        </w:tc>
        <w:tc>
          <w:tcPr/>
          <w:p>
            <w:pPr>
              <w:pStyle w:val="Compact"/>
              <w:jc w:val="left"/>
            </w:pPr>
            <w:r>
              <w:t xml:space="preserve">31,40</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0.050</w:t>
            </w:r>
          </w:p>
        </w:tc>
      </w:tr>
      <w:tr>
        <w:tc>
          <w:tcPr/>
          <w:p>
            <w:pPr>
              <w:pStyle w:val="Compact"/>
              <w:jc w:val="left"/>
            </w:pPr>
            <w:r>
              <w:t xml:space="preserve">14/02/2022</w:t>
            </w:r>
          </w:p>
        </w:tc>
        <w:tc>
          <w:tcPr/>
          <w:p>
            <w:pPr>
              <w:pStyle w:val="Compact"/>
              <w:jc w:val="left"/>
            </w:pPr>
            <w:r>
              <w:t xml:space="preserve">207,57</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0.128</w:t>
            </w:r>
          </w:p>
        </w:tc>
      </w:tr>
      <w:tr>
        <w:tc>
          <w:tcPr/>
          <w:p>
            <w:pPr>
              <w:pStyle w:val="Compact"/>
              <w:jc w:val="left"/>
            </w:pPr>
            <w:r>
              <w:t xml:space="preserve">09/03/2022</w:t>
            </w:r>
          </w:p>
        </w:tc>
        <w:tc>
          <w:tcPr/>
          <w:p>
            <w:pPr>
              <w:pStyle w:val="Compact"/>
              <w:jc w:val="left"/>
            </w:pPr>
            <w:r>
              <w:t xml:space="preserve">272,51</w:t>
            </w:r>
          </w:p>
        </w:tc>
        <w:tc>
          <w:tcPr/>
          <w:p>
            <w:pPr>
              <w:pStyle w:val="Compact"/>
              <w:jc w:val="right"/>
            </w:pPr>
            <w:r>
              <w:t xml:space="preserve">0.01530</w:t>
            </w:r>
          </w:p>
        </w:tc>
        <w:tc>
          <w:tcPr/>
          <w:p>
            <w:pPr>
              <w:pStyle w:val="Compact"/>
              <w:jc w:val="left"/>
            </w:pPr>
            <w:r>
              <w:t xml:space="preserve">1,530 %</w:t>
            </w:r>
          </w:p>
        </w:tc>
        <w:tc>
          <w:tcPr/>
          <w:p>
            <w:pPr>
              <w:pStyle w:val="Compact"/>
              <w:jc w:val="left"/>
            </w:pPr>
            <w:r>
              <w:t xml:space="preserve">30/12/2021</w:t>
            </w:r>
          </w:p>
        </w:tc>
        <w:tc>
          <w:tcPr/>
          <w:p>
            <w:pPr>
              <w:pStyle w:val="Compact"/>
              <w:jc w:val="right"/>
            </w:pPr>
            <w:r>
              <w:t xml:space="preserve">0.192</w:t>
            </w:r>
          </w:p>
        </w:tc>
      </w:tr>
      <w:tr>
        <w:tc>
          <w:tcPr/>
          <w:p>
            <w:pPr>
              <w:pStyle w:val="Compact"/>
              <w:jc w:val="left"/>
            </w:pPr>
            <w:r>
              <w:t xml:space="preserve">18/04/2022</w:t>
            </w:r>
          </w:p>
        </w:tc>
        <w:tc>
          <w:tcPr/>
          <w:p>
            <w:pPr>
              <w:pStyle w:val="Compact"/>
              <w:jc w:val="left"/>
            </w:pPr>
            <w:r>
              <w:t xml:space="preserve">156,30</w:t>
            </w:r>
          </w:p>
        </w:tc>
        <w:tc>
          <w:tcPr/>
          <w:p>
            <w:pPr>
              <w:pStyle w:val="Compact"/>
              <w:jc w:val="right"/>
            </w:pPr>
            <w:r>
              <w:t xml:space="preserve">0.01538</w:t>
            </w:r>
          </w:p>
        </w:tc>
        <w:tc>
          <w:tcPr/>
          <w:p>
            <w:pPr>
              <w:pStyle w:val="Compact"/>
              <w:jc w:val="left"/>
            </w:pPr>
            <w:r>
              <w:t xml:space="preserve">1,538 %</w:t>
            </w:r>
          </w:p>
        </w:tc>
        <w:tc>
          <w:tcPr/>
          <w:p>
            <w:pPr>
              <w:pStyle w:val="Compact"/>
              <w:jc w:val="left"/>
            </w:pPr>
            <w:r>
              <w:t xml:space="preserve">30/12/2021</w:t>
            </w:r>
          </w:p>
        </w:tc>
        <w:tc>
          <w:tcPr/>
          <w:p>
            <w:pPr>
              <w:pStyle w:val="Compact"/>
              <w:jc w:val="right"/>
            </w:pPr>
            <w:r>
              <w:t xml:space="preserve">0.303</w:t>
            </w:r>
          </w:p>
        </w:tc>
      </w:tr>
      <w:tr>
        <w:tc>
          <w:tcPr/>
          <w:p>
            <w:pPr>
              <w:pStyle w:val="Compact"/>
              <w:jc w:val="left"/>
            </w:pPr>
            <w:r>
              <w:t xml:space="preserve">20/06/2022</w:t>
            </w:r>
          </w:p>
        </w:tc>
        <w:tc>
          <w:tcPr/>
          <w:p>
            <w:pPr>
              <w:pStyle w:val="Compact"/>
              <w:jc w:val="left"/>
            </w:pPr>
            <w:r>
              <w:t xml:space="preserve">20,03</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0.478</w:t>
            </w:r>
          </w:p>
        </w:tc>
      </w:tr>
      <w:tr>
        <w:tc>
          <w:tcPr/>
          <w:p>
            <w:pPr>
              <w:pStyle w:val="Compact"/>
              <w:jc w:val="left"/>
            </w:pPr>
            <w:r>
              <w:t xml:space="preserve">18/07/2022</w:t>
            </w:r>
          </w:p>
        </w:tc>
        <w:tc>
          <w:tcPr/>
          <w:p>
            <w:pPr>
              <w:pStyle w:val="Compact"/>
              <w:jc w:val="left"/>
            </w:pPr>
            <w:r>
              <w:t xml:space="preserve">104,51</w:t>
            </w:r>
          </w:p>
        </w:tc>
        <w:tc>
          <w:tcPr/>
          <w:p>
            <w:pPr>
              <w:pStyle w:val="Compact"/>
              <w:jc w:val="right"/>
            </w:pPr>
            <w:r>
              <w:t xml:space="preserve">0.01560</w:t>
            </w:r>
          </w:p>
        </w:tc>
        <w:tc>
          <w:tcPr/>
          <w:p>
            <w:pPr>
              <w:pStyle w:val="Compact"/>
              <w:jc w:val="left"/>
            </w:pPr>
            <w:r>
              <w:t xml:space="preserve">1,560 %</w:t>
            </w:r>
          </w:p>
        </w:tc>
        <w:tc>
          <w:tcPr/>
          <w:p>
            <w:pPr>
              <w:pStyle w:val="Compact"/>
              <w:jc w:val="left"/>
            </w:pPr>
            <w:r>
              <w:t xml:space="preserve">30/12/2021</w:t>
            </w:r>
          </w:p>
        </w:tc>
        <w:tc>
          <w:tcPr/>
          <w:p>
            <w:pPr>
              <w:pStyle w:val="Compact"/>
              <w:jc w:val="right"/>
            </w:pPr>
            <w:r>
              <w:t xml:space="preserve">0.556</w:t>
            </w:r>
          </w:p>
        </w:tc>
      </w:tr>
      <w:tr>
        <w:tc>
          <w:tcPr/>
          <w:p>
            <w:pPr>
              <w:pStyle w:val="Compact"/>
              <w:jc w:val="left"/>
            </w:pPr>
            <w:r>
              <w:t xml:space="preserve">19/09/2022</w:t>
            </w:r>
          </w:p>
        </w:tc>
        <w:tc>
          <w:tcPr/>
          <w:p>
            <w:pPr>
              <w:pStyle w:val="Compact"/>
              <w:jc w:val="left"/>
            </w:pPr>
            <w:r>
              <w:t xml:space="preserve">252,40</w:t>
            </w:r>
          </w:p>
        </w:tc>
        <w:tc>
          <w:tcPr/>
          <w:p>
            <w:pPr>
              <w:pStyle w:val="Compact"/>
              <w:jc w:val="right"/>
            </w:pPr>
            <w:r>
              <w:t xml:space="preserve">0.01564</w:t>
            </w:r>
          </w:p>
        </w:tc>
        <w:tc>
          <w:tcPr/>
          <w:p>
            <w:pPr>
              <w:pStyle w:val="Compact"/>
              <w:jc w:val="left"/>
            </w:pPr>
            <w:r>
              <w:t xml:space="preserve">1,564 %</w:t>
            </w:r>
          </w:p>
        </w:tc>
        <w:tc>
          <w:tcPr/>
          <w:p>
            <w:pPr>
              <w:pStyle w:val="Compact"/>
              <w:jc w:val="left"/>
            </w:pPr>
            <w:r>
              <w:t xml:space="preserve">30/12/2021</w:t>
            </w:r>
          </w:p>
        </w:tc>
        <w:tc>
          <w:tcPr/>
          <w:p>
            <w:pPr>
              <w:pStyle w:val="Compact"/>
              <w:jc w:val="right"/>
            </w:pPr>
            <w:r>
              <w:t xml:space="preserve">0.731</w:t>
            </w:r>
          </w:p>
        </w:tc>
      </w:tr>
      <w:tr>
        <w:tc>
          <w:tcPr/>
          <w:p>
            <w:pPr>
              <w:pStyle w:val="Compact"/>
              <w:jc w:val="left"/>
            </w:pPr>
            <w:r>
              <w:t xml:space="preserve">17/10/2022</w:t>
            </w:r>
          </w:p>
        </w:tc>
        <w:tc>
          <w:tcPr/>
          <w:p>
            <w:pPr>
              <w:pStyle w:val="Compact"/>
              <w:jc w:val="left"/>
            </w:pPr>
            <w:r>
              <w:t xml:space="preserve">37,32</w:t>
            </w:r>
          </w:p>
        </w:tc>
        <w:tc>
          <w:tcPr/>
          <w:p>
            <w:pPr>
              <w:pStyle w:val="Compact"/>
              <w:jc w:val="right"/>
            </w:pPr>
            <w:r>
              <w:t xml:space="preserve">0.01570</w:t>
            </w:r>
          </w:p>
        </w:tc>
        <w:tc>
          <w:tcPr/>
          <w:p>
            <w:pPr>
              <w:pStyle w:val="Compact"/>
              <w:jc w:val="left"/>
            </w:pPr>
            <w:r>
              <w:t xml:space="preserve">1,570 %</w:t>
            </w:r>
          </w:p>
        </w:tc>
        <w:tc>
          <w:tcPr/>
          <w:p>
            <w:pPr>
              <w:pStyle w:val="Compact"/>
              <w:jc w:val="left"/>
            </w:pPr>
            <w:r>
              <w:t xml:space="preserve">30/12/2021</w:t>
            </w:r>
          </w:p>
        </w:tc>
        <w:tc>
          <w:tcPr/>
          <w:p>
            <w:pPr>
              <w:pStyle w:val="Compact"/>
              <w:jc w:val="right"/>
            </w:pPr>
            <w:r>
              <w:t xml:space="preserve">0.808</w:t>
            </w:r>
          </w:p>
        </w:tc>
      </w:tr>
      <w:tr>
        <w:tc>
          <w:tcPr/>
          <w:p>
            <w:pPr>
              <w:pStyle w:val="Compact"/>
              <w:jc w:val="left"/>
            </w:pPr>
            <w:r>
              <w:t xml:space="preserve">14/11/2022</w:t>
            </w:r>
          </w:p>
        </w:tc>
        <w:tc>
          <w:tcPr/>
          <w:p>
            <w:pPr>
              <w:pStyle w:val="Compact"/>
              <w:jc w:val="left"/>
            </w:pPr>
            <w:r>
              <w:t xml:space="preserve">191,54</w:t>
            </w:r>
          </w:p>
        </w:tc>
        <w:tc>
          <w:tcPr/>
          <w:p>
            <w:pPr>
              <w:pStyle w:val="Compact"/>
              <w:jc w:val="right"/>
            </w:pPr>
            <w:r>
              <w:t xml:space="preserve">0.01581</w:t>
            </w:r>
          </w:p>
        </w:tc>
        <w:tc>
          <w:tcPr/>
          <w:p>
            <w:pPr>
              <w:pStyle w:val="Compact"/>
              <w:jc w:val="left"/>
            </w:pPr>
            <w:r>
              <w:t xml:space="preserve">1,581 %</w:t>
            </w:r>
          </w:p>
        </w:tc>
        <w:tc>
          <w:tcPr/>
          <w:p>
            <w:pPr>
              <w:pStyle w:val="Compact"/>
              <w:jc w:val="left"/>
            </w:pPr>
            <w:r>
              <w:t xml:space="preserve">30/12/2021</w:t>
            </w:r>
          </w:p>
        </w:tc>
        <w:tc>
          <w:tcPr/>
          <w:p>
            <w:pPr>
              <w:pStyle w:val="Compact"/>
              <w:jc w:val="right"/>
            </w:pPr>
            <w:r>
              <w:t xml:space="preserve">0.886</w:t>
            </w:r>
          </w:p>
        </w:tc>
      </w:tr>
      <w:tr>
        <w:tc>
          <w:tcPr/>
          <w:p>
            <w:pPr>
              <w:pStyle w:val="Compact"/>
              <w:jc w:val="left"/>
            </w:pPr>
            <w:r>
              <w:t xml:space="preserve">20/03/2023</w:t>
            </w:r>
          </w:p>
        </w:tc>
        <w:tc>
          <w:tcPr/>
          <w:p>
            <w:pPr>
              <w:pStyle w:val="Compact"/>
              <w:jc w:val="left"/>
            </w:pPr>
            <w:r>
              <w:t xml:space="preserve">31,00</w:t>
            </w:r>
          </w:p>
        </w:tc>
        <w:tc>
          <w:tcPr/>
          <w:p>
            <w:pPr>
              <w:pStyle w:val="Compact"/>
              <w:jc w:val="right"/>
            </w:pPr>
            <w:r>
              <w:t xml:space="preserve">0.01650</w:t>
            </w:r>
          </w:p>
        </w:tc>
        <w:tc>
          <w:tcPr/>
          <w:p>
            <w:pPr>
              <w:pStyle w:val="Compact"/>
              <w:jc w:val="left"/>
            </w:pPr>
            <w:r>
              <w:t xml:space="preserve">1,650 %</w:t>
            </w:r>
          </w:p>
        </w:tc>
        <w:tc>
          <w:tcPr/>
          <w:p>
            <w:pPr>
              <w:pStyle w:val="Compact"/>
              <w:jc w:val="left"/>
            </w:pPr>
            <w:r>
              <w:t xml:space="preserve">30/12/2021</w:t>
            </w:r>
          </w:p>
        </w:tc>
        <w:tc>
          <w:tcPr/>
          <w:p>
            <w:pPr>
              <w:pStyle w:val="Compact"/>
              <w:jc w:val="right"/>
            </w:pPr>
            <w:r>
              <w:t xml:space="preserve">1.236</w:t>
            </w:r>
          </w:p>
        </w:tc>
      </w:tr>
    </w:tbl>
    <w:bookmarkEnd w:id="49"/>
    <w:p>
      <w:pPr>
        <w:pStyle w:val="BodyText"/>
      </w:pPr>
      <w:r>
        <w:t xml:space="preserve">Pour cette raison on va suivre les étapes suivantes pour la construction de la courbe des taux zéro-coupon :</w:t>
      </w:r>
    </w:p>
    <w:p>
      <w:pPr>
        <w:numPr>
          <w:ilvl w:val="0"/>
          <w:numId w:val="1003"/>
        </w:numPr>
        <w:pStyle w:val="Compact"/>
      </w:pPr>
      <w:r>
        <w:t xml:space="preserve">1ere étape : Transformation des taux monétaires en taux actuariels.</w:t>
      </w:r>
    </w:p>
    <w:p>
      <w:pPr>
        <w:numPr>
          <w:ilvl w:val="0"/>
          <w:numId w:val="1003"/>
        </w:numPr>
        <w:pStyle w:val="Compact"/>
      </w:pPr>
      <w:r>
        <w:t xml:space="preserve">2eme étape : Interpolation linéaire afin d’obtenir des taux actuariels pour des maturités pleines.</w:t>
      </w:r>
    </w:p>
    <w:p>
      <w:pPr>
        <w:numPr>
          <w:ilvl w:val="0"/>
          <w:numId w:val="1003"/>
        </w:numPr>
        <w:pStyle w:val="Compact"/>
      </w:pPr>
      <w:r>
        <w:t xml:space="preserve">3eme étape : Calcule des taux zéro coupons à partir des taux actuariels des maturités pleines par la Méthode du Bootstrap.</w:t>
      </w:r>
    </w:p>
    <w:p>
      <w:pPr>
        <w:numPr>
          <w:ilvl w:val="0"/>
          <w:numId w:val="1003"/>
        </w:numPr>
        <w:pStyle w:val="Compact"/>
      </w:pPr>
      <w:r>
        <w:t xml:space="preserve">4eme étape : Extrapolation de la courbe des taux zéro-coupon pour des maturités non observées lointaines par la méthode de Smith-Wilson</w:t>
      </w:r>
    </w:p>
    <w:bookmarkStart w:id="51" w:name="Xcbe522a13d0cf3ed962fdea859902dd7c035635"/>
    <w:p>
      <w:pPr>
        <w:pStyle w:val="Heading3"/>
      </w:pPr>
      <w:r>
        <w:t xml:space="preserve">5.1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w:t>
      </w:r>
    </w:p>
    <w:bookmarkStart w:id="50" w:name="tbl-taux_act"/>
    <w:p>
      <w:pPr>
        <w:pStyle w:val="TableCaption"/>
      </w:pPr>
      <w:r>
        <w:t xml:space="preserve">Table 3: Conversion du taux monétaire en taux actuariel</w:t>
      </w:r>
    </w:p>
    <w:tbl>
      <w:tblPr>
        <w:tblStyle w:val="Table"/>
        <w:tblW w:type="auto" w:w="0"/>
        <w:tblLook w:firstRow="1" w:lastRow="0" w:firstColumn="0" w:lastColumn="0" w:noHBand="0" w:noVBand="0" w:val="0020"/>
        <w:tblCaption w:val="Table 3: Conversion du taux monétaire en taux actuariel"/>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0.050</w:t>
            </w:r>
          </w:p>
        </w:tc>
        <w:tc>
          <w:tcPr/>
          <w:p>
            <w:pPr>
              <w:pStyle w:val="Compact"/>
              <w:jc w:val="right"/>
            </w:pPr>
            <w:r>
              <w:t xml:space="preserve">0.01563</w:t>
            </w:r>
          </w:p>
        </w:tc>
        <w:tc>
          <w:tcPr/>
          <w:p>
            <w:pPr>
              <w:pStyle w:val="Compact"/>
              <w:jc w:val="left"/>
            </w:pPr>
            <w:r>
              <w:t xml:space="preserve">1,563%</w:t>
            </w:r>
          </w:p>
        </w:tc>
      </w:tr>
      <w:tr>
        <w:tc>
          <w:tcPr/>
          <w:p>
            <w:pPr>
              <w:pStyle w:val="Compact"/>
              <w:jc w:val="right"/>
            </w:pPr>
            <w:r>
              <w:t xml:space="preserve">0.128</w:t>
            </w:r>
          </w:p>
        </w:tc>
        <w:tc>
          <w:tcPr/>
          <w:p>
            <w:pPr>
              <w:pStyle w:val="Compact"/>
              <w:jc w:val="right"/>
            </w:pPr>
            <w:r>
              <w:t xml:space="preserve">0.01562</w:t>
            </w:r>
          </w:p>
        </w:tc>
        <w:tc>
          <w:tcPr/>
          <w:p>
            <w:pPr>
              <w:pStyle w:val="Compact"/>
              <w:jc w:val="left"/>
            </w:pPr>
            <w:r>
              <w:t xml:space="preserve">1,562%</w:t>
            </w:r>
          </w:p>
        </w:tc>
      </w:tr>
      <w:tr>
        <w:tc>
          <w:tcPr/>
          <w:p>
            <w:pPr>
              <w:pStyle w:val="Compact"/>
              <w:jc w:val="right"/>
            </w:pPr>
            <w:r>
              <w:t xml:space="preserve">0.192</w:t>
            </w:r>
          </w:p>
        </w:tc>
        <w:tc>
          <w:tcPr/>
          <w:p>
            <w:pPr>
              <w:pStyle w:val="Compact"/>
              <w:jc w:val="right"/>
            </w:pPr>
            <w:r>
              <w:t xml:space="preserve">0.01561</w:t>
            </w:r>
          </w:p>
        </w:tc>
        <w:tc>
          <w:tcPr/>
          <w:p>
            <w:pPr>
              <w:pStyle w:val="Compact"/>
              <w:jc w:val="left"/>
            </w:pPr>
            <w:r>
              <w:t xml:space="preserve">1,561%</w:t>
            </w:r>
          </w:p>
        </w:tc>
      </w:tr>
      <w:tr>
        <w:tc>
          <w:tcPr/>
          <w:p>
            <w:pPr>
              <w:pStyle w:val="Compact"/>
              <w:jc w:val="right"/>
            </w:pPr>
            <w:r>
              <w:t xml:space="preserve">0.303</w:t>
            </w:r>
          </w:p>
        </w:tc>
        <w:tc>
          <w:tcPr/>
          <w:p>
            <w:pPr>
              <w:pStyle w:val="Compact"/>
              <w:jc w:val="right"/>
            </w:pPr>
            <w:r>
              <w:t xml:space="preserve">0.01568</w:t>
            </w:r>
          </w:p>
        </w:tc>
        <w:tc>
          <w:tcPr/>
          <w:p>
            <w:pPr>
              <w:pStyle w:val="Compact"/>
              <w:jc w:val="left"/>
            </w:pPr>
            <w:r>
              <w:t xml:space="preserve">1,568%</w:t>
            </w:r>
          </w:p>
        </w:tc>
      </w:tr>
      <w:tr>
        <w:tc>
          <w:tcPr/>
          <w:p>
            <w:pPr>
              <w:pStyle w:val="Compact"/>
              <w:jc w:val="right"/>
            </w:pPr>
            <w:r>
              <w:t xml:space="preserve">0.478</w:t>
            </w:r>
          </w:p>
        </w:tc>
        <w:tc>
          <w:tcPr/>
          <w:p>
            <w:pPr>
              <w:pStyle w:val="Compact"/>
              <w:jc w:val="right"/>
            </w:pPr>
            <w:r>
              <w:t xml:space="preserve">0.01599</w:t>
            </w:r>
          </w:p>
        </w:tc>
        <w:tc>
          <w:tcPr/>
          <w:p>
            <w:pPr>
              <w:pStyle w:val="Compact"/>
              <w:jc w:val="left"/>
            </w:pPr>
            <w:r>
              <w:t xml:space="preserve">1,599%</w:t>
            </w:r>
          </w:p>
        </w:tc>
      </w:tr>
      <w:tr>
        <w:tc>
          <w:tcPr/>
          <w:p>
            <w:pPr>
              <w:pStyle w:val="Compact"/>
              <w:jc w:val="right"/>
            </w:pPr>
            <w:r>
              <w:t xml:space="preserve">0.556</w:t>
            </w:r>
          </w:p>
        </w:tc>
        <w:tc>
          <w:tcPr/>
          <w:p>
            <w:pPr>
              <w:pStyle w:val="Compact"/>
              <w:jc w:val="right"/>
            </w:pPr>
            <w:r>
              <w:t xml:space="preserve">0.01587</w:t>
            </w:r>
          </w:p>
        </w:tc>
        <w:tc>
          <w:tcPr/>
          <w:p>
            <w:pPr>
              <w:pStyle w:val="Compact"/>
              <w:jc w:val="left"/>
            </w:pPr>
            <w:r>
              <w:t xml:space="preserve">1,587%</w:t>
            </w:r>
          </w:p>
        </w:tc>
      </w:tr>
      <w:tr>
        <w:tc>
          <w:tcPr/>
          <w:p>
            <w:pPr>
              <w:pStyle w:val="Compact"/>
              <w:jc w:val="right"/>
            </w:pPr>
            <w:r>
              <w:t xml:space="preserve">0.731</w:t>
            </w:r>
          </w:p>
        </w:tc>
        <w:tc>
          <w:tcPr/>
          <w:p>
            <w:pPr>
              <w:pStyle w:val="Compact"/>
              <w:jc w:val="right"/>
            </w:pPr>
            <w:r>
              <w:t xml:space="preserve">0.01589</w:t>
            </w:r>
          </w:p>
        </w:tc>
        <w:tc>
          <w:tcPr/>
          <w:p>
            <w:pPr>
              <w:pStyle w:val="Compact"/>
              <w:jc w:val="left"/>
            </w:pPr>
            <w:r>
              <w:t xml:space="preserve">1,589%</w:t>
            </w:r>
          </w:p>
        </w:tc>
      </w:tr>
      <w:tr>
        <w:tc>
          <w:tcPr/>
          <w:p>
            <w:pPr>
              <w:pStyle w:val="Compact"/>
              <w:jc w:val="right"/>
            </w:pPr>
            <w:r>
              <w:t xml:space="preserve">0.808</w:t>
            </w:r>
          </w:p>
        </w:tc>
        <w:tc>
          <w:tcPr/>
          <w:p>
            <w:pPr>
              <w:pStyle w:val="Compact"/>
              <w:jc w:val="right"/>
            </w:pPr>
            <w:r>
              <w:t xml:space="preserve">0.01594</w:t>
            </w:r>
          </w:p>
        </w:tc>
        <w:tc>
          <w:tcPr/>
          <w:p>
            <w:pPr>
              <w:pStyle w:val="Compact"/>
              <w:jc w:val="left"/>
            </w:pPr>
            <w:r>
              <w:t xml:space="preserve">1,594%</w:t>
            </w:r>
          </w:p>
        </w:tc>
      </w:tr>
      <w:tr>
        <w:tc>
          <w:tcPr/>
          <w:p>
            <w:pPr>
              <w:pStyle w:val="Compact"/>
              <w:jc w:val="right"/>
            </w:pPr>
            <w:r>
              <w:t xml:space="preserve">0.886</w:t>
            </w:r>
          </w:p>
        </w:tc>
        <w:tc>
          <w:tcPr/>
          <w:p>
            <w:pPr>
              <w:pStyle w:val="Compact"/>
              <w:jc w:val="right"/>
            </w:pPr>
            <w:r>
              <w:t xml:space="preserve">0.01605</w:t>
            </w:r>
          </w:p>
        </w:tc>
        <w:tc>
          <w:tcPr/>
          <w:p>
            <w:pPr>
              <w:pStyle w:val="Compact"/>
              <w:jc w:val="left"/>
            </w:pPr>
            <w:r>
              <w:t xml:space="preserve">1,605%</w:t>
            </w:r>
          </w:p>
        </w:tc>
      </w:tr>
      <w:tr>
        <w:tc>
          <w:tcPr/>
          <w:p>
            <w:pPr>
              <w:pStyle w:val="Compact"/>
              <w:jc w:val="right"/>
            </w:pPr>
            <w:r>
              <w:t xml:space="preserve">1.236</w:t>
            </w:r>
          </w:p>
        </w:tc>
        <w:tc>
          <w:tcPr/>
          <w:p>
            <w:pPr>
              <w:pStyle w:val="Compact"/>
              <w:jc w:val="right"/>
            </w:pPr>
            <w:r>
              <w:t xml:space="preserve">0.01650</w:t>
            </w:r>
          </w:p>
        </w:tc>
        <w:tc>
          <w:tcPr/>
          <w:p>
            <w:pPr>
              <w:pStyle w:val="Compact"/>
              <w:jc w:val="left"/>
            </w:pPr>
            <w:r>
              <w:t xml:space="preserve">1,65%</w:t>
            </w:r>
          </w:p>
        </w:tc>
      </w:tr>
    </w:tbl>
    <w:bookmarkEnd w:id="50"/>
    <w:bookmarkEnd w:id="51"/>
    <w:bookmarkStart w:id="53" w:name="X96b896b92b42645ba88a707007c4252bf9e5cd7"/>
    <w:p>
      <w:pPr>
        <w:pStyle w:val="Heading3"/>
      </w:pPr>
      <w:r>
        <w:t xml:space="preserve">5.2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Start w:id="52" w:name="tbl-taux_inter"/>
    <w:p>
      <w:pPr>
        <w:pStyle w:val="TableCaption"/>
      </w:pPr>
      <w:r>
        <w:t xml:space="preserve">Table 4: Interpolation des taux actuariels pour avoir des taux de maturités pleines</w:t>
      </w:r>
    </w:p>
    <w:tbl>
      <w:tblPr>
        <w:tblStyle w:val="Table"/>
        <w:tblW w:type="auto" w:w="0"/>
        <w:tblLook w:firstRow="1" w:lastRow="0" w:firstColumn="0" w:lastColumn="0" w:noHBand="0" w:noVBand="0" w:val="0020"/>
        <w:tblCaption w:val="Table 4: Interpolation des taux actuariels pour avoir des taux de maturités pleines"/>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actuariel</w:t>
            </w:r>
          </w:p>
        </w:tc>
        <w:tc>
          <w:tcPr/>
          <w:p>
            <w:pPr>
              <w:pStyle w:val="Compact"/>
              <w:jc w:val="left"/>
            </w:pPr>
            <w:r>
              <w:t xml:space="preserve">Taux actuariel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0.01732</w:t>
            </w:r>
          </w:p>
        </w:tc>
        <w:tc>
          <w:tcPr/>
          <w:p>
            <w:pPr>
              <w:pStyle w:val="Compact"/>
              <w:jc w:val="left"/>
            </w:pPr>
            <w:r>
              <w:t xml:space="preserve">1,732%</w:t>
            </w:r>
          </w:p>
        </w:tc>
      </w:tr>
      <w:tr>
        <w:tc>
          <w:tcPr/>
          <w:p>
            <w:pPr>
              <w:pStyle w:val="Compact"/>
              <w:jc w:val="right"/>
            </w:pPr>
            <w:r>
              <w:t xml:space="preserve">3</w:t>
            </w:r>
          </w:p>
        </w:tc>
        <w:tc>
          <w:tcPr/>
          <w:p>
            <w:pPr>
              <w:pStyle w:val="Compact"/>
              <w:jc w:val="right"/>
            </w:pPr>
            <w:r>
              <w:t xml:space="preserve">0.01823</w:t>
            </w:r>
          </w:p>
        </w:tc>
        <w:tc>
          <w:tcPr/>
          <w:p>
            <w:pPr>
              <w:pStyle w:val="Compact"/>
              <w:jc w:val="left"/>
            </w:pPr>
            <w:r>
              <w:t xml:space="preserve">1,823%</w:t>
            </w:r>
          </w:p>
        </w:tc>
      </w:tr>
      <w:tr>
        <w:tc>
          <w:tcPr/>
          <w:p>
            <w:pPr>
              <w:pStyle w:val="Compact"/>
              <w:jc w:val="right"/>
            </w:pPr>
            <w:r>
              <w:t xml:space="preserve">4</w:t>
            </w:r>
          </w:p>
        </w:tc>
        <w:tc>
          <w:tcPr/>
          <w:p>
            <w:pPr>
              <w:pStyle w:val="Compact"/>
              <w:jc w:val="right"/>
            </w:pPr>
            <w:r>
              <w:t xml:space="preserve">0.01908</w:t>
            </w:r>
          </w:p>
        </w:tc>
        <w:tc>
          <w:tcPr/>
          <w:p>
            <w:pPr>
              <w:pStyle w:val="Compact"/>
              <w:jc w:val="left"/>
            </w:pPr>
            <w:r>
              <w:t xml:space="preserve">1,908%</w:t>
            </w:r>
          </w:p>
        </w:tc>
      </w:tr>
      <w:tr>
        <w:tc>
          <w:tcPr/>
          <w:p>
            <w:pPr>
              <w:pStyle w:val="Compact"/>
              <w:jc w:val="right"/>
            </w:pPr>
            <w:r>
              <w:t xml:space="preserve">5</w:t>
            </w:r>
          </w:p>
        </w:tc>
        <w:tc>
          <w:tcPr/>
          <w:p>
            <w:pPr>
              <w:pStyle w:val="Compact"/>
              <w:jc w:val="right"/>
            </w:pPr>
            <w:r>
              <w:t xml:space="preserve">0.01976</w:t>
            </w:r>
          </w:p>
        </w:tc>
        <w:tc>
          <w:tcPr/>
          <w:p>
            <w:pPr>
              <w:pStyle w:val="Compact"/>
              <w:jc w:val="left"/>
            </w:pPr>
            <w:r>
              <w:t xml:space="preserve">1,976%</w:t>
            </w:r>
          </w:p>
        </w:tc>
      </w:tr>
      <w:tr>
        <w:tc>
          <w:tcPr/>
          <w:p>
            <w:pPr>
              <w:pStyle w:val="Compact"/>
              <w:jc w:val="right"/>
            </w:pPr>
            <w:r>
              <w:t xml:space="preserve">6</w:t>
            </w:r>
          </w:p>
        </w:tc>
        <w:tc>
          <w:tcPr/>
          <w:p>
            <w:pPr>
              <w:pStyle w:val="Compact"/>
              <w:jc w:val="right"/>
            </w:pPr>
            <w:r>
              <w:t xml:space="preserve">0.02081</w:t>
            </w:r>
          </w:p>
        </w:tc>
        <w:tc>
          <w:tcPr/>
          <w:p>
            <w:pPr>
              <w:pStyle w:val="Compact"/>
              <w:jc w:val="left"/>
            </w:pPr>
            <w:r>
              <w:t xml:space="preserve">2,081%</w:t>
            </w:r>
          </w:p>
        </w:tc>
      </w:tr>
      <w:tr>
        <w:tc>
          <w:tcPr/>
          <w:p>
            <w:pPr>
              <w:pStyle w:val="Compact"/>
              <w:jc w:val="right"/>
            </w:pPr>
            <w:r>
              <w:t xml:space="preserve">7</w:t>
            </w:r>
          </w:p>
        </w:tc>
        <w:tc>
          <w:tcPr/>
          <w:p>
            <w:pPr>
              <w:pStyle w:val="Compact"/>
              <w:jc w:val="right"/>
            </w:pPr>
            <w:r>
              <w:t xml:space="preserve">0.02117</w:t>
            </w:r>
          </w:p>
        </w:tc>
        <w:tc>
          <w:tcPr/>
          <w:p>
            <w:pPr>
              <w:pStyle w:val="Compact"/>
              <w:jc w:val="left"/>
            </w:pPr>
            <w:r>
              <w:t xml:space="preserve">2,117%</w:t>
            </w:r>
          </w:p>
        </w:tc>
      </w:tr>
      <w:tr>
        <w:tc>
          <w:tcPr/>
          <w:p>
            <w:pPr>
              <w:pStyle w:val="Compact"/>
              <w:jc w:val="right"/>
            </w:pPr>
            <w:r>
              <w:t xml:space="preserve">8</w:t>
            </w:r>
          </w:p>
        </w:tc>
        <w:tc>
          <w:tcPr/>
          <w:p>
            <w:pPr>
              <w:pStyle w:val="Compact"/>
              <w:jc w:val="right"/>
            </w:pPr>
            <w:r>
              <w:t xml:space="preserve">0.02157</w:t>
            </w:r>
          </w:p>
        </w:tc>
        <w:tc>
          <w:tcPr/>
          <w:p>
            <w:pPr>
              <w:pStyle w:val="Compact"/>
              <w:jc w:val="left"/>
            </w:pPr>
            <w:r>
              <w:t xml:space="preserve">2,157%</w:t>
            </w:r>
          </w:p>
        </w:tc>
      </w:tr>
      <w:tr>
        <w:tc>
          <w:tcPr/>
          <w:p>
            <w:pPr>
              <w:pStyle w:val="Compact"/>
              <w:jc w:val="right"/>
            </w:pPr>
            <w:r>
              <w:t xml:space="preserve">9</w:t>
            </w:r>
          </w:p>
        </w:tc>
        <w:tc>
          <w:tcPr/>
          <w:p>
            <w:pPr>
              <w:pStyle w:val="Compact"/>
              <w:jc w:val="right"/>
            </w:pPr>
            <w:r>
              <w:t xml:space="preserve">0.02247</w:t>
            </w:r>
          </w:p>
        </w:tc>
        <w:tc>
          <w:tcPr/>
          <w:p>
            <w:pPr>
              <w:pStyle w:val="Compact"/>
              <w:jc w:val="left"/>
            </w:pPr>
            <w:r>
              <w:t xml:space="preserve">2,247%</w:t>
            </w:r>
          </w:p>
        </w:tc>
      </w:tr>
      <w:tr>
        <w:tc>
          <w:tcPr/>
          <w:p>
            <w:pPr>
              <w:pStyle w:val="Compact"/>
              <w:jc w:val="right"/>
            </w:pPr>
            <w:r>
              <w:t xml:space="preserve">10</w:t>
            </w:r>
          </w:p>
        </w:tc>
        <w:tc>
          <w:tcPr/>
          <w:p>
            <w:pPr>
              <w:pStyle w:val="Compact"/>
              <w:jc w:val="right"/>
            </w:pPr>
            <w:r>
              <w:t xml:space="preserve">0.02318</w:t>
            </w:r>
          </w:p>
        </w:tc>
        <w:tc>
          <w:tcPr/>
          <w:p>
            <w:pPr>
              <w:pStyle w:val="Compact"/>
              <w:jc w:val="left"/>
            </w:pPr>
            <w:r>
              <w:t xml:space="preserve">2,318%</w:t>
            </w:r>
          </w:p>
        </w:tc>
      </w:tr>
    </w:tbl>
    <w:bookmarkEnd w:id="52"/>
    <w:bookmarkEnd w:id="53"/>
    <w:bookmarkStart w:id="55" w:name="la-méthode-de-bootstrap"/>
    <w:p>
      <w:pPr>
        <w:pStyle w:val="Heading3"/>
      </w:pPr>
      <w:r>
        <w:t xml:space="preserve">5.3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4"/>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05"/>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p>
      <w:pPr>
        <w:pStyle w:val="FirstParagraph"/>
      </w:pPr>
      <w:r>
        <w:t xml:space="preserve">En effet, on a supposé que le prix théorique d’une obligation correspond à la somme de ses flux futures actualisés aux taux zéro-coupon de l’échéance de chaque flux:</w:t>
      </w:r>
    </w:p>
    <w:p>
      <w:pPr>
        <w:pStyle w:val="BodyText"/>
      </w:pPr>
      <m:oMathPara>
        <m:oMathParaPr>
          <m:jc m:val="center"/>
        </m:oMathParaPr>
        <m:oMath>
          <m:r>
            <m:t>P</m:t>
          </m:r>
          <m:r>
            <m:rPr>
              <m:sty m:val="p"/>
            </m:rPr>
            <m:t>=</m:t>
          </m:r>
          <m:f>
            <m:fPr>
              <m:type m:val="bar"/>
            </m:fPr>
            <m:num>
              <m:sSub>
                <m:e>
                  <m:r>
                    <m:t>t</m:t>
                  </m:r>
                </m:e>
                <m:sub>
                  <m:r>
                    <m:t>n</m:t>
                  </m:r>
                </m:sub>
              </m:sSub>
              <m:r>
                <m:rPr>
                  <m:sty m:val="p"/>
                </m:rPr>
                <m:t>*</m:t>
              </m:r>
              <m:r>
                <m:t>N</m:t>
              </m:r>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r>
                <m:rPr>
                  <m:sty m:val="p"/>
                </m:rPr>
                <m:t>*</m:t>
              </m:r>
              <m:r>
                <m:t>N</m:t>
              </m:r>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N</m:t>
              </m:r>
              <m:r>
                <m:rPr>
                  <m:sty m:val="p"/>
                </m:rPr>
                <m:t>+</m:t>
              </m:r>
              <m:sSub>
                <m:e>
                  <m:r>
                    <m:t>t</m:t>
                  </m:r>
                </m:e>
                <m:sub>
                  <m:r>
                    <m:t>n</m:t>
                  </m:r>
                </m:sub>
              </m:sSub>
              <m:r>
                <m:rPr>
                  <m:sty m:val="p"/>
                </m:rPr>
                <m:t>*</m:t>
              </m:r>
              <m:r>
                <m:t>N</m:t>
              </m:r>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w:r>
        <w:t xml:space="preserve">-</w:t>
      </w:r>
      <m:oMath>
        <m:r>
          <m:t>P</m:t>
        </m:r>
      </m:oMath>
      <w:r>
        <w:t xml:space="preserve"> </w:t>
      </w:r>
      <w:r>
        <w:t xml:space="preserve">: Prix d’émission du bon de trésor.</w:t>
      </w:r>
    </w:p>
    <w:p>
      <w:pPr>
        <w:pStyle w:val="BodyText"/>
      </w:pPr>
      <w:r>
        <w:t xml:space="preserve">-</w:t>
      </w:r>
      <m:oMath>
        <m:r>
          <m:t>N</m:t>
        </m:r>
      </m:oMath>
      <w:r>
        <w:t xml:space="preserve"> </w:t>
      </w:r>
      <w:r>
        <w:t xml:space="preserve">: Valeur Nominale du bon de trésor.</w:t>
      </w:r>
    </w:p>
    <w:p>
      <w:pPr>
        <w:pStyle w:val="BodyText"/>
      </w:pPr>
      <w:r>
        <w:t xml:space="preserve">Et puisque nous avons supposé que les obligations des Bons du trésor sont émises au pair, c’est-à-dire que le prix d’émission des obligations des bons du trésor et leur valeur nominale sont égaux</w:t>
      </w:r>
      <w:r>
        <w:t xml:space="preserve"> </w:t>
      </w:r>
      <m:oMath>
        <m:d>
          <m:dPr>
            <m:begChr m:val="("/>
            <m:endChr m:val=")"/>
            <m:sepChr m:val=""/>
            <m:grow/>
          </m:dPr>
          <m:e>
            <m:r>
              <m:t>P</m:t>
            </m:r>
            <m:r>
              <m:rPr>
                <m:sty m:val="p"/>
              </m:rPr>
              <m:t>=</m:t>
            </m:r>
            <m:r>
              <m:t>N</m:t>
            </m:r>
          </m:e>
        </m:d>
      </m:oMath>
      <w:r>
        <w:t xml:space="preserve">, on trouve:</w:t>
      </w:r>
    </w:p>
    <w:p>
      <w:pPr>
        <w:pStyle w:val="BodyText"/>
      </w:pPr>
      <m:oMathPara>
        <m:oMathParaPr>
          <m:jc m:val="center"/>
        </m:oMathParaPr>
        <m:oMath>
          <m:r>
            <m:t>1</m:t>
          </m:r>
          <m:r>
            <m:rPr>
              <m:sty m:val="p"/>
            </m:rPr>
            <m:t>=</m:t>
          </m:r>
          <m:f>
            <m:fPr>
              <m:type m:val="bar"/>
            </m:fPr>
            <m:num>
              <m:sSub>
                <m:e>
                  <m:r>
                    <m:t>t</m:t>
                  </m:r>
                </m:e>
                <m:sub>
                  <m:r>
                    <m:t>n</m:t>
                  </m:r>
                </m:sub>
              </m:sSub>
            </m:num>
            <m:den>
              <m:d>
                <m:dPr>
                  <m:begChr m:val="("/>
                  <m:endChr m:val=")"/>
                  <m:sepChr m:val=""/>
                  <m:grow/>
                </m:dPr>
                <m:e>
                  <m:r>
                    <m:t>1</m:t>
                  </m:r>
                  <m:r>
                    <m:rPr>
                      <m:sty m:val="p"/>
                    </m:rPr>
                    <m:t>+</m:t>
                  </m:r>
                  <m:sSub>
                    <m:e>
                      <m:r>
                        <m:t>R</m:t>
                      </m:r>
                    </m:e>
                    <m:sub>
                      <m:r>
                        <m:t>1</m:t>
                      </m:r>
                    </m:sub>
                  </m:sSub>
                </m:e>
              </m:d>
            </m:den>
          </m:f>
          <m:r>
            <m:rPr>
              <m:sty m:val="p"/>
            </m:rPr>
            <m:t>+</m:t>
          </m:r>
          <m:f>
            <m:fPr>
              <m:type m:val="bar"/>
            </m:fPr>
            <m:num>
              <m:sSub>
                <m:e>
                  <m:r>
                    <m:t>t</m:t>
                  </m:r>
                </m:e>
                <m:sub>
                  <m:r>
                    <m:t>n</m:t>
                  </m:r>
                </m:sub>
              </m:sSub>
            </m:num>
            <m:den>
              <m:sSup>
                <m:e>
                  <m:d>
                    <m:dPr>
                      <m:begChr m:val="("/>
                      <m:endChr m:val=")"/>
                      <m:sepChr m:val=""/>
                      <m:grow/>
                    </m:dPr>
                    <m:e>
                      <m:r>
                        <m:t>1</m:t>
                      </m:r>
                      <m:r>
                        <m:rPr>
                          <m:sty m:val="p"/>
                        </m:rPr>
                        <m:t>+</m:t>
                      </m:r>
                      <m:sSub>
                        <m:e>
                          <m:r>
                            <m:t>R</m:t>
                          </m:r>
                        </m:e>
                        <m:sub>
                          <m:r>
                            <m:t>2</m:t>
                          </m:r>
                        </m:sub>
                      </m:sSub>
                    </m:e>
                  </m:d>
                </m:e>
                <m:sup>
                  <m:r>
                    <m:t>2</m:t>
                  </m:r>
                </m:sup>
              </m:sSup>
            </m:den>
          </m:f>
          <m:r>
            <m:rPr>
              <m:sty m:val="p"/>
            </m:rPr>
            <m:t>+</m:t>
          </m:r>
          <m:r>
            <m:rPr>
              <m:sty m:val="p"/>
            </m:rPr>
            <m:t>…</m:t>
          </m:r>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oMath>
      </m:oMathPara>
    </w:p>
    <w:p>
      <w:pPr>
        <w:pStyle w:val="FirstParagraph"/>
      </w:pPr>
      <m:oMathPara>
        <m:oMathParaPr>
          <m:jc m:val="center"/>
        </m:oMathParaPr>
        <m:oMath>
          <m:r>
            <m:rPr>
              <m:sty m:val="p"/>
            </m:rPr>
            <m:t>⟹</m:t>
          </m:r>
          <m:f>
            <m:fPr>
              <m:type m:val="bar"/>
            </m:fPr>
            <m:num>
              <m:r>
                <m:t>1</m:t>
              </m:r>
              <m:r>
                <m:rPr>
                  <m:sty m:val="p"/>
                </m:rPr>
                <m:t>+</m:t>
              </m:r>
              <m:sSub>
                <m:e>
                  <m:r>
                    <m:t>t</m:t>
                  </m:r>
                </m:e>
                <m:sub>
                  <m:r>
                    <m:t>n</m:t>
                  </m:r>
                </m:sub>
              </m:sSub>
            </m:num>
            <m:den>
              <m:sSup>
                <m:e>
                  <m:d>
                    <m:dPr>
                      <m:begChr m:val="("/>
                      <m:endChr m:val=")"/>
                      <m:sepChr m:val=""/>
                      <m:grow/>
                    </m:dPr>
                    <m:e>
                      <m:r>
                        <m:t>1</m:t>
                      </m:r>
                      <m:r>
                        <m:rPr>
                          <m:sty m:val="p"/>
                        </m:rPr>
                        <m:t>+</m:t>
                      </m:r>
                      <m:sSub>
                        <m:e>
                          <m:r>
                            <m:t>R</m:t>
                          </m:r>
                        </m:e>
                        <m:sub>
                          <m:r>
                            <m:t>n</m:t>
                          </m:r>
                        </m:sub>
                      </m:sSub>
                    </m:e>
                  </m:d>
                </m:e>
                <m:sup>
                  <m:r>
                    <m:t>n</m:t>
                  </m:r>
                </m:sup>
              </m:sSup>
            </m:den>
          </m:f>
          <m:r>
            <m:rPr>
              <m:sty m:val="p"/>
            </m:rPr>
            <m:t>=</m:t>
          </m:r>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m:oMathPara>
        <m:oMathParaPr>
          <m:jc m:val="center"/>
        </m:oMathParaPr>
        <m:oMath>
          <m:r>
            <m:rPr>
              <m:sty m:val="p"/>
            </m:rPr>
            <m:t>⟹</m:t>
          </m:r>
          <m:sSup>
            <m:e>
              <m:d>
                <m:dPr>
                  <m:begChr m:val="("/>
                  <m:endChr m:val=")"/>
                  <m:sepChr m:val=""/>
                  <m:grow/>
                </m:dPr>
                <m:e>
                  <m:r>
                    <m:t>1</m:t>
                  </m:r>
                  <m:r>
                    <m:rPr>
                      <m:sty m:val="p"/>
                    </m:rPr>
                    <m:t>+</m:t>
                  </m:r>
                  <m:sSub>
                    <m:e>
                      <m:r>
                        <m:t>R</m:t>
                      </m:r>
                    </m:e>
                    <m:sub>
                      <m:r>
                        <m:t>n</m:t>
                      </m:r>
                    </m:sub>
                  </m:sSub>
                </m:e>
              </m:d>
            </m:e>
            <m:sup>
              <m:r>
                <m:t>n</m:t>
              </m:r>
            </m:sup>
          </m:sSup>
          <m:r>
            <m:rPr>
              <m:sty m:val="p"/>
            </m:rPr>
            <m:t>=</m:t>
          </m:r>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oMath>
      </m:oMathPara>
    </w:p>
    <w:p>
      <w:pPr>
        <w:pStyle w:val="FirstParagraph"/>
      </w:pPr>
      <w:r>
        <w:t xml:space="preserve">On en arrive à la conclusion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Start w:id="54" w:name="tbl-taux_zc"/>
    <w:p>
      <w:pPr>
        <w:pStyle w:val="TableCaption"/>
      </w:pPr>
      <w:r>
        <w:t xml:space="preserve">Table 5: Transformation du taux actuariel en taux ZC avec la méthode Boostrap</w:t>
      </w:r>
    </w:p>
    <w:tbl>
      <w:tblPr>
        <w:tblStyle w:val="Table"/>
        <w:tblW w:type="auto" w:w="0"/>
        <w:tblLook w:firstRow="1" w:lastRow="0" w:firstColumn="0" w:lastColumn="0" w:noHBand="0" w:noVBand="0" w:val="0020"/>
        <w:tblCaption w:val="Table 5: Transformation du taux actuariel en taux ZC avec la méthode Boostrap"/>
      </w:tblPr>
      <w:tblGrid>
        <w:gridCol w:w="2640"/>
        <w:gridCol w:w="2640"/>
        <w:gridCol w:w="2640"/>
      </w:tblGrid>
      <w:tr>
        <w:trPr>
          <w:tblHeader w:val="true"/>
        </w:trPr>
        <w:tc>
          <w:tcPr/>
          <w:p>
            <w:pPr>
              <w:pStyle w:val="Compact"/>
              <w:jc w:val="right"/>
            </w:pPr>
            <w:r>
              <w:t xml:space="preserve">Maturité</w:t>
            </w:r>
          </w:p>
        </w:tc>
        <w:tc>
          <w:tcPr/>
          <w:p>
            <w:pPr>
              <w:pStyle w:val="Compact"/>
              <w:jc w:val="right"/>
            </w:pPr>
            <w:r>
              <w:t xml:space="preserve">Taux zéro coupon</w:t>
            </w:r>
          </w:p>
        </w:tc>
        <w:tc>
          <w:tcPr/>
          <w:p>
            <w:pPr>
              <w:pStyle w:val="Compact"/>
              <w:jc w:val="left"/>
            </w:pPr>
            <w:r>
              <w:t xml:space="preserve">Taux zéro coupon (%)</w:t>
            </w:r>
          </w:p>
        </w:tc>
      </w:tr>
      <w:tr>
        <w:tc>
          <w:tcPr/>
          <w:p>
            <w:pPr>
              <w:pStyle w:val="Compact"/>
              <w:jc w:val="right"/>
            </w:pPr>
            <w:r>
              <w:t xml:space="preserve">1</w:t>
            </w:r>
          </w:p>
        </w:tc>
        <w:tc>
          <w:tcPr/>
          <w:p>
            <w:pPr>
              <w:pStyle w:val="Compact"/>
              <w:jc w:val="right"/>
            </w:pPr>
            <w:r>
              <w:t xml:space="preserve">0.01620</w:t>
            </w:r>
          </w:p>
        </w:tc>
        <w:tc>
          <w:tcPr/>
          <w:p>
            <w:pPr>
              <w:pStyle w:val="Compact"/>
              <w:jc w:val="left"/>
            </w:pPr>
            <w:r>
              <w:t xml:space="preserve">1,62%</w:t>
            </w:r>
          </w:p>
        </w:tc>
      </w:tr>
      <w:tr>
        <w:tc>
          <w:tcPr/>
          <w:p>
            <w:pPr>
              <w:pStyle w:val="Compact"/>
              <w:jc w:val="right"/>
            </w:pPr>
            <w:r>
              <w:t xml:space="preserve">2</w:t>
            </w:r>
          </w:p>
        </w:tc>
        <w:tc>
          <w:tcPr/>
          <w:p>
            <w:pPr>
              <w:pStyle w:val="Compact"/>
              <w:jc w:val="right"/>
            </w:pPr>
            <w:r>
              <w:t xml:space="preserve">0.01733</w:t>
            </w:r>
          </w:p>
        </w:tc>
        <w:tc>
          <w:tcPr/>
          <w:p>
            <w:pPr>
              <w:pStyle w:val="Compact"/>
              <w:jc w:val="left"/>
            </w:pPr>
            <w:r>
              <w:t xml:space="preserve">1,733%</w:t>
            </w:r>
          </w:p>
        </w:tc>
      </w:tr>
      <w:tr>
        <w:tc>
          <w:tcPr/>
          <w:p>
            <w:pPr>
              <w:pStyle w:val="Compact"/>
              <w:jc w:val="right"/>
            </w:pPr>
            <w:r>
              <w:t xml:space="preserve">3</w:t>
            </w:r>
          </w:p>
        </w:tc>
        <w:tc>
          <w:tcPr/>
          <w:p>
            <w:pPr>
              <w:pStyle w:val="Compact"/>
              <w:jc w:val="right"/>
            </w:pPr>
            <w:r>
              <w:t xml:space="preserve">0.01825</w:t>
            </w:r>
          </w:p>
        </w:tc>
        <w:tc>
          <w:tcPr/>
          <w:p>
            <w:pPr>
              <w:pStyle w:val="Compact"/>
              <w:jc w:val="left"/>
            </w:pPr>
            <w:r>
              <w:t xml:space="preserve">1,825%</w:t>
            </w:r>
          </w:p>
        </w:tc>
      </w:tr>
      <w:tr>
        <w:tc>
          <w:tcPr/>
          <w:p>
            <w:pPr>
              <w:pStyle w:val="Compact"/>
              <w:jc w:val="right"/>
            </w:pPr>
            <w:r>
              <w:t xml:space="preserve">4</w:t>
            </w:r>
          </w:p>
        </w:tc>
        <w:tc>
          <w:tcPr/>
          <w:p>
            <w:pPr>
              <w:pStyle w:val="Compact"/>
              <w:jc w:val="right"/>
            </w:pPr>
            <w:r>
              <w:t xml:space="preserve">0.01912</w:t>
            </w:r>
          </w:p>
        </w:tc>
        <w:tc>
          <w:tcPr/>
          <w:p>
            <w:pPr>
              <w:pStyle w:val="Compact"/>
              <w:jc w:val="left"/>
            </w:pPr>
            <w:r>
              <w:t xml:space="preserve">1,912%</w:t>
            </w:r>
          </w:p>
        </w:tc>
      </w:tr>
      <w:tr>
        <w:tc>
          <w:tcPr/>
          <w:p>
            <w:pPr>
              <w:pStyle w:val="Compact"/>
              <w:jc w:val="right"/>
            </w:pPr>
            <w:r>
              <w:t xml:space="preserve">5</w:t>
            </w:r>
          </w:p>
        </w:tc>
        <w:tc>
          <w:tcPr/>
          <w:p>
            <w:pPr>
              <w:pStyle w:val="Compact"/>
              <w:jc w:val="right"/>
            </w:pPr>
            <w:r>
              <w:t xml:space="preserve">0.01982</w:t>
            </w:r>
          </w:p>
        </w:tc>
        <w:tc>
          <w:tcPr/>
          <w:p>
            <w:pPr>
              <w:pStyle w:val="Compact"/>
              <w:jc w:val="left"/>
            </w:pPr>
            <w:r>
              <w:t xml:space="preserve">1,982%</w:t>
            </w:r>
          </w:p>
        </w:tc>
      </w:tr>
      <w:tr>
        <w:tc>
          <w:tcPr/>
          <w:p>
            <w:pPr>
              <w:pStyle w:val="Compact"/>
              <w:jc w:val="right"/>
            </w:pPr>
            <w:r>
              <w:t xml:space="preserve">6</w:t>
            </w:r>
          </w:p>
        </w:tc>
        <w:tc>
          <w:tcPr/>
          <w:p>
            <w:pPr>
              <w:pStyle w:val="Compact"/>
              <w:jc w:val="right"/>
            </w:pPr>
            <w:r>
              <w:t xml:space="preserve">0.02092</w:t>
            </w:r>
          </w:p>
        </w:tc>
        <w:tc>
          <w:tcPr/>
          <w:p>
            <w:pPr>
              <w:pStyle w:val="Compact"/>
              <w:jc w:val="left"/>
            </w:pPr>
            <w:r>
              <w:t xml:space="preserve">2,092%</w:t>
            </w:r>
          </w:p>
        </w:tc>
      </w:tr>
      <w:tr>
        <w:tc>
          <w:tcPr/>
          <w:p>
            <w:pPr>
              <w:pStyle w:val="Compact"/>
              <w:jc w:val="right"/>
            </w:pPr>
            <w:r>
              <w:t xml:space="preserve">7</w:t>
            </w:r>
          </w:p>
        </w:tc>
        <w:tc>
          <w:tcPr/>
          <w:p>
            <w:pPr>
              <w:pStyle w:val="Compact"/>
              <w:jc w:val="right"/>
            </w:pPr>
            <w:r>
              <w:t xml:space="preserve">0.02129</w:t>
            </w:r>
          </w:p>
        </w:tc>
        <w:tc>
          <w:tcPr/>
          <w:p>
            <w:pPr>
              <w:pStyle w:val="Compact"/>
              <w:jc w:val="left"/>
            </w:pPr>
            <w:r>
              <w:t xml:space="preserve">2,129%</w:t>
            </w:r>
          </w:p>
        </w:tc>
      </w:tr>
      <w:tr>
        <w:tc>
          <w:tcPr/>
          <w:p>
            <w:pPr>
              <w:pStyle w:val="Compact"/>
              <w:jc w:val="right"/>
            </w:pPr>
            <w:r>
              <w:t xml:space="preserve">8</w:t>
            </w:r>
          </w:p>
        </w:tc>
        <w:tc>
          <w:tcPr/>
          <w:p>
            <w:pPr>
              <w:pStyle w:val="Compact"/>
              <w:jc w:val="right"/>
            </w:pPr>
            <w:r>
              <w:t xml:space="preserve">0.02171</w:t>
            </w:r>
          </w:p>
        </w:tc>
        <w:tc>
          <w:tcPr/>
          <w:p>
            <w:pPr>
              <w:pStyle w:val="Compact"/>
              <w:jc w:val="left"/>
            </w:pPr>
            <w:r>
              <w:t xml:space="preserve">2,171%</w:t>
            </w:r>
          </w:p>
        </w:tc>
      </w:tr>
      <w:tr>
        <w:tc>
          <w:tcPr/>
          <w:p>
            <w:pPr>
              <w:pStyle w:val="Compact"/>
              <w:jc w:val="right"/>
            </w:pPr>
            <w:r>
              <w:t xml:space="preserve">9</w:t>
            </w:r>
          </w:p>
        </w:tc>
        <w:tc>
          <w:tcPr/>
          <w:p>
            <w:pPr>
              <w:pStyle w:val="Compact"/>
              <w:jc w:val="right"/>
            </w:pPr>
            <w:r>
              <w:t xml:space="preserve">0.02269</w:t>
            </w:r>
          </w:p>
        </w:tc>
        <w:tc>
          <w:tcPr/>
          <w:p>
            <w:pPr>
              <w:pStyle w:val="Compact"/>
              <w:jc w:val="left"/>
            </w:pPr>
            <w:r>
              <w:t xml:space="preserve">2,269%</w:t>
            </w:r>
          </w:p>
        </w:tc>
      </w:tr>
      <w:tr>
        <w:tc>
          <w:tcPr/>
          <w:p>
            <w:pPr>
              <w:pStyle w:val="Compact"/>
              <w:jc w:val="right"/>
            </w:pPr>
            <w:r>
              <w:t xml:space="preserve">10</w:t>
            </w:r>
          </w:p>
        </w:tc>
        <w:tc>
          <w:tcPr/>
          <w:p>
            <w:pPr>
              <w:pStyle w:val="Compact"/>
              <w:jc w:val="right"/>
            </w:pPr>
            <w:r>
              <w:t xml:space="preserve">0.02346</w:t>
            </w:r>
          </w:p>
        </w:tc>
        <w:tc>
          <w:tcPr/>
          <w:p>
            <w:pPr>
              <w:pStyle w:val="Compact"/>
              <w:jc w:val="left"/>
            </w:pPr>
            <w:r>
              <w:t xml:space="preserve">2,346%</w:t>
            </w:r>
          </w:p>
        </w:tc>
      </w:tr>
    </w:tbl>
    <w:bookmarkEnd w:id="54"/>
    <w:bookmarkEnd w:id="55"/>
    <w:bookmarkStart w:id="56" w:name="X336f36db0687334b747abecf8d379445810500d"/>
    <w:p>
      <w:pPr>
        <w:pStyle w:val="Heading3"/>
      </w:pPr>
      <w:r>
        <w:t xml:space="preserve">5.4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06"/>
        </w:numPr>
        <w:pStyle w:val="Compact"/>
      </w:pPr>
      <w:r>
        <w:t xml:space="preserve">le UFR (Ultimate Forward Rate)</w:t>
      </w:r>
    </w:p>
    <w:p>
      <w:pPr>
        <w:numPr>
          <w:ilvl w:val="0"/>
          <w:numId w:val="1006"/>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07"/>
        </w:numPr>
        <w:pStyle w:val="Compact"/>
      </w:pPr>
      <m:oMath>
        <m:r>
          <m:t>W</m:t>
        </m:r>
      </m:oMath>
      <w:r>
        <w:t xml:space="preserve"> </w:t>
      </w:r>
      <w:r>
        <w:t xml:space="preserve">représente un ensemble de fonctions à noyau pour chaque prix d’obligation observable d’entrée.</w:t>
      </w:r>
    </w:p>
    <w:p>
      <w:pPr>
        <w:numPr>
          <w:ilvl w:val="0"/>
          <w:numId w:val="1007"/>
        </w:numPr>
        <w:pStyle w:val="Compact"/>
      </w:pPr>
      <m:oMath>
        <m:r>
          <m:t>α</m:t>
        </m:r>
      </m:oMath>
      <w:r>
        <w:t xml:space="preserve"> </w:t>
      </w:r>
      <w:r>
        <w:t xml:space="preserve">: la vitesse de convergence vers le UFR.</w:t>
      </w:r>
    </w:p>
    <w:p>
      <w:pPr>
        <w:numPr>
          <w:ilvl w:val="0"/>
          <w:numId w:val="1007"/>
        </w:numPr>
        <w:pStyle w:val="Compact"/>
      </w:pPr>
      <m:oMath>
        <m:r>
          <m:t>N</m:t>
        </m:r>
      </m:oMath>
      <w:r>
        <w:t xml:space="preserve">: le nombre d’obligations ZC dont le prix est observésur le marché.</w:t>
      </w:r>
    </w:p>
    <w:p>
      <w:pPr>
        <w:numPr>
          <w:ilvl w:val="0"/>
          <w:numId w:val="1007"/>
        </w:numPr>
        <w:pStyle w:val="Compact"/>
      </w:pPr>
      <m:oMath>
        <m:sSub>
          <m:e>
            <m:r>
              <m:t>u</m:t>
            </m:r>
          </m:e>
          <m:sub>
            <m:r>
              <m:t>j</m:t>
            </m:r>
          </m:sub>
        </m:sSub>
      </m:oMath>
      <w:r>
        <w:t xml:space="preserve">: la j-ème maturité disponible. .</w:t>
      </w:r>
    </w:p>
    <w:p>
      <w:pPr>
        <w:numPr>
          <w:ilvl w:val="0"/>
          <w:numId w:val="1007"/>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56"/>
    <w:bookmarkEnd w:id="57"/>
    <w:bookmarkStart w:id="106" w:name="X3c86a714d03aed139a19db084b97b445aa0c8e4"/>
    <w:p>
      <w:pPr>
        <w:pStyle w:val="Heading2"/>
      </w:pPr>
      <w:r>
        <w:t xml:space="preserve">6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08"/>
        </w:numPr>
      </w:pPr>
      <m:oMath>
        <m:r>
          <m:t>P</m:t>
        </m:r>
        <m:r>
          <m:t>T</m:t>
        </m:r>
      </m:oMath>
      <w:r>
        <w:t xml:space="preserve"> </w:t>
      </w:r>
      <w:r>
        <w:t xml:space="preserve">: la provision technique</w:t>
      </w:r>
    </w:p>
    <w:p>
      <w:pPr>
        <w:numPr>
          <w:ilvl w:val="0"/>
          <w:numId w:val="1008"/>
        </w:numPr>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08"/>
        </w:numPr>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08"/>
        </w:numPr>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63" w:name="X32462c7e3a0a11848884f7548d4747bc280232c"/>
    <w:p>
      <w:pPr>
        <w:pStyle w:val="Heading3"/>
      </w:pPr>
      <w:r>
        <w:t xml:space="preserve">6.1 Opérations d’assurance vie, décès ou capitalisation:</w:t>
      </w:r>
    </w:p>
    <w:bookmarkStart w:id="61" w:name="Xc53c51e1abf3296dd0041db77db5363caf8f222"/>
    <w:p>
      <w:pPr>
        <w:pStyle w:val="Heading4"/>
      </w:pPr>
      <w:r>
        <w:t xml:space="preserve">6.1.1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09"/>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09"/>
        </w:numPr>
        <w:pStyle w:val="Compact"/>
      </w:pPr>
      <m:oMath>
        <m:r>
          <m:t>B</m:t>
        </m:r>
        <m:r>
          <m:t>D</m:t>
        </m:r>
        <m:r>
          <m:t>F</m:t>
        </m:r>
      </m:oMath>
      <w:r>
        <w:t xml:space="preserve">: les bénéfices discrétionnaires futurs.</w:t>
      </w:r>
    </w:p>
    <w:bookmarkStart w:id="59" w:name="sec-MEGP"/>
    <w:p>
      <w:pPr>
        <w:pStyle w:val="Heading5"/>
      </w:pPr>
      <w:r>
        <w:t xml:space="preserve">6.1.1.1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0"/>
        </w:numPr>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10"/>
        </w:numPr>
      </w:pPr>
      <m:oMath>
        <m:r>
          <m:t>C</m:t>
        </m:r>
        <m:sSubSup>
          <m:e>
            <m:r>
              <m:t>F</m:t>
            </m:r>
          </m:e>
          <m:sub>
            <m:r>
              <m:t>t</m:t>
            </m:r>
          </m:sub>
          <m:sup>
            <m:r>
              <m:t>D</m:t>
            </m:r>
            <m:r>
              <m:t>é</m:t>
            </m:r>
            <m:r>
              <m:t>c</m:t>
            </m:r>
          </m:sup>
        </m:sSubSup>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0"/>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0"/>
        </w:numPr>
      </w:pPr>
      <w:r>
        <w:rPr>
          <w:bCs/>
          <w:b/>
        </w:rPr>
        <w:t xml:space="preserve">La table de rachat en montant</w:t>
      </w:r>
      <w:r>
        <w:t xml:space="preserve">.</w:t>
      </w:r>
    </w:p>
    <w:p>
      <w:pPr>
        <w:numPr>
          <w:ilvl w:val="0"/>
          <w:numId w:val="1010"/>
        </w:numPr>
      </w:pPr>
      <w:r>
        <w:rPr>
          <w:bCs/>
          <w:b/>
        </w:rPr>
        <w:t xml:space="preserve">La table de résiliation</w:t>
      </w:r>
      <w:r>
        <w:t xml:space="preserve">.</w:t>
      </w:r>
    </w:p>
    <w:p>
      <w:pPr>
        <w:numPr>
          <w:ilvl w:val="0"/>
          <w:numId w:val="1010"/>
        </w:numPr>
      </w:pPr>
      <w:r>
        <w:rPr>
          <w:bCs/>
          <w:b/>
        </w:rPr>
        <w:t xml:space="preserve">Un taux de sortie en rente</w:t>
      </w:r>
      <w:r>
        <w:t xml:space="preserve">.</w:t>
      </w:r>
    </w:p>
    <w:p>
      <w:pPr>
        <w:pStyle w:val="FirstParagraph"/>
      </w:pPr>
      <w:r>
        <w:rPr>
          <w:bCs/>
          <w:b/>
        </w:rPr>
        <w:t xml:space="preserve">Remarque:</w:t>
      </w:r>
    </w:p>
    <w:p>
      <w:pPr>
        <w:pStyle w:val="BodyText"/>
      </w:pPr>
      <w:r>
        <w:t xml:space="preserve">Les flux de trésorerie futurs probabilisés précités sont déterminés en considérant un horizon de projection suffisant pour la couverture de l’ensemble de la durée de vie des engagements à la date d’inventaire.</w:t>
      </w:r>
    </w:p>
    <w:p>
      <w:pPr>
        <w:pStyle w:val="BodyText"/>
      </w:pPr>
      <w:r>
        <w:rPr>
          <w:bCs/>
          <w:b/>
        </w:rPr>
        <w:t xml:space="preserve">Exemple</w:t>
      </w:r>
      <w:r>
        <w:t xml:space="preserve"> </w:t>
      </w:r>
      <w:r>
        <w:t xml:space="preserve">:</w:t>
      </w:r>
    </w:p>
    <w:p>
      <w:pPr>
        <w:pStyle w:val="BodyText"/>
      </w:pPr>
      <w:r>
        <w:t xml:space="preserve">Si on prend l’exemple d’un contrat d’assurance-vie mixte</w:t>
      </w:r>
      <w:r>
        <w:rPr>
          <w:rStyle w:val="FootnoteReference"/>
        </w:rPr>
        <w:footnoteReference w:id="58"/>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bookmarkEnd w:id="59"/>
    <w:bookmarkStart w:id="60" w:name="bénéfices-discrétionnaires-futurs"/>
    <w:p>
      <w:pPr>
        <w:pStyle w:val="Heading5"/>
      </w:pPr>
      <w:r>
        <w:t xml:space="preserve">6.1.1.2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11"/>
        </w:numPr>
      </w:pPr>
      <m:oMath>
        <m:r>
          <m:t>P</m:t>
        </m:r>
        <m:r>
          <m:t>P</m:t>
        </m:r>
        <m:r>
          <m:t>B</m:t>
        </m:r>
      </m:oMath>
      <w:r>
        <w:t xml:space="preserve"> </w:t>
      </w:r>
      <w:r>
        <w:t xml:space="preserve">: Le montant de la provision pour participation aux bénéfices, évaluée à la valeur comptable;</w:t>
      </w:r>
    </w:p>
    <w:p>
      <w:pPr>
        <w:numPr>
          <w:ilvl w:val="0"/>
          <w:numId w:val="1011"/>
        </w:numPr>
      </w:pPr>
      <m:oMath>
        <m:r>
          <m:t>S</m:t>
        </m:r>
        <m:r>
          <m:t>o</m:t>
        </m:r>
        <m:r>
          <m:t>l</m:t>
        </m:r>
        <m:r>
          <m:t>d</m:t>
        </m:r>
        <m:r>
          <m:t>e</m:t>
        </m:r>
        <m:r>
          <m:t>T</m:t>
        </m:r>
      </m:oMath>
      <w:r>
        <w:t xml:space="preserve"> </w:t>
      </w:r>
      <w:r>
        <w:t xml:space="preserve">: Somme des soldes techniques.</w:t>
      </w:r>
    </w:p>
    <w:p>
      <w:pPr>
        <w:numPr>
          <w:ilvl w:val="0"/>
          <w:numId w:val="1011"/>
        </w:numPr>
      </w:pPr>
      <m:oMath>
        <m:r>
          <m:t>S</m:t>
        </m:r>
        <m:r>
          <m:t>o</m:t>
        </m:r>
        <m:r>
          <m:t>l</m:t>
        </m:r>
        <m:r>
          <m:t>d</m:t>
        </m:r>
        <m:r>
          <m:t>e</m:t>
        </m:r>
        <m:r>
          <m:t>F</m:t>
        </m:r>
      </m:oMath>
      <w:r>
        <w:t xml:space="preserve"> </w:t>
      </w:r>
      <w:r>
        <w:t xml:space="preserve">: Somme des soldes Financiers.</w:t>
      </w:r>
    </w:p>
    <w:p>
      <w:pPr>
        <w:numPr>
          <w:ilvl w:val="0"/>
          <w:numId w:val="1011"/>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2"/>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2"/>
        </w:numPr>
        <w:pStyle w:val="Compact"/>
      </w:pPr>
      <m:oMath>
        <m:r>
          <m:t>R</m:t>
        </m:r>
        <m:r>
          <m:t>T</m:t>
        </m:r>
      </m:oMath>
      <w:r>
        <w:t xml:space="preserve"> </w:t>
      </w:r>
      <w:r>
        <w:t xml:space="preserve">:les résultats techniques.</w:t>
      </w:r>
    </w:p>
    <w:p>
      <w:pPr>
        <w:numPr>
          <w:ilvl w:val="0"/>
          <w:numId w:val="1012"/>
        </w:numPr>
        <w:pStyle w:val="Compact"/>
      </w:pPr>
      <m:oMath>
        <m:r>
          <m:t>R</m:t>
        </m:r>
        <m:r>
          <m:t>F</m:t>
        </m:r>
      </m:oMath>
      <w:r>
        <w:t xml:space="preserve"> </w:t>
      </w:r>
      <w:r>
        <w:t xml:space="preserve">:les résultats financiers.</w:t>
      </w:r>
    </w:p>
    <w:bookmarkEnd w:id="60"/>
    <w:bookmarkEnd w:id="61"/>
    <w:bookmarkStart w:id="62" w:name="X0dedfd34ddaeaf1baa3793d4b4da364b43b18e0"/>
    <w:p>
      <w:pPr>
        <w:pStyle w:val="Heading4"/>
      </w:pPr>
      <w:r>
        <w:t xml:space="preserve">6.1.2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w:r>
        <w:t xml:space="preserve">Avec :</w:t>
      </w:r>
    </w:p>
    <w:p>
      <w:pPr>
        <w:numPr>
          <w:ilvl w:val="0"/>
          <w:numId w:val="1013"/>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 derniers exercices clos des montants de frais de gestion unitaires.</w:t>
      </w:r>
    </w:p>
    <w:p>
      <w:pPr>
        <w:numPr>
          <w:ilvl w:val="0"/>
          <w:numId w:val="1013"/>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3"/>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62"/>
    <w:bookmarkEnd w:id="63"/>
    <w:bookmarkStart w:id="64" w:name="rentes-découlants-des-opérations-non-vie"/>
    <w:p>
      <w:pPr>
        <w:pStyle w:val="Heading3"/>
      </w:pPr>
      <w:r>
        <w:t xml:space="preserve">6.2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14"/>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14"/>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64"/>
    <w:bookmarkStart w:id="94" w:name="X95164bc6af2e862e4c417e49c6d46de2a1b5d80"/>
    <w:p>
      <w:pPr>
        <w:pStyle w:val="Heading3"/>
      </w:pPr>
      <w:r>
        <w:t xml:space="preserve">6.3 Opérations d’assurance non vie hors rentes:</w:t>
      </w:r>
    </w:p>
    <w:bookmarkStart w:id="92" w:name="la-meilleure-estimation-des-engagements"/>
    <w:p>
      <w:pPr>
        <w:pStyle w:val="Heading4"/>
      </w:pPr>
      <w:r>
        <w:t xml:space="preserve">6.3.1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sSub>
            <m:e>
              <m:r>
                <m:t>​</m:t>
              </m:r>
            </m:e>
            <m:sub>
              <m:r>
                <m:t>n</m:t>
              </m:r>
              <m:r>
                <m:t>v</m:t>
              </m:r>
              <m:r>
                <m:t>h</m:t>
              </m:r>
              <m:r>
                <m:t>r</m:t>
              </m:r>
            </m:sub>
          </m:sSub>
          <m:r>
            <m:t>B</m:t>
          </m:r>
          <m:sSub>
            <m:e>
              <m:r>
                <m:t>E</m:t>
              </m:r>
            </m:e>
            <m:sub>
              <m:r>
                <m:t>e</m:t>
              </m:r>
              <m:r>
                <m:t>n</m:t>
              </m:r>
              <m:r>
                <m:t>g</m:t>
              </m:r>
              <m:r>
                <m:t>a</m:t>
              </m:r>
              <m:r>
                <m:t>g</m:t>
              </m:r>
              <m:r>
                <m:t>e</m:t>
              </m:r>
              <m:r>
                <m:t>m</m:t>
              </m:r>
              <m:r>
                <m:t>e</m:t>
              </m:r>
              <m:r>
                <m:t>n</m:t>
              </m:r>
              <m:r>
                <m:t>t</m:t>
              </m:r>
            </m:sub>
          </m:sSub>
          <m:limLow>
            <m:e>
              <m:r>
                <m:rPr>
                  <m:sty m:val="p"/>
                </m:rPr>
                <m:t>=</m:t>
              </m:r>
            </m:e>
            <m:lim>
              <m:r>
                <m:t>n</m:t>
              </m:r>
              <m:r>
                <m:t>v</m:t>
              </m:r>
              <m:r>
                <m:t>h</m:t>
              </m:r>
              <m:r>
                <m:t>r</m:t>
              </m:r>
            </m:lim>
          </m:limLow>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oMath>
      </m:oMathPara>
    </w:p>
    <w:bookmarkStart w:id="65" w:name="X8689949a7862be15d42a3aec3dcec69638ae007"/>
    <w:p>
      <w:pPr>
        <w:pStyle w:val="Heading5"/>
      </w:pPr>
      <w:r>
        <w:t xml:space="preserve">6.3.1.1 La meilleure estimation des engagements pour primes(</w:t>
      </w:r>
      <m:oMath>
        <m:sSub>
          <m:e>
            <m:r>
              <m:t>​</m:t>
            </m:r>
          </m:e>
          <m:sub>
            <m:r>
              <m:t>n</m:t>
            </m:r>
            <m:r>
              <m:t>v</m:t>
            </m:r>
            <m:r>
              <m:t>h</m:t>
            </m:r>
            <m:r>
              <m:t>r</m:t>
            </m:r>
          </m:sub>
        </m:sSub>
        <m:r>
          <m:t>B</m:t>
        </m:r>
        <m:sSubSup>
          <m:e>
            <m:r>
              <m:t>E</m:t>
            </m:r>
          </m:e>
          <m:sub>
            <m:r>
              <m:t>p</m:t>
            </m:r>
            <m:r>
              <m:t>r</m:t>
            </m:r>
            <m:r>
              <m:t>i</m:t>
            </m:r>
            <m:r>
              <m:t>m</m:t>
            </m:r>
            <m:r>
              <m:t>e</m:t>
            </m:r>
            <m:r>
              <m:t>s</m:t>
            </m:r>
          </m:sub>
          <m:sup>
            <m:r>
              <m:t>e</m:t>
            </m:r>
            <m:r>
              <m:t>n</m:t>
            </m:r>
            <m:r>
              <m:t>g</m:t>
            </m:r>
          </m:sup>
        </m:sSubSup>
      </m:oMath>
      <w:r>
        <w:t xml:space="preserve">):</w:t>
      </w:r>
    </w:p>
    <w:p>
      <w:pPr>
        <w:pStyle w:val="FirstParagraph"/>
      </w:pPr>
      <w:r>
        <w:t xml:space="preserve">La meilleure estimation des engagements pour primes correspond à la différence entre :</w:t>
      </w:r>
    </w:p>
    <w:p>
      <w:pPr>
        <w:numPr>
          <w:ilvl w:val="0"/>
          <w:numId w:val="1015"/>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15"/>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sSub>
            <m:e>
              <m:r>
                <m:t>​</m:t>
              </m:r>
            </m:e>
            <m:sub>
              <m:r>
                <m:t>n</m:t>
              </m:r>
              <m:r>
                <m:t>v</m:t>
              </m:r>
              <m:r>
                <m:t>h</m:t>
              </m:r>
              <m:r>
                <m:t>r</m:t>
              </m:r>
            </m:sub>
          </m:sSub>
          <m:r>
            <m:t>B</m:t>
          </m:r>
          <m:sSubSup>
            <m:e>
              <m:r>
                <m:t>E</m:t>
              </m:r>
            </m:e>
            <m:sub>
              <m:r>
                <m:t>p</m:t>
              </m:r>
              <m:r>
                <m:t>r</m:t>
              </m:r>
              <m:r>
                <m:t>i</m:t>
              </m:r>
              <m:r>
                <m:t>m</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r>
            <m:t>P</m:t>
          </m:r>
          <m:r>
            <m:t>F</m:t>
          </m:r>
          <m:r>
            <m:t>P</m:t>
          </m:r>
          <m:r>
            <m:t>A</m:t>
          </m:r>
        </m:oMath>
      </m:oMathPara>
    </w:p>
    <w:p>
      <w:pPr>
        <w:pStyle w:val="FirstParagraph"/>
      </w:pPr>
      <w:r>
        <w:t xml:space="preserve">avec:</w:t>
      </w:r>
    </w:p>
    <w:p>
      <w:pPr>
        <w:numPr>
          <w:ilvl w:val="0"/>
          <w:numId w:val="1016"/>
        </w:numPr>
        <w:pStyle w:val="Compact"/>
      </w:pPr>
      <m:oMath>
        <m:r>
          <m:t>P</m:t>
        </m:r>
        <m:r>
          <m:t>F</m:t>
        </m:r>
        <m:r>
          <m:t>P</m:t>
        </m:r>
        <m:r>
          <m:t>A</m:t>
        </m:r>
      </m:oMath>
      <w:r>
        <w:t xml:space="preserve"> </w:t>
      </w:r>
      <w:r>
        <w:t xml:space="preserve">:Le montant des primes futures probabilisé et actualisé à la date d’inventaire, net des frais d’acquisition, afférentes aux contrats à tacite reconduction</w:t>
      </w:r>
    </w:p>
    <w:p>
      <w:pPr>
        <w:numPr>
          <w:ilvl w:val="0"/>
          <w:numId w:val="1016"/>
        </w:numPr>
        <w:pStyle w:val="Compact"/>
      </w:pPr>
      <m:oMath>
        <m:r>
          <m:t>P</m:t>
        </m:r>
        <m:r>
          <m:t>F</m:t>
        </m:r>
        <m:r>
          <m:t>P</m:t>
        </m:r>
      </m:oMath>
      <w:r>
        <w:t xml:space="preserve">: Le montant des primes futures probabilisé.</w:t>
      </w:r>
    </w:p>
    <w:p>
      <w:pPr>
        <w:numPr>
          <w:ilvl w:val="0"/>
          <w:numId w:val="1016"/>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sSub>
            <m:e>
              <m:r>
                <m:t>x</m:t>
              </m:r>
            </m:e>
            <m:sub>
              <m:r>
                <m:t>l</m:t>
              </m:r>
              <m:r>
                <m:t>i</m:t>
              </m:r>
              <m:r>
                <m:t>q</m:t>
              </m:r>
              <m:r>
                <m:t>u</m:t>
              </m:r>
              <m:r>
                <m:t>i</m:t>
              </m:r>
              <m:r>
                <m:t>d</m:t>
              </m:r>
              <m:r>
                <m:t>a</m:t>
              </m:r>
              <m:r>
                <m:t>t</m:t>
              </m:r>
              <m:r>
                <m:t>i</m:t>
              </m:r>
              <m:r>
                <m:t>o</m:t>
              </m:r>
              <m:r>
                <m:t>n</m:t>
              </m:r>
            </m:sub>
          </m:sSub>
          <m:r>
            <m:rPr>
              <m:sty m:val="p"/>
            </m:rPr>
            <m:t>*</m:t>
          </m:r>
          <m:r>
            <m:t>R</m:t>
          </m:r>
          <m:sSub>
            <m:e>
              <m:r>
                <m:t>S</m:t>
              </m:r>
            </m:e>
            <m:sub>
              <m:r>
                <m:t>m</m:t>
              </m:r>
              <m:r>
                <m:t>o</m:t>
              </m:r>
              <m:r>
                <m:t>y</m:t>
              </m:r>
              <m:r>
                <m:t>e</m:t>
              </m:r>
              <m:r>
                <m:t>n</m:t>
              </m:r>
            </m:sub>
          </m:sSub>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17"/>
        </w:numPr>
      </w:pPr>
      <m:oMath>
        <m:r>
          <m:t>T</m:t>
        </m:r>
        <m:sSub>
          <m:e>
            <m:r>
              <m:t>x</m:t>
            </m:r>
          </m:e>
          <m:sub>
            <m:r>
              <m:t>l</m:t>
            </m:r>
            <m:r>
              <m:t>i</m:t>
            </m:r>
            <m:r>
              <m:t>q</m:t>
            </m:r>
            <m:r>
              <m:t>u</m:t>
            </m:r>
            <m:r>
              <m:t>i</m:t>
            </m:r>
            <m:r>
              <m:t>d</m:t>
            </m:r>
            <m:r>
              <m:t>a</m:t>
            </m:r>
            <m:r>
              <m:t>t</m:t>
            </m:r>
            <m:r>
              <m:t>i</m:t>
            </m:r>
            <m:r>
              <m:t>o</m:t>
            </m:r>
            <m:r>
              <m:t>n</m:t>
            </m:r>
          </m:sub>
        </m:sSub>
      </m:oMath>
      <w:r>
        <w:t xml:space="preserve">: le taux de liquidation,il est estimé en fonction de la cadence de liquidation des engagements pour sinistres survenus.</w:t>
      </w:r>
    </w:p>
    <w:p>
      <w:pPr>
        <w:numPr>
          <w:ilvl w:val="0"/>
          <w:numId w:val="1017"/>
        </w:numPr>
      </w:pPr>
      <m:oMath>
        <m:r>
          <m:t>R</m:t>
        </m:r>
        <m:sSub>
          <m:e>
            <m:r>
              <m:t>S</m:t>
            </m:r>
          </m:e>
          <m:sub>
            <m:r>
              <m:t>m</m:t>
            </m:r>
            <m:r>
              <m:t>o</m:t>
            </m:r>
            <m:r>
              <m:t>y</m:t>
            </m:r>
            <m:r>
              <m:t>e</m:t>
            </m:r>
            <m:r>
              <m:t>n</m:t>
            </m:r>
          </m:sub>
        </m:sSub>
      </m:oMath>
      <w:r>
        <w:t xml:space="preserve">: le ratio de sinistralité moyen telle que:</w:t>
      </w:r>
    </w:p>
    <w:p>
      <w:pPr>
        <w:pStyle w:val="BodyText"/>
      </w:pPr>
      <m:oMathPara>
        <m:oMathParaPr>
          <m:jc m:val="center"/>
        </m:oMathParaPr>
        <m:oMath>
          <m:r>
            <m:t>R</m:t>
          </m:r>
          <m:sSub>
            <m:e>
              <m:r>
                <m:t>S</m:t>
              </m:r>
            </m:e>
            <m:sub>
              <m:r>
                <m:t>m</m:t>
              </m:r>
              <m:r>
                <m:t>o</m:t>
              </m:r>
              <m:r>
                <m:t>y</m:t>
              </m:r>
              <m:r>
                <m:t>e</m:t>
              </m:r>
              <m:sSub>
                <m:e>
                  <m:r>
                    <m:t>n</m:t>
                  </m:r>
                </m:e>
                <m:sub>
                  <m:r>
                    <m:t>t</m:t>
                  </m:r>
                </m:sub>
              </m:sSub>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17"/>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17"/>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e</m:t>
          </m:r>
          <m:r>
            <m:t>g</m:t>
          </m:r>
          <m:r>
            <m:t>C</m:t>
          </m:r>
          <m:r>
            <m:t>u</m:t>
          </m:r>
          <m:r>
            <m:t>m</m:t>
          </m:r>
          <m:r>
            <m:t>u</m:t>
          </m:r>
          <m:r>
            <m:t>l</m:t>
          </m:r>
          <m:r>
            <m:t>e</m:t>
          </m:r>
          <m:sSub>
            <m:e>
              <m:r>
                <m:t>s</m:t>
              </m:r>
            </m:e>
            <m:sub>
              <m:r>
                <m:t>t</m:t>
              </m:r>
            </m:sub>
          </m:sSub>
          <m:r>
            <m:rPr>
              <m:sty m:val="p"/>
            </m:rPr>
            <m:t>+</m:t>
          </m:r>
          <m:r>
            <m:t>R</m:t>
          </m:r>
          <m:r>
            <m:t>e</m:t>
          </m:r>
          <m:r>
            <m:t>g</m:t>
          </m:r>
          <m:r>
            <m:t>F</m:t>
          </m:r>
          <m:r>
            <m:t>u</m:t>
          </m:r>
          <m:r>
            <m:t>t</m:t>
          </m:r>
          <m:r>
            <m:t>u</m:t>
          </m:r>
          <m:r>
            <m:t>r</m:t>
          </m:r>
          <m:r>
            <m:t>e</m:t>
          </m:r>
          <m:sSub>
            <m:e>
              <m:r>
                <m:t>s</m:t>
              </m:r>
            </m:e>
            <m:sub>
              <m:r>
                <m:t>t</m:t>
              </m:r>
            </m:sub>
          </m:sSub>
        </m:oMath>
      </m:oMathPara>
    </w:p>
    <w:p>
      <w:pPr>
        <w:numPr>
          <w:ilvl w:val="0"/>
          <w:numId w:val="1018"/>
        </w:numPr>
        <w:pStyle w:val="Compact"/>
      </w:pPr>
      <m:oMath>
        <m:r>
          <m:t>R</m:t>
        </m:r>
        <m:r>
          <m:t>e</m:t>
        </m:r>
        <m:r>
          <m:t>g</m:t>
        </m:r>
        <m:r>
          <m:t>C</m:t>
        </m:r>
        <m:r>
          <m:t>u</m:t>
        </m:r>
        <m:r>
          <m:t>m</m:t>
        </m:r>
        <m:r>
          <m:t>u</m:t>
        </m:r>
        <m:r>
          <m:t>l</m:t>
        </m:r>
        <m:r>
          <m:t>e</m:t>
        </m:r>
        <m:sSub>
          <m:e>
            <m:r>
              <m:t>s</m:t>
            </m:r>
          </m:e>
          <m:sub>
            <m:r>
              <m:t>t</m:t>
            </m:r>
          </m:sub>
        </m:sSub>
      </m:oMath>
      <w:r>
        <w:t xml:space="preserve"> </w:t>
      </w:r>
      <w:r>
        <w:t xml:space="preserve">: les règlements cumulés</w:t>
      </w:r>
    </w:p>
    <w:p>
      <w:pPr>
        <w:numPr>
          <w:ilvl w:val="0"/>
          <w:numId w:val="1018"/>
        </w:numPr>
        <w:pStyle w:val="Compact"/>
      </w:pPr>
      <m:oMath>
        <m:r>
          <m:t>R</m:t>
        </m:r>
        <m:r>
          <m:t>e</m:t>
        </m:r>
        <m:r>
          <m:t>g</m:t>
        </m:r>
        <m:r>
          <m:t>F</m:t>
        </m:r>
        <m:r>
          <m:t>u</m:t>
        </m:r>
        <m:r>
          <m:t>t</m:t>
        </m:r>
        <m:r>
          <m:t>u</m:t>
        </m:r>
        <m:r>
          <m:t>r</m:t>
        </m:r>
        <m:r>
          <m:t>e</m:t>
        </m:r>
        <m:sSub>
          <m:e>
            <m:r>
              <m:t>s</m:t>
            </m:r>
          </m:e>
          <m:sub>
            <m:r>
              <m:t>t</m:t>
            </m:r>
          </m:sub>
        </m:sSub>
      </m:oMath>
      <w:r>
        <w:t xml:space="preserve">: les règlements futurs</w:t>
      </w:r>
    </w:p>
    <w:p>
      <w:pPr>
        <w:numPr>
          <w:ilvl w:val="0"/>
          <w:numId w:val="1018"/>
        </w:numPr>
        <w:pStyle w:val="Compact"/>
      </w:pPr>
      <m:oMath>
        <m:r>
          <m:t>P</m:t>
        </m:r>
        <m:r>
          <m:t>P</m:t>
        </m:r>
        <m:r>
          <m:t>N</m:t>
        </m:r>
        <m:r>
          <m:t>A</m:t>
        </m:r>
      </m:oMath>
      <w:r>
        <w:t xml:space="preserve">: La provision pour primes non acquises.</w:t>
      </w:r>
    </w:p>
    <w:p>
      <w:pPr>
        <w:numPr>
          <w:ilvl w:val="0"/>
          <w:numId w:val="1018"/>
        </w:numPr>
        <w:pStyle w:val="Compact"/>
      </w:pPr>
      <m:oMath>
        <m:r>
          <m:t>P</m:t>
        </m:r>
        <m:r>
          <m:t>F</m:t>
        </m:r>
        <m:r>
          <m:t>P</m:t>
        </m:r>
      </m:oMath>
      <w:r>
        <w:t xml:space="preserve">: Le montant des primes futures probabilisé.</w:t>
      </w:r>
    </w:p>
    <w:bookmarkEnd w:id="65"/>
    <w:bookmarkStart w:id="66" w:name="X572d2bda42d1df1530f2f73f582d39347f6151e"/>
    <w:p>
      <w:pPr>
        <w:pStyle w:val="Heading5"/>
      </w:pPr>
      <w:r>
        <w:t xml:space="preserve">6.3.1.2 La meilleure estimation des engagements pour sinistres nets (</w:t>
      </w: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19"/>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w:t>
      </w:r>
      <w:r>
        <w:rPr>
          <w:iCs/>
          <w:i/>
        </w:rPr>
        <w:t xml:space="preserve">annexe N°5</w:t>
      </w:r>
      <w:r>
        <w:t xml:space="preserve"> </w:t>
      </w:r>
      <w:r>
        <w:t xml:space="preserve">de la circulaire de l’ACAPS.</w:t>
      </w:r>
    </w:p>
    <w:bookmarkEnd w:id="66"/>
    <w:bookmarkStart w:id="67" w:name="X574a46407ada84d5774a3057497baf873ebb70b"/>
    <w:p>
      <w:pPr>
        <w:pStyle w:val="Heading5"/>
      </w:pPr>
      <w:r>
        <w:t xml:space="preserve">6.3.1.3 Méthode de calcul des flux de réglements futurs probabilisés pour les opérations non-vie hors rentes</w:t>
      </w:r>
    </w:p>
    <w:bookmarkEnd w:id="67"/>
    <w:bookmarkStart w:id="83" w:name="méthode-des-cadences-chain-ladder"/>
    <w:p>
      <w:pPr>
        <w:pStyle w:val="Heading5"/>
      </w:pPr>
      <w:r>
        <w:t xml:space="preserve">6.3.1.4 Méthode des cadences – Chain Ladder</w:t>
      </w:r>
    </w:p>
    <w:p>
      <w:pPr>
        <w:pStyle w:val="FirstParagraph"/>
      </w:pPr>
      <w:r>
        <w:t xml:space="preserve">La méthode de Chain Ladder est celle spécifiée dans l’</w:t>
      </w:r>
      <w:r>
        <w:rPr>
          <w:iCs/>
          <w:i/>
        </w:rPr>
        <w:t xml:space="preserve">annexe 5</w:t>
      </w:r>
      <w:r>
        <w:t xml:space="preserve"> </w:t>
      </w:r>
      <w:r>
        <w:t xml:space="preserve">de la circulaire de l’</w:t>
      </w:r>
      <m:oMath>
        <m:r>
          <m:t>A</m:t>
        </m:r>
        <m:r>
          <m:t>C</m:t>
        </m:r>
        <m:r>
          <m:t>A</m:t>
        </m:r>
        <m:r>
          <m:t>P</m:t>
        </m:r>
        <m:r>
          <m:t>S</m:t>
        </m:r>
      </m:oMath>
      <w:r>
        <w:t xml:space="preserve"> </w:t>
      </w:r>
      <w:r>
        <w:t xml:space="preserve">sur la</w:t>
      </w:r>
      <w:r>
        <w:t xml:space="preserve"> </w:t>
      </w:r>
      <m:oMath>
        <m:r>
          <m:t>S</m:t>
        </m:r>
        <m:r>
          <m:t>B</m:t>
        </m:r>
        <m:r>
          <m:t>R</m:t>
        </m:r>
      </m:oMath>
      <w:r>
        <w:t xml:space="preserve">.</w:t>
      </w:r>
      <w:r>
        <w:t xml:space="preserve"> </w:t>
      </w:r>
      <w:r>
        <w:t xml:space="preserve">Les méthodes de cadences de règlement se basent sur le principe que la vitesse des règlements, en pourcentage de la charge finale de sinistres, est constante d’une année de survenance à l’autre. Ainsi les paiements réalisés permettent d’estimer les provisions pour sinistres à payer.</w:t>
      </w:r>
      <w:r>
        <w:t xml:space="preserve"> </w:t>
      </w:r>
      <w:r>
        <w:t xml:space="preserve">Cette méthode est l’une des plus utilisée sur le marché. Elle tient cette célébrité de sa simplicité de calcul ainsi que de son ancienneté. Cette méthode est généralement utilisée pour les paiements cumulés, notés</w:t>
      </w:r>
      <w:r>
        <w:t xml:space="preserve"> </w:t>
      </w:r>
      <m:oMath>
        <m:sSub>
          <m:e>
            <m:r>
              <m:t>C</m:t>
            </m:r>
          </m:e>
          <m:sub>
            <m:r>
              <m:t>i</m:t>
            </m:r>
            <m:r>
              <m:rPr>
                <m:sty m:val="p"/>
              </m:rPr>
              <m:t>,</m:t>
            </m:r>
            <m:r>
              <m:t>j</m:t>
            </m:r>
          </m:sub>
        </m:sSub>
      </m:oMath>
      <w:r>
        <w:t xml:space="preserve">, où</w:t>
      </w:r>
      <w:r>
        <w:t xml:space="preserve"> </w:t>
      </w:r>
      <m:oMath>
        <m:r>
          <m:t>i</m:t>
        </m:r>
      </m:oMath>
      <w:r>
        <w:t xml:space="preserve"> </w:t>
      </w:r>
      <w:r>
        <w:t xml:space="preserve">représente l’exercice de survenance et</w:t>
      </w:r>
      <w:r>
        <w:t xml:space="preserve"> </w:t>
      </w:r>
      <m:oMath>
        <m:r>
          <m:t>j</m:t>
        </m:r>
      </m:oMath>
      <w:r>
        <w:t xml:space="preserve"> </w:t>
      </w:r>
      <w:r>
        <w:t xml:space="preserve">représente la période de développement.</w:t>
      </w:r>
    </w:p>
    <w:tbl>
      <w:tblPr>
        <w:tblStyle w:val="Table"/>
        <w:tblW w:type="pct" w:w="5000"/>
        <w:tblLook w:firstRow="1" w:lastRow="0" w:firstColumn="0" w:lastColumn="0" w:noHBand="0" w:noVBand="0" w:val="0020"/>
      </w:tblPr>
      <w:tblGrid>
        <w:gridCol w:w="2869"/>
        <w:gridCol w:w="1262"/>
        <w:gridCol w:w="1262"/>
        <w:gridCol w:w="1262"/>
        <w:gridCol w:w="1262"/>
      </w:tblGrid>
      <w:tr>
        <w:trPr>
          <w:tblHeader w:val="true"/>
        </w:trPr>
        <w:tc>
          <w:tcPr/>
          <w:p>
            <w:pPr>
              <w:pStyle w:val="Compact"/>
              <w:jc w:val="center"/>
            </w:pPr>
            <w:r>
              <w:t xml:space="preserve">Exercice de survenance</w:t>
            </w:r>
          </w:p>
        </w:tc>
        <w:tc>
          <w:tcPr/>
          <w:p>
            <w:pPr>
              <w:pStyle w:val="Compact"/>
              <w:jc w:val="center"/>
            </w:pPr>
            <w:r>
              <w:t xml:space="preserve">1er bilan</w:t>
            </w:r>
          </w:p>
        </w:tc>
        <w:tc>
          <w:tcPr/>
          <w:p>
            <w:pPr>
              <w:pStyle w:val="Compact"/>
              <w:jc w:val="center"/>
            </w:pPr>
            <w:r>
              <w:t xml:space="preserve">2ème bilan</w:t>
            </w:r>
          </w:p>
        </w:tc>
        <w:tc>
          <w:tcPr/>
          <w:p>
            <w:pPr>
              <w:pStyle w:val="Compact"/>
              <w:jc w:val="center"/>
            </w:pPr>
            <w:r>
              <w:t xml:space="preserve">3ème bilan</w:t>
            </w:r>
          </w:p>
        </w:tc>
        <w:tc>
          <w:tcPr/>
          <w:p>
            <w:pPr>
              <w:pStyle w:val="Compact"/>
              <w:jc w:val="center"/>
            </w:pPr>
            <w:r>
              <w:t xml:space="preserve">4ème bilan</w:t>
            </w:r>
          </w:p>
        </w:tc>
      </w:tr>
      <w:tr>
        <w:tc>
          <w:tcPr/>
          <w:p>
            <w:pPr>
              <w:pStyle w:val="Compact"/>
              <w:jc w:val="center"/>
            </w:pPr>
            <w:r>
              <w:t xml:space="preserve">1</w:t>
            </w:r>
          </w:p>
        </w:tc>
        <w:tc>
          <w:tcPr/>
          <w:p>
            <w:pPr>
              <w:pStyle w:val="Compact"/>
              <w:jc w:val="center"/>
            </w:pPr>
            <m:oMath>
              <m:sSub>
                <m:e>
                  <m:r>
                    <m:t>C</m:t>
                  </m:r>
                </m:e>
                <m:sub>
                  <m:r>
                    <m:t>1</m:t>
                  </m:r>
                  <m:r>
                    <m:rPr>
                      <m:sty m:val="p"/>
                    </m:rPr>
                    <m:t>,</m:t>
                  </m:r>
                  <m:r>
                    <m:t>1</m:t>
                  </m:r>
                </m:sub>
              </m:sSub>
            </m:oMath>
          </w:p>
        </w:tc>
        <w:tc>
          <w:tcPr/>
          <w:p>
            <w:pPr>
              <w:pStyle w:val="Compact"/>
              <w:jc w:val="center"/>
            </w:pPr>
            <m:oMath>
              <m:sSub>
                <m:e>
                  <m:r>
                    <m:t>C</m:t>
                  </m:r>
                </m:e>
                <m:sub>
                  <m:r>
                    <m:t>1</m:t>
                  </m:r>
                  <m:r>
                    <m:rPr>
                      <m:sty m:val="p"/>
                    </m:rPr>
                    <m:t>,</m:t>
                  </m:r>
                  <m:r>
                    <m:t>2</m:t>
                  </m:r>
                </m:sub>
              </m:sSub>
            </m:oMath>
          </w:p>
        </w:tc>
        <w:tc>
          <w:tcPr/>
          <w:p>
            <w:pPr>
              <w:pStyle w:val="Compact"/>
              <w:jc w:val="center"/>
            </w:pPr>
            <m:oMath>
              <m:sSub>
                <m:e>
                  <m:r>
                    <m:t>C</m:t>
                  </m:r>
                </m:e>
                <m:sub>
                  <m:r>
                    <m:t>1</m:t>
                  </m:r>
                  <m:r>
                    <m:rPr>
                      <m:sty m:val="p"/>
                    </m:rPr>
                    <m:t>,</m:t>
                  </m:r>
                  <m:r>
                    <m:t>3</m:t>
                  </m:r>
                </m:sub>
              </m:sSub>
            </m:oMath>
          </w:p>
        </w:tc>
        <w:tc>
          <w:tcPr/>
          <w:p>
            <w:pPr>
              <w:pStyle w:val="Compact"/>
              <w:jc w:val="center"/>
            </w:pPr>
            <m:oMath>
              <m:sSub>
                <m:e>
                  <m:r>
                    <m:t>C</m:t>
                  </m:r>
                </m:e>
                <m:sub>
                  <m:r>
                    <m:t>1</m:t>
                  </m:r>
                  <m:r>
                    <m:rPr>
                      <m:sty m:val="p"/>
                    </m:rPr>
                    <m:t>,</m:t>
                  </m:r>
                  <m:r>
                    <m:t>4</m:t>
                  </m:r>
                </m:sub>
              </m:sSub>
            </m:oMath>
          </w:p>
        </w:tc>
      </w:tr>
      <w:tr>
        <w:tc>
          <w:tcPr/>
          <w:p>
            <w:pPr>
              <w:pStyle w:val="Compact"/>
              <w:jc w:val="center"/>
            </w:pPr>
            <w:r>
              <w:t xml:space="preserve">2</w:t>
            </w:r>
          </w:p>
        </w:tc>
        <w:tc>
          <w:tcPr/>
          <w:p>
            <w:pPr>
              <w:pStyle w:val="Compact"/>
              <w:jc w:val="center"/>
            </w:pPr>
            <m:oMath>
              <m:sSub>
                <m:e>
                  <m:r>
                    <m:t>C</m:t>
                  </m:r>
                </m:e>
                <m:sub>
                  <m:r>
                    <m:t>2</m:t>
                  </m:r>
                  <m:r>
                    <m:rPr>
                      <m:sty m:val="p"/>
                    </m:rPr>
                    <m:t>,</m:t>
                  </m:r>
                  <m:r>
                    <m:t>1</m:t>
                  </m:r>
                </m:sub>
              </m:sSub>
            </m:oMath>
          </w:p>
        </w:tc>
        <w:tc>
          <w:tcPr/>
          <w:p>
            <w:pPr>
              <w:pStyle w:val="Compact"/>
              <w:jc w:val="center"/>
            </w:pPr>
            <m:oMath>
              <m:sSub>
                <m:e>
                  <m:r>
                    <m:t>C</m:t>
                  </m:r>
                </m:e>
                <m:sub>
                  <m:r>
                    <m:t>2</m:t>
                  </m:r>
                  <m:r>
                    <m:rPr>
                      <m:sty m:val="p"/>
                    </m:rPr>
                    <m:t>,</m:t>
                  </m:r>
                  <m:r>
                    <m:t>2</m:t>
                  </m:r>
                </m:sub>
              </m:sSub>
            </m:oMath>
          </w:p>
        </w:tc>
        <w:tc>
          <w:tcPr/>
          <w:p>
            <w:pPr>
              <w:pStyle w:val="Compact"/>
              <w:jc w:val="center"/>
            </w:pPr>
            <m:oMath>
              <m:sSub>
                <m:e>
                  <m:r>
                    <m:t>C</m:t>
                  </m:r>
                </m:e>
                <m:sub>
                  <m:r>
                    <m:t>2</m:t>
                  </m:r>
                  <m:r>
                    <m:rPr>
                      <m:sty m:val="p"/>
                    </m:rPr>
                    <m:t>,</m:t>
                  </m:r>
                  <m:r>
                    <m:t>3</m:t>
                  </m:r>
                </m:sub>
              </m:sSub>
            </m:oMath>
          </w:p>
        </w:tc>
        <w:tc>
          <w:tcPr/>
          <w:p>
            <w:pPr>
              <w:pStyle w:val="Compact"/>
            </w:pPr>
          </w:p>
        </w:tc>
      </w:tr>
      <w:tr>
        <w:tc>
          <w:tcPr/>
          <w:p>
            <w:pPr>
              <w:pStyle w:val="Compact"/>
              <w:jc w:val="center"/>
            </w:pPr>
            <w:r>
              <w:t xml:space="preserve">3</w:t>
            </w:r>
          </w:p>
        </w:tc>
        <w:tc>
          <w:tcPr/>
          <w:p>
            <w:pPr>
              <w:pStyle w:val="Compact"/>
              <w:jc w:val="center"/>
            </w:pPr>
            <m:oMath>
              <m:sSub>
                <m:e>
                  <m:r>
                    <m:t>C</m:t>
                  </m:r>
                </m:e>
                <m:sub>
                  <m:r>
                    <m:t>3</m:t>
                  </m:r>
                  <m:r>
                    <m:rPr>
                      <m:sty m:val="p"/>
                    </m:rPr>
                    <m:t>,</m:t>
                  </m:r>
                  <m:r>
                    <m:t>1</m:t>
                  </m:r>
                </m:sub>
              </m:sSub>
            </m:oMath>
          </w:p>
        </w:tc>
        <w:tc>
          <w:tcPr/>
          <w:p>
            <w:pPr>
              <w:pStyle w:val="Compact"/>
              <w:jc w:val="center"/>
            </w:pPr>
            <m:oMath>
              <m:sSub>
                <m:e>
                  <m:r>
                    <m:t>C</m:t>
                  </m:r>
                </m:e>
                <m:sub>
                  <m:r>
                    <m:t>3</m:t>
                  </m:r>
                  <m:r>
                    <m:rPr>
                      <m:sty m:val="p"/>
                    </m:rPr>
                    <m:t>,</m:t>
                  </m:r>
                  <m:r>
                    <m:t>2</m:t>
                  </m:r>
                </m:sub>
              </m:sSub>
            </m:oMath>
          </w:p>
        </w:tc>
        <w:tc>
          <w:tcPr/>
          <w:p>
            <w:pPr>
              <w:pStyle w:val="Compact"/>
            </w:pPr>
          </w:p>
        </w:tc>
        <w:tc>
          <w:tcPr/>
          <w:p>
            <w:pPr>
              <w:pStyle w:val="Compact"/>
            </w:pPr>
          </w:p>
        </w:tc>
      </w:tr>
      <w:tr>
        <w:tc>
          <w:tcPr/>
          <w:p>
            <w:pPr>
              <w:pStyle w:val="Compact"/>
              <w:jc w:val="center"/>
            </w:pPr>
            <w:r>
              <w:t xml:space="preserve">4</w:t>
            </w:r>
          </w:p>
        </w:tc>
        <w:tc>
          <w:tcPr/>
          <w:p>
            <w:pPr>
              <w:pStyle w:val="Compact"/>
              <w:jc w:val="center"/>
            </w:pPr>
            <m:oMath>
              <m:sSub>
                <m:e>
                  <m:r>
                    <m:t>C</m:t>
                  </m:r>
                </m:e>
                <m:sub>
                  <m:r>
                    <m:t>4</m:t>
                  </m:r>
                  <m:r>
                    <m:rPr>
                      <m:sty m:val="p"/>
                    </m:rPr>
                    <m:t>,</m:t>
                  </m:r>
                  <m:r>
                    <m:t>1</m:t>
                  </m:r>
                </m:sub>
              </m:sSub>
            </m:oMath>
          </w:p>
        </w:tc>
        <w:tc>
          <w:tcPr/>
          <w:p>
            <w:pPr>
              <w:pStyle w:val="Compact"/>
            </w:pPr>
          </w:p>
        </w:tc>
        <w:tc>
          <w:tcPr/>
          <w:p>
            <w:pPr>
              <w:pStyle w:val="Compact"/>
            </w:pPr>
          </w:p>
        </w:tc>
        <w:tc>
          <w:tcPr/>
          <w:p>
            <w:pPr>
              <w:pStyle w:val="Compact"/>
            </w:pPr>
          </w:p>
        </w:tc>
      </w:tr>
    </w:tbl>
    <w:p>
      <w:pPr>
        <w:pStyle w:val="BodyText"/>
      </w:pPr>
      <w:r>
        <w:t xml:space="preserve">Conformément à la spécification technique de l’ACAPS, l’estimation des flux de règlements futurs probabilisés nets de recours relatifs aux sinistres survenus (</w:t>
      </w:r>
      <m:oMath>
        <m:r>
          <m:t>F</m:t>
        </m:r>
        <m:r>
          <m:t>R</m:t>
        </m:r>
        <m:r>
          <m:t>F</m:t>
        </m:r>
        <m:r>
          <m:t>P</m:t>
        </m:r>
      </m:oMath>
      <w:r>
        <w:t xml:space="preserve">) passe par les étapes citées ci-aprés.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RStudio.app/Contents/Resources/app/quarto/share/formats/docx/note.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1 : Constitution du triangle des règlements cumulés net de recours</w:t>
            </w:r>
          </w:p>
        </w:tc>
      </w:tr>
      <w:tr>
        <w:trPr>
          <w:cantSplit/>
        </w:trPr>
        <w:tc>
          <w:tcPr>
            <w:tcMar>
              <w:top w:w="108" w:type="dxa"/>
              <w:bottom w:w="108" w:type="dxa"/>
            </w:tcMar>
          </w:tcPr>
          <w:p>
            <w:pPr>
              <w:pStyle w:val="BodyText"/>
            </w:pPr>
            <w:pPr>
              <w:spacing w:before="16" w:after="16"/>
            </w:pPr>
            <w:r>
              <w:t xml:space="preserve">Pour chaque année de survenance, on construit le triangle des règlements nets de recours à partir des données d’inventaire. La longueur d’historique des triangles des règlements doit correspondre à la nature du risque analysé et couvrir toute la durée de vie des engagements à la date d’inventaire. L’entreprise d’assurances et de réassurance doit expliquer pourquoi la méthode utilisée pour sa détermination est adaptée.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RStudio.app/Contents/Resources/app/quarto/share/formats/docx/note.png" id="72"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2 : Calcul des facteurs de développement individuels</w:t>
            </w:r>
          </w:p>
        </w:tc>
      </w:tr>
      <w:tr>
        <w:trPr>
          <w:cantSplit/>
        </w:trPr>
        <w:tc>
          <w:tcPr>
            <w:tcMar>
              <w:top w:w="108" w:type="dxa"/>
              <w:bottom w:w="108" w:type="dxa"/>
            </w:tcMar>
          </w:tcPr>
          <w:p>
            <w:pPr>
              <w:pStyle w:val="BodyText"/>
            </w:pPr>
            <w:pPr>
              <w:spacing w:before="16"/>
            </w:pPr>
            <w:r>
              <w:t xml:space="preserve">Ils sont déterminés à partir du ttirangle de réglement cumulé par la formule suivante :</w:t>
            </w:r>
          </w:p>
          <w:p>
            <w:pPr>
              <w:pStyle w:val="BodyText"/>
            </w:pPr>
            <w:pPr>
              <w:spacing w:after="16"/>
            </w:pPr>
          </w:p>
          <w:p>
            <w:pPr>
              <w:pStyle w:val="BodyText"/>
            </w:pPr>
            <m:oMathPara>
              <m:oMathParaPr>
                <m:jc m:val="center"/>
              </m:oMathParaPr>
              <m:oMath>
                <m:sSub>
                  <m:e>
                    <m:r>
                      <m:t>f</m:t>
                    </m:r>
                  </m:e>
                  <m:sub>
                    <m:r>
                      <m:t>i</m:t>
                    </m:r>
                    <m:r>
                      <m:rPr>
                        <m:sty m:val="p"/>
                      </m:rPr>
                      <m:t>,</m:t>
                    </m:r>
                    <m:r>
                      <m:t>j</m:t>
                    </m:r>
                  </m:sub>
                </m:sSub>
                <m:r>
                  <m:rPr>
                    <m:sty m:val="p"/>
                  </m:rPr>
                  <m:t>=</m:t>
                </m:r>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r>
                  <m:t> </m:t>
                </m:r>
                <m:r>
                  <m:rPr>
                    <m:nor/>
                    <m:sty m:val="p"/>
                  </m:rPr>
                  <m:t>pour </m:t>
                </m:r>
                <m:r>
                  <m:t>i</m:t>
                </m:r>
                <m:r>
                  <m:rPr>
                    <m:sty m:val="p"/>
                  </m:rPr>
                  <m:t>×</m:t>
                </m:r>
                <m:r>
                  <m:t>j</m:t>
                </m:r>
                <m:r>
                  <m:rPr>
                    <m:sty m:val="p"/>
                  </m:rPr>
                  <m:t>∈</m:t>
                </m:r>
                <m:r>
                  <m:rPr>
                    <m:sty m:val="p"/>
                  </m:rPr>
                  <m:t>{</m:t>
                </m:r>
                <m:r>
                  <m:t>1</m:t>
                </m:r>
                <m:r>
                  <m:rPr>
                    <m:sty m:val="p"/>
                  </m:rPr>
                  <m:t>,</m:t>
                </m:r>
                <m:r>
                  <m:rPr>
                    <m:sty m:val="p"/>
                  </m:rPr>
                  <m:t>…</m:t>
                </m:r>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RStudio.app/Contents/Resources/app/quarto/share/formats/docx/note.png" id="74"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3 : Vérification des hypothèses</w:t>
            </w:r>
          </w:p>
        </w:tc>
      </w:tr>
      <w:tr>
        <w:trPr>
          <w:cantSplit/>
        </w:trPr>
        <w:tc>
          <w:tcPr>
            <w:tcMar>
              <w:top w:w="108" w:type="dxa"/>
              <w:bottom w:w="108" w:type="dxa"/>
            </w:tcMar>
          </w:tcPr>
          <w:p>
            <w:pPr>
              <w:pStyle w:val="BodyText"/>
            </w:pPr>
            <w:pPr>
              <w:spacing w:before="16"/>
            </w:pPr>
            <w:r>
              <w:t xml:space="preserve">Cette méthode reposes sur certaines hypothèses qui faudrait vérifier avant de poursuivre les calculs.</w:t>
            </w:r>
          </w:p>
          <w:p>
            <w:pPr>
              <w:numPr>
                <w:ilvl w:val="0"/>
                <w:numId w:val="1020"/>
              </w:numPr>
              <w:pStyle w:val="Compact"/>
            </w:pPr>
            <w:r>
              <w:rPr>
                <w:iCs/>
                <w:i/>
              </w:rPr>
              <w:t xml:space="preserve">Hypothèse Nº1</w:t>
            </w:r>
            <w:r>
              <w:t xml:space="preserve"> </w:t>
            </w:r>
            <w:r>
              <w:t xml:space="preserve">: Pour</w:t>
            </w:r>
            <w:r>
              <w:t xml:space="preserve"> </w:t>
            </w:r>
            <m:oMath>
              <m:r>
                <m:t>j</m:t>
              </m:r>
            </m:oMath>
            <w:r>
              <w:t xml:space="preserve"> </w:t>
            </w:r>
            <w:r>
              <w:t xml:space="preserve">allant de</w:t>
            </w:r>
            <w:r>
              <w:t xml:space="preserve"> </w:t>
            </w:r>
            <m:oMath>
              <m:r>
                <m:t>1</m:t>
              </m:r>
            </m:oMath>
            <w:r>
              <w:t xml:space="preserve"> </w:t>
            </w:r>
            <w:r>
              <w:t xml:space="preserve">à</w:t>
            </w:r>
            <w:r>
              <w:t xml:space="preserve"> </w:t>
            </w:r>
            <m:oMath>
              <m:r>
                <m:t>n</m:t>
              </m:r>
            </m:oMath>
            <w:r>
              <w:t xml:space="preserve"> </w:t>
            </w:r>
            <w:r>
              <w:t xml:space="preserve">, les facteurs de développement</w:t>
            </w:r>
            <w:r>
              <w:t xml:space="preserve"> </w:t>
            </w:r>
            <m:oMath>
              <m:sSub>
                <m:e>
                  <m:r>
                    <m:t>f</m:t>
                  </m:r>
                </m:e>
                <m:sub>
                  <m:r>
                    <m:t>i</m:t>
                  </m:r>
                  <m:r>
                    <m:rPr>
                      <m:sty m:val="p"/>
                    </m:rPr>
                    <m:t>,</m:t>
                  </m:r>
                  <m:r>
                    <m:t>j</m:t>
                  </m:r>
                </m:sub>
              </m:sSub>
            </m:oMath>
            <w:r>
              <w:t xml:space="preserve"> </w:t>
            </w:r>
            <w:r>
              <w:t xml:space="preserve">sont indépendants de l’année desurvenance.</w:t>
            </w:r>
          </w:p>
          <w:p>
            <w:pPr>
              <w:pStyle w:val="FirstParagraph"/>
            </w:pPr>
            <w:r>
              <w:t xml:space="preserve">Les facteurs de développement individuels pour une année de développement j ne doivent pas s’écarter significativement de la moyenne des facteurs de développement individuels pour cette même année.</w:t>
            </w:r>
          </w:p>
          <w:p>
            <w:pPr>
              <w:numPr>
                <w:ilvl w:val="0"/>
                <w:numId w:val="1021"/>
              </w:numPr>
              <w:pStyle w:val="Compact"/>
            </w:pPr>
            <w:r>
              <w:rPr>
                <w:iCs/>
                <w:i/>
              </w:rPr>
              <w:t xml:space="preserve">Hypothèse Nº2</w:t>
            </w:r>
            <w:r>
              <w:t xml:space="preserve"> </w:t>
            </w:r>
            <w:r>
              <w:t xml:space="preserve">:</w:t>
            </w:r>
            <w:r>
              <w:t xml:space="preserve"> </w:t>
            </w:r>
            <w:r>
              <w:t xml:space="preserve">L’hypothèse centrale de cette méthode est celle de la stabilité des cadences de paiements.</w:t>
            </w:r>
            <w:r>
              <w:t xml:space="preserve"> </w:t>
            </w:r>
            <w:r>
              <w:t xml:space="preserve">Il existe des facteurs de développements</w:t>
            </w:r>
            <w:r>
              <w:t xml:space="preserve"> </w:t>
            </w:r>
            <m:oMath>
              <m:sSub>
                <m:e>
                  <m:r>
                    <m:t>f</m:t>
                  </m:r>
                </m:e>
                <m:sub>
                  <m:r>
                    <m:t>0</m:t>
                  </m:r>
                </m:sub>
              </m:sSub>
              <m:r>
                <m:rPr>
                  <m:sty m:val="p"/>
                </m:rPr>
                <m:t>,</m:t>
              </m:r>
              <m:r>
                <m:rPr>
                  <m:sty m:val="p"/>
                </m:rPr>
                <m:t>…</m:t>
              </m:r>
              <m:r>
                <m:rPr>
                  <m:sty m:val="p"/>
                </m:rPr>
                <m:t>,</m:t>
              </m:r>
              <m:sSub>
                <m:e>
                  <m:r>
                    <m:t>f</m:t>
                  </m:r>
                </m:e>
                <m:sub>
                  <m:r>
                    <m:t>n</m:t>
                  </m:r>
                  <m:r>
                    <m:rPr>
                      <m:sty m:val="p"/>
                    </m:rPr>
                    <m:t>−</m:t>
                  </m:r>
                  <m:r>
                    <m:t>1</m:t>
                  </m:r>
                </m:sub>
              </m:sSub>
              <m:r>
                <m:rPr>
                  <m:sty m:val="p"/>
                </m:rPr>
                <m:t>&gt;</m:t>
              </m:r>
              <m:r>
                <m:t>0</m:t>
              </m:r>
            </m:oMath>
            <w:r>
              <w:t xml:space="preserve"> </w:t>
            </w:r>
            <w:r>
              <w:t xml:space="preserve">tels que</w:t>
            </w:r>
            <w:r>
              <w:t xml:space="preserve"> </w:t>
            </w:r>
            <m:oMath>
              <m:r>
                <m:rPr>
                  <m:sty m:val="p"/>
                </m:rPr>
                <m:t>∀</m:t>
              </m:r>
              <m:r>
                <m:t>0</m:t>
              </m:r>
              <m:r>
                <m:rPr>
                  <m:sty m:val="p"/>
                </m:rPr>
                <m:t>≤</m:t>
              </m:r>
              <m:r>
                <m:t>i</m:t>
              </m:r>
              <m:r>
                <m:rPr>
                  <m:sty m:val="p"/>
                </m:rPr>
                <m:t>≤</m:t>
              </m:r>
              <m:r>
                <m:t>n</m:t>
              </m:r>
            </m:oMath>
            <w:r>
              <w:t xml:space="preserve"> </w:t>
            </w:r>
            <w:r>
              <w:t xml:space="preserve">et</w:t>
            </w:r>
            <w:r>
              <w:t xml:space="preserve"> </w:t>
            </w:r>
            <m:oMath>
              <m:r>
                <m:rPr>
                  <m:sty m:val="p"/>
                </m:rPr>
                <m:t>∀</m:t>
              </m:r>
              <m:r>
                <m:t>0</m:t>
              </m:r>
              <m:r>
                <m:rPr>
                  <m:sty m:val="p"/>
                </m:rPr>
                <m:t>≤</m:t>
              </m:r>
              <m:r>
                <m:t>j</m:t>
              </m:r>
              <m:r>
                <m:rPr>
                  <m:sty m:val="p"/>
                </m:rPr>
                <m:t>≤</m:t>
              </m:r>
              <m:r>
                <m:t>n</m:t>
              </m:r>
            </m:oMath>
            <w:r>
              <w:t xml:space="preserve">, on a :</w:t>
            </w:r>
            <w:r>
              <w:t xml:space="preserve"> </w:t>
            </w:r>
            <m:oMath>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0</m:t>
                      </m:r>
                    </m:sub>
                  </m:sSub>
                  <m:r>
                    <m:rPr>
                      <m:sty m:val="p"/>
                    </m:rPr>
                    <m:t>,</m:t>
                  </m:r>
                  <m:r>
                    <m:rPr>
                      <m:sty m:val="p"/>
                    </m:rPr>
                    <m:t>…</m:t>
                  </m:r>
                  <m:r>
                    <m:rPr>
                      <m:sty m:val="p"/>
                    </m:rPr>
                    <m:t>,</m:t>
                  </m:r>
                  <m:sSub>
                    <m:e>
                      <m:r>
                        <m:t>C</m:t>
                      </m:r>
                    </m:e>
                    <m:sub>
                      <m:r>
                        <m:t>i</m:t>
                      </m:r>
                      <m:r>
                        <m:rPr>
                          <m:sty m:val="p"/>
                        </m:rPr>
                        <m:t>,</m:t>
                      </m:r>
                      <m:r>
                        <m:t>j</m:t>
                      </m:r>
                      <m:r>
                        <m:rPr>
                          <m:sty m:val="p"/>
                        </m:rPr>
                        <m:t>−</m:t>
                      </m:r>
                      <m:r>
                        <m:t>1</m:t>
                      </m:r>
                    </m:sub>
                  </m:sSub>
                </m:e>
              </m:d>
              <m:r>
                <m:rPr>
                  <m:sty m:val="p"/>
                </m:rPr>
                <m:t>=</m:t>
              </m:r>
              <m:r>
                <m:rPr>
                  <m:sty m:val="p"/>
                  <m:scr m:val="double-struck"/>
                </m:rPr>
                <m:t>E</m:t>
              </m:r>
              <m:d>
                <m:dPr>
                  <m:begChr m:val="["/>
                  <m:endChr m:val="]"/>
                  <m:sepChr m:val=""/>
                  <m:grow/>
                </m:dPr>
                <m:e>
                  <m:sSub>
                    <m:e>
                      <m:r>
                        <m:t>C</m:t>
                      </m:r>
                    </m:e>
                    <m:sub>
                      <m:r>
                        <m:t>i</m:t>
                      </m:r>
                      <m:r>
                        <m:rPr>
                          <m:sty m:val="p"/>
                        </m:rPr>
                        <m:t>,</m:t>
                      </m:r>
                      <m:r>
                        <m:t>j</m:t>
                      </m:r>
                    </m:sub>
                  </m:sSub>
                  <m:r>
                    <m:rPr>
                      <m:sty m:val="p"/>
                    </m:rPr>
                    <m:t>/</m:t>
                  </m:r>
                  <m:sSub>
                    <m:e>
                      <m:r>
                        <m:t>C</m:t>
                      </m:r>
                    </m:e>
                    <m:sub>
                      <m:r>
                        <m:t>i</m:t>
                      </m:r>
                      <m:r>
                        <m:rPr>
                          <m:sty m:val="p"/>
                        </m:rPr>
                        <m:t>,</m:t>
                      </m:r>
                      <m:r>
                        <m:t>j</m:t>
                      </m:r>
                      <m:r>
                        <m:rPr>
                          <m:sty m:val="p"/>
                        </m:rPr>
                        <m:t>−</m:t>
                      </m:r>
                      <m:r>
                        <m:t>1</m:t>
                      </m:r>
                    </m:sub>
                  </m:sSub>
                </m:e>
              </m:d>
              <m:r>
                <m:rPr>
                  <m:sty m:val="p"/>
                </m:rPr>
                <m:t>=</m:t>
              </m:r>
              <m:sSub>
                <m:e>
                  <m:r>
                    <m:t>f</m:t>
                  </m:r>
                </m:e>
                <m:sub>
                  <m:r>
                    <m:t>j</m:t>
                  </m:r>
                  <m:r>
                    <m:rPr>
                      <m:sty m:val="p"/>
                    </m:rPr>
                    <m:t>−</m:t>
                  </m:r>
                  <m:r>
                    <m:t>1</m:t>
                  </m:r>
                </m:sub>
              </m:sSub>
              <m:sSub>
                <m:e>
                  <m:r>
                    <m:t>C</m:t>
                  </m:r>
                </m:e>
                <m:sub>
                  <m:r>
                    <m:t>i</m:t>
                  </m:r>
                  <m:r>
                    <m:rPr>
                      <m:sty m:val="p"/>
                    </m:rPr>
                    <m:t>,</m:t>
                  </m:r>
                  <m:r>
                    <m:t>j</m:t>
                  </m:r>
                  <m:r>
                    <m:rPr>
                      <m:sty m:val="p"/>
                    </m:rPr>
                    <m:t>−</m:t>
                  </m:r>
                  <m:r>
                    <m:t>1</m:t>
                  </m:r>
                </m:sub>
              </m:sSub>
            </m:oMath>
            <w:r>
              <w:t xml:space="preserve">.</w:t>
            </w:r>
          </w:p>
          <w:p>
            <w:pPr>
              <w:pStyle w:val="FirstParagraph"/>
            </w:pPr>
            <w:pPr>
              <w:spacing w:after="16"/>
            </w:pPr>
            <w:r>
              <w:t xml:space="preserve">Pour chaque année de développement</w:t>
            </w:r>
            <w:r>
              <w:t xml:space="preserve"> </w:t>
            </w:r>
            <m:oMath>
              <m:r>
                <m:t>j</m:t>
              </m:r>
            </m:oMath>
            <w:r>
              <w:t xml:space="preserve">, le nuage de points représentant les règlements cumulés de d’une année</w:t>
            </w:r>
            <w:r>
              <w:t xml:space="preserve"> </w:t>
            </w:r>
            <m:oMath>
              <m:r>
                <m:t>j</m:t>
              </m:r>
              <m:r>
                <m:rPr>
                  <m:sty m:val="p"/>
                </m:rPr>
                <m:t>+</m:t>
              </m:r>
              <m:r>
                <m:t>1</m:t>
              </m:r>
            </m:oMath>
            <w:r>
              <w:t xml:space="preserve"> </w:t>
            </w:r>
            <w:r>
              <w:t xml:space="preserve">par rapport aux règlements cumulés de l’année j doit être approché significativement par une droite.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RStudio.app/Contents/Resources/app/quarto/share/formats/docx/note.png" id="76"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4 : Calcul des facteurs de développement communs</w:t>
            </w:r>
          </w:p>
        </w:tc>
      </w:tr>
      <w:tr>
        <w:trPr>
          <w:cantSplit/>
        </w:trPr>
        <w:tc>
          <w:tcPr>
            <w:tcMar>
              <w:top w:w="108" w:type="dxa"/>
              <w:bottom w:w="108" w:type="dxa"/>
            </w:tcMar>
          </w:tcPr>
          <w:p>
            <w:pPr>
              <w:pStyle w:val="BodyText"/>
            </w:pPr>
            <w:pPr>
              <w:spacing w:before="16"/>
            </w:pPr>
            <w:r>
              <w:t xml:space="preserve">Un facteur de développement commun est un coefficient qui permet de prédire les données futures manquantes à partir des données observées. La formule pour calculer les facteurs de développement communs est la suivante :</w:t>
            </w:r>
          </w:p>
          <w:p>
            <w:pPr>
              <w:pStyle w:val="BodyText"/>
            </w:pPr>
            <m:oMathPara>
              <m:oMathParaPr>
                <m:jc m:val="center"/>
              </m:oMathParaPr>
              <m:oMath>
                <m:sSub>
                  <m:e>
                    <m:acc>
                      <m:accPr>
                        <m:chr m:val="̂"/>
                      </m:accPr>
                      <m:e>
                        <m:r>
                          <m:t>f</m:t>
                        </m:r>
                      </m:e>
                    </m:acc>
                  </m:e>
                  <m:sub>
                    <m:r>
                      <m:t>j</m:t>
                    </m:r>
                  </m:sub>
                </m:sSub>
                <m:r>
                  <m:rPr>
                    <m:sty m:val="p"/>
                  </m:rPr>
                  <m:t>=</m:t>
                </m:r>
                <m:f>
                  <m:fPr>
                    <m:type m:val="bar"/>
                  </m:fPr>
                  <m:num>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r>
                              <m:rPr>
                                <m:sty m:val="p"/>
                              </m:rPr>
                              <m:t>+</m:t>
                            </m:r>
                            <m:r>
                              <m:t>1</m:t>
                            </m:r>
                          </m:sub>
                        </m:sSub>
                      </m:e>
                    </m:nary>
                  </m:num>
                  <m:den>
                    <m:nary>
                      <m:naryPr>
                        <m:chr m:val="∑"/>
                        <m:limLoc m:val="undOvr"/>
                        <m:subHide m:val="0"/>
                        <m:supHide m:val="0"/>
                      </m:naryPr>
                      <m:sub>
                        <m:r>
                          <m:t>i</m:t>
                        </m:r>
                        <m:r>
                          <m:rPr>
                            <m:sty m:val="p"/>
                          </m:rPr>
                          <m:t>=</m:t>
                        </m:r>
                        <m:r>
                          <m:t>0</m:t>
                        </m:r>
                      </m:sub>
                      <m:sup>
                        <m:r>
                          <m:t>n</m:t>
                        </m:r>
                        <m:r>
                          <m:rPr>
                            <m:sty m:val="p"/>
                          </m:rPr>
                          <m:t>−</m:t>
                        </m:r>
                        <m:r>
                          <m:t>j</m:t>
                        </m:r>
                        <m:r>
                          <m:rPr>
                            <m:sty m:val="p"/>
                          </m:rPr>
                          <m:t>+</m:t>
                        </m:r>
                        <m:r>
                          <m:t>1</m:t>
                        </m:r>
                      </m:sup>
                      <m:e>
                        <m:sSub>
                          <m:e>
                            <m:r>
                              <m:t>C</m:t>
                            </m:r>
                          </m:e>
                          <m:sub>
                            <m:r>
                              <m:t>i</m:t>
                            </m:r>
                            <m:r>
                              <m:rPr>
                                <m:sty m:val="p"/>
                              </m:rPr>
                              <m:t>,</m:t>
                            </m:r>
                            <m:r>
                              <m:t>j</m:t>
                            </m:r>
                          </m:sub>
                        </m:sSub>
                      </m:e>
                    </m:nary>
                  </m:den>
                </m:f>
              </m:oMath>
            </m:oMathPara>
          </w:p>
          <w:p>
            <w:pPr>
              <w:pStyle w:val="FirstParagraph"/>
            </w:pPr>
            <w:pPr>
              <w:spacing w:after="16"/>
            </w:pPr>
            <w:r>
              <w:t xml:space="preserve">où</w:t>
            </w:r>
            <w:r>
              <w:t xml:space="preserve"> </w:t>
            </w:r>
            <m:oMath>
              <m:sSub>
                <m:e>
                  <m:r>
                    <m:t>f</m:t>
                  </m:r>
                </m:e>
                <m:sub>
                  <m:r>
                    <m:t>j</m:t>
                  </m:r>
                </m:sub>
              </m:sSub>
            </m:oMath>
            <w:r>
              <w:t xml:space="preserve"> </w:t>
            </w:r>
            <w:r>
              <w:t xml:space="preserve">est le facteur de développement commun de l’année de développement</w:t>
            </w:r>
            <w:r>
              <w:t xml:space="preserve"> </w:t>
            </w:r>
            <m:oMath>
              <m:r>
                <m:t>j</m:t>
              </m:r>
            </m:oMath>
            <w:r>
              <w:t xml:space="preserve"> </w:t>
            </w:r>
            <w:r>
              <w:t xml:space="preserve">à</w:t>
            </w:r>
            <w:r>
              <w:t xml:space="preserve"> </w:t>
            </w:r>
            <m:oMath>
              <m:r>
                <m:t>j</m:t>
              </m:r>
              <m:r>
                <m:rPr>
                  <m:sty m:val="p"/>
                </m:rPr>
                <m:t>+</m:t>
              </m:r>
              <m:r>
                <m:t>1</m:t>
              </m:r>
            </m:oMath>
            <w:r>
              <w:t xml:space="preserve">,</w:t>
            </w:r>
            <w:r>
              <w:t xml:space="preserve"> </w:t>
            </w:r>
            <m:oMath>
              <m:sSub>
                <m:e>
                  <m:r>
                    <m:t>C</m:t>
                  </m:r>
                </m:e>
                <m:sub>
                  <m:r>
                    <m:t>i</m:t>
                  </m:r>
                  <m:r>
                    <m:rPr>
                      <m:sty m:val="p"/>
                    </m:rPr>
                    <m:t>,</m:t>
                  </m:r>
                  <m:r>
                    <m:t>j</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j</m:t>
              </m:r>
            </m:oMath>
            <w:r>
              <w:t xml:space="preserve">, et</w:t>
            </w:r>
            <w:r>
              <w:t xml:space="preserve"> </w:t>
            </w:r>
            <m:oMath>
              <m:r>
                <m:t>n</m:t>
              </m:r>
            </m:oMath>
            <w:r>
              <w:t xml:space="preserve"> </w:t>
            </w:r>
            <w:r>
              <w:t xml:space="preserve">est le nombre d’années de survenance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RStudio.app/Contents/Resources/app/quarto/share/formats/docx/note.png" id="78"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5 :Calcul des règlements cumulés futurs par année de survenance</w:t>
            </w:r>
          </w:p>
        </w:tc>
      </w:tr>
      <w:tr>
        <w:trPr>
          <w:cantSplit/>
        </w:trPr>
        <w:tc>
          <w:tcPr>
            <w:tcMar>
              <w:top w:w="108" w:type="dxa"/>
              <w:bottom w:w="108" w:type="dxa"/>
            </w:tcMar>
          </w:tcPr>
          <w:p>
            <w:pPr>
              <w:pStyle w:val="BodyText"/>
            </w:pPr>
            <w:pPr>
              <w:spacing w:before="16"/>
            </w:pPr>
            <w:r>
              <w:t xml:space="preserve">Les règlements cumulés futurs sont estimés sur la base du triangle cumulé comme suit :</w:t>
            </w:r>
          </w:p>
          <w:p>
            <w:pPr>
              <w:pStyle w:val="BodyText"/>
            </w:pPr>
            <m:oMathPara>
              <m:oMathParaPr>
                <m:jc m:val="center"/>
              </m:oMathParaPr>
              <m:oMath>
                <m:sSub>
                  <m:e>
                    <m:acc>
                      <m:accPr>
                        <m:chr m:val="̂"/>
                      </m:accPr>
                      <m:e>
                        <m:r>
                          <m:t>C</m:t>
                        </m:r>
                      </m:e>
                    </m:acc>
                  </m:e>
                  <m:sub>
                    <m:r>
                      <m:t>i</m:t>
                    </m:r>
                    <m:r>
                      <m:rPr>
                        <m:sty m:val="p"/>
                      </m:rPr>
                      <m:t>,</m:t>
                    </m:r>
                    <m:r>
                      <m:t>j</m:t>
                    </m:r>
                    <m:r>
                      <m:rPr>
                        <m:sty m:val="p"/>
                      </m:rPr>
                      <m:t>+</m:t>
                    </m:r>
                    <m:r>
                      <m:t>1</m:t>
                    </m:r>
                  </m:sub>
                </m:sSub>
                <m:r>
                  <m:rPr>
                    <m:sty m:val="p"/>
                  </m:rPr>
                  <m:t>=</m:t>
                </m:r>
                <m:sSub>
                  <m:e>
                    <m:r>
                      <m:t>C</m:t>
                    </m:r>
                  </m:e>
                  <m:sub>
                    <m:r>
                      <m:t>i</m:t>
                    </m:r>
                    <m:r>
                      <m:rPr>
                        <m:sty m:val="p"/>
                      </m:rPr>
                      <m:t>,</m:t>
                    </m:r>
                    <m:r>
                      <m:t>n</m:t>
                    </m:r>
                    <m:r>
                      <m:rPr>
                        <m:sty m:val="p"/>
                      </m:rPr>
                      <m:t>−</m:t>
                    </m:r>
                    <m:r>
                      <m:t>i</m:t>
                    </m:r>
                  </m:sub>
                </m:sSub>
                <m:r>
                  <m:rPr>
                    <m:sty m:val="p"/>
                  </m:rPr>
                  <m:t>×</m:t>
                </m:r>
                <m:nary>
                  <m:naryPr>
                    <m:chr m:val="∏"/>
                    <m:limLoc m:val="undOvr"/>
                    <m:subHide m:val="0"/>
                    <m:supHide m:val="0"/>
                  </m:naryPr>
                  <m:sub>
                    <m:r>
                      <m:t>k</m:t>
                    </m:r>
                    <m:r>
                      <m:rPr>
                        <m:sty m:val="p"/>
                      </m:rPr>
                      <m:t>=</m:t>
                    </m:r>
                    <m:r>
                      <m:t>n</m:t>
                    </m:r>
                    <m:r>
                      <m:rPr>
                        <m:sty m:val="p"/>
                      </m:rPr>
                      <m:t>−</m:t>
                    </m:r>
                    <m:r>
                      <m:t>i</m:t>
                    </m:r>
                  </m:sub>
                  <m:sup>
                    <m:r>
                      <m:t>j</m:t>
                    </m:r>
                  </m:sup>
                  <m:e>
                    <m:sSub>
                      <m:e>
                        <m:acc>
                          <m:accPr>
                            <m:chr m:val="̂"/>
                          </m:accPr>
                          <m:e>
                            <m:r>
                              <m:t>f</m:t>
                            </m:r>
                          </m:e>
                        </m:acc>
                      </m:e>
                      <m:sub>
                        <m:r>
                          <m:t>k</m:t>
                        </m:r>
                      </m:sub>
                    </m:sSub>
                  </m:e>
                </m:nary>
              </m:oMath>
            </m:oMathPara>
          </w:p>
          <w:p>
            <w:pPr>
              <w:pStyle w:val="FirstParagraph"/>
            </w:pPr>
            <w:r>
              <w:t xml:space="preserve">où</w:t>
            </w:r>
            <w:r>
              <w:t xml:space="preserve"> </w:t>
            </w:r>
            <m:oMath>
              <m:sSub>
                <m:e>
                  <m:acc>
                    <m:accPr>
                      <m:chr m:val="̂"/>
                    </m:accPr>
                    <m:e>
                      <m:r>
                        <m:t>C</m:t>
                      </m:r>
                    </m:e>
                  </m:acc>
                </m:e>
                <m:sub>
                  <m:r>
                    <m:t>i</m:t>
                  </m:r>
                  <m:r>
                    <m:rPr>
                      <m:sty m:val="p"/>
                    </m:rPr>
                    <m:t>,</m:t>
                  </m:r>
                  <m:r>
                    <m:t>j</m:t>
                  </m:r>
                  <m:r>
                    <m:rPr>
                      <m:sty m:val="p"/>
                    </m:rPr>
                    <m:t>+</m:t>
                  </m:r>
                  <m:r>
                    <m:t>1</m:t>
                  </m:r>
                </m:sub>
              </m:sSub>
            </m:oMath>
            <w:r>
              <w:t xml:space="preserve"> </w:t>
            </w:r>
            <w:r>
              <w:t xml:space="preserve">est le règlement cumulé futur de l’année de survenance</w:t>
            </w:r>
            <w:r>
              <w:t xml:space="preserve"> </w:t>
            </w:r>
            <m:oMath>
              <m:r>
                <m:t>i</m:t>
              </m:r>
            </m:oMath>
            <w:r>
              <w:t xml:space="preserve">,</w:t>
            </w:r>
            <w:r>
              <w:t xml:space="preserve"> </w:t>
            </w:r>
            <m:oMath>
              <m:sSub>
                <m:e>
                  <m:r>
                    <m:t>C</m:t>
                  </m:r>
                </m:e>
                <m:sub>
                  <m:r>
                    <m:t>i</m:t>
                  </m:r>
                  <m:r>
                    <m:rPr>
                      <m:sty m:val="p"/>
                    </m:rPr>
                    <m:t>,</m:t>
                  </m:r>
                  <m:r>
                    <m:t>n</m:t>
                  </m:r>
                  <m:r>
                    <m:rPr>
                      <m:sty m:val="p"/>
                    </m:rPr>
                    <m:t>−</m:t>
                  </m:r>
                  <m:r>
                    <m:t>i</m:t>
                  </m:r>
                </m:sub>
              </m:sSub>
            </m:oMath>
            <w:r>
              <w:t xml:space="preserve"> </w:t>
            </w:r>
            <w:r>
              <w:t xml:space="preserve">est le règlement cumulé de l’année de survenance</w:t>
            </w:r>
            <w:r>
              <w:t xml:space="preserve"> </w:t>
            </w:r>
            <m:oMath>
              <m:r>
                <m:t>i</m:t>
              </m:r>
            </m:oMath>
            <w:r>
              <w:t xml:space="preserve"> </w:t>
            </w:r>
            <w:r>
              <w:t xml:space="preserve">à l’année de développement</w:t>
            </w:r>
            <w:r>
              <w:t xml:space="preserve"> </w:t>
            </w:r>
            <m:oMath>
              <m:r>
                <m:t>n</m:t>
              </m:r>
              <m:r>
                <m:rPr>
                  <m:sty m:val="p"/>
                </m:rPr>
                <m:t>−</m:t>
              </m:r>
              <m:r>
                <m:t>i</m:t>
              </m:r>
            </m:oMath>
            <w:r>
              <w:t xml:space="preserve">,</w:t>
            </w:r>
            <w:r>
              <w:t xml:space="preserve"> </w:t>
            </w:r>
            <m:oMath>
              <m:sSub>
                <m:e>
                  <m:acc>
                    <m:accPr>
                      <m:chr m:val="̂"/>
                    </m:accPr>
                    <m:e>
                      <m:r>
                        <m:t>f</m:t>
                      </m:r>
                    </m:e>
                  </m:acc>
                </m:e>
                <m:sub>
                  <m:r>
                    <m:t>k</m:t>
                  </m:r>
                </m:sub>
              </m:sSub>
            </m:oMath>
            <w:r>
              <w:t xml:space="preserve"> </w:t>
            </w:r>
            <w:r>
              <w:t xml:space="preserve">est le facteur de développement commun de l’année de développement</w:t>
            </w:r>
            <w:r>
              <w:t xml:space="preserve"> </w:t>
            </w:r>
            <m:oMath>
              <m:r>
                <m:t>k</m:t>
              </m:r>
            </m:oMath>
            <w:r>
              <w:t xml:space="preserve"> </w:t>
            </w:r>
            <w:r>
              <w:t xml:space="preserve">à</w:t>
            </w:r>
            <w:r>
              <w:t xml:space="preserve"> </w:t>
            </w:r>
            <m:oMath>
              <m:r>
                <m:t>k</m:t>
              </m:r>
              <m:r>
                <m:rPr>
                  <m:sty m:val="p"/>
                </m:rPr>
                <m:t>+</m:t>
              </m:r>
              <m:r>
                <m:t>1</m:t>
              </m:r>
            </m:oMath>
            <w:r>
              <w:t xml:space="preserve">, et</w:t>
            </w:r>
            <w:r>
              <w:t xml:space="preserve"> </w:t>
            </w:r>
            <m:oMath>
              <m:r>
                <m:t>n</m:t>
              </m:r>
            </m:oMath>
            <w:r>
              <w:t xml:space="preserve"> </w:t>
            </w:r>
            <w:r>
              <w:t xml:space="preserve">est le nombre d’années de survenance.</w:t>
            </w:r>
          </w:p>
          <w:p>
            <w:pPr>
              <w:pStyle w:val="BodyText"/>
            </w:pPr>
            <w:r>
              <w:t xml:space="preserve">La Provision pour Sinistre à Payer (</w:t>
            </w:r>
            <m:oMath>
              <m:r>
                <m:t>P</m:t>
              </m:r>
              <m:r>
                <m:t>S</m:t>
              </m:r>
              <m:r>
                <m:t>A</m:t>
              </m:r>
              <m:r>
                <m:t>P</m:t>
              </m:r>
            </m:oMath>
            <w:r>
              <w:t xml:space="preserve">) est déduite des</w:t>
            </w:r>
            <w:r>
              <w:t xml:space="preserve"> </w:t>
            </w:r>
            <m:oMath>
              <m:sSub>
                <m:e>
                  <m:acc>
                    <m:accPr>
                      <m:chr m:val="̂"/>
                    </m:accPr>
                    <m:e>
                      <m:r>
                        <m:t>C</m:t>
                      </m:r>
                    </m:e>
                  </m:acc>
                </m:e>
                <m:sub>
                  <m:r>
                    <m:t>i</m:t>
                  </m:r>
                  <m:r>
                    <m:rPr>
                      <m:sty m:val="p"/>
                    </m:rPr>
                    <m:t>,</m:t>
                  </m:r>
                  <m:r>
                    <m:t>j</m:t>
                  </m:r>
                </m:sub>
              </m:sSub>
            </m:oMath>
            <w:r>
              <w:t xml:space="preserve"> </w:t>
            </w:r>
            <w:r>
              <w:t xml:space="preserve">et des</w:t>
            </w:r>
            <w:r>
              <w:t xml:space="preserve"> </w:t>
            </w:r>
            <m:oMath>
              <m:sSub>
                <m:e>
                  <m:r>
                    <m:t>C</m:t>
                  </m:r>
                </m:e>
                <m:sub>
                  <m:r>
                    <m:t>i</m:t>
                  </m:r>
                  <m:r>
                    <m:rPr>
                      <m:sty m:val="p"/>
                    </m:rPr>
                    <m:t>,</m:t>
                  </m:r>
                  <m:r>
                    <m:t>j</m:t>
                  </m:r>
                </m:sub>
              </m:sSub>
            </m:oMath>
            <w:r>
              <w:t xml:space="preserve"> </w:t>
            </w:r>
            <w:r>
              <w:t xml:space="preserve">par la formule :</w:t>
            </w:r>
          </w:p>
          <w:p>
            <w:pPr>
              <w:pStyle w:val="BodyText"/>
            </w:pPr>
            <w:pPr>
              <w:spacing w:after="16"/>
            </w:pPr>
          </w:p>
          <w:p>
            <w:pPr>
              <w:pStyle w:val="BodyText"/>
            </w:pPr>
            <m:oMathPara>
              <m:oMathParaPr>
                <m:jc m:val="center"/>
              </m:oMathParaPr>
              <m:oMath>
                <m:r>
                  <m:t>P</m:t>
                </m:r>
                <m:r>
                  <m:t>S</m:t>
                </m:r>
                <m:r>
                  <m:t>A</m:t>
                </m:r>
                <m:r>
                  <m:t>P</m:t>
                </m:r>
                <m:r>
                  <m:rPr>
                    <m:sty m:val="p"/>
                  </m:rPr>
                  <m:t>=</m:t>
                </m:r>
                <m:nary>
                  <m:naryPr>
                    <m:chr m:val="∑"/>
                    <m:limLoc m:val="undOvr"/>
                    <m:subHide m:val="0"/>
                    <m:supHide m:val="0"/>
                  </m:naryPr>
                  <m:sub>
                    <m:r>
                      <m:t>i</m:t>
                    </m:r>
                    <m:r>
                      <m:rPr>
                        <m:sty m:val="p"/>
                      </m:rPr>
                      <m:t>=</m:t>
                    </m:r>
                    <m:r>
                      <m:t>0</m:t>
                    </m:r>
                  </m:sub>
                  <m:sup>
                    <m:r>
                      <m:t>n</m:t>
                    </m:r>
                    <m:r>
                      <m:rPr>
                        <m:sty m:val="p"/>
                      </m:rPr>
                      <m:t>−</m:t>
                    </m:r>
                    <m:r>
                      <m:t>1</m:t>
                    </m:r>
                  </m:sup>
                  <m:e>
                    <m:d>
                      <m:dPr>
                        <m:begChr m:val="("/>
                        <m:endChr m:val=")"/>
                        <m:sepChr m:val=""/>
                        <m:grow/>
                      </m:dPr>
                      <m:e>
                        <m:sSub>
                          <m:e>
                            <m:acc>
                              <m:accPr>
                                <m:chr m:val="̂"/>
                              </m:accPr>
                              <m:e>
                                <m:r>
                                  <m:t>C</m:t>
                                </m:r>
                              </m:e>
                            </m:acc>
                          </m:e>
                          <m:sub>
                            <m:r>
                              <m:t>i</m:t>
                            </m:r>
                            <m:r>
                              <m:rPr>
                                <m:sty m:val="p"/>
                              </m:rPr>
                              <m:t>,</m:t>
                            </m:r>
                            <m:r>
                              <m:t>n</m:t>
                            </m:r>
                          </m:sub>
                        </m:sSub>
                        <m:r>
                          <m:rPr>
                            <m:sty m:val="p"/>
                          </m:rPr>
                          <m:t>−</m:t>
                        </m:r>
                        <m:sSub>
                          <m:e>
                            <m:r>
                              <m:t>C</m:t>
                            </m:r>
                          </m:e>
                          <m:sub>
                            <m:r>
                              <m:t>i</m:t>
                            </m:r>
                            <m:r>
                              <m:rPr>
                                <m:sty m:val="p"/>
                              </m:rPr>
                              <m:t>,</m:t>
                            </m:r>
                            <m:r>
                              <m:t>n</m:t>
                            </m:r>
                            <m:r>
                              <m:rPr>
                                <m:sty m:val="p"/>
                              </m:rPr>
                              <m:t>−</m:t>
                            </m:r>
                            <m:r>
                              <m:t>i</m:t>
                            </m:r>
                          </m:sub>
                        </m:sSub>
                      </m:e>
                    </m:d>
                  </m:e>
                </m:nary>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RStudio.app/Contents/Resources/app/quarto/share/formats/docx/note.png" id="8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6 : Constitution du triangle des règlements décumulés futurs par année de survenance</w:t>
            </w:r>
          </w:p>
        </w:tc>
      </w:tr>
      <w:tr>
        <w:trPr>
          <w:cantSplit/>
        </w:trPr>
        <w:tc>
          <w:tcPr>
            <w:tcMar>
              <w:top w:w="108" w:type="dxa"/>
              <w:bottom w:w="108" w:type="dxa"/>
            </w:tcMar>
          </w:tcPr>
          <w:p>
            <w:pPr>
              <w:pStyle w:val="BodyText"/>
            </w:pPr>
            <w:pPr>
              <w:spacing w:before="16"/>
            </w:pPr>
            <w:r>
              <w:t xml:space="preserve">A la sortie de l’étape 5, nous diposerons d’une matrice de règlements cumulés. Cette étape consiste à la décumuler en utilisant la formule suivante :</w:t>
            </w:r>
          </w:p>
          <w:p>
            <w:pPr>
              <w:pStyle w:val="BodyText"/>
            </w:pPr>
            <w:pPr>
              <w:spacing w:after="16"/>
            </w:pPr>
          </w:p>
          <w:p>
            <w:pPr>
              <w:pStyle w:val="BodyText"/>
            </w:pPr>
            <m:oMathPara>
              <m:oMathParaPr>
                <m:jc m:val="center"/>
              </m:oMathParaPr>
              <m:oMath>
                <m:sSub>
                  <m:e>
                    <m:acc>
                      <m:accPr>
                        <m:chr m:val="̂"/>
                      </m:accPr>
                      <m:e>
                        <m:r>
                          <m:t>R</m:t>
                        </m:r>
                      </m:e>
                    </m:acc>
                  </m:e>
                  <m:sub>
                    <m:r>
                      <m:t>i</m:t>
                    </m:r>
                    <m:r>
                      <m:rPr>
                        <m:sty m:val="p"/>
                      </m:rPr>
                      <m:t>,</m:t>
                    </m:r>
                    <m:r>
                      <m:t>j</m:t>
                    </m:r>
                  </m:sub>
                </m:sSub>
                <m:r>
                  <m:rPr>
                    <m:sty m:val="p"/>
                  </m:rPr>
                  <m:t>=</m:t>
                </m:r>
                <m:sSub>
                  <m:e>
                    <m:acc>
                      <m:accPr>
                        <m:chr m:val="̂"/>
                      </m:accPr>
                      <m:e>
                        <m:r>
                          <m:t>C</m:t>
                        </m:r>
                      </m:e>
                    </m:acc>
                  </m:e>
                  <m:sub>
                    <m:r>
                      <m:t>i</m:t>
                    </m:r>
                    <m:r>
                      <m:rPr>
                        <m:sty m:val="p"/>
                      </m:rPr>
                      <m:t>,</m:t>
                    </m:r>
                    <m:r>
                      <m:t>j</m:t>
                    </m:r>
                  </m:sub>
                </m:sSub>
                <m:r>
                  <m:rPr>
                    <m:sty m:val="p"/>
                  </m:rPr>
                  <m:t>−</m:t>
                </m:r>
                <m:sSub>
                  <m:e>
                    <m:acc>
                      <m:accPr>
                        <m:chr m:val="̂"/>
                      </m:accPr>
                      <m:e>
                        <m:r>
                          <m:t>C</m:t>
                        </m:r>
                      </m:e>
                    </m:acc>
                  </m:e>
                  <m:sub>
                    <m:r>
                      <m:t>i</m:t>
                    </m:r>
                    <m:r>
                      <m:rPr>
                        <m:sty m:val="p"/>
                      </m:rPr>
                      <m:t>,</m:t>
                    </m:r>
                    <m:r>
                      <m:t>j</m:t>
                    </m:r>
                    <m:r>
                      <m:rPr>
                        <m:sty m:val="p"/>
                      </m:rPr>
                      <m:t>−</m:t>
                    </m:r>
                    <m:r>
                      <m:t>1</m:t>
                    </m:r>
                  </m:sub>
                </m:sSub>
                <m:r>
                  <m:t> </m:t>
                </m:r>
                <m:r>
                  <m:t> </m:t>
                </m:r>
                <m:r>
                  <m:t>p</m:t>
                </m:r>
                <m:r>
                  <m:t>o</m:t>
                </m:r>
                <m:r>
                  <m:t>u</m:t>
                </m:r>
                <m:r>
                  <m:t>r</m:t>
                </m:r>
                <m:r>
                  <m:t> </m:t>
                </m:r>
                <m:r>
                  <m:t> </m:t>
                </m:r>
                <m:r>
                  <m:t>1</m:t>
                </m:r>
                <m:r>
                  <m:rPr>
                    <m:sty m:val="p"/>
                  </m:rPr>
                  <m:t>≤</m:t>
                </m:r>
                <m:r>
                  <m:t>i</m:t>
                </m:r>
                <m:r>
                  <m:rPr>
                    <m:sty m:val="p"/>
                  </m:rPr>
                  <m:t>,</m:t>
                </m:r>
                <m:r>
                  <m:t>j</m:t>
                </m:r>
                <m:r>
                  <m:rPr>
                    <m:sty m:val="p"/>
                  </m:rPr>
                  <m:t>≤</m:t>
                </m:r>
                <m:r>
                  <m:t>n</m:t>
                </m:r>
              </m:oMath>
            </m:oMathPara>
          </w:p>
          <w:p>
            <w:pPr>
              <w:pStyle w:val="FirstParagraph"/>
            </w:pPr>
            <w:r>
              <w:t xml:space="preserve">avec :</w:t>
            </w:r>
            <w:r>
              <w:t xml:space="preserve"> </w:t>
            </w:r>
            <m:oMath>
              <m:sSub>
                <m:e>
                  <m:acc>
                    <m:accPr>
                      <m:chr m:val="̂"/>
                    </m:accPr>
                    <m:e>
                      <m:r>
                        <m:t>C</m:t>
                      </m:r>
                    </m:e>
                  </m:acc>
                </m:e>
                <m:sub>
                  <m:r>
                    <m:t>i</m:t>
                  </m:r>
                  <m:r>
                    <m:rPr>
                      <m:sty m:val="p"/>
                    </m:rPr>
                    <m:t>,</m:t>
                  </m:r>
                  <m:r>
                    <m:t>j</m:t>
                  </m:r>
                </m:sub>
              </m:sSub>
              <m:r>
                <m:rPr>
                  <m:sty m:val="p"/>
                </m:rPr>
                <m:t>=</m:t>
              </m:r>
              <m:sSub>
                <m:e>
                  <m:r>
                    <m:t>C</m:t>
                  </m:r>
                </m:e>
                <m:sub>
                  <m:r>
                    <m:t>i</m:t>
                  </m:r>
                  <m:r>
                    <m:rPr>
                      <m:sty m:val="p"/>
                    </m:rPr>
                    <m:t>,</m:t>
                  </m:r>
                  <m:r>
                    <m:t>j</m:t>
                  </m:r>
                </m:sub>
              </m:sSub>
            </m:oMath>
            <w:r>
              <w:t xml:space="preserve"> </w:t>
            </w:r>
            <w:r>
              <w:t xml:space="preserve">lorsque</w:t>
            </w:r>
            <w:r>
              <w:t xml:space="preserve"> </w:t>
            </w:r>
            <m:oMath>
              <m:r>
                <m:t>i</m:t>
              </m:r>
              <m:r>
                <m:rPr>
                  <m:sty m:val="p"/>
                </m:rPr>
                <m:t>≤</m:t>
              </m:r>
              <m:r>
                <m:t>j</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note.png" id="82"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7 : Calcul des flux de règlements futurs nets de recours (somme des diagonales) :</w:t>
            </w:r>
          </w:p>
        </w:tc>
      </w:tr>
      <w:tr>
        <w:trPr>
          <w:cantSplit/>
        </w:trPr>
        <w:tc>
          <w:tcPr>
            <w:tcMar>
              <w:top w:w="108" w:type="dxa"/>
              <w:bottom w:w="108" w:type="dxa"/>
            </w:tcMar>
          </w:tcPr>
          <w:p>
            <w:pPr>
              <w:pStyle w:val="BodyText"/>
            </w:pPr>
            <w:pPr>
              <w:spacing w:before="16" w:after="16"/>
            </w:pPr>
            <w:r>
              <w:t xml:space="preserve">Les flux de règlements futurs nets correspondent à la somme des éléments de la diagonales du triangle décumulé inférieur obtenu à l’étape 6 :</w:t>
            </w:r>
          </w:p>
          <w:p>
            <w:pPr>
              <w:pStyle w:val="BodyText"/>
            </w:pPr>
            <m:oMathPara>
              <m:oMathParaPr>
                <m:jc m:val="center"/>
              </m:oMathParaPr>
              <m:oMath>
                <m:r>
                  <m:t>F</m:t>
                </m:r>
                <m:r>
                  <m:t>R</m:t>
                </m:r>
                <m:r>
                  <m:t>F</m:t>
                </m:r>
                <m:r>
                  <m:t>P</m:t>
                </m:r>
                <m:r>
                  <m:rPr>
                    <m:sty m:val="p"/>
                  </m:rPr>
                  <m:t>=</m:t>
                </m:r>
                <m:sSub>
                  <m:e>
                    <m:acc>
                      <m:accPr>
                        <m:chr m:val="̂"/>
                      </m:accPr>
                      <m:e>
                        <m:r>
                          <m:t>R</m:t>
                        </m:r>
                      </m:e>
                    </m:acc>
                  </m:e>
                  <m:sub>
                    <m:r>
                      <m:t>p</m:t>
                    </m:r>
                  </m:sub>
                </m:sSub>
                <m:r>
                  <m:rPr>
                    <m:sty m:val="p"/>
                  </m:rPr>
                  <m:t>=</m:t>
                </m:r>
                <m:nary>
                  <m:naryPr>
                    <m:chr m:val="∑"/>
                    <m:limLoc m:val="undOvr"/>
                    <m:subHide m:val="0"/>
                    <m:supHide m:val="0"/>
                  </m:naryPr>
                  <m:sub>
                    <m:r>
                      <m:t>i</m:t>
                    </m:r>
                    <m:r>
                      <m:rPr>
                        <m:sty m:val="p"/>
                      </m:rPr>
                      <m:t>=</m:t>
                    </m:r>
                    <m:r>
                      <m:t>p</m:t>
                    </m:r>
                    <m:r>
                      <m:rPr>
                        <m:sty m:val="p"/>
                      </m:rPr>
                      <m:t>+</m:t>
                    </m:r>
                    <m:r>
                      <m:t>1</m:t>
                    </m:r>
                  </m:sub>
                  <m:sup>
                    <m:r>
                      <m:t>n</m:t>
                    </m:r>
                  </m:sup>
                  <m:e>
                    <m:sSub>
                      <m:e>
                        <m:acc>
                          <m:accPr>
                            <m:chr m:val="̂"/>
                          </m:accPr>
                          <m:e>
                            <m:r>
                              <m:t>R</m:t>
                            </m:r>
                          </m:e>
                        </m:acc>
                      </m:e>
                      <m:sub>
                        <m:r>
                          <m:t>i</m:t>
                        </m:r>
                        <m:r>
                          <m:rPr>
                            <m:sty m:val="p"/>
                          </m:rPr>
                          <m:t>,</m:t>
                        </m:r>
                        <m:r>
                          <m:t>n</m:t>
                        </m:r>
                        <m:r>
                          <m:rPr>
                            <m:sty m:val="p"/>
                          </m:rPr>
                          <m:t>−</m:t>
                        </m:r>
                        <m:r>
                          <m:t>i</m:t>
                        </m:r>
                        <m:r>
                          <m:rPr>
                            <m:sty m:val="p"/>
                          </m:rPr>
                          <m:t>+</m:t>
                        </m:r>
                        <m:r>
                          <m:t>p</m:t>
                        </m:r>
                        <m:r>
                          <m:rPr>
                            <m:sty m:val="p"/>
                          </m:rPr>
                          <m:t>+</m:t>
                        </m:r>
                        <m:r>
                          <m:t>1</m:t>
                        </m:r>
                      </m:sub>
                    </m:sSub>
                  </m:e>
                </m:nary>
                <m:r>
                  <m:t> </m:t>
                </m:r>
                <m:r>
                  <m:t> </m:t>
                </m:r>
                <m:r>
                  <m:t>a</m:t>
                </m:r>
                <m:r>
                  <m:t>v</m:t>
                </m:r>
                <m:r>
                  <m:t>e</m:t>
                </m:r>
                <m:r>
                  <m:t>c</m:t>
                </m:r>
                <m:r>
                  <m:t> </m:t>
                </m:r>
                <m:r>
                  <m:t> </m:t>
                </m:r>
                <m:r>
                  <m:t>1</m:t>
                </m:r>
                <m:r>
                  <m:rPr>
                    <m:sty m:val="p"/>
                  </m:rPr>
                  <m:t>≤</m:t>
                </m:r>
                <m:r>
                  <m:t>p</m:t>
                </m:r>
                <m:r>
                  <m:rPr>
                    <m:sty m:val="p"/>
                  </m:rPr>
                  <m:t>≤</m:t>
                </m:r>
                <m:r>
                  <m:t>n</m:t>
                </m:r>
              </m:oMath>
            </m:oMathPara>
          </w:p>
        </w:tc>
      </w:tr>
    </w:tbl>
    <w:p>
      <w:pPr>
        <w:pStyle w:val="FirstParagraph"/>
      </w:pPr>
      <w:r>
        <w:t xml:space="preserve">Bien que la méthode de Chain Ladder soit celle préconisée par l’ACAPS dans le cadre de la</w:t>
      </w:r>
      <w:r>
        <w:t xml:space="preserve"> </w:t>
      </w:r>
      <m:oMath>
        <m:r>
          <m:t>S</m:t>
        </m:r>
        <m:r>
          <m:t>B</m:t>
        </m:r>
        <m:r>
          <m:t>R</m:t>
        </m:r>
      </m:oMath>
      <w:r>
        <w:t xml:space="preserve">, il existe sur marché d’autres méthodes de calcul des flux de règlements futurs.</w:t>
      </w:r>
    </w:p>
    <w:bookmarkEnd w:id="83"/>
    <w:bookmarkStart w:id="84" w:name="méthode-des-cadences-avec-inflation"/>
    <w:p>
      <w:pPr>
        <w:pStyle w:val="Heading5"/>
      </w:pPr>
      <w:r>
        <w:t xml:space="preserve">6.3.1.5 Méthode des cadences avec inflation</w:t>
      </w:r>
    </w:p>
    <w:p>
      <w:pPr>
        <w:pStyle w:val="FirstParagraph"/>
      </w:pPr>
      <w:r>
        <w:t xml:space="preserve">Cette variante de la méthode des cadences tient compte de l’inflation de façon explicite.</w:t>
      </w:r>
      <w:r>
        <w:t xml:space="preserve"> </w:t>
      </w:r>
      <w:r>
        <w:t xml:space="preserve">On calcule les paiements annuels en faisant la différence entre les colonnes successives du triangle des paiements cumulés. On ajuste ces paiements annuels en devises (MAD par exemple) constants en utilisant un indice d’inflation, puis on les cumule pour obtenir un triangle de montants cumulés en francs constants.</w:t>
      </w:r>
      <w:r>
        <w:t xml:space="preserve"> </w:t>
      </w:r>
      <w:r>
        <w:t xml:space="preserve">On applique ensuite la méthode des cadences.</w:t>
      </w:r>
    </w:p>
    <w:bookmarkEnd w:id="84"/>
    <w:bookmarkStart w:id="85" w:name="la-méthode-du-ratio-de-paiement"/>
    <w:p>
      <w:pPr>
        <w:pStyle w:val="Heading5"/>
      </w:pPr>
      <w:r>
        <w:t xml:space="preserve">6.3.1.6 La méthode du ratio de paiement</w:t>
      </w:r>
    </w:p>
    <w:p>
      <w:pPr>
        <w:pStyle w:val="FirstParagraph"/>
      </w:pPr>
      <w:r>
        <w:t xml:space="preserve">Cette méthode a été à Sawkins 1975 est semblable à la méthode des cadences de développement avec inflation, sauf que les coefficients de passage</w:t>
      </w:r>
      <w:r>
        <w:t xml:space="preserve"> </w:t>
      </w:r>
      <m:oMath>
        <m:sSub>
          <m:e>
            <m:acc>
              <m:accPr>
                <m:chr m:val="̂"/>
              </m:accPr>
              <m:e>
                <m:r>
                  <m:t>f</m:t>
                </m:r>
              </m:e>
            </m:acc>
          </m:e>
          <m:sub>
            <m:r>
              <m:t>j</m:t>
            </m:r>
          </m:sub>
        </m:sSub>
      </m:oMath>
      <w:r>
        <w:t xml:space="preserve"> </w:t>
      </w:r>
      <w:r>
        <w:t xml:space="preserve">sont calculés comme une moyenne de ratios et non comme un ratio de moyennes :</w:t>
      </w:r>
    </w:p>
    <w:p>
      <w:pPr>
        <w:pStyle w:val="BodyText"/>
      </w:pPr>
      <m:oMathPara>
        <m:oMathParaPr>
          <m:jc m:val="center"/>
        </m:oMathParaPr>
        <m:oMath>
          <m:sSub>
            <m:e>
              <m:acc>
                <m:accPr>
                  <m:chr m:val="̂"/>
                </m:accPr>
                <m:e>
                  <m:r>
                    <m:t>f</m:t>
                  </m:r>
                </m:e>
              </m:acc>
            </m:e>
            <m:sub>
              <m:r>
                <m:t>j</m:t>
              </m:r>
            </m:sub>
          </m:sSub>
          <m:r>
            <m:rPr>
              <m:sty m:val="p"/>
            </m:rPr>
            <m:t>=</m:t>
          </m:r>
          <m:f>
            <m:fPr>
              <m:type m:val="bar"/>
            </m:fPr>
            <m:num>
              <m:r>
                <m:t>1</m:t>
              </m:r>
            </m:num>
            <m:den>
              <m:r>
                <m:t>n</m:t>
              </m:r>
              <m:r>
                <m:rPr>
                  <m:sty m:val="p"/>
                </m:rPr>
                <m:t>−</m:t>
              </m:r>
              <m:r>
                <m:t>j</m:t>
              </m:r>
              <m:r>
                <m:rPr>
                  <m:sty m:val="p"/>
                </m:rPr>
                <m:t>−</m:t>
              </m:r>
              <m:r>
                <m:t>1</m:t>
              </m:r>
            </m:den>
          </m:f>
          <m:nary>
            <m:naryPr>
              <m:chr m:val="∑"/>
              <m:limLoc m:val="undOvr"/>
              <m:subHide m:val="0"/>
              <m:supHide m:val="0"/>
            </m:naryPr>
            <m:sub>
              <m:r>
                <m:t>i</m:t>
              </m:r>
              <m:r>
                <m:rPr>
                  <m:sty m:val="p"/>
                </m:rPr>
                <m:t>=</m:t>
              </m:r>
              <m:r>
                <m:t>0</m:t>
              </m:r>
            </m:sub>
            <m:sup>
              <m:r>
                <m:t>n</m:t>
              </m:r>
              <m:r>
                <m:rPr>
                  <m:sty m:val="p"/>
                </m:rPr>
                <m:t>−</m:t>
              </m:r>
              <m:r>
                <m:t>j</m:t>
              </m:r>
              <m:r>
                <m:rPr>
                  <m:sty m:val="p"/>
                </m:rPr>
                <m:t>−</m:t>
              </m:r>
              <m:r>
                <m:t>1</m:t>
              </m:r>
            </m:sup>
            <m:e>
              <m:f>
                <m:fPr>
                  <m:type m:val="bar"/>
                </m:fPr>
                <m:num>
                  <m:sSub>
                    <m:e>
                      <m:r>
                        <m:t>C</m:t>
                      </m:r>
                    </m:e>
                    <m:sub>
                      <m:r>
                        <m:t>i</m:t>
                      </m:r>
                      <m:r>
                        <m:rPr>
                          <m:sty m:val="p"/>
                        </m:rPr>
                        <m:t>,</m:t>
                      </m:r>
                      <m:r>
                        <m:t>j</m:t>
                      </m:r>
                      <m:r>
                        <m:rPr>
                          <m:sty m:val="p"/>
                        </m:rPr>
                        <m:t>+</m:t>
                      </m:r>
                      <m:r>
                        <m:t>1</m:t>
                      </m:r>
                    </m:sub>
                  </m:sSub>
                </m:num>
                <m:den>
                  <m:sSub>
                    <m:e>
                      <m:r>
                        <m:t>C</m:t>
                      </m:r>
                    </m:e>
                    <m:sub>
                      <m:r>
                        <m:t>i</m:t>
                      </m:r>
                      <m:r>
                        <m:rPr>
                          <m:sty m:val="p"/>
                        </m:rPr>
                        <m:t>,</m:t>
                      </m:r>
                      <m:r>
                        <m:t>j</m:t>
                      </m:r>
                    </m:sub>
                  </m:sSub>
                </m:den>
              </m:f>
            </m:e>
          </m:nary>
        </m:oMath>
      </m:oMathPara>
    </w:p>
    <w:bookmarkEnd w:id="85"/>
    <w:bookmarkStart w:id="91" w:name="la-méthode-du-ratio-de-paiement-1"/>
    <w:p>
      <w:pPr>
        <w:pStyle w:val="Heading5"/>
      </w:pPr>
      <w:r>
        <w:t xml:space="preserve">6.3.1.7 La méthode du ratio de paiement</w:t>
      </w:r>
    </w:p>
    <w:p>
      <w:pPr>
        <w:pStyle w:val="FirstParagraph"/>
      </w:pPr>
      <w:r>
        <w:t xml:space="preserve">La méthode de Bornhuetter-Ferguson</w:t>
      </w:r>
      <w:r>
        <w:rPr>
          <w:rStyle w:val="FootnoteReference"/>
        </w:rPr>
        <w:footnoteReference w:id="86"/>
      </w:r>
      <w:r>
        <w:t xml:space="preserve"> </w:t>
      </w:r>
      <w:r>
        <w:t xml:space="preserve">est une méthode de provisionnement qui repose sur l’idée que les pertes finales, attendues pour une année de survenance sont connues a priori et que le rythme des paiements est stable d’une année à l’autre. Elle combine les caractéristiques de la méthode des cadences et de la méthode du ratio de sinistralité attendu. Elle utilise des facteurs de développement pour estimer le pourcentage de pertes rapportées ou payées et ajoute les pertes attendues multipliées par le pourcentage de pertes non rapportées ou non payées. Elle est surtout utilisée quand les pertes sont de faible fréquence mais de forte gravité.</w:t>
      </w:r>
    </w:p>
    <w:p>
      <w:pPr>
        <w:pStyle w:val="BodyText"/>
      </w:pPr>
      <w:r>
        <w:t xml:space="preserve">En résumé, elle suppose que l’on dispose d’une information externe sur la valeur probable finale du coût total des sinistres, que l’on appelle</w:t>
      </w:r>
      <w:r>
        <w:t xml:space="preserve"> </w:t>
      </w:r>
      <m:oMath>
        <m:r>
          <m:t>A</m:t>
        </m:r>
      </m:oMath>
      <w:r>
        <w:t xml:space="preserve">, et que l’on connaisse la proportion de sinistres attendus.</w:t>
      </w:r>
      <w:r>
        <w:rPr>
          <w:rStyle w:val="FootnoteReference"/>
        </w:rPr>
        <w:footnoteReference w:id="87"/>
      </w:r>
      <w:r>
        <w:t xml:space="preserve"> </w:t>
      </w:r>
      <w:r>
        <w:t xml:space="preserve">Cette méthode se formule comme suit :</w:t>
      </w:r>
    </w:p>
    <w:p>
      <w:pPr>
        <w:pStyle w:val="BodyText"/>
      </w:pPr>
      <m:oMathPara>
        <m:oMathParaPr>
          <m:jc m:val="center"/>
        </m:oMathParaPr>
        <m:oMath>
          <m:r>
            <m:t>L</m:t>
          </m:r>
          <m:r>
            <m:rPr>
              <m:sty m:val="p"/>
            </m:rPr>
            <m:t>=</m:t>
          </m:r>
          <m:r>
            <m:t>D</m:t>
          </m:r>
          <m:r>
            <m:rPr>
              <m:sty m:val="p"/>
            </m:rPr>
            <m:t>×</m:t>
          </m:r>
          <m:f>
            <m:fPr>
              <m:type m:val="bar"/>
            </m:fPr>
            <m:num>
              <m:r>
                <m:t>1</m:t>
              </m:r>
            </m:num>
            <m:den>
              <m:r>
                <m:t>L</m:t>
              </m:r>
              <m:r>
                <m:t>D</m:t>
              </m:r>
              <m:r>
                <m:t>F</m:t>
              </m:r>
            </m:den>
          </m:f>
          <m:r>
            <m:rPr>
              <m:sty m:val="p"/>
            </m:rPr>
            <m:t>+</m:t>
          </m:r>
          <m:r>
            <m:t>A</m:t>
          </m:r>
          <m:d>
            <m:dPr>
              <m:begChr m:val="("/>
              <m:endChr m:val=")"/>
              <m:sepChr m:val=""/>
              <m:grow/>
            </m:dPr>
            <m:e>
              <m:r>
                <m:t>1</m:t>
              </m:r>
              <m:r>
                <m:rPr>
                  <m:sty m:val="p"/>
                </m:rPr>
                <m:t>−</m:t>
              </m:r>
              <m:f>
                <m:fPr>
                  <m:type m:val="bar"/>
                </m:fPr>
                <m:num>
                  <m:r>
                    <m:t>1</m:t>
                  </m:r>
                </m:num>
                <m:den>
                  <m:r>
                    <m:t>L</m:t>
                  </m:r>
                  <m:r>
                    <m:t>D</m:t>
                  </m:r>
                  <m:r>
                    <m:t>F</m:t>
                  </m:r>
                </m:den>
              </m:f>
            </m:e>
          </m:d>
        </m:oMath>
      </m:oMathPara>
    </w:p>
    <w:p>
      <w:pPr>
        <w:pStyle w:val="FirstParagraph"/>
      </w:pPr>
      <w:r>
        <w:t xml:space="preserve">avec :</w:t>
      </w:r>
    </w:p>
    <w:p>
      <w:pPr>
        <w:numPr>
          <w:ilvl w:val="0"/>
          <w:numId w:val="1022"/>
        </w:numPr>
        <w:pStyle w:val="Compact"/>
      </w:pPr>
      <m:oMath>
        <m:r>
          <m:t>L</m:t>
        </m:r>
      </m:oMath>
      <w:r>
        <w:t xml:space="preserve"> </w:t>
      </w:r>
      <w:r>
        <w:t xml:space="preserve">: coût total estimé par cette méthode.</w:t>
      </w:r>
    </w:p>
    <w:p>
      <w:pPr>
        <w:numPr>
          <w:ilvl w:val="0"/>
          <w:numId w:val="1022"/>
        </w:numPr>
        <w:pStyle w:val="Compact"/>
      </w:pPr>
      <m:oMath>
        <m:r>
          <m:t>D</m:t>
        </m:r>
      </m:oMath>
      <w:r>
        <w:t xml:space="preserve"> </w:t>
      </w:r>
      <w:r>
        <w:t xml:space="preserve">: coût total estimé en fonction des sinistres connues.</w:t>
      </w:r>
    </w:p>
    <w:p>
      <w:pPr>
        <w:numPr>
          <w:ilvl w:val="0"/>
          <w:numId w:val="1022"/>
        </w:numPr>
        <w:pStyle w:val="Compact"/>
      </w:pPr>
      <m:oMath>
        <m:r>
          <m:t>A</m:t>
        </m:r>
      </m:oMath>
      <w:r>
        <w:t xml:space="preserve"> </w:t>
      </w:r>
      <w:r>
        <w:t xml:space="preserve">: coût total (connus + tardifs) attendu a priori.</w:t>
      </w:r>
    </w:p>
    <w:p>
      <w:pPr>
        <w:numPr>
          <w:ilvl w:val="0"/>
          <w:numId w:val="1022"/>
        </w:numPr>
        <w:pStyle w:val="Compact"/>
      </w:pPr>
      <m:oMath>
        <m:r>
          <m:t>L</m:t>
        </m:r>
        <m:r>
          <m:t>D</m:t>
        </m:r>
        <m:r>
          <m:t>F</m:t>
        </m:r>
      </m:oMath>
      <w:r>
        <w:t xml:space="preserve"> </w:t>
      </w:r>
      <w:r>
        <w:t xml:space="preserve">: proportion de la liquidation déjà constatée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9" name="Picture"/>
                  <a:graphic>
                    <a:graphicData uri="http://schemas.openxmlformats.org/drawingml/2006/picture">
                      <pic:pic>
                        <pic:nvPicPr>
                          <pic:cNvPr descr="/Applications/RStudio.app/Contents/Resources/app/quarto/share/formats/docx/tip.png" id="90" name="Picture"/>
                          <pic:cNvPicPr>
                            <a:picLocks noChangeArrowheads="1" noChangeAspect="1"/>
                          </pic:cNvPicPr>
                        </pic:nvPicPr>
                        <pic:blipFill>
                          <a:blip r:embed="rId8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Exemple</w:t>
            </w:r>
          </w:p>
          <w:p>
            <w:pPr>
              <w:pStyle w:val="BodyText"/>
            </w:pPr>
            <w:pPr>
              <w:spacing w:before="16"/>
            </w:pPr>
            <w:r>
              <w:t xml:space="preserve">Imaginons que le tarif ait été fixé en prévoyant une sinistralité totale de</w:t>
            </w:r>
            <w:r>
              <w:t xml:space="preserve"> </w:t>
            </w:r>
            <m:oMath>
              <m:r>
                <m:t>90</m:t>
              </m:r>
            </m:oMath>
            <w:r>
              <w:t xml:space="preserve">, que la part des sinistres connus au premier bilan soit habituellement de</w:t>
            </w:r>
            <w:r>
              <w:t xml:space="preserve"> </w:t>
            </w:r>
            <m:oMath>
              <m:r>
                <m:t>40</m:t>
              </m:r>
              <m:r>
                <m:rPr>
                  <m:sty m:val="p"/>
                </m:rPr>
                <m:t>%</m:t>
              </m:r>
            </m:oMath>
            <w:r>
              <w:t xml:space="preserve"> </w:t>
            </w:r>
            <w:r>
              <w:t xml:space="preserve">et que la sinistralité observée au premier bilan soit de</w:t>
            </w:r>
            <w:r>
              <w:t xml:space="preserve"> </w:t>
            </w:r>
            <m:oMath>
              <m:r>
                <m:t>36</m:t>
              </m:r>
            </m:oMath>
            <w:r>
              <w:t xml:space="preserve">.</w:t>
            </w:r>
          </w:p>
          <w:p>
            <w:pPr>
              <w:pStyle w:val="BodyText"/>
            </w:pPr>
            <w:r>
              <w:t xml:space="preserve">Si l’on pense que le tarif était bien établi, il n’y a pas lieu de changer la sinistralité totale et le montant des tardifs à provisionner est de</w:t>
            </w:r>
            <w:r>
              <w:t xml:space="preserve"> </w:t>
            </w:r>
            <m:oMath>
              <m:r>
                <m:t>90</m:t>
              </m:r>
              <m:r>
                <m:rPr>
                  <m:sty m:val="p"/>
                </m:rPr>
                <m:t>−</m:t>
              </m:r>
              <m:r>
                <m:t>36</m:t>
              </m:r>
              <m:r>
                <m:rPr>
                  <m:sty m:val="p"/>
                </m:rPr>
                <m:t>=</m:t>
              </m:r>
              <m:r>
                <m:t>54</m:t>
              </m:r>
            </m:oMath>
            <w:r>
              <w:t xml:space="preserve">.</w:t>
            </w:r>
          </w:p>
          <w:p>
            <w:pPr>
              <w:pStyle w:val="BodyText"/>
            </w:pPr>
            <w:r>
              <w:t xml:space="preserve">Si l’on pense que la part des sinistres connus au premier bilan est un indicateur fiable, il y a lieu de considérer que la sinistralité totale sera de</w:t>
            </w:r>
            <w:r>
              <w:t xml:space="preserve"> </w:t>
            </w:r>
            <m:oMath>
              <m:r>
                <m:t>36</m:t>
              </m:r>
              <m:r>
                <m:rPr>
                  <m:sty m:val="p"/>
                </m:rPr>
                <m:t>/</m:t>
              </m:r>
              <m:r>
                <m:t>40</m:t>
              </m:r>
              <m:r>
                <m:rPr>
                  <m:sty m:val="p"/>
                </m:rPr>
                <m:t>%</m:t>
              </m:r>
              <m:r>
                <m:rPr>
                  <m:sty m:val="p"/>
                </m:rPr>
                <m:t>=</m:t>
              </m:r>
              <m:r>
                <m:t>90</m:t>
              </m:r>
            </m:oMath>
            <w:r>
              <w:t xml:space="preserve"> </w:t>
            </w:r>
            <w:r>
              <w:t xml:space="preserve">et de provisionner 54 de tardifs.</w:t>
            </w:r>
          </w:p>
          <w:p>
            <w:pPr>
              <w:pStyle w:val="BodyText"/>
            </w:pPr>
            <w:r>
              <w:t xml:space="preserve">L’application de la méthode Bornhuetter-Ferguson donne un résultat intermédiaire calculé ainsi :</w:t>
            </w:r>
          </w:p>
          <w:p>
            <w:pPr>
              <w:pStyle w:val="BodyText"/>
            </w:pPr>
            <w:pPr>
              <w:spacing w:after="16"/>
            </w:pPr>
            <m:oMath>
              <m:r>
                <m:t>L</m:t>
              </m:r>
              <m:r>
                <m:rPr>
                  <m:sty m:val="p"/>
                </m:rPr>
                <m:t>=</m:t>
              </m:r>
              <m:r>
                <m:t>90</m:t>
              </m:r>
              <m:r>
                <m:rPr>
                  <m:sty m:val="p"/>
                </m:rPr>
                <m:t>×</m:t>
              </m:r>
              <m:r>
                <m:t>40</m:t>
              </m:r>
              <m:r>
                <m:rPr>
                  <m:sty m:val="p"/>
                </m:rPr>
                <m:t>%</m:t>
              </m:r>
              <m:r>
                <m:rPr>
                  <m:sty m:val="p"/>
                </m:rPr>
                <m:t>+</m:t>
              </m:r>
              <m:r>
                <m:t>90</m:t>
              </m:r>
              <m:r>
                <m:rPr>
                  <m:sty m:val="p"/>
                </m:rPr>
                <m:t>×</m:t>
              </m:r>
              <m:r>
                <m:t>60</m:t>
              </m:r>
              <m:r>
                <m:rPr>
                  <m:sty m:val="p"/>
                </m:rPr>
                <m:t>%</m:t>
              </m:r>
              <m:r>
                <m:rPr>
                  <m:sty m:val="p"/>
                </m:rPr>
                <m:t>=</m:t>
              </m:r>
              <m:r>
                <m:t>90</m:t>
              </m:r>
            </m:oMath>
            <w:r>
              <w:t xml:space="preserve">, soit un volume de tardifs attendu de</w:t>
            </w:r>
            <w:r>
              <w:t xml:space="preserve"> </w:t>
            </w:r>
            <m:oMath>
              <m:r>
                <m:t>54</m:t>
              </m:r>
            </m:oMath>
            <w:r>
              <w:t xml:space="preserve">.</w:t>
            </w:r>
          </w:p>
        </w:tc>
      </w:tr>
    </w:tbl>
    <w:p>
      <w:pPr>
        <w:pStyle w:val="BodyText"/>
      </w:pPr>
      <w:r>
        <w:t xml:space="preserve">Plusieurs auteurs ont exprimé l’opinion que cette méthode est plus performante que la méthode des cadences de développement, en début de développement.</w:t>
      </w:r>
    </w:p>
    <w:bookmarkEnd w:id="91"/>
    <w:bookmarkEnd w:id="92"/>
    <w:bookmarkStart w:id="93" w:name="X7e63ab4301a770f99d7cb8d654e83cd2564e4b4"/>
    <w:p>
      <w:pPr>
        <w:pStyle w:val="Heading4"/>
      </w:pPr>
      <w:r>
        <w:t xml:space="preserve">6.3.2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sSub>
            <m:e>
              <m:r>
                <m:t>​</m:t>
              </m:r>
            </m:e>
            <m:sub>
              <m:r>
                <m:t>n</m:t>
              </m:r>
              <m:r>
                <m:t>v</m:t>
              </m:r>
              <m:r>
                <m:t>h</m:t>
              </m:r>
              <m:r>
                <m:t>r</m:t>
              </m:r>
            </m:sub>
          </m:sSub>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3"/>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d>
            <m:dPr>
              <m:begChr m:val="("/>
              <m:endChr m:val=")"/>
              <m:sepChr m:val=""/>
              <m:grow/>
            </m:dPr>
            <m:e>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e>
          </m:d>
        </m:oMath>
      </m:oMathPara>
    </w:p>
    <w:p>
      <w:pPr>
        <w:pStyle w:val="FirstParagraph"/>
      </w:pPr>
      <w:r>
        <w:t xml:space="preserve">et:</w:t>
      </w:r>
    </w:p>
    <w:p>
      <w:pPr>
        <w:numPr>
          <w:ilvl w:val="0"/>
          <w:numId w:val="1024"/>
        </w:numPr>
        <w:pStyle w:val="Compact"/>
      </w:pPr>
      <m:oMath>
        <m:r>
          <m:t>T</m:t>
        </m:r>
        <m:sSub>
          <m:e>
            <m:r>
              <m:t>x</m:t>
            </m:r>
          </m:e>
          <m:sub>
            <m:r>
              <m:t>f</m:t>
            </m:r>
            <m:r>
              <m:t>r</m:t>
            </m:r>
            <m:r>
              <m:t>a</m:t>
            </m:r>
            <m:r>
              <m:t>i</m:t>
            </m:r>
            <m:r>
              <m:t>s</m:t>
            </m:r>
            <m:r>
              <m:t>g</m:t>
            </m:r>
            <m:r>
              <m:t>e</m:t>
            </m:r>
            <m:r>
              <m:t>s</m:t>
            </m:r>
            <m:r>
              <m:t>t</m:t>
            </m:r>
            <m:r>
              <m:t>i</m:t>
            </m:r>
            <m:r>
              <m:t>o</m:t>
            </m:r>
            <m:sSub>
              <m:e>
                <m:r>
                  <m:t>n</m:t>
                </m:r>
              </m:e>
              <m:sub>
                <m:r>
                  <m:t>m</m:t>
                </m:r>
                <m:r>
                  <m:t>o</m:t>
                </m:r>
                <m:r>
                  <m:t>y</m:t>
                </m:r>
              </m:sub>
            </m:sSub>
          </m:sub>
        </m:sSub>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sSub>
            <m:e>
              <m:r>
                <m:t>​</m:t>
              </m:r>
            </m:e>
            <m:sub>
              <m:r>
                <m:t>t</m:t>
              </m:r>
            </m:sub>
          </m:sSub>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f>
            <m:fPr>
              <m:type m:val="bar"/>
            </m:fPr>
            <m:num>
              <m:r>
                <m:t>T</m:t>
              </m:r>
              <m:sSub>
                <m:e>
                  <m:r>
                    <m:t>x</m:t>
                  </m:r>
                </m:e>
                <m:sub>
                  <m:r>
                    <m:t>f</m:t>
                  </m:r>
                  <m:r>
                    <m:t>r</m:t>
                  </m:r>
                  <m:r>
                    <m:t>a</m:t>
                  </m:r>
                  <m:r>
                    <m:t>i</m:t>
                  </m:r>
                  <m:r>
                    <m:t>s</m:t>
                  </m:r>
                  <m:r>
                    <m:t>G</m:t>
                  </m:r>
                  <m:r>
                    <m:t>e</m:t>
                  </m:r>
                  <m:r>
                    <m:t>s</m:t>
                  </m:r>
                  <m:r>
                    <m:t>t</m:t>
                  </m:r>
                  <m:r>
                    <m:t>i</m:t>
                  </m:r>
                  <m:r>
                    <m:t>o</m:t>
                  </m:r>
                  <m:sSub>
                    <m:e>
                      <m:r>
                        <m:t>n</m:t>
                      </m:r>
                    </m:e>
                    <m:sub>
                      <m:r>
                        <m:t>t</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1</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2</m:t>
                      </m:r>
                    </m:sub>
                  </m:sSub>
                </m:sub>
              </m:sSub>
            </m:num>
            <m:den>
              <m:r>
                <m:t>3</m:t>
              </m:r>
            </m:den>
          </m:f>
        </m:oMath>
      </m:oMathPara>
    </w:p>
    <w:p>
      <w:pPr>
        <w:pStyle w:val="FirstParagraph"/>
      </w:pPr>
      <w:r>
        <w:t xml:space="preserve">ainsi que :</w:t>
      </w:r>
    </w:p>
    <w:p>
      <w:pPr>
        <w:pStyle w:val="BodyText"/>
      </w:pPr>
      <m:oMathPara>
        <m:oMathParaPr>
          <m:jc m:val="center"/>
        </m:oMathParaPr>
        <m:oMath>
          <m:r>
            <m:t>T</m:t>
          </m:r>
          <m:sSub>
            <m:e>
              <m:r>
                <m:t>x</m:t>
              </m:r>
            </m:e>
            <m:sub>
              <m:r>
                <m:t>f</m:t>
              </m:r>
              <m:r>
                <m:t>r</m:t>
              </m:r>
              <m:r>
                <m:t>a</m:t>
              </m:r>
              <m:r>
                <m:t>i</m:t>
              </m:r>
              <m:r>
                <m:t>s</m:t>
              </m:r>
              <m:r>
                <m:t>g</m:t>
              </m:r>
              <m:r>
                <m:t>e</m:t>
              </m:r>
              <m:r>
                <m:t>s</m:t>
              </m:r>
              <m:r>
                <m:t>t</m:t>
              </m:r>
              <m:r>
                <m:t>i</m:t>
              </m:r>
              <m:r>
                <m:t>o</m:t>
              </m:r>
              <m:sSub>
                <m:e>
                  <m:r>
                    <m:t>n</m:t>
                  </m:r>
                </m:e>
                <m:sub>
                  <m:r>
                    <m:t>t</m:t>
                  </m:r>
                </m:sub>
              </m:sSub>
            </m:sub>
          </m:sSub>
          <m:r>
            <m:rPr>
              <m:sty m:val="p"/>
            </m:rPr>
            <m:t>=</m:t>
          </m:r>
          <m:f>
            <m:fPr>
              <m:type m:val="bar"/>
            </m:fPr>
            <m:num>
              <m:r>
                <m:t>F</m:t>
              </m:r>
              <m:r>
                <m:t>G</m:t>
              </m:r>
            </m:num>
            <m:den>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r>
                <m:t>R</m:t>
              </m:r>
              <m:r>
                <m:t>e</m:t>
              </m:r>
              <m:r>
                <m:t>g</m:t>
              </m:r>
              <m:r>
                <m:t>l</m:t>
              </m:r>
              <m:r>
                <m:t>e</m:t>
              </m:r>
              <m:r>
                <m:t>m</m:t>
              </m:r>
              <m:r>
                <m:t>e</m:t>
              </m:r>
              <m:r>
                <m:t>n</m:t>
              </m:r>
              <m:r>
                <m:t>t</m:t>
              </m:r>
              <m:sSub>
                <m:e>
                  <m:r>
                    <m:t>s</m:t>
                  </m:r>
                </m:e>
                <m:sub>
                  <m:r>
                    <m:t>C</m:t>
                  </m:r>
                  <m:r>
                    <m:t>l</m:t>
                  </m:r>
                  <m:r>
                    <m:t>o</m:t>
                  </m:r>
                  <m:r>
                    <m:t>s</m:t>
                  </m:r>
                </m:sub>
              </m:sSub>
            </m:den>
          </m:f>
        </m:oMath>
      </m:oMathPara>
    </w:p>
    <w:p>
      <w:pPr>
        <w:numPr>
          <w:ilvl w:val="0"/>
          <w:numId w:val="1025"/>
        </w:numPr>
        <w:pStyle w:val="Compact"/>
      </w:pPr>
      <m:oMath>
        <m:r>
          <m:t>F</m:t>
        </m:r>
        <m:r>
          <m:t>G</m:t>
        </m:r>
      </m:oMath>
      <w:r>
        <w:t xml:space="preserve">: le montant frais de gestion.</w:t>
      </w:r>
    </w:p>
    <w:p>
      <w:pPr>
        <w:numPr>
          <w:ilvl w:val="0"/>
          <w:numId w:val="1025"/>
        </w:numPr>
        <w:pStyle w:val="Compact"/>
      </w:pPr>
      <m:oMath>
        <m:r>
          <m:t>R</m:t>
        </m:r>
        <m:r>
          <m:t>e</m:t>
        </m:r>
        <m:r>
          <m:t>g</m:t>
        </m:r>
        <m:r>
          <m:t>l</m:t>
        </m:r>
        <m:r>
          <m:t>e</m:t>
        </m:r>
        <m:r>
          <m:t>m</m:t>
        </m:r>
        <m:r>
          <m:t>e</m:t>
        </m:r>
        <m:r>
          <m:t>n</m:t>
        </m:r>
        <m:r>
          <m:t>t</m:t>
        </m:r>
        <m:sSub>
          <m:e>
            <m:r>
              <m:t>s</m:t>
            </m:r>
          </m:e>
          <m:sub>
            <m:r>
              <m:t>C</m:t>
            </m:r>
            <m:r>
              <m:t>l</m:t>
            </m:r>
            <m:r>
              <m:t>o</m:t>
            </m:r>
            <m:r>
              <m:t>s</m:t>
            </m:r>
          </m:sub>
        </m:sSub>
      </m:oMath>
      <w:r>
        <w:t xml:space="preserve"> </w:t>
      </w:r>
      <w:r>
        <w:t xml:space="preserve">: les règlements au titre de l’exercice clos.</w:t>
      </w:r>
    </w:p>
    <w:bookmarkEnd w:id="93"/>
    <w:bookmarkEnd w:id="94"/>
    <w:bookmarkStart w:id="105" w:name="Xf3f8abd7a5710234231d4d992dd0ccf8ee2969b"/>
    <w:p>
      <w:pPr>
        <w:pStyle w:val="Heading3"/>
      </w:pPr>
      <w:r>
        <w:t xml:space="preserve">6.4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97" w:name="X2a1b8cf2422c04aac5fbeb38e9044a51a42d991"/>
    <w:p>
      <w:pPr>
        <w:pStyle w:val="Heading4"/>
      </w:pPr>
      <w:r>
        <w:t xml:space="preserve">6.4.1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95"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w:t>
      </w:r>
      <w:r>
        <w:t xml:space="preserve"> </w:t>
      </w:r>
      <w:r>
        <w:t xml:space="preserve">engagements par le rapport entre d’une part, la part des cessionnaires dans les provisions</w:t>
      </w:r>
      <w:r>
        <w:t xml:space="preserve"> </w:t>
      </w:r>
      <w:r>
        <w:t xml:space="preserve">mathématiques et dans les provisions pour capitaux, rentes et rachats à payer et d’autre part, la</w:t>
      </w:r>
      <w:r>
        <w:t xml:space="preserve"> </w:t>
      </w:r>
      <w:r>
        <w:t xml:space="preserve">somme des provisions mathématiques , des provisions pour capitaux, rentes et rachats à payer bruts</w:t>
      </w:r>
      <w:r>
        <w:t xml:space="preserve"> </w:t>
      </w:r>
      <w:r>
        <w:t xml:space="preserve">de réassurance.</w:t>
      </w:r>
    </w:p>
    <w:p>
      <w:pPr>
        <w:pStyle w:val="BodyText"/>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26"/>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95"/>
    <w:bookmarkStart w:id="96"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ci- dessus est évaluée en multipliant la meilleure estimation des engagements pour sinistres nets de recours visée à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visée est évaluée en multipliant la meilleure estimation des engagements pour primes visée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96"/>
    <w:bookmarkEnd w:id="97"/>
    <w:bookmarkStart w:id="104" w:name="lajustement-pour-défaut-de-contrepartie"/>
    <w:p>
      <w:pPr>
        <w:pStyle w:val="Heading4"/>
      </w:pPr>
      <w:r>
        <w:t xml:space="preserve">6.4.2 L’ajustement pour défaut de contrepartie:</w:t>
      </w:r>
    </w:p>
    <w:p>
      <w:pPr>
        <w:pStyle w:val="FirstParagraph"/>
      </w:pPr>
      <w:r>
        <w:t xml:space="preserve">L’ajustement pour défaut de contrepartie est déterminé en actualisant les flux d’ajustement futurs sur la base de la courbe des taux fixée par l’Autorité. Il correspond à la perte anticipée résultant de la défaillance probable du cessionnaire</w:t>
      </w:r>
    </w:p>
    <w:p>
      <w:pPr>
        <w:pStyle w:val="BodyText"/>
      </w:pPr>
      <w:r>
        <w:t xml:space="preserve">Les flux d’ajustement futurs sont déterminés conformément à la méthode, telle que décrite à</w:t>
      </w:r>
      <w:r>
        <w:t xml:space="preserve"> </w:t>
      </w:r>
      <w:r>
        <w:rPr>
          <w:bCs/>
          <w:b/>
        </w:rPr>
        <w:t xml:space="preserve">l’annexe N°6</w:t>
      </w:r>
      <w:r>
        <w:t xml:space="preserve"> </w:t>
      </w:r>
      <w:r>
        <w:t xml:space="preserve">de la circulaire de l’ACAPS que nous décrirons ci-après.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Applications/RStudio.app/Contents/Resources/app/quarto/share/formats/docx/note.png" id="99"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Nº1: Calcul des meilleures estimations cédées projetées</w:t>
            </w:r>
          </w:p>
        </w:tc>
      </w:tr>
      <w:tr>
        <w:trPr>
          <w:cantSplit/>
        </w:trPr>
        <w:tc>
          <w:tcPr>
            <w:tcMar>
              <w:top w:w="108" w:type="dxa"/>
              <w:bottom w:w="108" w:type="dxa"/>
            </w:tcMar>
          </w:tcPr>
          <w:p>
            <w:pPr>
              <w:pStyle w:val="BlockText"/>
            </w:pPr>
            <w:r>
              <w:t xml:space="preserve">Pour les opérations d’assurance non-vie hors rentes</w:t>
            </w:r>
          </w:p>
          <w:p>
            <w:pPr>
              <w:pStyle w:val="FirstParagraph"/>
            </w:pPr>
            <w:r>
              <w:t xml:space="preserve">Posons</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étant les flux de règlements futurs probabilisés. La meilleure estimation des engagements cédés au titre de l’année de projection</w:t>
            </w:r>
            <w:r>
              <w:t xml:space="preserve"> </w:t>
            </w: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oMath>
            <w:r>
              <w:t xml:space="preserve"> </w:t>
            </w:r>
            <w:r>
              <w:t xml:space="preserve">est calculée comme suit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sSub>
                      <m:e>
                        <m:r>
                          <m:t>E</m:t>
                        </m:r>
                      </m:e>
                      <m:sub>
                        <m:r>
                          <m:t>s</m:t>
                        </m:r>
                        <m:r>
                          <m:t>i</m:t>
                        </m:r>
                        <m:r>
                          <m:t>n</m:t>
                        </m:r>
                        <m:r>
                          <m:t>s</m:t>
                        </m:r>
                        <m:r>
                          <m:t>i</m:t>
                        </m:r>
                        <m:r>
                          <m:t>t</m:t>
                        </m:r>
                        <m:r>
                          <m:t>r</m:t>
                        </m:r>
                        <m:r>
                          <m:t>e</m:t>
                        </m:r>
                        <m:r>
                          <m:t>s</m:t>
                        </m:r>
                        <m:r>
                          <m:t> </m:t>
                        </m:r>
                        <m:r>
                          <m:t>i</m:t>
                        </m:r>
                      </m:sub>
                    </m:sSub>
                    <m:r>
                      <m:rPr>
                        <m:sty m:val="p"/>
                      </m:rPr>
                      <m:t>×</m:t>
                    </m:r>
                    <m:r>
                      <m:t>r</m:t>
                    </m:r>
                    <m:r>
                      <m:t>a</m:t>
                    </m:r>
                    <m:r>
                      <m:t>t</m:t>
                    </m:r>
                    <m:r>
                      <m:t>i</m:t>
                    </m:r>
                    <m:sSub>
                      <m:e>
                        <m:r>
                          <m:t>o</m:t>
                        </m:r>
                      </m:e>
                      <m:sub>
                        <m:r>
                          <m:t>s</m:t>
                        </m:r>
                        <m:r>
                          <m:t>i</m:t>
                        </m:r>
                        <m:r>
                          <m:t>n</m:t>
                        </m:r>
                        <m:r>
                          <m:t>i</m:t>
                        </m:r>
                        <m:r>
                          <m:t>s</m:t>
                        </m:r>
                        <m:r>
                          <m:t>t</m:t>
                        </m:r>
                        <m:r>
                          <m:t>r</m:t>
                        </m:r>
                        <m:r>
                          <m:t>e</m:t>
                        </m:r>
                        <m:r>
                          <m:t>s</m:t>
                        </m:r>
                        <m:r>
                          <m:t> </m:t>
                        </m:r>
                        <m:r>
                          <m:t>0</m:t>
                        </m:r>
                      </m:sub>
                    </m:sSub>
                    <m:r>
                      <m:rPr>
                        <m:sty m:val="p"/>
                      </m:rPr>
                      <m:t>+</m:t>
                    </m:r>
                    <m:r>
                      <m:t>M</m:t>
                    </m:r>
                    <m:sSub>
                      <m:e>
                        <m:r>
                          <m:t>E</m:t>
                        </m:r>
                      </m:e>
                      <m:sub>
                        <m:r>
                          <m:t>p</m:t>
                        </m:r>
                        <m:r>
                          <m:t>r</m:t>
                        </m:r>
                        <m:r>
                          <m:t>i</m:t>
                        </m:r>
                        <m:r>
                          <m:t>m</m:t>
                        </m:r>
                        <m:r>
                          <m:t>e</m:t>
                        </m:r>
                        <m:r>
                          <m:t>s</m:t>
                        </m:r>
                        <m:r>
                          <m:t> </m:t>
                        </m:r>
                        <m:r>
                          <m:t>i</m:t>
                        </m:r>
                      </m:sub>
                    </m:sSub>
                    <m:r>
                      <m:rPr>
                        <m:sty m:val="p"/>
                      </m:rPr>
                      <m:t>×</m:t>
                    </m:r>
                    <m:r>
                      <m:t>r</m:t>
                    </m:r>
                    <m:r>
                      <m:t>a</m:t>
                    </m:r>
                    <m:r>
                      <m:t>t</m:t>
                    </m:r>
                    <m:r>
                      <m:t>i</m:t>
                    </m:r>
                    <m:sSub>
                      <m:e>
                        <m:r>
                          <m:t>o</m:t>
                        </m:r>
                      </m:e>
                      <m:sub>
                        <m:r>
                          <m:t>p</m:t>
                        </m:r>
                        <m:r>
                          <m:t>r</m:t>
                        </m:r>
                        <m:r>
                          <m:t>i</m:t>
                        </m:r>
                        <m:r>
                          <m:t>m</m:t>
                        </m:r>
                        <m:r>
                          <m:t>e</m:t>
                        </m:r>
                        <m:r>
                          <m:t>s</m:t>
                        </m:r>
                        <m:r>
                          <m:t> </m:t>
                        </m:r>
                        <m:r>
                          <m:t>0</m:t>
                        </m:r>
                      </m:sub>
                    </m:sSub>
                  </m:e>
                </m:d>
              </m:oMath>
            </m:oMathPara>
          </w:p>
          <w:p>
            <w:pPr>
              <w:pStyle w:val="FirstParagraph"/>
            </w:pPr>
            <w:r>
              <w:t xml:space="preserve">Où:</w:t>
            </w:r>
          </w:p>
          <w:p>
            <w:pPr>
              <w:numPr>
                <w:ilvl w:val="0"/>
                <w:numId w:val="1027"/>
              </w:numPr>
              <w:pStyle w:val="Compact"/>
            </w:pPr>
            <m:oMath>
              <m:r>
                <m:t>M</m:t>
              </m:r>
              <m:sSub>
                <m:e>
                  <m:r>
                    <m:t>E</m:t>
                  </m:r>
                </m:e>
                <m:sub>
                  <m:r>
                    <m:t>s</m:t>
                  </m:r>
                  <m:r>
                    <m:t>i</m:t>
                  </m:r>
                  <m:r>
                    <m:t>n</m:t>
                  </m:r>
                  <m:r>
                    <m:t>s</m:t>
                  </m:r>
                  <m:r>
                    <m:t>i</m:t>
                  </m:r>
                  <m:r>
                    <m:t>t</m:t>
                  </m:r>
                  <m:r>
                    <m:t>r</m:t>
                  </m:r>
                  <m:r>
                    <m:t>e</m:t>
                  </m:r>
                  <m:r>
                    <m:t>s</m:t>
                  </m:r>
                  <m:r>
                    <m:t> </m:t>
                  </m:r>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p>
          <w:p>
            <w:pPr>
              <w:numPr>
                <w:ilvl w:val="0"/>
                <w:numId w:val="1027"/>
              </w:numPr>
              <w:pStyle w:val="Compact"/>
            </w:pPr>
            <m:oMath>
              <m:r>
                <m:t>M</m:t>
              </m:r>
              <m:sSub>
                <m:e>
                  <m:r>
                    <m:t>E</m:t>
                  </m:r>
                </m:e>
                <m:sub>
                  <m:r>
                    <m:t>p</m:t>
                  </m:r>
                  <m:r>
                    <m:t>r</m:t>
                  </m:r>
                  <m:r>
                    <m:t>i</m:t>
                  </m:r>
                  <m:r>
                    <m:t>m</m:t>
                  </m:r>
                  <m:r>
                    <m:t>e</m:t>
                  </m:r>
                  <m:r>
                    <m:t>s</m:t>
                  </m:r>
                  <m:r>
                    <m:t> </m:t>
                  </m:r>
                  <m:r>
                    <m:t>i</m:t>
                  </m:r>
                </m:sub>
              </m:sSub>
            </m:oMath>
            <w:r>
              <w:t xml:space="preserve">: correspond à la meilleure estimation des engagements pour primes projetée à la date i.</w:t>
            </w:r>
          </w:p>
          <w:p>
            <w:pPr>
              <w:numPr>
                <w:ilvl w:val="0"/>
                <w:numId w:val="1027"/>
              </w:numPr>
              <w:pStyle w:val="Compact"/>
            </w:pPr>
            <w:r>
              <w:t xml:space="preserve">Les termes</w:t>
            </w:r>
            <w:r>
              <w:t xml:space="preserve"> </w:t>
            </w:r>
            <m:oMath>
              <m:r>
                <m:t>r</m:t>
              </m:r>
              <m:r>
                <m:t>a</m:t>
              </m:r>
              <m:r>
                <m:t>t</m:t>
              </m:r>
              <m:r>
                <m:t>i</m:t>
              </m:r>
              <m:sSub>
                <m:e>
                  <m:r>
                    <m:t>o</m:t>
                  </m:r>
                </m:e>
                <m:sub>
                  <m:r>
                    <m:t>s</m:t>
                  </m:r>
                  <m:r>
                    <m:t>i</m:t>
                  </m:r>
                  <m:r>
                    <m:t>n</m:t>
                  </m:r>
                  <m:r>
                    <m:t>i</m:t>
                  </m:r>
                  <m:r>
                    <m:t>s</m:t>
                  </m:r>
                  <m:r>
                    <m:t>t</m:t>
                  </m:r>
                  <m:r>
                    <m:t>r</m:t>
                  </m:r>
                  <m:r>
                    <m:t>e</m:t>
                  </m:r>
                  <m:r>
                    <m:t>s</m:t>
                  </m:r>
                  <m:r>
                    <m:t> </m:t>
                  </m:r>
                  <m:r>
                    <m:t>0</m:t>
                  </m:r>
                </m:sub>
              </m:sSub>
            </m:oMath>
            <w:r>
              <w:t xml:space="preserve"> </w:t>
            </w:r>
            <w:r>
              <w:t xml:space="preserve">et</w:t>
            </w:r>
            <w:r>
              <w:t xml:space="preserve"> </w:t>
            </w:r>
            <m:oMath>
              <m:r>
                <m:t>r</m:t>
              </m:r>
              <m:r>
                <m:t>a</m:t>
              </m:r>
              <m:r>
                <m:t>t</m:t>
              </m:r>
              <m:r>
                <m:t>i</m:t>
              </m:r>
              <m:sSub>
                <m:e>
                  <m:r>
                    <m:t>o</m:t>
                  </m:r>
                </m:e>
                <m:sub>
                  <m:r>
                    <m:t>p</m:t>
                  </m:r>
                  <m:r>
                    <m:t>r</m:t>
                  </m:r>
                  <m:r>
                    <m:t>i</m:t>
                  </m:r>
                  <m:r>
                    <m:t>m</m:t>
                  </m:r>
                  <m:r>
                    <m:t>e</m:t>
                  </m:r>
                  <m:r>
                    <m:t>s</m:t>
                  </m:r>
                  <m:r>
                    <m:t> </m:t>
                  </m:r>
                  <m:r>
                    <m:t>0</m:t>
                  </m:r>
                </m:sub>
              </m:sSub>
            </m:oMath>
            <w:r>
              <w:t xml:space="preserve"> </w:t>
            </w:r>
            <w:r>
              <w:t xml:space="preserve">correspondent aux ratios de passage utilisés pour le calcul de la meilleure estimation des engagements pour sinistres cédés et pour primes cédés respectivement à la date d’inventaire.</w:t>
            </w:r>
          </w:p>
          <w:p>
            <w:pPr>
              <w:pStyle w:val="BlockText"/>
            </w:pPr>
            <w:r>
              <w:t xml:space="preserve">Pour les opérations d’assurance vie, décès ou de capitalisation</w:t>
            </w:r>
          </w:p>
          <w:p>
            <w:pPr>
              <w:pStyle w:val="FirstParagraph"/>
            </w:pPr>
            <w:r>
              <w:t xml:space="preserve">La meilleure estimation des engagements cédès est déterminée par la formule suivante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d>
                  <m:dPr>
                    <m:begChr m:val="("/>
                    <m:endChr m:val=")"/>
                    <m:sepChr m:val=""/>
                    <m:grow/>
                  </m:dPr>
                  <m:e>
                    <m:r>
                      <m:t>M</m:t>
                    </m:r>
                    <m:r>
                      <m:t>E</m:t>
                    </m:r>
                    <m:r>
                      <m:t>G</m:t>
                    </m:r>
                    <m:sSub>
                      <m:e>
                        <m:r>
                          <m:t>P</m:t>
                        </m:r>
                      </m:e>
                      <m:sub>
                        <m:r>
                          <m:t>i</m:t>
                        </m:r>
                      </m:sub>
                    </m:sSub>
                    <m:r>
                      <m:rPr>
                        <m:sty m:val="p"/>
                      </m:rPr>
                      <m:t>+</m:t>
                    </m:r>
                    <m:r>
                      <m:t>B</m:t>
                    </m:r>
                    <m:r>
                      <m:t>D</m:t>
                    </m:r>
                    <m:sSub>
                      <m:e>
                        <m:r>
                          <m:t>F</m:t>
                        </m:r>
                      </m:e>
                      <m:sub>
                        <m:r>
                          <m:t>i</m:t>
                        </m:r>
                      </m:sub>
                    </m:sSub>
                  </m:e>
                </m:d>
                <m:r>
                  <m:rPr>
                    <m:sty m:val="p"/>
                  </m:rPr>
                  <m:t>×</m:t>
                </m:r>
                <m:r>
                  <m:t>r</m:t>
                </m:r>
                <m:r>
                  <m:t>a</m:t>
                </m:r>
                <m:r>
                  <m:t>t</m:t>
                </m:r>
                <m:r>
                  <m:t>i</m:t>
                </m:r>
                <m:sSub>
                  <m:e>
                    <m:r>
                      <m:t>o</m:t>
                    </m:r>
                  </m:e>
                  <m:sub>
                    <m:r>
                      <m:t>0</m:t>
                    </m:r>
                  </m:sub>
                </m:sSub>
              </m:oMath>
            </m:oMathPara>
          </w:p>
          <w:p>
            <w:pPr>
              <w:pStyle w:val="FirstParagraph"/>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w:t>
            </w:r>
            <w:r>
              <w:t xml:space="preserve"> </w:t>
            </w:r>
            <m:oMath>
              <m:r>
                <m:t>B</m:t>
              </m:r>
              <m:r>
                <m:t>D</m:t>
              </m:r>
              <m:sSub>
                <m:e>
                  <m:r>
                    <m:t>F</m:t>
                  </m:r>
                </m:e>
                <m:sub>
                  <m:r>
                    <m:t>i</m:t>
                  </m:r>
                </m:sub>
              </m:sSub>
              <m:r>
                <m:rPr>
                  <m:sty m:val="p"/>
                </m:rPr>
                <m:t>=</m:t>
              </m:r>
              <m:f>
                <m:fPr>
                  <m:type m:val="bar"/>
                </m:fPr>
                <m:num>
                  <m:r>
                    <m:t>M</m:t>
                  </m:r>
                  <m:r>
                    <m:t>E</m:t>
                  </m:r>
                  <m:r>
                    <m:t>G</m:t>
                  </m:r>
                  <m:sSub>
                    <m:e>
                      <m:r>
                        <m:t>P</m:t>
                      </m:r>
                    </m:e>
                    <m:sub>
                      <m:r>
                        <m:t>i</m:t>
                      </m:r>
                    </m:sub>
                  </m:sSub>
                </m:num>
                <m:den>
                  <m:r>
                    <m:t>M</m:t>
                  </m:r>
                  <m:r>
                    <m:t>E</m:t>
                  </m:r>
                  <m:r>
                    <m:t>G</m:t>
                  </m:r>
                  <m:sSub>
                    <m:e>
                      <m:r>
                        <m:t>P</m:t>
                      </m:r>
                    </m:e>
                    <m:sub>
                      <m:r>
                        <m:t>0</m:t>
                      </m:r>
                    </m:sub>
                  </m:sSub>
                </m:den>
              </m:f>
              <m:r>
                <m:rPr>
                  <m:sty m:val="p"/>
                </m:rPr>
                <m:t>×</m:t>
              </m:r>
              <m:r>
                <m:t>B</m:t>
              </m:r>
              <m:r>
                <m:t>D</m:t>
              </m:r>
              <m:sSub>
                <m:e>
                  <m:r>
                    <m:t>F</m:t>
                  </m:r>
                </m:e>
                <m:sub>
                  <m:r>
                    <m:t>0</m:t>
                  </m:r>
                </m:sub>
              </m:sSub>
              <m:r>
                <m:rPr>
                  <m:sty m:val="p"/>
                </m:rPr>
                <m:t>×</m:t>
              </m:r>
              <m:sSup>
                <m:e>
                  <m:d>
                    <m:dPr>
                      <m:begChr m:val="("/>
                      <m:endChr m:val=")"/>
                      <m:sepChr m:val=""/>
                      <m:grow/>
                    </m:dPr>
                    <m:e>
                      <m:r>
                        <m:t>1</m:t>
                      </m:r>
                      <m:r>
                        <m:rPr>
                          <m:sty m:val="p"/>
                        </m:rPr>
                        <m:t>+</m:t>
                      </m:r>
                      <m:sSub>
                        <m:e>
                          <m:r>
                            <m:t>r</m:t>
                          </m:r>
                        </m:e>
                        <m:sub>
                          <m:r>
                            <m:t>i</m:t>
                          </m:r>
                        </m:sub>
                      </m:sSub>
                    </m:e>
                  </m:d>
                </m:e>
                <m:sup>
                  <m:r>
                    <m:t>i</m:t>
                  </m:r>
                </m:sup>
              </m:sSup>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w:t>
            </w:r>
            <w:r>
              <w:t xml:space="preserve"> </w:t>
            </w:r>
            <w:r>
              <w:t xml:space="preserve">-</w:t>
            </w:r>
            <w:r>
              <w:t xml:space="preserve"> </w:t>
            </w:r>
            <m:oMath>
              <m:r>
                <m:t>B</m:t>
              </m:r>
              <m:r>
                <m:t>D</m:t>
              </m:r>
              <m:sSub>
                <m:e>
                  <m:r>
                    <m:t>F</m:t>
                  </m:r>
                </m:e>
                <m:sub>
                  <m:r>
                    <m:t>0</m:t>
                  </m:r>
                </m:sub>
              </m:sSub>
            </m:oMath>
            <w:r>
              <w:t xml:space="preserve"> </w:t>
            </w:r>
            <w:r>
              <w:t xml:space="preserve">correspond aux bénéfices discrétionnaires futurs à la date d’inventaire.</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p>
            <w:pPr>
              <w:pStyle w:val="BlockText"/>
            </w:pPr>
            <w:r>
              <w:t xml:space="preserve">Pour les rentes découlant des opérations non-vie</w:t>
            </w:r>
          </w:p>
          <w:p>
            <w:pPr>
              <w:pStyle w:val="FirstParagraph"/>
            </w:pPr>
            <w:r>
              <w:t xml:space="preserve">La meilleure estimation des engagements cédès au titre de l’année de projection correspond à :</w:t>
            </w:r>
          </w:p>
          <w:p>
            <w:pPr>
              <w:pStyle w:val="BodyText"/>
            </w:pPr>
            <m:oMathPara>
              <m:oMathParaPr>
                <m:jc m:val="center"/>
              </m:oMathParaPr>
              <m:oMath>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M</m:t>
                </m:r>
                <m:r>
                  <m:t>E</m:t>
                </m:r>
                <m:r>
                  <m:t>G</m:t>
                </m:r>
                <m:sSub>
                  <m:e>
                    <m:r>
                      <m:t>P</m:t>
                    </m:r>
                  </m:e>
                  <m:sub>
                    <m:r>
                      <m:t>i</m:t>
                    </m:r>
                  </m:sub>
                </m:sSub>
                <m:r>
                  <m:rPr>
                    <m:sty m:val="p"/>
                  </m:rPr>
                  <m:t>×</m:t>
                </m:r>
                <m:r>
                  <m:t>r</m:t>
                </m:r>
                <m:r>
                  <m:t>a</m:t>
                </m:r>
                <m:r>
                  <m:t>t</m:t>
                </m:r>
                <m:r>
                  <m:t>i</m:t>
                </m:r>
                <m:sSub>
                  <m:e>
                    <m:r>
                      <m:t>o</m:t>
                    </m:r>
                  </m:e>
                  <m:sub>
                    <m:r>
                      <m:t>0</m:t>
                    </m:r>
                  </m:sub>
                </m:sSub>
              </m:oMath>
            </m:oMathPara>
          </w:p>
          <w:p>
            <w:pPr>
              <w:pStyle w:val="FirstParagraph"/>
            </w:pPr>
            <w:pPr>
              <w:spacing w:after="16"/>
            </w:pPr>
            <w:r>
              <w:t xml:space="preserve">Où :</w:t>
            </w:r>
            <w:r>
              <w:t xml:space="preserve"> </w:t>
            </w:r>
            <w:r>
              <w:t xml:space="preserve">-</w:t>
            </w:r>
            <w:r>
              <w:t xml:space="preserve"> </w:t>
            </w:r>
            <m:oMath>
              <m:r>
                <m:t>M</m:t>
              </m:r>
              <m:r>
                <m:t>E</m:t>
              </m:r>
              <m:r>
                <m:t>G</m:t>
              </m:r>
              <m:sSub>
                <m:e>
                  <m:r>
                    <m:t>P</m:t>
                  </m:r>
                </m:e>
                <m:sub>
                  <m:r>
                    <m:t>i</m:t>
                  </m:r>
                </m:sub>
              </m:sSub>
              <m:r>
                <m:rPr>
                  <m:sty m:val="p"/>
                </m:rPr>
                <m:t>=</m:t>
              </m:r>
              <m:nary>
                <m:naryPr>
                  <m:chr m:val="∑"/>
                  <m:limLoc m:val="undOvr"/>
                  <m:subHide m:val="0"/>
                  <m:supHide m:val="1"/>
                </m:naryPr>
                <m:sub>
                  <m:r>
                    <m:t>t</m:t>
                  </m:r>
                  <m:r>
                    <m:rPr>
                      <m:sty m:val="p"/>
                    </m:rPr>
                    <m:t>&gt;</m:t>
                  </m:r>
                  <m:r>
                    <m:t>i</m:t>
                  </m:r>
                </m:sub>
                <m:sup>
                  <m:r>
                    <m:t>​</m:t>
                  </m:r>
                </m:sup>
                <m:e>
                  <m:f>
                    <m:fPr>
                      <m:type m:val="bar"/>
                    </m:fPr>
                    <m:num>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w:r>
              <w:t xml:space="preserve">, avec</w:t>
            </w:r>
            <w:r>
              <w:t xml:space="preserve"> </w:t>
            </w:r>
            <m:oMath>
              <m:d>
                <m:dPr>
                  <m:begChr m:val="("/>
                  <m:endChr m:val=")"/>
                  <m:sepChr m:val=""/>
                  <m:grow/>
                </m:dPr>
                <m:e>
                  <m:sSub>
                    <m:e>
                      <m:r>
                        <m:t>r</m:t>
                      </m:r>
                    </m:e>
                    <m:sub>
                      <m:r>
                        <m:t>t</m:t>
                      </m:r>
                    </m:sub>
                  </m:sSub>
                </m:e>
              </m:d>
            </m:oMath>
            <w:r>
              <w:t xml:space="preserve"> </w:t>
            </w:r>
            <w:r>
              <w:t xml:space="preserve">calculés à partir de la courbe des taux fixée par l’Autorité et</w:t>
            </w:r>
            <w:r>
              <w:t xml:space="preserve"> </w:t>
            </w:r>
            <m:oMath>
              <m:sSub>
                <m:e>
                  <m:d>
                    <m:dPr>
                      <m:begChr m:val="("/>
                      <m:endChr m:val=")"/>
                      <m:sepChr m:val=""/>
                      <m:grow/>
                    </m:dPr>
                    <m:e>
                      <m:sSub>
                        <m:e>
                          <m:r>
                            <m:t>F</m:t>
                          </m:r>
                        </m:e>
                        <m:sub>
                          <m:r>
                            <m:t>t</m:t>
                          </m:r>
                        </m:sub>
                      </m:sSub>
                    </m:e>
                  </m:d>
                </m:e>
                <m:sub>
                  <m:r>
                    <m:t>t</m:t>
                  </m:r>
                  <m:r>
                    <m:rPr>
                      <m:sty m:val="p"/>
                    </m:rPr>
                    <m:t>&gt;</m:t>
                  </m:r>
                  <m:r>
                    <m:t>0</m:t>
                  </m:r>
                </m:sub>
              </m:sSub>
            </m:oMath>
            <w:r>
              <w:t xml:space="preserve"> </w:t>
            </w:r>
            <w:r>
              <w:t xml:space="preserve">les flux de trésorerie futurs probabilisés.</w:t>
            </w:r>
            <w:r>
              <w:t xml:space="preserve"> </w:t>
            </w:r>
            <w:r>
              <w:t xml:space="preserve">- Le terme</w:t>
            </w:r>
            <w:r>
              <w:t xml:space="preserve"> </w:t>
            </w:r>
            <m:oMath>
              <m:r>
                <m:t>r</m:t>
              </m:r>
              <m:r>
                <m:t>a</m:t>
              </m:r>
              <m:r>
                <m:t>t</m:t>
              </m:r>
              <m:r>
                <m:t>i</m:t>
              </m:r>
              <m:sSub>
                <m:e>
                  <m:r>
                    <m:t>o</m:t>
                  </m:r>
                </m:e>
                <m:sub>
                  <m:r>
                    <m:t>0</m:t>
                  </m:r>
                </m:sub>
              </m:sSub>
            </m:oMath>
            <w:r>
              <w:t xml:space="preserve"> </w:t>
            </w:r>
            <w:r>
              <w:t xml:space="preserve">correspond au ratio de passage utilisé pour le calcul de la meilleure estimation des engagements cédés à la date d’inventaire.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Applications/RStudio.app/Contents/Resources/app/quarto/share/formats/docx/note.png" id="101"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Nº2: Calcul des flux d’ajustement projetés</w:t>
            </w:r>
          </w:p>
        </w:tc>
      </w:tr>
      <w:tr>
        <w:trPr>
          <w:cantSplit/>
        </w:trPr>
        <w:tc>
          <w:tcPr>
            <w:tcMar>
              <w:top w:w="108" w:type="dxa"/>
              <w:bottom w:w="108" w:type="dxa"/>
            </w:tcMar>
          </w:tcPr>
          <w:p>
            <w:pPr>
              <w:pStyle w:val="BodyText"/>
            </w:pPr>
            <w:pPr>
              <w:spacing w:before="16"/>
            </w:pPr>
            <w:r>
              <w:t xml:space="preserve">Au titre de l’année de projection</w:t>
            </w:r>
            <w:r>
              <w:t xml:space="preserve"> </w:t>
            </w:r>
            <m:oMath>
              <m:r>
                <m:t>i</m:t>
              </m:r>
            </m:oMath>
            <w:r>
              <w:t xml:space="preserve">, le flux d’ajustement est calculé ainsi :</w:t>
            </w:r>
          </w:p>
          <w:p>
            <w:pPr>
              <w:pStyle w:val="BodyText"/>
            </w:pPr>
            <w:pPr>
              <w:spacing w:after="16"/>
            </w:pPr>
          </w:p>
          <w:p>
            <w:pPr>
              <w:pStyle w:val="BodyText"/>
            </w:pPr>
            <m:oMathPara>
              <m:oMathParaPr>
                <m:jc m:val="center"/>
              </m:oMathParaPr>
              <m:oMath>
                <m:r>
                  <m:t>A</m:t>
                </m:r>
                <m:r>
                  <m:t>d</m:t>
                </m:r>
                <m:sSub>
                  <m:e>
                    <m:r>
                      <m:t>j</m:t>
                    </m:r>
                  </m:e>
                  <m:sub>
                    <m:r>
                      <m:t>i</m:t>
                    </m:r>
                  </m:sub>
                </m:sSub>
                <m:r>
                  <m:rPr>
                    <m:sty m:val="p"/>
                  </m:rPr>
                  <m:t>=</m:t>
                </m:r>
                <m:f>
                  <m:fPr>
                    <m:type m:val="bar"/>
                  </m:fPr>
                  <m:num>
                    <m:r>
                      <m:t>1</m:t>
                    </m:r>
                  </m:num>
                  <m:den>
                    <m:r>
                      <m:t>2</m:t>
                    </m:r>
                  </m:den>
                </m:f>
                <m:r>
                  <m:rPr>
                    <m:sty m:val="p"/>
                  </m:rPr>
                  <m:t>×</m:t>
                </m:r>
                <m:r>
                  <m:rPr>
                    <m:sty m:val="p"/>
                  </m:rPr>
                  <m:t>max</m:t>
                </m:r>
                <m:d>
                  <m:dPr>
                    <m:begChr m:val="("/>
                    <m:endChr m:val=")"/>
                    <m:sepChr m:val=""/>
                    <m:grow/>
                  </m:dPr>
                  <m:e>
                    <m:r>
                      <m:t>M</m:t>
                    </m:r>
                    <m:sSub>
                      <m:e>
                        <m:r>
                          <m:t>E</m:t>
                        </m:r>
                      </m:e>
                      <m:sub>
                        <m:r>
                          <m:t>e</m:t>
                        </m:r>
                        <m:r>
                          <m:t>n</m:t>
                        </m:r>
                        <m:r>
                          <m:t>g</m:t>
                        </m:r>
                        <m:r>
                          <m:t>a</m:t>
                        </m:r>
                        <m:r>
                          <m:t>g</m:t>
                        </m:r>
                        <m:r>
                          <m:t>e</m:t>
                        </m:r>
                        <m:r>
                          <m:t>m</m:t>
                        </m:r>
                        <m:r>
                          <m:t>e</m:t>
                        </m:r>
                        <m:r>
                          <m:t>n</m:t>
                        </m:r>
                        <m:r>
                          <m:t>t</m:t>
                        </m:r>
                        <m:r>
                          <m:t>s</m:t>
                        </m:r>
                        <m:r>
                          <m:t> </m:t>
                        </m:r>
                        <m:r>
                          <m:t>c</m:t>
                        </m:r>
                        <m:r>
                          <m:t>é</m:t>
                        </m:r>
                        <m:r>
                          <m:t>d</m:t>
                        </m:r>
                        <m:r>
                          <m:t>è</m:t>
                        </m:r>
                        <m:r>
                          <m:t>s</m:t>
                        </m:r>
                        <m:r>
                          <m:t> </m:t>
                        </m:r>
                        <m:r>
                          <m:t>i</m:t>
                        </m:r>
                      </m:sub>
                    </m:sSub>
                    <m:r>
                      <m:rPr>
                        <m:sty m:val="p"/>
                      </m:rPr>
                      <m:t>−</m:t>
                    </m:r>
                    <m:r>
                      <m:t>d</m:t>
                    </m:r>
                    <m:r>
                      <m:t>é</m:t>
                    </m:r>
                    <m:r>
                      <m:t>p</m:t>
                    </m:r>
                    <m:r>
                      <m:t>ô</m:t>
                    </m:r>
                    <m:r>
                      <m:t>t</m:t>
                    </m:r>
                    <m:r>
                      <m:t> </m:t>
                    </m:r>
                    <m:r>
                      <m:t>e</m:t>
                    </m:r>
                    <m:r>
                      <m:t>n</m:t>
                    </m:r>
                    <m:r>
                      <m:t> </m:t>
                    </m:r>
                    <m:r>
                      <m:t>e</m:t>
                    </m:r>
                    <m:r>
                      <m:t>s</m:t>
                    </m:r>
                    <m:r>
                      <m:t>p</m:t>
                    </m:r>
                    <m:r>
                      <m:t>è</m:t>
                    </m:r>
                    <m:r>
                      <m:t>c</m:t>
                    </m:r>
                    <m:r>
                      <m:t>e</m:t>
                    </m:r>
                    <m:r>
                      <m:t>s</m:t>
                    </m:r>
                    <m:r>
                      <m:t> </m:t>
                    </m:r>
                    <m:r>
                      <m:t>e</m:t>
                    </m:r>
                    <m:r>
                      <m:t>t</m:t>
                    </m:r>
                    <m:r>
                      <m:t> </m:t>
                    </m:r>
                    <m:r>
                      <m:t>e</m:t>
                    </m:r>
                    <m:r>
                      <m:t>n</m:t>
                    </m:r>
                    <m:r>
                      <m:t> </m:t>
                    </m:r>
                    <m:r>
                      <m:t>v</m:t>
                    </m:r>
                    <m:r>
                      <m:t>a</m:t>
                    </m:r>
                    <m:r>
                      <m:t>l</m:t>
                    </m:r>
                    <m:r>
                      <m:t>e</m:t>
                    </m:r>
                    <m:r>
                      <m:t>u</m:t>
                    </m:r>
                    <m:r>
                      <m:t>r</m:t>
                    </m:r>
                    <m:sSub>
                      <m:e>
                        <m:r>
                          <m:t>s</m:t>
                        </m:r>
                      </m:e>
                      <m:sub>
                        <m:r>
                          <m:t>1</m:t>
                        </m:r>
                      </m:sub>
                    </m:sSub>
                    <m:r>
                      <m:rPr>
                        <m:sty m:val="p"/>
                      </m:rPr>
                      <m:t>+</m:t>
                    </m:r>
                    <m:r>
                      <m:t>s</m:t>
                    </m:r>
                    <m:r>
                      <m:t>o</m:t>
                    </m:r>
                    <m:r>
                      <m:t>l</m:t>
                    </m:r>
                    <m:r>
                      <m:t>d</m:t>
                    </m:r>
                    <m:r>
                      <m:t>e</m:t>
                    </m:r>
                    <m:r>
                      <m:t> </m:t>
                    </m:r>
                    <m:r>
                      <m:t>d</m:t>
                    </m:r>
                    <m:r>
                      <m:t>e</m:t>
                    </m:r>
                    <m:r>
                      <m:t> </m:t>
                    </m:r>
                    <m:r>
                      <m:t>r</m:t>
                    </m:r>
                    <m:r>
                      <m:t>é</m:t>
                    </m:r>
                    <m:r>
                      <m:t>a</m:t>
                    </m:r>
                    <m:r>
                      <m:t>s</m:t>
                    </m:r>
                    <m:r>
                      <m:t>s</m:t>
                    </m:r>
                    <m:r>
                      <m:t>u</m:t>
                    </m:r>
                    <m:r>
                      <m:t>r</m:t>
                    </m:r>
                    <m:r>
                      <m:t>a</m:t>
                    </m:r>
                    <m:r>
                      <m:t>n</m:t>
                    </m:r>
                    <m:r>
                      <m:t>c</m:t>
                    </m:r>
                    <m:sSub>
                      <m:e>
                        <m:r>
                          <m:t>e</m:t>
                        </m:r>
                      </m:e>
                      <m:sub>
                        <m:r>
                          <m:t>1</m:t>
                        </m:r>
                      </m:sub>
                    </m:sSub>
                    <m:r>
                      <m:rPr>
                        <m:sty m:val="p"/>
                      </m:rPr>
                      <m:t>;</m:t>
                    </m:r>
                    <m:r>
                      <m:t>0</m:t>
                    </m:r>
                  </m:e>
                </m:d>
                <m:r>
                  <m:rPr>
                    <m:sty m:val="p"/>
                  </m:rPr>
                  <m:t>×</m:t>
                </m:r>
                <m:r>
                  <m:t>P</m:t>
                </m:r>
                <m:r>
                  <m:t>D</m:t>
                </m:r>
                <m:r>
                  <m:rPr>
                    <m:sty m:val="p"/>
                  </m:rPr>
                  <m:t>×</m:t>
                </m:r>
                <m:sSup>
                  <m:e>
                    <m:d>
                      <m:dPr>
                        <m:begChr m:val="("/>
                        <m:endChr m:val=")"/>
                        <m:sepChr m:val=""/>
                        <m:grow/>
                      </m:dPr>
                      <m:e>
                        <m:r>
                          <m:t>1</m:t>
                        </m:r>
                        <m:r>
                          <m:rPr>
                            <m:sty m:val="p"/>
                          </m:rPr>
                          <m:t>−</m:t>
                        </m:r>
                        <m:r>
                          <m:t>P</m:t>
                        </m:r>
                        <m:r>
                          <m:t>D</m:t>
                        </m:r>
                      </m:e>
                    </m:d>
                  </m:e>
                  <m:sup>
                    <m:r>
                      <m:t>i</m:t>
                    </m:r>
                    <m:r>
                      <m:rPr>
                        <m:sty m:val="p"/>
                      </m:rPr>
                      <m:t>−</m:t>
                    </m:r>
                    <m:r>
                      <m:t>1</m:t>
                    </m:r>
                  </m:sup>
                </m:sSup>
              </m:oMath>
            </m:oMathPara>
          </w:p>
          <w:p>
            <w:pPr>
              <w:pStyle w:val="FirstParagraph"/>
            </w:pPr>
            <w:r>
              <w:t xml:space="preserve">La probabilité de défaut annuelle</w:t>
            </w:r>
            <w:r>
              <w:t xml:space="preserve"> </w:t>
            </w:r>
            <w:r>
              <w:t xml:space="preserve">“</w:t>
            </w:r>
            <w:r>
              <w:t xml:space="preserve">PD</w:t>
            </w:r>
            <w:r>
              <w:t xml:space="preserve">”</w:t>
            </w:r>
            <w:r>
              <w:t xml:space="preserve"> </w:t>
            </w:r>
            <w:r>
              <w:t xml:space="preserve">du cessionnaire est établie conformément au tableau prévu au 2) de l’annexe n°12 de la circulaire qui correspond au premier Annexe de ce rapport.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2" name="Picture"/>
                  <a:graphic>
                    <a:graphicData uri="http://schemas.openxmlformats.org/drawingml/2006/picture">
                      <pic:pic>
                        <pic:nvPicPr>
                          <pic:cNvPr descr="/Applications/RStudio.app/Contents/Resources/app/quarto/share/formats/docx/note.png" id="103"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Etape Nº3: Calcul de l’ajustement pour défaut de contrepartie</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t>A</m:t>
                </m:r>
                <m:r>
                  <m:t>j</m:t>
                </m:r>
                <m:r>
                  <m:t>u</m:t>
                </m:r>
                <m:r>
                  <m:t>s</m:t>
                </m:r>
                <m:r>
                  <m:t>t</m:t>
                </m:r>
                <m:r>
                  <m:t>e</m:t>
                </m:r>
                <m:r>
                  <m:t>m</m:t>
                </m:r>
                <m:r>
                  <m:t>e</m:t>
                </m:r>
                <m:r>
                  <m:t>n</m:t>
                </m:r>
                <m:sSub>
                  <m:e>
                    <m:r>
                      <m:t>t</m:t>
                    </m:r>
                  </m:e>
                  <m:sub>
                    <m:r>
                      <m:t>d</m:t>
                    </m:r>
                    <m:r>
                      <m:t>e</m:t>
                    </m:r>
                    <m:r>
                      <m:t>f</m:t>
                    </m:r>
                    <m:r>
                      <m:t>a</m:t>
                    </m:r>
                    <m:r>
                      <m:t>u</m:t>
                    </m:r>
                    <m:r>
                      <m:t>t</m:t>
                    </m:r>
                  </m:sub>
                </m:sSub>
                <m:r>
                  <m:rPr>
                    <m:sty m:val="p"/>
                  </m:rPr>
                  <m:t>=</m:t>
                </m:r>
                <m:nary>
                  <m:naryPr>
                    <m:chr m:val="∑"/>
                    <m:limLoc m:val="undOvr"/>
                    <m:subHide m:val="0"/>
                    <m:supHide m:val="1"/>
                  </m:naryPr>
                  <m:sub>
                    <m:r>
                      <m:t>i</m:t>
                    </m:r>
                    <m:r>
                      <m:rPr>
                        <m:sty m:val="p"/>
                      </m:rPr>
                      <m:t>&gt;</m:t>
                    </m:r>
                    <m:r>
                      <m:t>0</m:t>
                    </m:r>
                  </m:sub>
                  <m:sup>
                    <m:r>
                      <m:t>​</m:t>
                    </m:r>
                  </m:sup>
                  <m:e>
                    <m:f>
                      <m:fPr>
                        <m:type m:val="bar"/>
                      </m:fPr>
                      <m:num>
                        <m:r>
                          <m:t>A</m:t>
                        </m:r>
                        <m:r>
                          <m:t>d</m:t>
                        </m:r>
                        <m:sSub>
                          <m:e>
                            <m:r>
                              <m:t>j</m:t>
                            </m:r>
                          </m:e>
                          <m:sub>
                            <m:r>
                              <m:t>i</m:t>
                            </m:r>
                          </m:sub>
                        </m:sSub>
                      </m:num>
                      <m:den>
                        <m:sSup>
                          <m:e>
                            <m:d>
                              <m:dPr>
                                <m:begChr m:val="("/>
                                <m:endChr m:val=")"/>
                                <m:sepChr m:val=""/>
                                <m:grow/>
                              </m:dPr>
                              <m:e>
                                <m:r>
                                  <m:t>1</m:t>
                                </m:r>
                                <m:r>
                                  <m:rPr>
                                    <m:sty m:val="p"/>
                                  </m:rPr>
                                  <m:t>+</m:t>
                                </m:r>
                                <m:sSub>
                                  <m:e>
                                    <m:r>
                                      <m:t>r</m:t>
                                    </m:r>
                                  </m:e>
                                  <m:sub>
                                    <m:r>
                                      <m:t>i</m:t>
                                    </m:r>
                                  </m:sub>
                                </m:sSub>
                              </m:e>
                            </m:d>
                          </m:e>
                          <m:sup>
                            <m:r>
                              <m:t>i</m:t>
                            </m:r>
                          </m:sup>
                        </m:sSup>
                      </m:den>
                    </m:f>
                  </m:e>
                </m:nary>
              </m:oMath>
            </m:oMathPara>
          </w:p>
          <w:p>
            <w:pPr>
              <w:pStyle w:val="FirstParagraph"/>
            </w:pPr>
            <w:r>
              <w:t xml:space="preserve">avec</w:t>
            </w:r>
            <w:r>
              <w:t xml:space="preserve"> </w:t>
            </w:r>
            <m:oMath>
              <m:d>
                <m:dPr>
                  <m:begChr m:val="("/>
                  <m:endChr m:val=")"/>
                  <m:sepChr m:val=""/>
                  <m:grow/>
                </m:dPr>
                <m:e>
                  <m:sSub>
                    <m:e>
                      <m:r>
                        <m:t>r</m:t>
                      </m:r>
                    </m:e>
                    <m:sub>
                      <m:r>
                        <m:t>i</m:t>
                      </m:r>
                    </m:sub>
                  </m:sSub>
                </m:e>
              </m:d>
            </m:oMath>
            <w:r>
              <w:t xml:space="preserve"> </w:t>
            </w:r>
            <w:r>
              <w:t xml:space="preserve">calculés à partir de la courbe des taux fixée par l’Autorité</w:t>
            </w:r>
          </w:p>
        </w:tc>
      </w:tr>
    </w:tbl>
    <w:bookmarkEnd w:id="104"/>
    <w:bookmarkEnd w:id="105"/>
    <w:bookmarkEnd w:id="106"/>
    <w:bookmarkStart w:id="134" w:name="capital-de-solvabilité-requis"/>
    <w:p>
      <w:pPr>
        <w:pStyle w:val="Heading2"/>
      </w:pPr>
      <w:r>
        <w:t xml:space="preserve">7 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28"/>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28"/>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28"/>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28"/>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28"/>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28"/>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29"/>
        </w:numPr>
      </w:pPr>
      <w:r>
        <w:t xml:space="preserve">Le capital de solvabilité requis de base.</w:t>
      </w:r>
    </w:p>
    <w:p>
      <w:pPr>
        <w:numPr>
          <w:ilvl w:val="0"/>
          <w:numId w:val="1029"/>
        </w:numPr>
      </w:pPr>
      <w:r>
        <w:t xml:space="preserve">L’exigence de capital relative au risque opérationnel.</w:t>
      </w:r>
    </w:p>
    <w:p>
      <w:pPr>
        <w:numPr>
          <w:ilvl w:val="0"/>
          <w:numId w:val="1029"/>
        </w:numPr>
      </w:pPr>
      <w:r>
        <w:t xml:space="preserve">L’ajustement visant à tenir compte de la capacité d’absorption des pertes par les assurés.</w:t>
      </w:r>
    </w:p>
    <w:p>
      <w:pPr>
        <w:numPr>
          <w:ilvl w:val="0"/>
          <w:numId w:val="1029"/>
        </w:numPr>
      </w:pPr>
      <w:r>
        <w:t xml:space="preserve">L’ajustement visant à tenir compte de la capacité d’absorption des pertes par les impôts différés.</w:t>
      </w:r>
    </w:p>
    <w:bookmarkStart w:id="127" w:name="X8b89129f00e23abf7e0dc64742a1933841bd13f"/>
    <w:p>
      <w:pPr>
        <w:pStyle w:val="Heading3"/>
      </w:pPr>
      <w:r>
        <w:t xml:space="preserve">7.1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iCs/>
          <w:i/>
        </w:rPr>
        <w:t xml:space="preserve">marché</w:t>
      </w:r>
      <w:r>
        <w:t xml:space="preserve">, de</w:t>
      </w:r>
      <w:r>
        <w:t xml:space="preserve"> </w:t>
      </w:r>
      <w:r>
        <w:rPr>
          <w:iCs/>
          <w:i/>
        </w:rPr>
        <w:t xml:space="preserve">concentration</w:t>
      </w:r>
      <w:r>
        <w:t xml:space="preserve">, de</w:t>
      </w:r>
      <w:r>
        <w:t xml:space="preserve"> </w:t>
      </w:r>
      <w:r>
        <w:rPr>
          <w:iCs/>
          <w:i/>
        </w:rPr>
        <w:t xml:space="preserve">contrepartie</w:t>
      </w:r>
      <w:r>
        <w:t xml:space="preserve">, de</w:t>
      </w:r>
      <w:r>
        <w:t xml:space="preserve"> </w:t>
      </w:r>
      <w:r>
        <w:rPr>
          <w:iCs/>
          <w:i/>
        </w:rPr>
        <w:t xml:space="preserve">souscription</w:t>
      </w:r>
      <w:r>
        <w:t xml:space="preserve"> </w:t>
      </w:r>
      <w:r>
        <w:t xml:space="preserve">vie et de</w:t>
      </w:r>
      <w:r>
        <w:t xml:space="preserve"> </w:t>
      </w:r>
      <w:r>
        <w:rPr>
          <w:iCs/>
          <w:i/>
        </w:rPr>
        <w:t xml:space="preserve">souscription non-vie</w:t>
      </w:r>
      <w:r>
        <w:t xml:space="preserve"> </w:t>
      </w:r>
      <w:r>
        <w:t xml:space="preserve">et ce, après application des coefficients de corrélations.</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0"/>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30"/>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112" w:name="X7d0de4e6ff3ca13baeb836adc8c41f16eaa6dfb"/>
    <w:p>
      <w:pPr>
        <w:pStyle w:val="Heading4"/>
      </w:pPr>
      <w:r>
        <w:t xml:space="preserve">7.1.1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L’exigence de capital relative au risque de marché est le montant total des exigences de capitaux relatives aux sous-risques action, taux, immobilier, écart de taux et change et ce, après application des coefficients de corrélations.</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31"/>
        </w:numPr>
      </w:pPr>
      <w:r>
        <w:t xml:space="preserve">RM</w:t>
      </w:r>
      <w:r>
        <w:t xml:space="preserve"> </w:t>
      </w:r>
      <m:oMath>
        <m:r>
          <m:rPr>
            <m:sty m:val="p"/>
          </m:rPr>
          <m:t>∈</m:t>
        </m:r>
      </m:oMath>
      <w:r>
        <w:t xml:space="preserve"> </w:t>
      </w:r>
      <w:r>
        <w:t xml:space="preserve">{action, taux, immobilier, écart de taux et change}</w:t>
      </w:r>
    </w:p>
    <w:p>
      <w:pPr>
        <w:numPr>
          <w:ilvl w:val="0"/>
          <w:numId w:val="1031"/>
        </w:numPr>
      </w:pPr>
      <m:oMath>
        <m:r>
          <m:t>ρ</m:t>
        </m:r>
      </m:oMath>
      <w:r>
        <w:t xml:space="preserve"> </w:t>
      </w:r>
      <w:r>
        <w:t xml:space="preserve">: Coefficients de corrélations.</w:t>
      </w:r>
    </w:p>
    <w:bookmarkStart w:id="107" w:name="X3cf8c7738901705451aeaf1bf62340f8a8e3146"/>
    <w:p>
      <w:pPr>
        <w:pStyle w:val="Heading5"/>
      </w:pPr>
      <w:r>
        <w:t xml:space="preserve">7.1.1.1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L’exigence de capital relative au risque action est le montant de la perte de fonds propres résultant des baisses simultanées des valeurs des actions.</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107"/>
    <w:bookmarkStart w:id="108" w:name="X4731aa5458fe1c45bdb9bc7a63d0b9bdcef0af7"/>
    <w:p>
      <w:pPr>
        <w:pStyle w:val="Heading5"/>
      </w:pPr>
      <w:r>
        <w:t xml:space="preserve">7.1.1.2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est le montant de la perte maximale de fonds propres qui résulterait de l’application de coefficients à la baisse ou à la hausse à la courbe des taux sur tout actif ou passif.</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108"/>
    <w:bookmarkStart w:id="109" w:name="X40fb47ea19ba513da95205d89bb9da70a68e95c"/>
    <w:p>
      <w:pPr>
        <w:pStyle w:val="Heading5"/>
      </w:pPr>
      <w:r>
        <w:t xml:space="preserve">7.1.1.3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109"/>
    <w:bookmarkStart w:id="110" w:name="Xcb1801a4512c3e12cd67f1e61cb85f876d23434"/>
    <w:p>
      <w:pPr>
        <w:pStyle w:val="Heading5"/>
      </w:pPr>
      <w:r>
        <w:t xml:space="preserve">7.1.1.4 L’exigence de capital relative au risque d’écart (</w:t>
      </w:r>
      <m:oMath>
        <m:r>
          <m:t>C</m:t>
        </m:r>
        <m:r>
          <m:t>S</m:t>
        </m:r>
        <m:sSub>
          <m:e>
            <m:r>
              <m:t>R</m:t>
            </m:r>
          </m:e>
          <m:sub>
            <m:r>
              <m:t>E</m:t>
            </m:r>
            <m:r>
              <m:t>c</m:t>
            </m:r>
            <m:r>
              <m:t>a</m:t>
            </m:r>
            <m:r>
              <m:t>r</m:t>
            </m:r>
            <m:r>
              <m:t>t</m:t>
            </m:r>
            <m:r>
              <m:t> </m:t>
            </m:r>
            <m:r>
              <m:t>t</m:t>
            </m:r>
            <m:r>
              <m:t>a</m:t>
            </m:r>
            <m:r>
              <m:t>u</m:t>
            </m:r>
            <m:r>
              <m:t>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110"/>
    <w:bookmarkStart w:id="111" w:name="X0b86f92798bd2d75800a724a913850a71127576"/>
    <w:p>
      <w:pPr>
        <w:pStyle w:val="Heading5"/>
      </w:pPr>
      <w:r>
        <w:t xml:space="preserve">7.1.1.5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32"/>
        </w:numPr>
        <w:pStyle w:val="Compact"/>
      </w:pPr>
      <w:r>
        <w:t xml:space="preserve">l’exigence de capital pour risque d’augmentation de la valeur de la devise étrangère par rapport au dirham.</w:t>
      </w:r>
    </w:p>
    <w:p>
      <w:pPr>
        <w:numPr>
          <w:ilvl w:val="0"/>
          <w:numId w:val="1032"/>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111"/>
    <w:bookmarkEnd w:id="112"/>
    <w:bookmarkStart w:id="115" w:name="X9c0184a5ab36aa780ba8e9d38716205766fa364"/>
    <w:p>
      <w:pPr>
        <w:pStyle w:val="Heading4"/>
      </w:pPr>
      <w:r>
        <w:t xml:space="preserve">7.1.2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113" w:name="X303ad4190ba297cc4664f228835544b0eb3361f"/>
    <w:p>
      <w:pPr>
        <w:pStyle w:val="Heading5"/>
      </w:pPr>
      <w:r>
        <w:t xml:space="preserve">7.1.2.1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33"/>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34"/>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34"/>
        </w:numPr>
      </w:pPr>
      <m:oMath>
        <m:r>
          <m:t>L</m:t>
        </m:r>
        <m:r>
          <m:t>G</m:t>
        </m:r>
        <m:sSub>
          <m:e>
            <m:r>
              <m:t>D</m:t>
            </m:r>
          </m:e>
          <m:sub>
            <m:r>
              <m:t>i</m:t>
            </m:r>
          </m:sub>
        </m:sSub>
      </m:oMath>
      <w:r>
        <w:t xml:space="preserve"> </w:t>
      </w:r>
      <w:r>
        <w:t xml:space="preserve">: la perte en cas de défaut du cessionnaire i ;</w:t>
      </w:r>
    </w:p>
    <w:p>
      <w:pPr>
        <w:numPr>
          <w:ilvl w:val="0"/>
          <w:numId w:val="1034"/>
        </w:numPr>
      </w:pPr>
      <m:oMath>
        <m:r>
          <m:rPr>
            <m:nor/>
            <m:sty m:val="p"/>
          </m:rPr>
          <m:t>Depot en espèces ou en valeur</m:t>
        </m:r>
      </m:oMath>
      <w:r>
        <w:t xml:space="preserve"> </w:t>
      </w:r>
      <w:r>
        <w:t xml:space="preserve">: le montant des dépôts en espèces ou en valeurs du cessionnaire i ;</w:t>
      </w:r>
    </w:p>
    <w:p>
      <w:pPr>
        <w:numPr>
          <w:ilvl w:val="0"/>
          <w:numId w:val="1034"/>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34"/>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34"/>
        </w:numPr>
      </w:pPr>
      <m:oMath>
        <m:r>
          <m:t>L</m:t>
        </m:r>
        <m:r>
          <m:t>G</m:t>
        </m:r>
        <m:sSub>
          <m:e>
            <m:r>
              <m:t>D</m:t>
            </m:r>
          </m:e>
          <m:sub>
            <m:r>
              <m:t>i</m:t>
            </m:r>
          </m:sub>
        </m:sSub>
      </m:oMath>
      <w:r>
        <w:t xml:space="preserve">: la perte en cas de défaut de la cédante i ;</w:t>
      </w:r>
    </w:p>
    <w:p>
      <w:pPr>
        <w:numPr>
          <w:ilvl w:val="0"/>
          <w:numId w:val="1034"/>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34"/>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34"/>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35"/>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35"/>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35"/>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113"/>
    <w:bookmarkStart w:id="114" w:name="Xde70ab66fad04d143ab07d5ec8525e6812bbe93"/>
    <w:p>
      <w:pPr>
        <w:pStyle w:val="Heading5"/>
      </w:pPr>
      <w:r>
        <w:t xml:space="preserve">7.1.2.2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36"/>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36"/>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36"/>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114"/>
    <w:bookmarkEnd w:id="115"/>
    <w:bookmarkStart w:id="116" w:name="Xac2a78756e1947e45e0b443464340ca4e07c6ed"/>
    <w:p>
      <w:pPr>
        <w:pStyle w:val="Heading4"/>
      </w:pPr>
      <w:r>
        <w:t xml:space="preserve">7.1.3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 Elle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116"/>
    <w:bookmarkStart w:id="122" w:name="X8bdc5d6c520394ae1ab3fd8ff0e20bf39ae18c3"/>
    <w:p>
      <w:pPr>
        <w:pStyle w:val="Heading4"/>
      </w:pPr>
      <w:r>
        <w:t xml:space="preserve">7.1.4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117" w:name="X70ec578e7130a57a8c8842c95b63e70e295ba28"/>
    <w:p>
      <w:pPr>
        <w:pStyle w:val="Heading5"/>
      </w:pPr>
      <w:r>
        <w:t xml:space="preserve">7.1.4.1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117"/>
    <w:bookmarkStart w:id="118" w:name="X92ef2d5d6d1f309ee4dc38a892eea4151c6a010"/>
    <w:p>
      <w:pPr>
        <w:pStyle w:val="Heading5"/>
      </w:pPr>
      <w:r>
        <w:t xml:space="preserve">7.1.4.2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118"/>
    <w:bookmarkStart w:id="119" w:name="Xe142ffdc5761a23c812b30051e7ff3529769432"/>
    <w:p>
      <w:pPr>
        <w:pStyle w:val="Heading5"/>
      </w:pPr>
      <w:r>
        <w:t xml:space="preserve">7.1.4.3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L’exigence de capital pour risque de rachat est correspond au maximun entre les exigences de capitaux suivantes:</w:t>
      </w:r>
    </w:p>
    <w:p>
      <w:pPr>
        <w:numPr>
          <w:ilvl w:val="0"/>
          <w:numId w:val="1037"/>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38"/>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119"/>
    <w:bookmarkStart w:id="120" w:name="X2ad39c1112d69d7cc07addd7e09c4a1062144f3"/>
    <w:p>
      <w:pPr>
        <w:pStyle w:val="Heading5"/>
      </w:pPr>
      <w:r>
        <w:t xml:space="preserve">7.1.4.4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39"/>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39"/>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120"/>
    <w:bookmarkStart w:id="121" w:name="X7a733b5774bbec975e5e71b96ffb3b71cffef89"/>
    <w:p>
      <w:pPr>
        <w:pStyle w:val="Heading5"/>
      </w:pPr>
      <w:r>
        <w:t xml:space="preserve">7.1.4.5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121"/>
    <w:bookmarkEnd w:id="122"/>
    <w:bookmarkStart w:id="126" w:name="X1b6aa8fc00d4f5599dfcf10f97be846d7f67a01"/>
    <w:p>
      <w:pPr>
        <w:pStyle w:val="Heading4"/>
      </w:pPr>
      <w:r>
        <w:t xml:space="preserve">7.1.5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123" w:name="Xaf5135c38b35f3935e7fbb38292cb902ba10fce"/>
    <w:p>
      <w:pPr>
        <w:pStyle w:val="Heading5"/>
      </w:pPr>
      <w:r>
        <w:t xml:space="preserve">7.1.5.1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123"/>
    <w:bookmarkStart w:id="124" w:name="X97c27c4f6aaa2dc3a04acf8f040871c5ebd6f65"/>
    <w:p>
      <w:pPr>
        <w:pStyle w:val="Heading5"/>
      </w:pPr>
      <w:r>
        <w:t xml:space="preserve">7.1.5.2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t>L</m:t>
        </m:r>
        <m:r>
          <m:t>e</m:t>
        </m:r>
        <m:r>
          <m:t>s</m:t>
        </m:r>
        <m:r>
          <m:t>s</m:t>
        </m:r>
        <m:r>
          <m:t>o</m:t>
        </m:r>
        <m:r>
          <m:t>u</m:t>
        </m:r>
        <m:r>
          <m:t>s</m:t>
        </m:r>
        <m:r>
          <m:rPr>
            <m:sty m:val="p"/>
          </m:rPr>
          <m:t>−</m:t>
        </m:r>
        <m:r>
          <m:t>r</m:t>
        </m:r>
        <m:r>
          <m:t>i</m:t>
        </m:r>
        <m:r>
          <m:t>s</m:t>
        </m:r>
        <m:r>
          <m:t>q</m:t>
        </m:r>
        <m:r>
          <m:t>u</m:t>
        </m:r>
        <m:r>
          <m:t>e</m:t>
        </m:r>
        <m:r>
          <m:t>s</m:t>
        </m:r>
        <m:r>
          <m:t>d</m:t>
        </m:r>
        <m:r>
          <m:t>e</m:t>
        </m:r>
        <m:r>
          <m:t>p</m:t>
        </m:r>
        <m:r>
          <m:t>r</m:t>
        </m:r>
        <m:r>
          <m:t>o</m:t>
        </m:r>
        <m:r>
          <m:t>v</m:t>
        </m:r>
        <m:r>
          <m:t>i</m:t>
        </m:r>
        <m:r>
          <m:t>s</m:t>
        </m:r>
        <m:r>
          <m:t>i</m:t>
        </m:r>
        <m:r>
          <m:t>o</m:t>
        </m:r>
        <m:r>
          <m:t>n</m:t>
        </m:r>
        <m:r>
          <m:t>s</m:t>
        </m:r>
        <m:r>
          <m:t>p</m:t>
        </m:r>
        <m:r>
          <m:t>a</m:t>
        </m:r>
        <m:r>
          <m:t>r</m:t>
        </m:r>
        <m:r>
          <m:t>s</m:t>
        </m:r>
        <m:r>
          <m:t>o</m:t>
        </m:r>
        <m:r>
          <m:t>u</m:t>
        </m:r>
        <m:r>
          <m:t>s</m:t>
        </m:r>
        <m:r>
          <m:rPr>
            <m:sty m:val="p"/>
          </m:rPr>
          <m:t>−</m:t>
        </m:r>
        <m:r>
          <m:t>c</m:t>
        </m:r>
        <m:r>
          <m:t>a</m:t>
        </m:r>
        <m:r>
          <m:t>t</m:t>
        </m:r>
        <m:r>
          <m:t>e</m:t>
        </m:r>
        <m:r>
          <m:t>g</m:t>
        </m:r>
        <m:r>
          <m:t>o</m:t>
        </m:r>
        <m:r>
          <m:t>r</m:t>
        </m:r>
        <m:r>
          <m:t>i</m:t>
        </m:r>
        <m:r>
          <m:t>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124"/>
    <w:bookmarkStart w:id="125" w:name="X2d899550002a89faf70685e2ededa357230b7ec"/>
    <w:p>
      <w:pPr>
        <w:pStyle w:val="Heading5"/>
      </w:pPr>
      <w:r>
        <w:t xml:space="preserve">7.1.5.3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40"/>
        </w:numPr>
        <w:pStyle w:val="Compact"/>
      </w:pPr>
      <w:r>
        <w:t xml:space="preserve">Individuelles accidents et Invalidité ;</w:t>
      </w:r>
    </w:p>
    <w:p>
      <w:pPr>
        <w:numPr>
          <w:ilvl w:val="0"/>
          <w:numId w:val="1040"/>
        </w:numPr>
        <w:pStyle w:val="Compact"/>
      </w:pPr>
      <w:r>
        <w:t xml:space="preserve">Maladie;</w:t>
      </w:r>
    </w:p>
    <w:p>
      <w:pPr>
        <w:numPr>
          <w:ilvl w:val="0"/>
          <w:numId w:val="1040"/>
        </w:numPr>
        <w:pStyle w:val="Compact"/>
      </w:pPr>
      <w:r>
        <w:t xml:space="preserve">Accidents du travail et maladies professionnelles ;</w:t>
      </w:r>
    </w:p>
    <w:p>
      <w:pPr>
        <w:numPr>
          <w:ilvl w:val="0"/>
          <w:numId w:val="1040"/>
        </w:numPr>
        <w:pStyle w:val="Compact"/>
      </w:pPr>
      <w:r>
        <w:t xml:space="preserve">Responsabilité civile automobile des véhicules terrestres à moteur;</w:t>
      </w:r>
    </w:p>
    <w:p>
      <w:pPr>
        <w:numPr>
          <w:ilvl w:val="0"/>
          <w:numId w:val="1040"/>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40"/>
        </w:numPr>
        <w:pStyle w:val="Compact"/>
      </w:pPr>
      <w:r>
        <w:t xml:space="preserve">Incendie ;</w:t>
      </w:r>
    </w:p>
    <w:p>
      <w:pPr>
        <w:numPr>
          <w:ilvl w:val="0"/>
          <w:numId w:val="1040"/>
        </w:numPr>
        <w:pStyle w:val="Compact"/>
      </w:pPr>
      <w:r>
        <w:t xml:space="preserve">Maritime corps, facultés et responsabilité civile résultant de l’emploi de véhicules fluviaux et maritimes ;</w:t>
      </w:r>
    </w:p>
    <w:p>
      <w:pPr>
        <w:numPr>
          <w:ilvl w:val="0"/>
          <w:numId w:val="1040"/>
        </w:numPr>
        <w:pStyle w:val="Compact"/>
      </w:pPr>
      <w:r>
        <w:t xml:space="preserve">Aviation corps et responsabilité civile résultant de l’emploi des aéronefs ;</w:t>
      </w:r>
    </w:p>
    <w:p>
      <w:pPr>
        <w:numPr>
          <w:ilvl w:val="0"/>
          <w:numId w:val="1040"/>
        </w:numPr>
        <w:pStyle w:val="Compact"/>
      </w:pPr>
      <w:r>
        <w:t xml:space="preserve">Marchandises transportées par voie terrestre ;</w:t>
      </w:r>
    </w:p>
    <w:p>
      <w:pPr>
        <w:numPr>
          <w:ilvl w:val="0"/>
          <w:numId w:val="1040"/>
        </w:numPr>
        <w:pStyle w:val="Compact"/>
      </w:pPr>
      <w:r>
        <w:t xml:space="preserve">Assurance récolte, grêle ou gelée et éléments naturels ;</w:t>
      </w:r>
    </w:p>
    <w:p>
      <w:pPr>
        <w:numPr>
          <w:ilvl w:val="0"/>
          <w:numId w:val="1040"/>
        </w:numPr>
        <w:pStyle w:val="Compact"/>
      </w:pPr>
      <w:r>
        <w:t xml:space="preserve">Crédit et caution</w:t>
      </w:r>
    </w:p>
    <w:bookmarkEnd w:id="125"/>
    <w:bookmarkEnd w:id="126"/>
    <w:bookmarkEnd w:id="127"/>
    <w:bookmarkStart w:id="128" w:name="X784839fd8516b8df5730ae0da267f1818a874be"/>
    <w:p>
      <w:pPr>
        <w:pStyle w:val="Heading3"/>
      </w:pPr>
      <w:r>
        <w:t xml:space="preserve">7.2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128"/>
    <w:bookmarkStart w:id="133" w:name="X384c0c3c983e0c0cecb046cfdf19f3cf5bf77b3"/>
    <w:p>
      <w:pPr>
        <w:pStyle w:val="Heading3"/>
      </w:pPr>
      <w:r>
        <w:t xml:space="preserve">7.3 Ajustement du capital de solvabilité requis</w:t>
      </w:r>
    </w:p>
    <w:bookmarkStart w:id="129" w:name="X60f7df077bb6b37af80367e8ec055588dd69751"/>
    <w:p>
      <w:pPr>
        <w:pStyle w:val="Heading4"/>
      </w:pPr>
      <w:r>
        <w:t xml:space="preserve">7.3.1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129"/>
    <w:bookmarkStart w:id="132" w:name="Xbd336be1e04da1ede3fc1224bb2eedd17c6bfce"/>
    <w:p>
      <w:pPr>
        <w:pStyle w:val="Heading4"/>
      </w:pPr>
      <w:r>
        <w:t xml:space="preserve">7.3.2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130" name="Picture"/>
                  <a:graphic>
                    <a:graphicData uri="http://schemas.openxmlformats.org/drawingml/2006/picture">
                      <pic:pic>
                        <pic:nvPicPr>
                          <pic:cNvPr descr="/Applications/RStudio.app/Contents/Resources/app/quarto/share/formats/docx/tip.png" id="131" name="Picture"/>
                          <pic:cNvPicPr>
                            <a:picLocks noChangeArrowheads="1" noChangeAspect="1"/>
                          </pic:cNvPicPr>
                        </pic:nvPicPr>
                        <pic:blipFill>
                          <a:blip r:embed="rId8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132"/>
    <w:bookmarkEnd w:id="133"/>
    <w:bookmarkEnd w:id="134"/>
    <w:bookmarkStart w:id="137" w:name="X83cf3861df691b97560fe79c7008ea748921962"/>
    <w:p>
      <w:pPr>
        <w:pStyle w:val="Heading2"/>
      </w:pPr>
      <w:r>
        <w:t xml:space="preserve">ANNEXE Nº1 : Correspondance CORRESPONDANCE ENTRE ECHELLE DE NOTATION ET PROBABILITE DE DEFAUT</w:t>
      </w:r>
    </w:p>
    <w:bookmarkStart w:id="135" w:name="echelles-de-notation"/>
    <w:p>
      <w:pPr>
        <w:pStyle w:val="Heading3"/>
      </w:pPr>
      <w:r>
        <w:t xml:space="preserve">7.4 Echelles de notation:</w:t>
      </w:r>
    </w:p>
    <w:p>
      <w:pPr>
        <w:numPr>
          <w:ilvl w:val="0"/>
          <w:numId w:val="1041"/>
        </w:numPr>
        <w:pStyle w:val="Compact"/>
      </w:pPr>
      <w:r>
        <w:t xml:space="preserve">Pour les cessionnaires et les cédantes :</w:t>
      </w:r>
    </w:p>
    <w:p>
      <w:pPr>
        <w:pStyle w:val="FirstParagraph"/>
      </w:pPr>
      <w:r>
        <w:t xml:space="preserve">L’échelle de notation à retenir correspond à la notation financière la plus récente délivrée, durant les 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w:t>
            </w:r>
          </w:p>
        </w:tc>
        <w:tc>
          <w:tcPr/>
          <w:p>
            <w:pPr>
              <w:pStyle w:val="Compact"/>
              <w:jc w:val="left"/>
            </w:pPr>
            <w:r>
              <w:t xml:space="preserve">AM BEST</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à A et supérieure ou égale à BBB</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BB</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du cessionnaire ou de la cédante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175%</w:t>
            </w:r>
          </w:p>
        </w:tc>
      </w:tr>
      <w:tr>
        <w:tc>
          <w:tcPr/>
          <w:p>
            <w:pPr>
              <w:pStyle w:val="Compact"/>
              <w:jc w:val="left"/>
            </w:pPr>
            <w:r>
              <w:t xml:space="preserve">2</w:t>
            </w:r>
          </w:p>
        </w:tc>
        <w:tc>
          <w:tcPr/>
          <w:p>
            <w:pPr>
              <w:pStyle w:val="Compact"/>
              <w:jc w:val="left"/>
            </w:pPr>
            <w:r>
              <w:t xml:space="preserve">]122% ; 175%]</w:t>
            </w:r>
          </w:p>
        </w:tc>
      </w:tr>
      <w:tr>
        <w:tc>
          <w:tcPr/>
          <w:p>
            <w:pPr>
              <w:pStyle w:val="Compact"/>
              <w:jc w:val="left"/>
            </w:pPr>
            <w:r>
              <w:t xml:space="preserve">3</w:t>
            </w:r>
          </w:p>
        </w:tc>
        <w:tc>
          <w:tcPr/>
          <w:p>
            <w:pPr>
              <w:pStyle w:val="Compact"/>
              <w:jc w:val="left"/>
            </w:pPr>
            <w:r>
              <w:t xml:space="preserve">]95% ; 122%]</w:t>
            </w:r>
          </w:p>
        </w:tc>
      </w:tr>
      <w:tr>
        <w:tc>
          <w:tcPr/>
          <w:p>
            <w:pPr>
              <w:pStyle w:val="Compact"/>
              <w:jc w:val="left"/>
            </w:pPr>
            <w:r>
              <w:t xml:space="preserve">4</w:t>
            </w:r>
          </w:p>
        </w:tc>
        <w:tc>
          <w:tcPr/>
          <w:p>
            <w:pPr>
              <w:pStyle w:val="Compact"/>
              <w:jc w:val="left"/>
            </w:pPr>
            <w:r>
              <w:t xml:space="preserve">]75% ; 95%]</w:t>
            </w:r>
          </w:p>
        </w:tc>
      </w:tr>
      <w:tr>
        <w:tc>
          <w:tcPr/>
          <w:p>
            <w:pPr>
              <w:pStyle w:val="Compact"/>
              <w:jc w:val="left"/>
            </w:pPr>
            <w:r>
              <w:t xml:space="preserve">5</w:t>
            </w:r>
          </w:p>
        </w:tc>
        <w:tc>
          <w:tcPr/>
          <w:p>
            <w:pPr>
              <w:pStyle w:val="Compact"/>
              <w:jc w:val="left"/>
            </w:pPr>
            <w:r>
              <w:t xml:space="preserve">Inférieur ou égale à 75%</w:t>
            </w:r>
          </w:p>
        </w:tc>
      </w:tr>
    </w:tbl>
    <w:p>
      <w:pPr>
        <w:pStyle w:val="BodyText"/>
      </w:pPr>
      <w:r>
        <w:t xml:space="preserve">Dans les autres cas, l’échelle de notation la plus faible est retenue.</w:t>
      </w:r>
    </w:p>
    <w:p>
      <w:pPr>
        <w:numPr>
          <w:ilvl w:val="0"/>
          <w:numId w:val="1042"/>
        </w:numPr>
        <w:pStyle w:val="Compact"/>
      </w:pPr>
      <w:r>
        <w:t xml:space="preserve">Pour les organismes dépositaires :</w:t>
      </w:r>
    </w:p>
    <w:p>
      <w:pPr>
        <w:pStyle w:val="FirstParagraph"/>
      </w:pPr>
      <w:r>
        <w:t xml:space="preserve">L’échelle de notation à retenir correspond à la notation financière la plus récente délivrée, durant les</w:t>
      </w:r>
      <w:r>
        <w:t xml:space="preserve"> </w:t>
      </w:r>
      <w:r>
        <w:t xml:space="preserve">dix-huit (18) derniers mois, par l’une des agences de notation citées ci-dessous et ce, conformément au tableau de correspondance suivant :</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Echelle de notation</w:t>
            </w:r>
          </w:p>
        </w:tc>
        <w:tc>
          <w:tcPr/>
          <w:p>
            <w:pPr>
              <w:pStyle w:val="Compact"/>
              <w:jc w:val="left"/>
            </w:pPr>
            <w:r>
              <w:t xml:space="preserve">S&amp;P</w:t>
            </w:r>
          </w:p>
        </w:tc>
        <w:tc>
          <w:tcPr/>
          <w:p>
            <w:pPr>
              <w:pStyle w:val="Compact"/>
              <w:jc w:val="left"/>
            </w:pPr>
            <w:r>
              <w:t xml:space="preserve">FITCH RATINGS</w:t>
            </w:r>
          </w:p>
        </w:tc>
        <w:tc>
          <w:tcPr/>
          <w:p>
            <w:pPr>
              <w:pStyle w:val="Compact"/>
              <w:jc w:val="left"/>
            </w:pPr>
            <w:r>
              <w:t xml:space="preserve">MOODY’S</w:t>
            </w:r>
          </w:p>
        </w:tc>
      </w:tr>
      <w:tr>
        <w:tc>
          <w:tcPr/>
          <w:p>
            <w:pPr>
              <w:pStyle w:val="Compact"/>
              <w:jc w:val="left"/>
            </w:pPr>
            <w:r>
              <w:t xml:space="preserve">1</w:t>
            </w:r>
          </w:p>
        </w:tc>
        <w:tc>
          <w:tcPr/>
          <w:p>
            <w:pPr>
              <w:pStyle w:val="Compact"/>
              <w:jc w:val="left"/>
            </w:pPr>
            <w:r>
              <w:t xml:space="preserve">Supérieure ou égale à AA</w:t>
            </w:r>
          </w:p>
        </w:tc>
        <w:tc>
          <w:tcPr/>
          <w:p>
            <w:pPr>
              <w:pStyle w:val="Compact"/>
              <w:jc w:val="left"/>
            </w:pPr>
            <w:r>
              <w:t xml:space="preserve">Supérieure ou égale à AA</w:t>
            </w:r>
          </w:p>
        </w:tc>
        <w:tc>
          <w:tcPr/>
          <w:p>
            <w:pPr>
              <w:pStyle w:val="Compact"/>
              <w:jc w:val="left"/>
            </w:pPr>
            <w:r>
              <w:t xml:space="preserve">Supérieure ou égale à Aa</w:t>
            </w:r>
          </w:p>
        </w:tc>
      </w:tr>
      <w:tr>
        <w:tc>
          <w:tcPr/>
          <w:p>
            <w:pPr>
              <w:pStyle w:val="Compact"/>
              <w:jc w:val="left"/>
            </w:pPr>
            <w:r>
              <w:t xml:space="preserve">2</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c>
          <w:tcPr/>
          <w:p>
            <w:pPr>
              <w:pStyle w:val="Compact"/>
              <w:jc w:val="left"/>
            </w:pPr>
            <w:r>
              <w:t xml:space="preserve">Inférieure à Aa et supérieure ou égale à A</w:t>
            </w:r>
          </w:p>
        </w:tc>
      </w:tr>
      <w:tr>
        <w:tc>
          <w:tcPr/>
          <w:p>
            <w:pPr>
              <w:pStyle w:val="Compact"/>
              <w:jc w:val="left"/>
            </w:pPr>
            <w:r>
              <w:t xml:space="preserve">3</w:t>
            </w:r>
          </w:p>
        </w:tc>
        <w:tc>
          <w:tcPr/>
          <w:p>
            <w:pPr>
              <w:pStyle w:val="Compact"/>
              <w:jc w:val="left"/>
            </w:pPr>
            <w:r>
              <w:t xml:space="preserve">Inférieure A et supérieure ou égale à BBB</w:t>
            </w:r>
          </w:p>
        </w:tc>
        <w:tc>
          <w:tcPr/>
          <w:p>
            <w:pPr>
              <w:pStyle w:val="Compact"/>
              <w:jc w:val="left"/>
            </w:pPr>
            <w:r>
              <w:t xml:space="preserve">Inférieure A et supérieure ou égale à BBB</w:t>
            </w:r>
          </w:p>
        </w:tc>
        <w:tc>
          <w:tcPr/>
          <w:p>
            <w:pPr>
              <w:pStyle w:val="Compact"/>
              <w:jc w:val="left"/>
            </w:pPr>
            <w:r>
              <w:t xml:space="preserve">Inférieure A et supérieure ou égale à Baa</w:t>
            </w:r>
          </w:p>
        </w:tc>
      </w:tr>
      <w:tr>
        <w:tc>
          <w:tcPr/>
          <w:p>
            <w:pPr>
              <w:pStyle w:val="Compact"/>
              <w:jc w:val="left"/>
            </w:pPr>
            <w:r>
              <w:t xml:space="preserve">4</w:t>
            </w:r>
          </w:p>
        </w:tc>
        <w:tc>
          <w:tcPr/>
          <w:p>
            <w:pPr>
              <w:pStyle w:val="Compact"/>
              <w:jc w:val="left"/>
            </w:pPr>
            <w:r>
              <w:t xml:space="preserve">Inférieure à BBB et supérieure ou égale à BB</w:t>
            </w:r>
          </w:p>
        </w:tc>
        <w:tc>
          <w:tcPr/>
          <w:p>
            <w:pPr>
              <w:pStyle w:val="Compact"/>
              <w:jc w:val="left"/>
            </w:pPr>
            <w:r>
              <w:t xml:space="preserve">Inférieure à BBB et supérieure ou égale à BB</w:t>
            </w:r>
          </w:p>
        </w:tc>
        <w:tc>
          <w:tcPr/>
          <w:p>
            <w:pPr>
              <w:pStyle w:val="Compact"/>
              <w:jc w:val="left"/>
            </w:pPr>
            <w:r>
              <w:t xml:space="preserve">Inférieure à Baa et supérieure ou égale à Ba</w:t>
            </w:r>
          </w:p>
        </w:tc>
      </w:tr>
      <w:tr>
        <w:tc>
          <w:tcPr/>
          <w:p>
            <w:pPr>
              <w:pStyle w:val="Compact"/>
              <w:jc w:val="left"/>
            </w:pPr>
            <w:r>
              <w:t xml:space="preserve">5</w:t>
            </w:r>
          </w:p>
        </w:tc>
        <w:tc>
          <w:tcPr/>
          <w:p>
            <w:pPr>
              <w:pStyle w:val="Compact"/>
              <w:jc w:val="left"/>
            </w:pPr>
            <w:r>
              <w:t xml:space="preserve">Inférieure à BB</w:t>
            </w:r>
          </w:p>
        </w:tc>
        <w:tc>
          <w:tcPr/>
          <w:p>
            <w:pPr>
              <w:pStyle w:val="Compact"/>
              <w:jc w:val="left"/>
            </w:pPr>
            <w:r>
              <w:t xml:space="preserve">Inférieure à BB</w:t>
            </w:r>
          </w:p>
        </w:tc>
        <w:tc>
          <w:tcPr/>
          <w:p>
            <w:pPr>
              <w:pStyle w:val="Compact"/>
              <w:jc w:val="left"/>
            </w:pPr>
            <w:r>
              <w:t xml:space="preserve">Inférieure à Ba</w:t>
            </w:r>
          </w:p>
        </w:tc>
      </w:tr>
    </w:tbl>
    <w:p>
      <w:pPr>
        <w:pStyle w:val="BodyText"/>
      </w:pPr>
      <w:r>
        <w:t xml:space="preserve">En l’absence de notation financière délivrée, durant les dix-huit (18) derniers mois, par l’une des agences de notation financière précitées et en l’absence d’une notation financière équivalente justifiée, durant la même période, l’échelle de notation est retenue en fonction du ratio de solvabilité de l’organisme dépositaire concerné et ce, conformément au tableau de correspondance suivant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Ratio de solvabilité</w:t>
            </w:r>
          </w:p>
        </w:tc>
      </w:tr>
      <w:tr>
        <w:tc>
          <w:tcPr/>
          <w:p>
            <w:pPr>
              <w:pStyle w:val="Compact"/>
              <w:jc w:val="left"/>
            </w:pPr>
            <w:r>
              <w:t xml:space="preserve">1</w:t>
            </w:r>
          </w:p>
        </w:tc>
        <w:tc>
          <w:tcPr/>
          <w:p>
            <w:pPr>
              <w:pStyle w:val="Compact"/>
              <w:jc w:val="left"/>
            </w:pPr>
            <w:r>
              <w:t xml:space="preserve">Supérieur à 21%</w:t>
            </w:r>
          </w:p>
        </w:tc>
      </w:tr>
      <w:tr>
        <w:tc>
          <w:tcPr/>
          <w:p>
            <w:pPr>
              <w:pStyle w:val="Compact"/>
              <w:jc w:val="left"/>
            </w:pPr>
            <w:r>
              <w:t xml:space="preserve">2</w:t>
            </w:r>
          </w:p>
        </w:tc>
        <w:tc>
          <w:tcPr/>
          <w:p>
            <w:pPr>
              <w:pStyle w:val="Compact"/>
              <w:jc w:val="left"/>
            </w:pPr>
            <w:r>
              <w:t xml:space="preserve">]14,6% ; 21%]</w:t>
            </w:r>
          </w:p>
        </w:tc>
      </w:tr>
      <w:tr>
        <w:tc>
          <w:tcPr/>
          <w:p>
            <w:pPr>
              <w:pStyle w:val="Compact"/>
              <w:jc w:val="left"/>
            </w:pPr>
            <w:r>
              <w:t xml:space="preserve">3</w:t>
            </w:r>
          </w:p>
        </w:tc>
        <w:tc>
          <w:tcPr/>
          <w:p>
            <w:pPr>
              <w:pStyle w:val="Compact"/>
              <w:jc w:val="left"/>
            </w:pPr>
            <w:r>
              <w:t xml:space="preserve">]11,4% ; 14,6%]</w:t>
            </w:r>
          </w:p>
        </w:tc>
      </w:tr>
      <w:tr>
        <w:tc>
          <w:tcPr/>
          <w:p>
            <w:pPr>
              <w:pStyle w:val="Compact"/>
              <w:jc w:val="left"/>
            </w:pPr>
            <w:r>
              <w:t xml:space="preserve">4</w:t>
            </w:r>
          </w:p>
        </w:tc>
        <w:tc>
          <w:tcPr/>
          <w:p>
            <w:pPr>
              <w:pStyle w:val="Compact"/>
              <w:jc w:val="left"/>
            </w:pPr>
            <w:r>
              <w:t xml:space="preserve">]9% ; 11,4%]</w:t>
            </w:r>
          </w:p>
        </w:tc>
      </w:tr>
      <w:tr>
        <w:tc>
          <w:tcPr/>
          <w:p>
            <w:pPr>
              <w:pStyle w:val="Compact"/>
              <w:jc w:val="left"/>
            </w:pPr>
            <w:r>
              <w:t xml:space="preserve">5</w:t>
            </w:r>
          </w:p>
        </w:tc>
        <w:tc>
          <w:tcPr/>
          <w:p>
            <w:pPr>
              <w:pStyle w:val="Compact"/>
              <w:jc w:val="left"/>
            </w:pPr>
            <w:r>
              <w:t xml:space="preserve">Inférieur ou égale à 9%</w:t>
            </w:r>
          </w:p>
        </w:tc>
      </w:tr>
    </w:tbl>
    <w:p>
      <w:pPr>
        <w:pStyle w:val="BodyText"/>
      </w:pPr>
      <w:r>
        <w:t xml:space="preserve">Dans les autres cas, l’échelle de notation la plus faible est retenue.</w:t>
      </w:r>
    </w:p>
    <w:bookmarkEnd w:id="135"/>
    <w:bookmarkStart w:id="136" w:name="probabilités-de-défaut"/>
    <w:p>
      <w:pPr>
        <w:pStyle w:val="Heading3"/>
      </w:pPr>
      <w:r>
        <w:t xml:space="preserve">7.5 Probabilités de défaut</w:t>
      </w:r>
    </w:p>
    <w:p>
      <w:pPr>
        <w:pStyle w:val="FirstParagraph"/>
      </w:pPr>
      <w:r>
        <w:t xml:space="preserve">La probabilité de défaut annuelle est établie en fonction de l’échelle de notation retenue en</w:t>
      </w:r>
      <w:r>
        <w:t xml:space="preserve"> </w:t>
      </w:r>
      <w:r>
        <w:t xml:space="preserve">application des dispositions du 1) ci-dessus et ce, conformément au tableau de correspondance ciaprès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Echelle de notation</w:t>
            </w:r>
          </w:p>
        </w:tc>
        <w:tc>
          <w:tcPr/>
          <w:p>
            <w:pPr>
              <w:pStyle w:val="Compact"/>
              <w:jc w:val="left"/>
            </w:pPr>
            <w:r>
              <w:t xml:space="preserve">Probabilité de défaut annuelle</w:t>
            </w:r>
          </w:p>
        </w:tc>
      </w:tr>
      <w:tr>
        <w:tc>
          <w:tcPr/>
          <w:p>
            <w:pPr>
              <w:pStyle w:val="Compact"/>
              <w:jc w:val="left"/>
            </w:pPr>
            <w:r>
              <w:t xml:space="preserve">1</w:t>
            </w:r>
          </w:p>
        </w:tc>
        <w:tc>
          <w:tcPr/>
          <w:p>
            <w:pPr>
              <w:pStyle w:val="Compact"/>
              <w:jc w:val="left"/>
            </w:pPr>
            <w:r>
              <w:t xml:space="preserve">0,010%</w:t>
            </w:r>
          </w:p>
        </w:tc>
      </w:tr>
      <w:tr>
        <w:tc>
          <w:tcPr/>
          <w:p>
            <w:pPr>
              <w:pStyle w:val="Compact"/>
              <w:jc w:val="left"/>
            </w:pPr>
            <w:r>
              <w:t xml:space="preserve">2</w:t>
            </w:r>
          </w:p>
        </w:tc>
        <w:tc>
          <w:tcPr/>
          <w:p>
            <w:pPr>
              <w:pStyle w:val="Compact"/>
              <w:jc w:val="left"/>
            </w:pPr>
            <w:r>
              <w:t xml:space="preserve">0,050%</w:t>
            </w:r>
          </w:p>
        </w:tc>
      </w:tr>
      <w:tr>
        <w:tc>
          <w:tcPr/>
          <w:p>
            <w:pPr>
              <w:pStyle w:val="Compact"/>
              <w:jc w:val="left"/>
            </w:pPr>
            <w:r>
              <w:t xml:space="preserve">3</w:t>
            </w:r>
          </w:p>
        </w:tc>
        <w:tc>
          <w:tcPr/>
          <w:p>
            <w:pPr>
              <w:pStyle w:val="Compact"/>
              <w:jc w:val="left"/>
            </w:pPr>
            <w:r>
              <w:t xml:space="preserve">0,240%</w:t>
            </w:r>
          </w:p>
        </w:tc>
      </w:tr>
      <w:tr>
        <w:tc>
          <w:tcPr/>
          <w:p>
            <w:pPr>
              <w:pStyle w:val="Compact"/>
              <w:jc w:val="left"/>
            </w:pPr>
            <w:r>
              <w:t xml:space="preserve">4</w:t>
            </w:r>
          </w:p>
        </w:tc>
        <w:tc>
          <w:tcPr/>
          <w:p>
            <w:pPr>
              <w:pStyle w:val="Compact"/>
              <w:jc w:val="left"/>
            </w:pPr>
            <w:r>
              <w:t xml:space="preserve">1,200%</w:t>
            </w:r>
          </w:p>
        </w:tc>
      </w:tr>
      <w:tr>
        <w:tc>
          <w:tcPr/>
          <w:p>
            <w:pPr>
              <w:pStyle w:val="Compact"/>
              <w:jc w:val="left"/>
            </w:pPr>
            <w:r>
              <w:t xml:space="preserve">5</w:t>
            </w:r>
          </w:p>
        </w:tc>
        <w:tc>
          <w:tcPr/>
          <w:p>
            <w:pPr>
              <w:pStyle w:val="Compact"/>
              <w:jc w:val="left"/>
            </w:pPr>
            <w:r>
              <w:t xml:space="preserve">4,200%</w:t>
            </w:r>
          </w:p>
        </w:tc>
      </w:tr>
    </w:tbl>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25">
    <w:p>
      <w:pPr>
        <w:pStyle w:val="FootnoteText"/>
      </w:pPr>
      <w:r>
        <w:rPr>
          <w:rStyle w:val="FootnoteReference"/>
        </w:rPr>
        <w:footnoteRef/>
      </w:r>
      <w:r>
        <w:t xml:space="preserve"> </w:t>
      </w:r>
      <w:r>
        <w:t xml:space="preserve">solvabilité basée sur les risques assurances maroc Acaps</w:t>
      </w:r>
    </w:p>
  </w:footnote>
  <w:footnote w:id="26">
    <w:p>
      <w:pPr>
        <w:pStyle w:val="FootnoteText"/>
      </w:pPr>
      <w:r>
        <w:rPr>
          <w:rStyle w:val="FootnoteReference"/>
        </w:rPr>
        <w:footnoteRef/>
      </w:r>
      <w:r>
        <w:t xml:space="preserve"> </w:t>
      </w:r>
      <w:r>
        <w:t xml:space="preserve">https://fnh.ma/article/actualite-financiere-maroc/assurances-solvabilite-basee-sur-les-risques-les-seuils-minimums-fixes-en-janvier-2019</w:t>
      </w:r>
    </w:p>
  </w:footnote>
  <w:footnote w:id="27">
    <w:p>
      <w:pPr>
        <w:pStyle w:val="FootnoteText"/>
      </w:pPr>
      <w:r>
        <w:rPr>
          <w:rStyle w:val="FootnoteReference"/>
        </w:rPr>
        <w:footnoteRef/>
      </w:r>
      <w:r>
        <w:t xml:space="preserve"> </w:t>
      </w:r>
      <w:r>
        <w:t xml:space="preserve">ORSA Own Risk and Solvency Assessment</w:t>
      </w:r>
    </w:p>
  </w:footnote>
  <w:footnote w:id="28">
    <w:p>
      <w:pPr>
        <w:pStyle w:val="FootnoteText"/>
      </w:pPr>
      <w:r>
        <w:rPr>
          <w:rStyle w:val="FootnoteReference"/>
        </w:rPr>
        <w:footnoteRef/>
      </w:r>
      <w:r>
        <w:t xml:space="preserve"> </w:t>
      </w:r>
      <w:hyperlink r:id="rId29">
        <w:r>
          <w:rPr>
            <w:rStyle w:val="Hyperlink"/>
          </w:rPr>
          <w:t xml:space="preserve">Ciculaire en préparation concernant le second pilier relatif à la gouvernance</w:t>
        </w:r>
      </w:hyperlink>
    </w:p>
  </w:footnote>
  <w:footnote w:id="36">
    <w:p>
      <w:pPr>
        <w:pStyle w:val="FootnoteText"/>
      </w:pPr>
      <w:r>
        <w:rPr>
          <w:rStyle w:val="FootnoteReference"/>
        </w:rPr>
        <w:footnoteRef/>
      </w:r>
      <w:r>
        <w:t xml:space="preserve"> </w:t>
      </w:r>
      <w:r>
        <w:t xml:space="preserve">Alonso Peña, Ph.D, C++ For Quantitative Finance</w:t>
      </w:r>
    </w:p>
  </w:footnote>
  <w:footnote w:id="58">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86">
    <w:p>
      <w:pPr>
        <w:pStyle w:val="FootnoteText"/>
      </w:pPr>
      <w:r>
        <w:rPr>
          <w:rStyle w:val="FootnoteReference"/>
        </w:rPr>
        <w:footnoteRef/>
      </w:r>
      <w:r>
        <w:t xml:space="preserve"> </w:t>
      </w:r>
      <w:r>
        <w:t xml:space="preserve">The Actuary and IBNR publié en 1972</w:t>
      </w:r>
    </w:p>
  </w:footnote>
  <w:footnote w:id="87">
    <w:p>
      <w:pPr>
        <w:pStyle w:val="FootnoteText"/>
      </w:pPr>
      <w:r>
        <w:rPr>
          <w:rStyle w:val="FootnoteReference"/>
        </w:rPr>
        <w:footnoteRef/>
      </w:r>
      <w:r>
        <w:t xml:space="preserve"> </w:t>
      </w:r>
      <w:r>
        <w:t xml:space="preserve">CNAM 2002-2003, Mathématiques actuarielles fondamentales (assurance non vie), Eléments de cours – 24 mars 2003 – liquidation des sinistres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88" Target="media/rId8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hyperlink" Id="rId29"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48"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_rels/footnotes.xml.rels><?xml version="1.0" encoding="UTF-8"?><Relationships xmlns="http://schemas.openxmlformats.org/package/2006/relationships"><Relationship Type="http://schemas.openxmlformats.org/officeDocument/2006/relationships/hyperlink" Id="rId29" Target="https://fnh.ma/article/actualite-financiere-maroc/assurances-sbr-un-projet-de-circulaire-en-preparation" TargetMode="External" /><Relationship Type="http://schemas.openxmlformats.org/officeDocument/2006/relationships/hyperlink" Id="rId22" Target="https://www.atlas-mag.net/article/marche-africain-de-l-assurance-en-2019-chiffre-d-affaires-des-principaux-pays" TargetMode="External" /><Relationship Type="http://schemas.openxmlformats.org/officeDocument/2006/relationships/hyperlink" Id="rId48" Target="https://www.bkam.ma/Marches/Principaux-indicateurs/Marche-obligataire/Marche-des-bons-de-tresor/Marche-secondaire/Taux-de-reference-des-bons-du-tresor?date=23%2F03%2F2023&amp;block=e1d6b9bbf87f86f8ba53e8518e882982#address-c3367fcefc5f524397748201aee5dab8-e1d6b9bbf87f86f8ba53e8518e8829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2023-05-19T15:40:49Z</dcterms:created>
  <dcterms:modified xsi:type="dcterms:W3CDTF">2023-05-19T15:40:49Z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