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png" ContentType="image/png"/>
  <Override PartName="/word/media/rId30.png" ContentType="image/png"/>
  <Override PartName="/word/media/rId297.png" ContentType="image/png"/>
  <Override PartName="/word/media/rId312.png" ContentType="image/png"/>
  <Override PartName="/word/media/rId41.png" ContentType="image/png"/>
  <Override PartName="/word/media/rId325.png" ContentType="image/png"/>
  <Override PartName="/word/media/rId266.png" ContentType="image/png"/>
  <Override PartName="/word/media/rId83.png" ContentType="image/png"/>
  <Override PartName="/word/media/rId338.png" ContentType="image/png"/>
  <Override PartName="/word/media/rId342.png" ContentType="image/png"/>
  <Override PartName="/word/media/rId346.png" ContentType="image/png"/>
  <Override PartName="/word/media/rId350.png" ContentType="image/png"/>
  <Override PartName="/word/media/rId74.png" ContentType="image/png"/>
  <Override PartName="/word/media/rId70.png" ContentType="image/png"/>
  <Override PartName="/word/media/rId250.png" ContentType="image/png"/>
  <Override PartName="/word/media/rId87.png" ContentType="image/png"/>
  <Override PartName="/word/media/rId182.png" ContentType="image/png"/>
  <Override PartName="/word/media/rId79.png" ContentType="image/png"/>
  <Override PartName="/word/media/rId270.png" ContentType="image/png"/>
  <Override PartName="/word/media/rId293.png" ContentType="image/png"/>
  <Override PartName="/word/media/rId317.png" ContentType="image/png"/>
  <Override PartName="/word/media/rId256.png" ContentType="image/png"/>
  <Override PartName="/word/media/rId302.png" ContentType="image/png"/>
  <Override PartName="/word/media/rId280.png" ContentType="image/png"/>
  <Override PartName="/word/media/rId284.png" ContentType="image/png"/>
  <Override PartName="/word/media/rId261.png" ContentType="image/png"/>
  <Override PartName="/word/media/rId35.png" ContentType="image/png"/>
  <Override PartName="/word/media/rId2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Solvabilité</w:t>
      </w:r>
      <w:r>
        <w:t xml:space="preserve"> </w:t>
      </w:r>
      <w:r>
        <w:t xml:space="preserve">Basée</w:t>
      </w:r>
      <w:r>
        <w:t xml:space="preserve"> </w:t>
      </w:r>
      <w:r>
        <w:t xml:space="preserve">sur</w:t>
      </w:r>
      <w:r>
        <w:t xml:space="preserve"> </w:t>
      </w:r>
      <w:r>
        <w:t xml:space="preserve">les</w:t>
      </w:r>
      <w:r>
        <w:t xml:space="preserve"> </w:t>
      </w:r>
      <w:r>
        <w:t xml:space="preserve">Risques</w:t>
      </w:r>
      <w:r>
        <w:t xml:space="preserve"> </w:t>
      </w:r>
      <w:r>
        <w:t xml:space="preserve">(SBR),</w:t>
      </w:r>
      <w:r>
        <w:t xml:space="preserve"> </w:t>
      </w:r>
      <w:r>
        <w:t xml:space="preserve">Application</w:t>
      </w:r>
      <w:r>
        <w:t xml:space="preserve"> </w:t>
      </w:r>
      <w:r>
        <w:t xml:space="preserve">de</w:t>
      </w:r>
      <w:r>
        <w:t xml:space="preserve"> </w:t>
      </w:r>
      <w:r>
        <w:t xml:space="preserve">calcul</w:t>
      </w:r>
      <w:r>
        <w:t xml:space="preserve"> </w:t>
      </w:r>
      <w:r>
        <w:t xml:space="preserve">des</w:t>
      </w:r>
      <w:r>
        <w:t xml:space="preserve"> </w:t>
      </w:r>
      <w:r>
        <w:t xml:space="preserve">Provisions</w:t>
      </w:r>
      <w:r>
        <w:t xml:space="preserve"> </w:t>
      </w:r>
      <w:r>
        <w:t xml:space="preserve">Prudentielles</w:t>
      </w:r>
      <w:r>
        <w:t xml:space="preserve"> </w:t>
      </w:r>
      <w:r>
        <w:t xml:space="preserve">et</w:t>
      </w:r>
      <w:r>
        <w:t xml:space="preserve"> </w:t>
      </w:r>
      <w:r>
        <w:t xml:space="preserve">du</w:t>
      </w:r>
      <w:r>
        <w:t xml:space="preserve"> </w:t>
      </w:r>
      <w:r>
        <w:t xml:space="preserve">Capital</w:t>
      </w:r>
      <w:r>
        <w:t xml:space="preserve"> </w:t>
      </w:r>
      <w:r>
        <w:t xml:space="preserve">de</w:t>
      </w:r>
      <w:r>
        <w:t xml:space="preserve"> </w:t>
      </w:r>
      <w:r>
        <w:t xml:space="preserve">Solvabilité</w:t>
      </w:r>
      <w:r>
        <w:t xml:space="preserve"> </w:t>
      </w:r>
      <w:r>
        <w:t xml:space="preserve">Requis</w:t>
      </w:r>
      <w:r>
        <w:t xml:space="preserve"> </w:t>
      </w:r>
      <w:r>
        <w:t xml:space="preserve">en</w:t>
      </w:r>
      <w:r>
        <w:t xml:space="preserve"> </w:t>
      </w:r>
      <w:r>
        <w:t xml:space="preserve">assurance</w:t>
      </w:r>
      <w:r>
        <w:t xml:space="preserve"> </w:t>
      </w:r>
      <w:r>
        <w:t xml:space="preserve">vie</w:t>
      </w:r>
      <w:r>
        <w:t xml:space="preserve"> </w:t>
      </w:r>
      <w:r>
        <w:t xml:space="preserve">et</w:t>
      </w:r>
      <w:r>
        <w:t xml:space="preserve"> </w:t>
      </w:r>
      <w:r>
        <w:t xml:space="preserve">non-vie</w:t>
      </w:r>
    </w:p>
    <w:p>
      <w:pPr>
        <w:pStyle w:val="Author"/>
      </w:pPr>
      <w:r>
        <w:t xml:space="preserve">DIAKITE</w:t>
      </w:r>
      <w:r>
        <w:t xml:space="preserve"> </w:t>
      </w:r>
      <w:r>
        <w:t xml:space="preserve">Abdoul</w:t>
      </w:r>
      <w:r>
        <w:t xml:space="preserve"> </w:t>
      </w:r>
      <w:r>
        <w:t xml:space="preserve">Oudouss,</w:t>
      </w:r>
      <w:r>
        <w:t xml:space="preserve"> </w:t>
      </w:r>
      <w:r>
        <w:t xml:space="preserve">ETTADLAOUI</w:t>
      </w:r>
      <w:r>
        <w:t xml:space="preserve"> </w:t>
      </w:r>
      <w:r>
        <w:t xml:space="preserve">Othmane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organisme-daccueil"/>
    <w:p>
      <w:pPr>
        <w:pStyle w:val="Heading1"/>
      </w:pPr>
      <w:r>
        <w:t xml:space="preserve">Organisme d’accueil</w:t>
      </w:r>
    </w:p>
    <w:p>
      <w:pPr>
        <w:pStyle w:val="FirstParagraph"/>
      </w:pPr>
      <w:r>
        <w:t xml:space="preserve">Créée en 1996,</w:t>
      </w:r>
      <w:r>
        <w:t xml:space="preserve"> </w:t>
      </w:r>
      <w:r>
        <w:rPr>
          <w:bCs/>
          <w:b/>
        </w:rPr>
        <w:t xml:space="preserve">A.R.M CONSULTANTS</w:t>
      </w:r>
      <w:r>
        <w:t xml:space="preserve"> </w:t>
      </w:r>
      <w:r>
        <w:t xml:space="preserve">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pPr>
        <w:numPr>
          <w:ilvl w:val="0"/>
          <w:numId w:val="1001"/>
        </w:numPr>
        <w:pStyle w:val="Compact"/>
      </w:pPr>
      <w:r>
        <w:t xml:space="preserve">Les institutions financières qui souhaitent innover et maîtriser leurs risques, pour devenir leaders dans les domaines de l’assurance, de la bancassurance, de la réassurance, de la prévoyance sociale, de la retraite ou du crédit bancaire.</w:t>
      </w:r>
    </w:p>
    <w:p>
      <w:pPr>
        <w:numPr>
          <w:ilvl w:val="0"/>
          <w:numId w:val="1001"/>
        </w:numPr>
        <w:pStyle w:val="Compact"/>
      </w:pPr>
      <w:r>
        <w:t xml:space="preserve">Les entreprises et les établissements publics, qui souhaitent optimiser leurs performances en matière de gestion de leurs risques, de leurs assurances et de leurs engagements sociaux.</w:t>
      </w:r>
    </w:p>
    <w:p>
      <w:pPr>
        <w:numPr>
          <w:ilvl w:val="0"/>
          <w:numId w:val="1001"/>
        </w:numPr>
        <w:pStyle w:val="Compact"/>
      </w:pPr>
      <w:r>
        <w:t xml:space="preserve">Les administrations qui cherchent à élaborer des études actuarielles pour améliorer les systèmes existants de couvertures sociales ou mettre en place de nouveaux régimes de prévoyance sociale.</w:t>
      </w:r>
    </w:p>
    <w:p>
      <w:pPr>
        <w:pStyle w:val="FirstParagraph"/>
      </w:pPr>
      <w:r>
        <w:rPr>
          <w:bCs/>
          <w:b/>
        </w:rPr>
        <w:t xml:space="preserve">A.R.M CONSULTANTS</w:t>
      </w:r>
      <w:r>
        <w:t xml:space="preserve"> </w:t>
      </w:r>
      <w:r>
        <w:t xml:space="preserve">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savoir faire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pPr>
        <w:numPr>
          <w:ilvl w:val="0"/>
          <w:numId w:val="1002"/>
        </w:numPr>
        <w:pStyle w:val="Compact"/>
      </w:pPr>
      <w:r>
        <w:t xml:space="preserve">Innovateur.</w:t>
      </w:r>
    </w:p>
    <w:p>
      <w:pPr>
        <w:numPr>
          <w:ilvl w:val="0"/>
          <w:numId w:val="1002"/>
        </w:numPr>
        <w:pStyle w:val="Compact"/>
      </w:pPr>
      <w:r>
        <w:t xml:space="preserve">Indépendant.</w:t>
      </w:r>
    </w:p>
    <w:p>
      <w:pPr>
        <w:numPr>
          <w:ilvl w:val="0"/>
          <w:numId w:val="1002"/>
        </w:numPr>
        <w:pStyle w:val="Compact"/>
      </w:pPr>
      <w:r>
        <w:t xml:space="preserve">International, par le biais de son partenariat avec des sociétés similaires de renommée internationale.</w:t>
      </w:r>
    </w:p>
    <w:bookmarkEnd w:id="20"/>
    <w:bookmarkStart w:id="21" w:name="liste-des-abréviations"/>
    <w:p>
      <w:pPr>
        <w:pStyle w:val="Heading1"/>
      </w:pPr>
      <w:r>
        <w:t xml:space="preserve">Liste des abréviations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Abréviation</w:t>
            </w:r>
          </w:p>
        </w:tc>
        <w:tc>
          <w:tcPr/>
          <w:p>
            <w:pPr>
              <w:pStyle w:val="Compact"/>
              <w:jc w:val="left"/>
            </w:pPr>
            <w:r>
              <w:t xml:space="preserve">Désignation</w:t>
            </w:r>
          </w:p>
        </w:tc>
        <w:tc>
          <w:tcPr/>
          <w:p>
            <w:pPr>
              <w:pStyle w:val="Compact"/>
              <w:jc w:val="left"/>
            </w:pPr>
            <w:r>
              <w:t xml:space="preserve">Abréviation.1</w:t>
            </w:r>
          </w:p>
        </w:tc>
        <w:tc>
          <w:tcPr/>
          <w:p>
            <w:pPr>
              <w:pStyle w:val="Compact"/>
              <w:jc w:val="left"/>
            </w:pPr>
            <w:r>
              <w:t xml:space="preserve">Désignation.1</w:t>
            </w:r>
          </w:p>
        </w:tc>
      </w:tr>
      <w:tr>
        <w:tc>
          <w:tcPr/>
          <w:p>
            <w:pPr>
              <w:pStyle w:val="Compact"/>
              <w:jc w:val="left"/>
            </w:pPr>
            <w:r>
              <w:t xml:space="preserve">Adj</w:t>
            </w:r>
          </w:p>
        </w:tc>
        <w:tc>
          <w:tcPr/>
          <w:p>
            <w:pPr>
              <w:pStyle w:val="Compact"/>
              <w:jc w:val="left"/>
            </w:pPr>
            <w:r>
              <w:t xml:space="preserve">Ajustement pour défaut de contrepartie</w:t>
            </w:r>
          </w:p>
        </w:tc>
        <w:tc>
          <w:tcPr/>
          <w:p>
            <w:pPr>
              <w:pStyle w:val="Compact"/>
              <w:jc w:val="left"/>
            </w:pPr>
            <w:r>
              <w:t xml:space="preserve">FGU</w:t>
            </w:r>
          </w:p>
        </w:tc>
        <w:tc>
          <w:tcPr/>
          <w:p>
            <w:pPr>
              <w:pStyle w:val="Compact"/>
              <w:jc w:val="left"/>
            </w:pPr>
            <w:r>
              <w:t xml:space="preserve">Frais de gestion unitaire</w:t>
            </w:r>
          </w:p>
        </w:tc>
      </w:tr>
      <w:tr>
        <w:tc>
          <w:tcPr/>
          <w:p>
            <w:pPr>
              <w:pStyle w:val="Compact"/>
              <w:jc w:val="left"/>
            </w:pPr>
            <w:r>
              <w:t xml:space="preserve">AT</w:t>
            </w:r>
          </w:p>
        </w:tc>
        <w:tc>
          <w:tcPr/>
          <w:p>
            <w:pPr>
              <w:pStyle w:val="Compact"/>
              <w:jc w:val="left"/>
            </w:pPr>
            <w:r>
              <w:t xml:space="preserve">Accident de travail</w:t>
            </w:r>
          </w:p>
        </w:tc>
        <w:tc>
          <w:tcPr/>
          <w:p>
            <w:pPr>
              <w:pStyle w:val="Compact"/>
              <w:jc w:val="left"/>
            </w:pPr>
            <w:r>
              <w:t xml:space="preserve">FRFP</w:t>
            </w:r>
          </w:p>
        </w:tc>
        <w:tc>
          <w:tcPr/>
          <w:p>
            <w:pPr>
              <w:pStyle w:val="Compact"/>
              <w:jc w:val="left"/>
            </w:pPr>
            <w:r>
              <w:t xml:space="preserve">Flux de règlements futurs probabilisés</w:t>
            </w:r>
          </w:p>
        </w:tc>
      </w:tr>
      <w:tr>
        <w:tc>
          <w:tcPr/>
          <w:p>
            <w:pPr>
              <w:pStyle w:val="Compact"/>
              <w:jc w:val="left"/>
            </w:pPr>
            <w:r>
              <w:t xml:space="preserve">BE</w:t>
            </w:r>
          </w:p>
        </w:tc>
        <w:tc>
          <w:tcPr/>
          <w:p>
            <w:pPr>
              <w:pStyle w:val="Compact"/>
              <w:jc w:val="left"/>
            </w:pPr>
            <w:r>
              <w:t xml:space="preserve">Best Estimate</w:t>
            </w:r>
          </w:p>
        </w:tc>
        <w:tc>
          <w:tcPr/>
          <w:p>
            <w:pPr>
              <w:pStyle w:val="Compact"/>
              <w:jc w:val="left"/>
            </w:pPr>
            <w:r>
              <w:t xml:space="preserve">MR</w:t>
            </w:r>
          </w:p>
        </w:tc>
        <w:tc>
          <w:tcPr/>
          <w:p>
            <w:pPr>
              <w:pStyle w:val="Compact"/>
              <w:jc w:val="left"/>
            </w:pPr>
            <w:r>
              <w:t xml:space="preserve">Marge de Risque</w:t>
            </w:r>
          </w:p>
        </w:tc>
      </w:tr>
      <w:tr>
        <w:tc>
          <w:tcPr/>
          <w:p>
            <w:pPr>
              <w:pStyle w:val="Compact"/>
              <w:jc w:val="left"/>
            </w:pPr>
            <w:r>
              <w:t xml:space="preserve">BE_eng</w:t>
            </w:r>
          </w:p>
        </w:tc>
        <w:tc>
          <w:tcPr/>
          <w:p>
            <w:pPr>
              <w:pStyle w:val="Compact"/>
              <w:jc w:val="left"/>
            </w:pPr>
            <w:r>
              <w:t xml:space="preserve">Meilleure Estimation des engagements</w:t>
            </w:r>
          </w:p>
        </w:tc>
        <w:tc>
          <w:tcPr/>
          <w:p>
            <w:pPr>
              <w:pStyle w:val="Compact"/>
              <w:jc w:val="left"/>
            </w:pPr>
            <w:r>
              <w:t xml:space="preserve">NbC</w:t>
            </w:r>
          </w:p>
        </w:tc>
        <w:tc>
          <w:tcPr/>
          <w:p>
            <w:pPr>
              <w:pStyle w:val="Compact"/>
              <w:jc w:val="left"/>
            </w:pPr>
            <w:r>
              <w:t xml:space="preserve">Nombre de contrats</w:t>
            </w:r>
          </w:p>
        </w:tc>
      </w:tr>
      <w:tr>
        <w:tc>
          <w:tcPr/>
          <w:p>
            <w:pPr>
              <w:pStyle w:val="Compact"/>
              <w:jc w:val="left"/>
            </w:pPr>
            <w:r>
              <w:t xml:space="preserve">BEC_eng</w:t>
            </w:r>
          </w:p>
        </w:tc>
        <w:tc>
          <w:tcPr/>
          <w:p>
            <w:pPr>
              <w:pStyle w:val="Compact"/>
              <w:jc w:val="left"/>
            </w:pPr>
            <w:r>
              <w:t xml:space="preserve">meilleure estimation des engagements cédés</w:t>
            </w:r>
          </w:p>
        </w:tc>
        <w:tc>
          <w:tcPr/>
          <w:p>
            <w:pPr>
              <w:pStyle w:val="Compact"/>
              <w:jc w:val="left"/>
            </w:pPr>
            <w:r>
              <w:t xml:space="preserve">PA</w:t>
            </w:r>
          </w:p>
        </w:tc>
        <w:tc>
          <w:tcPr/>
          <w:p>
            <w:pPr>
              <w:pStyle w:val="Compact"/>
              <w:jc w:val="left"/>
            </w:pPr>
            <w:r>
              <w:t xml:space="preserve">Primes Acquises</w:t>
            </w:r>
          </w:p>
        </w:tc>
      </w:tr>
      <w:tr>
        <w:tc>
          <w:tcPr/>
          <w:p>
            <w:pPr>
              <w:pStyle w:val="Compact"/>
              <w:jc w:val="left"/>
            </w:pPr>
            <w:r>
              <w:t xml:space="preserve">BEFG</w:t>
            </w:r>
          </w:p>
        </w:tc>
        <w:tc>
          <w:tcPr/>
          <w:p>
            <w:pPr>
              <w:pStyle w:val="Compact"/>
              <w:jc w:val="left"/>
            </w:pPr>
            <w:r>
              <w:t xml:space="preserve">Meilleure Estimation des frais de gestion</w:t>
            </w:r>
          </w:p>
        </w:tc>
        <w:tc>
          <w:tcPr/>
          <w:p>
            <w:pPr>
              <w:pStyle w:val="Compact"/>
              <w:jc w:val="left"/>
            </w:pPr>
            <w:r>
              <w:t xml:space="preserve">PC</w:t>
            </w:r>
          </w:p>
        </w:tc>
        <w:tc>
          <w:tcPr/>
          <w:p>
            <w:pPr>
              <w:pStyle w:val="Compact"/>
              <w:jc w:val="left"/>
            </w:pPr>
            <w:r>
              <w:t xml:space="preserve">Part des Cessionnaires</w:t>
            </w:r>
          </w:p>
        </w:tc>
      </w:tr>
      <w:tr>
        <w:tc>
          <w:tcPr/>
          <w:p>
            <w:pPr>
              <w:pStyle w:val="Compact"/>
              <w:jc w:val="left"/>
            </w:pPr>
            <w:r>
              <w:t xml:space="preserve">BEGP</w:t>
            </w:r>
          </w:p>
        </w:tc>
        <w:tc>
          <w:tcPr/>
          <w:p>
            <w:pPr>
              <w:pStyle w:val="Compact"/>
              <w:jc w:val="left"/>
            </w:pPr>
            <w:r>
              <w:t xml:space="preserve">Meilleure Estimation des garanties probabilisées</w:t>
            </w:r>
          </w:p>
        </w:tc>
        <w:tc>
          <w:tcPr/>
          <w:p>
            <w:pPr>
              <w:pStyle w:val="Compact"/>
              <w:jc w:val="left"/>
            </w:pPr>
            <w:r>
              <w:t xml:space="preserve">PD</w:t>
            </w:r>
          </w:p>
        </w:tc>
        <w:tc>
          <w:tcPr/>
          <w:p>
            <w:pPr>
              <w:pStyle w:val="Compact"/>
              <w:jc w:val="left"/>
            </w:pPr>
            <w:r>
              <w:t xml:space="preserve">Probabilité de Défaut</w:t>
            </w:r>
          </w:p>
        </w:tc>
      </w:tr>
      <w:tr>
        <w:tc>
          <w:tcPr/>
          <w:p>
            <w:pPr>
              <w:pStyle w:val="Compact"/>
              <w:jc w:val="left"/>
            </w:pPr>
            <w:r>
              <w:t xml:space="preserve">BEP</w:t>
            </w:r>
          </w:p>
        </w:tc>
        <w:tc>
          <w:tcPr/>
          <w:p>
            <w:pPr>
              <w:pStyle w:val="Compact"/>
              <w:jc w:val="left"/>
            </w:pPr>
            <w:r>
              <w:t xml:space="preserve">Meilleure estimation des engagements pour primes</w:t>
            </w:r>
          </w:p>
        </w:tc>
        <w:tc>
          <w:tcPr/>
          <w:p>
            <w:pPr>
              <w:pStyle w:val="Compact"/>
              <w:jc w:val="left"/>
            </w:pPr>
            <w:r>
              <w:t xml:space="preserve">PFPA</w:t>
            </w:r>
          </w:p>
        </w:tc>
        <w:tc>
          <w:tcPr/>
          <w:p>
            <w:pPr>
              <w:pStyle w:val="Compact"/>
              <w:jc w:val="left"/>
            </w:pPr>
            <w:r>
              <w:t xml:space="preserve">Primes Futures Probabilisé et Actualisé</w:t>
            </w:r>
          </w:p>
        </w:tc>
      </w:tr>
      <w:tr>
        <w:tc>
          <w:tcPr/>
          <w:p>
            <w:pPr>
              <w:pStyle w:val="Compact"/>
              <w:jc w:val="left"/>
            </w:pPr>
            <w:r>
              <w:t xml:space="preserve">BEPC</w:t>
            </w:r>
          </w:p>
        </w:tc>
        <w:tc>
          <w:tcPr/>
          <w:p>
            <w:pPr>
              <w:pStyle w:val="Compact"/>
              <w:jc w:val="left"/>
            </w:pPr>
            <w:r>
              <w:t xml:space="preserve">Meilleure Estimation des Engagements pour Primes cédés</w:t>
            </w:r>
          </w:p>
        </w:tc>
        <w:tc>
          <w:tcPr/>
          <w:p>
            <w:pPr>
              <w:pStyle w:val="Compact"/>
              <w:jc w:val="left"/>
            </w:pPr>
            <w:r>
              <w:t xml:space="preserve">PPB</w:t>
            </w:r>
          </w:p>
        </w:tc>
        <w:tc>
          <w:tcPr/>
          <w:p>
            <w:pPr>
              <w:pStyle w:val="Compact"/>
              <w:jc w:val="left"/>
            </w:pPr>
            <w:r>
              <w:t xml:space="preserve">Provision pour participation aux bénéfices</w:t>
            </w:r>
          </w:p>
        </w:tc>
      </w:tr>
      <w:tr>
        <w:tc>
          <w:tcPr/>
          <w:p>
            <w:pPr>
              <w:pStyle w:val="Compact"/>
              <w:jc w:val="left"/>
            </w:pPr>
            <w:r>
              <w:t xml:space="preserve">BES</w:t>
            </w:r>
          </w:p>
        </w:tc>
        <w:tc>
          <w:tcPr/>
          <w:p>
            <w:pPr>
              <w:pStyle w:val="Compact"/>
              <w:jc w:val="left"/>
            </w:pPr>
            <w:r>
              <w:t xml:space="preserve">Meilleure estimation des engagements pour sinistres</w:t>
            </w:r>
          </w:p>
        </w:tc>
        <w:tc>
          <w:tcPr/>
          <w:p>
            <w:pPr>
              <w:pStyle w:val="Compact"/>
              <w:jc w:val="left"/>
            </w:pPr>
            <w:r>
              <w:t xml:space="preserve">PPNA</w:t>
            </w:r>
          </w:p>
        </w:tc>
        <w:tc>
          <w:tcPr/>
          <w:p>
            <w:pPr>
              <w:pStyle w:val="Compact"/>
              <w:jc w:val="left"/>
            </w:pPr>
            <w:r>
              <w:t xml:space="preserve">Provision pour primes non Acquises</w:t>
            </w:r>
          </w:p>
        </w:tc>
      </w:tr>
      <w:tr>
        <w:tc>
          <w:tcPr/>
          <w:p>
            <w:pPr>
              <w:pStyle w:val="Compact"/>
              <w:jc w:val="left"/>
            </w:pPr>
            <w:r>
              <w:t xml:space="preserve">BESC</w:t>
            </w:r>
          </w:p>
        </w:tc>
        <w:tc>
          <w:tcPr/>
          <w:p>
            <w:pPr>
              <w:pStyle w:val="Compact"/>
              <w:jc w:val="left"/>
            </w:pPr>
            <w:r>
              <w:t xml:space="preserve">Meilleure Estimation des Engagements pour Sinistres cédés</w:t>
            </w:r>
          </w:p>
        </w:tc>
        <w:tc>
          <w:tcPr/>
          <w:p>
            <w:pPr>
              <w:pStyle w:val="Compact"/>
              <w:jc w:val="left"/>
            </w:pPr>
            <w:r>
              <w:t xml:space="preserve">PT</w:t>
            </w:r>
          </w:p>
        </w:tc>
        <w:tc>
          <w:tcPr/>
          <w:p>
            <w:pPr>
              <w:pStyle w:val="Compact"/>
              <w:jc w:val="left"/>
            </w:pPr>
            <w:r>
              <w:t xml:space="preserve">Provision Technique</w:t>
            </w:r>
          </w:p>
        </w:tc>
      </w:tr>
      <w:tr>
        <w:tc>
          <w:tcPr/>
          <w:p>
            <w:pPr>
              <w:pStyle w:val="Compact"/>
              <w:jc w:val="left"/>
            </w:pPr>
            <w:r>
              <w:t xml:space="preserve">CSR</w:t>
            </w:r>
          </w:p>
        </w:tc>
        <w:tc>
          <w:tcPr/>
          <w:p>
            <w:pPr>
              <w:pStyle w:val="Compact"/>
              <w:jc w:val="left"/>
            </w:pPr>
            <w:r>
              <w:t xml:space="preserve">Capital de Solvabilité Requis</w:t>
            </w:r>
          </w:p>
        </w:tc>
        <w:tc>
          <w:tcPr/>
          <w:p>
            <w:pPr>
              <w:pStyle w:val="Compact"/>
              <w:jc w:val="left"/>
            </w:pPr>
            <w:r>
              <w:t xml:space="preserve">RègC</w:t>
            </w:r>
          </w:p>
        </w:tc>
        <w:tc>
          <w:tcPr/>
          <w:p>
            <w:pPr>
              <w:pStyle w:val="Compact"/>
              <w:jc w:val="left"/>
            </w:pPr>
            <w:r>
              <w:t xml:space="preserve">Règlements cumulés</w:t>
            </w:r>
          </w:p>
        </w:tc>
      </w:tr>
      <w:tr>
        <w:tc>
          <w:tcPr/>
          <w:p>
            <w:pPr>
              <w:pStyle w:val="Compact"/>
              <w:jc w:val="left"/>
            </w:pPr>
            <w:r>
              <w:t xml:space="preserve">CSRB</w:t>
            </w:r>
          </w:p>
        </w:tc>
        <w:tc>
          <w:tcPr/>
          <w:p>
            <w:pPr>
              <w:pStyle w:val="Compact"/>
              <w:jc w:val="left"/>
            </w:pPr>
            <w:r>
              <w:t xml:space="preserve">Capital de solvabilité requis de base</w:t>
            </w:r>
          </w:p>
        </w:tc>
        <w:tc>
          <w:tcPr/>
          <w:p>
            <w:pPr>
              <w:pStyle w:val="Compact"/>
              <w:jc w:val="left"/>
            </w:pPr>
            <w:r>
              <w:t xml:space="preserve">RègF</w:t>
            </w:r>
          </w:p>
        </w:tc>
        <w:tc>
          <w:tcPr/>
          <w:p>
            <w:pPr>
              <w:pStyle w:val="Compact"/>
              <w:jc w:val="left"/>
            </w:pPr>
            <w:r>
              <w:t xml:space="preserve">Règlements futurs</w:t>
            </w:r>
          </w:p>
        </w:tc>
      </w:tr>
      <w:tr>
        <w:tc>
          <w:tcPr/>
          <w:p>
            <w:pPr>
              <w:pStyle w:val="Compact"/>
              <w:jc w:val="left"/>
            </w:pPr>
            <w:r>
              <w:t xml:space="preserve">CSRO</w:t>
            </w:r>
          </w:p>
        </w:tc>
        <w:tc>
          <w:tcPr/>
          <w:p>
            <w:pPr>
              <w:pStyle w:val="Compact"/>
              <w:jc w:val="left"/>
            </w:pPr>
            <w:r>
              <w:t xml:space="preserve">Capital de solvabilité requis relative au risque Opérationnel</w:t>
            </w:r>
          </w:p>
        </w:tc>
        <w:tc>
          <w:tcPr/>
          <w:p>
            <w:pPr>
              <w:pStyle w:val="Compact"/>
              <w:jc w:val="left"/>
            </w:pPr>
            <w:r>
              <w:t xml:space="preserve">RF</w:t>
            </w:r>
          </w:p>
        </w:tc>
        <w:tc>
          <w:tcPr/>
          <w:p>
            <w:pPr>
              <w:pStyle w:val="Compact"/>
              <w:jc w:val="left"/>
            </w:pPr>
            <w:r>
              <w:t xml:space="preserve">les résultats financiers.</w:t>
            </w:r>
          </w:p>
        </w:tc>
      </w:tr>
      <w:tr>
        <w:tc>
          <w:tcPr/>
          <w:p>
            <w:pPr>
              <w:pStyle w:val="Compact"/>
              <w:jc w:val="left"/>
            </w:pPr>
            <w:r>
              <w:t xml:space="preserve">CU</w:t>
            </w:r>
          </w:p>
        </w:tc>
        <w:tc>
          <w:tcPr/>
          <w:p>
            <w:pPr>
              <w:pStyle w:val="Compact"/>
              <w:jc w:val="left"/>
            </w:pPr>
            <w:r>
              <w:t xml:space="preserve">Charge Ultime</w:t>
            </w:r>
          </w:p>
        </w:tc>
        <w:tc>
          <w:tcPr/>
          <w:p>
            <w:pPr>
              <w:pStyle w:val="Compact"/>
              <w:jc w:val="left"/>
            </w:pPr>
            <w:r>
              <w:t xml:space="preserve">RS</w:t>
            </w:r>
          </w:p>
        </w:tc>
        <w:tc>
          <w:tcPr/>
          <w:p>
            <w:pPr>
              <w:pStyle w:val="Compact"/>
              <w:jc w:val="left"/>
            </w:pPr>
            <w:r>
              <w:t xml:space="preserve">ratio de sinistralité</w:t>
            </w:r>
          </w:p>
        </w:tc>
      </w:tr>
      <w:tr>
        <w:tc>
          <w:tcPr/>
          <w:p>
            <w:pPr>
              <w:pStyle w:val="Compact"/>
              <w:jc w:val="left"/>
            </w:pPr>
            <w:r>
              <w:t xml:space="preserve">Dec</w:t>
            </w:r>
          </w:p>
        </w:tc>
        <w:tc>
          <w:tcPr/>
          <w:p>
            <w:pPr>
              <w:pStyle w:val="Compact"/>
              <w:jc w:val="left"/>
            </w:pPr>
            <w:r>
              <w:t xml:space="preserve">Les décaissements</w:t>
            </w:r>
          </w:p>
        </w:tc>
        <w:tc>
          <w:tcPr/>
          <w:p>
            <w:pPr>
              <w:pStyle w:val="Compact"/>
              <w:jc w:val="left"/>
            </w:pPr>
            <w:r>
              <w:t xml:space="preserve">RT</w:t>
            </w:r>
          </w:p>
        </w:tc>
        <w:tc>
          <w:tcPr/>
          <w:p>
            <w:pPr>
              <w:pStyle w:val="Compact"/>
              <w:jc w:val="left"/>
            </w:pPr>
            <w:r>
              <w:t xml:space="preserve">les résultats techniques.</w:t>
            </w:r>
          </w:p>
        </w:tc>
      </w:tr>
      <w:tr>
        <w:tc>
          <w:tcPr/>
          <w:p>
            <w:pPr>
              <w:pStyle w:val="Compact"/>
              <w:jc w:val="left"/>
            </w:pPr>
            <w:r>
              <w:t xml:space="preserve">Dot</w:t>
            </w:r>
          </w:p>
        </w:tc>
        <w:tc>
          <w:tcPr/>
          <w:p>
            <w:pPr>
              <w:pStyle w:val="Compact"/>
              <w:jc w:val="left"/>
            </w:pPr>
            <w:r>
              <w:t xml:space="preserve">Dotations</w:t>
            </w:r>
          </w:p>
        </w:tc>
        <w:tc>
          <w:tcPr/>
          <w:p>
            <w:pPr>
              <w:pStyle w:val="Compact"/>
              <w:jc w:val="left"/>
            </w:pPr>
            <w:r>
              <w:t xml:space="preserve">ST</w:t>
            </w:r>
          </w:p>
        </w:tc>
        <w:tc>
          <w:tcPr/>
          <w:p>
            <w:pPr>
              <w:pStyle w:val="Compact"/>
              <w:jc w:val="left"/>
            </w:pPr>
            <w:r>
              <w:t xml:space="preserve">Soldes Techniques</w:t>
            </w:r>
          </w:p>
        </w:tc>
      </w:tr>
      <w:tr>
        <w:tc>
          <w:tcPr/>
          <w:p>
            <w:pPr>
              <w:pStyle w:val="Compact"/>
              <w:jc w:val="left"/>
            </w:pPr>
            <w:r>
              <w:t xml:space="preserve">Enc</w:t>
            </w:r>
          </w:p>
        </w:tc>
        <w:tc>
          <w:tcPr/>
          <w:p>
            <w:pPr>
              <w:pStyle w:val="Compact"/>
              <w:jc w:val="left"/>
            </w:pPr>
            <w:r>
              <w:t xml:space="preserve">Les encaissements</w:t>
            </w:r>
          </w:p>
        </w:tc>
        <w:tc>
          <w:tcPr/>
          <w:p>
            <w:pPr>
              <w:pStyle w:val="Compact"/>
              <w:jc w:val="left"/>
            </w:pPr>
            <w:r>
              <w:t xml:space="preserve">TC</w:t>
            </w:r>
          </w:p>
        </w:tc>
        <w:tc>
          <w:tcPr/>
          <w:p>
            <w:pPr>
              <w:pStyle w:val="Compact"/>
              <w:jc w:val="left"/>
            </w:pPr>
            <w:r>
              <w:t xml:space="preserve">Taux de Cession</w:t>
            </w:r>
          </w:p>
        </w:tc>
      </w:tr>
      <w:tr>
        <w:tc>
          <w:tcPr/>
          <w:p>
            <w:pPr>
              <w:pStyle w:val="Compact"/>
              <w:jc w:val="left"/>
            </w:pPr>
            <w:r>
              <w:t xml:space="preserve">FDF</w:t>
            </w:r>
          </w:p>
        </w:tc>
        <w:tc>
          <w:tcPr/>
          <w:p>
            <w:pPr>
              <w:pStyle w:val="Compact"/>
              <w:jc w:val="left"/>
            </w:pPr>
            <w:r>
              <w:t xml:space="preserve">Bénéfices Discrétionnaires Futurs</w:t>
            </w:r>
          </w:p>
        </w:tc>
        <w:tc>
          <w:tcPr/>
          <w:p>
            <w:pPr>
              <w:pStyle w:val="Compact"/>
              <w:jc w:val="left"/>
            </w:pPr>
            <w:r>
              <w:t xml:space="preserve">TFG</w:t>
            </w:r>
          </w:p>
        </w:tc>
        <w:tc>
          <w:tcPr/>
          <w:p>
            <w:pPr>
              <w:pStyle w:val="Compact"/>
              <w:jc w:val="left"/>
            </w:pPr>
            <w:r>
              <w:t xml:space="preserve">Taux de Frais de Gestion</w:t>
            </w:r>
          </w:p>
        </w:tc>
      </w:tr>
      <w:tr>
        <w:tc>
          <w:tcPr/>
          <w:p>
            <w:pPr>
              <w:pStyle w:val="Compact"/>
              <w:jc w:val="left"/>
            </w:pPr>
            <w:r>
              <w:t xml:space="preserve">FFGF</w:t>
            </w:r>
          </w:p>
        </w:tc>
        <w:tc>
          <w:tcPr/>
          <w:p>
            <w:pPr>
              <w:pStyle w:val="Compact"/>
              <w:jc w:val="left"/>
            </w:pPr>
            <w:r>
              <w:t xml:space="preserve">Flux de Frais de Gestion Futurs</w:t>
            </w:r>
          </w:p>
        </w:tc>
        <w:tc>
          <w:tcPr/>
          <w:p>
            <w:pPr>
              <w:pStyle w:val="Compact"/>
              <w:jc w:val="left"/>
            </w:pPr>
            <w:r>
              <w:t xml:space="preserve">TL</w:t>
            </w:r>
          </w:p>
        </w:tc>
        <w:tc>
          <w:tcPr/>
          <w:p>
            <w:pPr>
              <w:pStyle w:val="Compact"/>
              <w:jc w:val="left"/>
            </w:pPr>
            <w:r>
              <w:t xml:space="preserve">Taux de Liquidation</w:t>
            </w:r>
          </w:p>
        </w:tc>
      </w:tr>
      <w:tr>
        <w:tc>
          <w:tcPr/>
          <w:p>
            <w:pPr>
              <w:pStyle w:val="Compact"/>
              <w:jc w:val="left"/>
            </w:pPr>
            <w:r>
              <w:t xml:space="preserve">FG</w:t>
            </w:r>
          </w:p>
        </w:tc>
        <w:tc>
          <w:tcPr/>
          <w:p>
            <w:pPr>
              <w:pStyle w:val="Compact"/>
              <w:jc w:val="left"/>
            </w:pPr>
            <w:r>
              <w:t xml:space="preserve">Frais de gestions</w:t>
            </w:r>
          </w:p>
        </w:tc>
        <w:tc>
          <w:tcPr/>
          <w:p>
            <w:pPr>
              <w:pStyle w:val="Compact"/>
              <w:jc w:val="left"/>
            </w:pPr>
            <w:r>
              <w:t xml:space="preserve">TPB</w:t>
            </w:r>
          </w:p>
        </w:tc>
        <w:tc>
          <w:tcPr/>
          <w:p>
            <w:pPr>
              <w:pStyle w:val="Compact"/>
              <w:jc w:val="left"/>
            </w:pPr>
            <w:r>
              <w:t xml:space="preserve">Taux de participation aux bénéfices</w:t>
            </w:r>
          </w:p>
        </w:tc>
      </w:tr>
    </w:tbl>
    <w:bookmarkEnd w:id="21"/>
    <w:bookmarkStart w:id="23" w:name="introduction"/>
    <w:p>
      <w:pPr>
        <w:pStyle w:val="Heading1"/>
      </w:pPr>
      <w:r>
        <w:t xml:space="preserve">Introduction</w:t>
      </w:r>
    </w:p>
    <w:p>
      <w:pPr>
        <w:pStyle w:val="FirstParagraph"/>
      </w:pPr>
      <w:r>
        <w:t xml:space="preserve">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pPr>
        <w:pStyle w:val="BodyText"/>
      </w:pPr>
      <w:r>
        <w:t xml:space="preserve">C’est dans ce contexte, à l’image de</w:t>
      </w:r>
      <w:r>
        <w:t xml:space="preserve"> </w:t>
      </w:r>
      <w:r>
        <w:rPr>
          <w:iCs/>
          <w:i/>
        </w:rPr>
        <w:t xml:space="preserve">Bâle 2</w:t>
      </w:r>
      <w:r>
        <w:t xml:space="preserve"> </w:t>
      </w:r>
      <w:r>
        <w:t xml:space="preserve">pour la finance, que la</w:t>
      </w:r>
      <w:r>
        <w:t xml:space="preserve"> </w:t>
      </w:r>
      <w:r>
        <w:rPr>
          <w:iCs/>
          <w:i/>
        </w:rPr>
        <w:t xml:space="preserve">Solvabilité 2</w:t>
      </w:r>
      <w:r>
        <w:t xml:space="preserve"> </w:t>
      </w:r>
      <w:r>
        <w:t xml:space="preserve">voit le jour dans le milieu de l’assurance. Cette réforme réglementaire européenne vient renforcer la précédente en adaptant au mieux les exigences de fonds propres des compagnies d’assurances et de réassurances aux risques qu’elles encourent.</w:t>
      </w:r>
    </w:p>
    <w:p>
      <w:pPr>
        <w:pStyle w:val="BodyText"/>
      </w:pPr>
      <w:r>
        <w:t xml:space="preserve">Les insuffisances évoquées n’ont pas épargné le cadre prudentiel marocain. C’est ainsi que l’Autorité de Contrôle des Assurances et de la Prévoyance Sociale (ACAPS</w:t>
      </w:r>
      <w:r>
        <w:rPr>
          <w:rStyle w:val="FootnoteReference"/>
        </w:rPr>
        <w:footnoteReference w:id="22"/>
      </w:r>
      <w:r>
        <w:t xml:space="preserve">) a adopter la norme de Solvabilité Basé sur les Risques (SBR) afin de tenir compte de la diversités des risques encourues par les compagnies d’assurances et de réassurances marocaines. La SBR s’articule autour de trois piliers :</w:t>
      </w:r>
    </w:p>
    <w:p>
      <w:pPr>
        <w:numPr>
          <w:ilvl w:val="0"/>
          <w:numId w:val="1003"/>
        </w:numPr>
        <w:pStyle w:val="Compact"/>
      </w:pPr>
      <w:r>
        <w:rPr>
          <w:iCs/>
          <w:i/>
        </w:rPr>
        <w:t xml:space="preserve">Le pilier I</w:t>
      </w:r>
      <w:r>
        <w:t xml:space="preserve"> </w:t>
      </w:r>
      <w:r>
        <w:t xml:space="preserve">regroupe les</w:t>
      </w:r>
      <w:r>
        <w:t xml:space="preserve"> </w:t>
      </w:r>
      <w:r>
        <w:rPr>
          <w:iCs/>
          <w:i/>
        </w:rPr>
        <w:t xml:space="preserve">exigences quantitatives</w:t>
      </w:r>
      <w:r>
        <w:t xml:space="preserve">, à savoir les règles de valorisation des actifs et des passifs ainsi que les exigences de capital et leur mode de calcul;</w:t>
      </w:r>
    </w:p>
    <w:p>
      <w:pPr>
        <w:numPr>
          <w:ilvl w:val="0"/>
          <w:numId w:val="1003"/>
        </w:numPr>
        <w:pStyle w:val="Compact"/>
      </w:pPr>
      <w:r>
        <w:rPr>
          <w:iCs/>
          <w:i/>
        </w:rPr>
        <w:t xml:space="preserve">Le pilier II</w:t>
      </w:r>
      <w:r>
        <w:t xml:space="preserve"> </w:t>
      </w:r>
      <w:r>
        <w:t xml:space="preserve">porte sur les</w:t>
      </w:r>
      <w:r>
        <w:t xml:space="preserve"> </w:t>
      </w:r>
      <w:r>
        <w:rPr>
          <w:iCs/>
          <w:i/>
        </w:rPr>
        <w:t xml:space="preserve">exigences qualitatives</w:t>
      </w:r>
      <w:r>
        <w:t xml:space="preserve"> </w:t>
      </w:r>
      <w:r>
        <w:t xml:space="preserve">et définit les règles de gouvernance et de gestion des risques, en l’occurrence l’évaluation interne des risques de la solvabilité;</w:t>
      </w:r>
    </w:p>
    <w:p>
      <w:pPr>
        <w:numPr>
          <w:ilvl w:val="0"/>
          <w:numId w:val="1003"/>
        </w:numPr>
        <w:pStyle w:val="Compact"/>
      </w:pPr>
      <w:r>
        <w:rPr>
          <w:iCs/>
          <w:i/>
        </w:rPr>
        <w:t xml:space="preserve">Le pilier III</w:t>
      </w:r>
      <w:r>
        <w:t xml:space="preserve"> </w:t>
      </w:r>
      <w:r>
        <w:t xml:space="preserve">concerne, quant à lui, les</w:t>
      </w:r>
      <w:r>
        <w:t xml:space="preserve"> </w:t>
      </w:r>
      <w:r>
        <w:rPr>
          <w:iCs/>
          <w:i/>
        </w:rPr>
        <w:t xml:space="preserve">obligations de reporting</w:t>
      </w:r>
      <w:r>
        <w:t xml:space="preserve"> </w:t>
      </w:r>
      <w:r>
        <w:t xml:space="preserve">à l’Autorité et de diffusion de l’information au public.</w:t>
      </w:r>
    </w:p>
    <w:bookmarkEnd w:id="23"/>
    <w:bookmarkStart w:id="46" w:name="chapitre-i-cadre-réglementaire-marocain"/>
    <w:p>
      <w:pPr>
        <w:pStyle w:val="Heading1"/>
      </w:pPr>
      <w:r>
        <w:t xml:space="preserve">1. CHAPITRE I : Cadre réglementaire Marocain</w:t>
      </w:r>
    </w:p>
    <w:bookmarkStart w:id="39" w:name="cadre-réglementaire-marocain"/>
    <w:p>
      <w:pPr>
        <w:pStyle w:val="Heading2"/>
      </w:pPr>
      <w:r>
        <w:t xml:space="preserve">1.1 Cadre réglementaire Marocain</w:t>
      </w:r>
    </w:p>
    <w:p>
      <w:pPr>
        <w:pStyle w:val="FirstParagraph"/>
      </w:pPr>
      <w:r>
        <w:t xml:space="preserve">Le Maroc est l’un des acteurs majeurs de l’assurance en Afrique. Ses compagnies ne cessent de gagner du terrain dans les marchés de la sous-région notamment en Afrique de l’ouest. Selon un rapport de l’</w:t>
      </w:r>
      <w:hyperlink r:id="rId24">
        <w:r>
          <w:rPr>
            <w:rStyle w:val="Hyperlink"/>
          </w:rPr>
          <w:t xml:space="preserve">Atlas Mag</w:t>
        </w:r>
      </w:hyperlink>
      <w:r>
        <w:rPr>
          <w:rStyle w:val="FootnoteReference"/>
        </w:rPr>
        <w:footnoteReference w:id="25"/>
      </w:r>
      <w:r>
        <w:t xml:space="preserve">, le Maroc est classé</w:t>
      </w:r>
      <w:r>
        <w:t xml:space="preserve"> </w:t>
      </w:r>
      <w:r>
        <w:rPr>
          <w:bCs/>
          <w:b/>
        </w:rPr>
        <w:t xml:space="preserve">2ème</w:t>
      </w:r>
      <w:r>
        <w:t xml:space="preserve"> </w:t>
      </w:r>
      <w:r>
        <w:t xml:space="preserve">en Afrique et</w:t>
      </w:r>
      <w:r>
        <w:t xml:space="preserve"> </w:t>
      </w:r>
      <w:r>
        <w:rPr>
          <w:bCs/>
          <w:b/>
        </w:rPr>
        <w:t xml:space="preserve">49ème</w:t>
      </w:r>
      <w:r>
        <w:t xml:space="preserve"> </w:t>
      </w:r>
      <w:r>
        <w:t xml:space="preserve">mondial avec un</w:t>
      </w:r>
      <w:r>
        <w:t xml:space="preserve"> </w:t>
      </w:r>
      <w:r>
        <w:rPr>
          <w:bCs/>
          <w:b/>
        </w:rPr>
        <w:t xml:space="preserve">chiffre d’affaire de 5 343 millions USD</w:t>
      </w:r>
      <w:r>
        <w:t xml:space="preserve"> </w:t>
      </w:r>
      <w:r>
        <w:t xml:space="preserve">en 2021.</w:t>
      </w:r>
    </w:p>
    <w:bookmarkStart w:id="26" w:name="tbl-classement"/>
    <w:p>
      <w:pPr>
        <w:pStyle w:val="TableCaption"/>
      </w:pPr>
      <w:r>
        <w:t xml:space="preserve">Table 1: Marché africain de l’assurance en 2021</w:t>
      </w:r>
    </w:p>
    <w:tbl>
      <w:tblPr>
        <w:tblStyle w:val="Table"/>
        <w:tblW w:type="auto" w:w="0"/>
        <w:tblLook w:firstRow="1" w:lastRow="0" w:firstColumn="0" w:lastColumn="0" w:noHBand="0" w:noVBand="0" w:val="0020"/>
        <w:jc w:val="start"/>
        <w:tblCaption w:val="Table 1: Marché africain de l’assurance en 2021"/>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Pays</w:t>
            </w:r>
          </w:p>
        </w:tc>
        <w:tc>
          <w:tcPr/>
          <w:p>
            <w:pPr>
              <w:pStyle w:val="Compact"/>
              <w:jc w:val="left"/>
            </w:pPr>
            <w:r>
              <w:t xml:space="preserve">2002</w:t>
            </w:r>
          </w:p>
        </w:tc>
        <w:tc>
          <w:tcPr/>
          <w:p>
            <w:pPr>
              <w:pStyle w:val="Compact"/>
              <w:jc w:val="left"/>
            </w:pPr>
            <w:r>
              <w:t xml:space="preserve">2006</w:t>
            </w:r>
          </w:p>
        </w:tc>
        <w:tc>
          <w:tcPr/>
          <w:p>
            <w:pPr>
              <w:pStyle w:val="Compact"/>
              <w:jc w:val="left"/>
            </w:pPr>
            <w:r>
              <w:t xml:space="preserve">2010</w:t>
            </w:r>
          </w:p>
        </w:tc>
        <w:tc>
          <w:tcPr/>
          <w:p>
            <w:pPr>
              <w:pStyle w:val="Compact"/>
              <w:jc w:val="left"/>
            </w:pPr>
            <w:r>
              <w:t xml:space="preserve">2014</w:t>
            </w:r>
          </w:p>
        </w:tc>
        <w:tc>
          <w:tcPr/>
          <w:p>
            <w:pPr>
              <w:pStyle w:val="Compact"/>
              <w:jc w:val="left"/>
            </w:pPr>
            <w:r>
              <w:t xml:space="preserve">2018</w:t>
            </w:r>
          </w:p>
        </w:tc>
        <w:tc>
          <w:tcPr/>
          <w:p>
            <w:pPr>
              <w:pStyle w:val="Compact"/>
              <w:jc w:val="left"/>
            </w:pPr>
            <w:r>
              <w:t xml:space="preserve">2019</w:t>
            </w:r>
          </w:p>
        </w:tc>
        <w:tc>
          <w:tcPr/>
          <w:p>
            <w:pPr>
              <w:pStyle w:val="Compact"/>
              <w:jc w:val="left"/>
            </w:pPr>
            <w:r>
              <w:t xml:space="preserve">2020</w:t>
            </w:r>
          </w:p>
        </w:tc>
        <w:tc>
          <w:tcPr/>
          <w:p>
            <w:pPr>
              <w:pStyle w:val="Compact"/>
              <w:jc w:val="left"/>
            </w:pPr>
            <w:r>
              <w:t xml:space="preserve">2021</w:t>
            </w:r>
          </w:p>
        </w:tc>
        <w:tc>
          <w:tcPr/>
          <w:p>
            <w:pPr>
              <w:pStyle w:val="Compact"/>
              <w:jc w:val="left"/>
            </w:pPr>
            <w:r>
              <w:t xml:space="preserve">Evolution 2002/2021</w:t>
            </w:r>
          </w:p>
        </w:tc>
      </w:tr>
      <w:tr>
        <w:tc>
          <w:tcPr/>
          <w:p>
            <w:pPr>
              <w:pStyle w:val="Compact"/>
              <w:jc w:val="left"/>
            </w:pPr>
            <w:r>
              <w:t xml:space="preserve">Afrique du sud</w:t>
            </w:r>
          </w:p>
        </w:tc>
        <w:tc>
          <w:tcPr/>
          <w:p>
            <w:pPr>
              <w:pStyle w:val="Compact"/>
              <w:jc w:val="left"/>
            </w:pPr>
            <w:r>
              <w:t xml:space="preserve">19 575</w:t>
            </w:r>
          </w:p>
        </w:tc>
        <w:tc>
          <w:tcPr/>
          <w:p>
            <w:pPr>
              <w:pStyle w:val="Compact"/>
              <w:jc w:val="left"/>
            </w:pPr>
            <w:r>
              <w:t xml:space="preserve">40 743</w:t>
            </w:r>
          </w:p>
        </w:tc>
        <w:tc>
          <w:tcPr/>
          <w:p>
            <w:pPr>
              <w:pStyle w:val="Compact"/>
              <w:jc w:val="left"/>
            </w:pPr>
            <w:r>
              <w:t xml:space="preserve">48 575</w:t>
            </w:r>
          </w:p>
        </w:tc>
        <w:tc>
          <w:tcPr/>
          <w:p>
            <w:pPr>
              <w:pStyle w:val="Compact"/>
              <w:jc w:val="left"/>
            </w:pPr>
            <w:r>
              <w:t xml:space="preserve">50 502</w:t>
            </w:r>
          </w:p>
        </w:tc>
        <w:tc>
          <w:tcPr/>
          <w:p>
            <w:pPr>
              <w:pStyle w:val="Compact"/>
              <w:jc w:val="left"/>
            </w:pPr>
            <w:r>
              <w:t xml:space="preserve">49 002</w:t>
            </w:r>
          </w:p>
        </w:tc>
        <w:tc>
          <w:tcPr/>
          <w:p>
            <w:pPr>
              <w:pStyle w:val="Compact"/>
              <w:jc w:val="left"/>
            </w:pPr>
            <w:r>
              <w:t xml:space="preserve">46 421</w:t>
            </w:r>
          </w:p>
        </w:tc>
        <w:tc>
          <w:tcPr/>
          <w:p>
            <w:pPr>
              <w:pStyle w:val="Compact"/>
              <w:jc w:val="left"/>
            </w:pPr>
            <w:r>
              <w:t xml:space="preserve">41 110</w:t>
            </w:r>
          </w:p>
        </w:tc>
        <w:tc>
          <w:tcPr/>
          <w:p>
            <w:pPr>
              <w:pStyle w:val="Compact"/>
              <w:jc w:val="left"/>
            </w:pPr>
            <w:r>
              <w:t xml:space="preserve">51 215</w:t>
            </w:r>
          </w:p>
        </w:tc>
        <w:tc>
          <w:tcPr/>
          <w:p>
            <w:pPr>
              <w:pStyle w:val="Compact"/>
              <w:jc w:val="left"/>
            </w:pPr>
            <w:r>
              <w:t xml:space="preserve">162%</w:t>
            </w:r>
          </w:p>
        </w:tc>
      </w:tr>
      <w:tr>
        <w:tc>
          <w:tcPr/>
          <w:p>
            <w:pPr>
              <w:pStyle w:val="Compact"/>
              <w:jc w:val="left"/>
            </w:pPr>
            <w:r>
              <w:t xml:space="preserve">Kenya</w:t>
            </w:r>
          </w:p>
        </w:tc>
        <w:tc>
          <w:tcPr/>
          <w:p>
            <w:pPr>
              <w:pStyle w:val="Compact"/>
              <w:jc w:val="left"/>
            </w:pPr>
            <w:r>
              <w:t xml:space="preserve">369</w:t>
            </w:r>
          </w:p>
        </w:tc>
        <w:tc>
          <w:tcPr/>
          <w:p>
            <w:pPr>
              <w:pStyle w:val="Compact"/>
              <w:jc w:val="left"/>
            </w:pPr>
            <w:r>
              <w:t xml:space="preserve">575</w:t>
            </w:r>
          </w:p>
        </w:tc>
        <w:tc>
          <w:tcPr/>
          <w:p>
            <w:pPr>
              <w:pStyle w:val="Compact"/>
              <w:jc w:val="left"/>
            </w:pPr>
            <w:r>
              <w:t xml:space="preserve">998</w:t>
            </w:r>
          </w:p>
        </w:tc>
        <w:tc>
          <w:tcPr/>
          <w:p>
            <w:pPr>
              <w:pStyle w:val="Compact"/>
              <w:jc w:val="left"/>
            </w:pPr>
            <w:r>
              <w:t xml:space="preserve">1 766</w:t>
            </w:r>
          </w:p>
        </w:tc>
        <w:tc>
          <w:tcPr/>
          <w:p>
            <w:pPr>
              <w:pStyle w:val="Compact"/>
              <w:jc w:val="left"/>
            </w:pPr>
            <w:r>
              <w:t xml:space="preserve">2 098</w:t>
            </w:r>
          </w:p>
        </w:tc>
        <w:tc>
          <w:tcPr/>
          <w:p>
            <w:pPr>
              <w:pStyle w:val="Compact"/>
              <w:jc w:val="left"/>
            </w:pPr>
            <w:r>
              <w:t xml:space="preserve">2 229</w:t>
            </w:r>
          </w:p>
        </w:tc>
        <w:tc>
          <w:tcPr/>
          <w:p>
            <w:pPr>
              <w:pStyle w:val="Compact"/>
              <w:jc w:val="left"/>
            </w:pPr>
            <w:r>
              <w:t xml:space="preserve">2 120</w:t>
            </w:r>
          </w:p>
        </w:tc>
        <w:tc>
          <w:tcPr/>
          <w:p>
            <w:pPr>
              <w:pStyle w:val="Compact"/>
              <w:jc w:val="left"/>
            </w:pPr>
            <w:r>
              <w:t xml:space="preserve">2 424</w:t>
            </w:r>
          </w:p>
        </w:tc>
        <w:tc>
          <w:tcPr/>
          <w:p>
            <w:pPr>
              <w:pStyle w:val="Compact"/>
              <w:jc w:val="left"/>
            </w:pPr>
            <w:r>
              <w:t xml:space="preserve">557%</w:t>
            </w:r>
          </w:p>
        </w:tc>
      </w:tr>
      <w:tr>
        <w:tc>
          <w:tcPr/>
          <w:p>
            <w:pPr>
              <w:pStyle w:val="Compact"/>
              <w:jc w:val="left"/>
            </w:pPr>
            <w:r>
              <w:t xml:space="preserve">Nigéria</w:t>
            </w:r>
          </w:p>
        </w:tc>
        <w:tc>
          <w:tcPr/>
          <w:p>
            <w:pPr>
              <w:pStyle w:val="Compact"/>
              <w:jc w:val="left"/>
            </w:pPr>
            <w:r>
              <w:t xml:space="preserve">388</w:t>
            </w:r>
          </w:p>
        </w:tc>
        <w:tc>
          <w:tcPr/>
          <w:p>
            <w:pPr>
              <w:pStyle w:val="Compact"/>
              <w:jc w:val="left"/>
            </w:pPr>
            <w:r>
              <w:t xml:space="preserve">712</w:t>
            </w:r>
          </w:p>
        </w:tc>
        <w:tc>
          <w:tcPr/>
          <w:p>
            <w:pPr>
              <w:pStyle w:val="Compact"/>
              <w:jc w:val="left"/>
            </w:pPr>
            <w:r>
              <w:t xml:space="preserve">1 340</w:t>
            </w:r>
          </w:p>
        </w:tc>
        <w:tc>
          <w:tcPr/>
          <w:p>
            <w:pPr>
              <w:pStyle w:val="Compact"/>
              <w:jc w:val="left"/>
            </w:pPr>
            <w:r>
              <w:t xml:space="preserve">1 792</w:t>
            </w:r>
          </w:p>
        </w:tc>
        <w:tc>
          <w:tcPr/>
          <w:p>
            <w:pPr>
              <w:pStyle w:val="Compact"/>
              <w:jc w:val="left"/>
            </w:pPr>
            <w:r>
              <w:t xml:space="preserve">1 168</w:t>
            </w:r>
          </w:p>
        </w:tc>
        <w:tc>
          <w:tcPr/>
          <w:p>
            <w:pPr>
              <w:pStyle w:val="Compact"/>
              <w:jc w:val="left"/>
            </w:pPr>
            <w:r>
              <w:t xml:space="preserve">1 393</w:t>
            </w:r>
          </w:p>
        </w:tc>
        <w:tc>
          <w:tcPr/>
          <w:p>
            <w:pPr>
              <w:pStyle w:val="Compact"/>
              <w:jc w:val="left"/>
            </w:pPr>
            <w:r>
              <w:t xml:space="preserve">1 213</w:t>
            </w:r>
          </w:p>
        </w:tc>
        <w:tc>
          <w:tcPr/>
          <w:p>
            <w:pPr>
              <w:pStyle w:val="Compact"/>
              <w:jc w:val="left"/>
            </w:pPr>
            <w:r>
              <w:t xml:space="preserve">1 581</w:t>
            </w:r>
          </w:p>
        </w:tc>
        <w:tc>
          <w:tcPr/>
          <w:p>
            <w:pPr>
              <w:pStyle w:val="Compact"/>
              <w:jc w:val="left"/>
            </w:pPr>
            <w:r>
              <w:t xml:space="preserve">307%</w:t>
            </w:r>
          </w:p>
        </w:tc>
      </w:tr>
      <w:tr>
        <w:tc>
          <w:tcPr/>
          <w:p>
            <w:pPr>
              <w:pStyle w:val="Compact"/>
              <w:jc w:val="left"/>
            </w:pPr>
            <w:r>
              <w:t xml:space="preserve">Namibie</w:t>
            </w:r>
          </w:p>
        </w:tc>
        <w:tc>
          <w:tcPr/>
          <w:p>
            <w:pPr>
              <w:pStyle w:val="Compact"/>
              <w:jc w:val="left"/>
            </w:pPr>
            <w:r>
              <w:t xml:space="preserve">321</w:t>
            </w:r>
          </w:p>
        </w:tc>
        <w:tc>
          <w:tcPr/>
          <w:p>
            <w:pPr>
              <w:pStyle w:val="Compact"/>
              <w:jc w:val="left"/>
            </w:pPr>
            <w:r>
              <w:t xml:space="preserve">563</w:t>
            </w:r>
          </w:p>
        </w:tc>
        <w:tc>
          <w:tcPr/>
          <w:p>
            <w:pPr>
              <w:pStyle w:val="Compact"/>
              <w:jc w:val="left"/>
            </w:pPr>
            <w:r>
              <w:t xml:space="preserve">887</w:t>
            </w:r>
          </w:p>
        </w:tc>
        <w:tc>
          <w:tcPr/>
          <w:p>
            <w:pPr>
              <w:pStyle w:val="Compact"/>
              <w:jc w:val="left"/>
            </w:pPr>
            <w:r>
              <w:t xml:space="preserve">995</w:t>
            </w:r>
          </w:p>
        </w:tc>
        <w:tc>
          <w:tcPr/>
          <w:p>
            <w:pPr>
              <w:pStyle w:val="Compact"/>
              <w:jc w:val="left"/>
            </w:pPr>
            <w:r>
              <w:t xml:space="preserve">1 026</w:t>
            </w:r>
          </w:p>
        </w:tc>
        <w:tc>
          <w:tcPr/>
          <w:p>
            <w:pPr>
              <w:pStyle w:val="Compact"/>
              <w:jc w:val="left"/>
            </w:pPr>
            <w:r>
              <w:t xml:space="preserve">1 305</w:t>
            </w:r>
          </w:p>
        </w:tc>
        <w:tc>
          <w:tcPr/>
          <w:p>
            <w:pPr>
              <w:pStyle w:val="Compact"/>
              <w:jc w:val="left"/>
            </w:pPr>
            <w:r>
              <w:t xml:space="preserve">788</w:t>
            </w:r>
          </w:p>
        </w:tc>
        <w:tc>
          <w:tcPr/>
          <w:p>
            <w:pPr>
              <w:pStyle w:val="Compact"/>
              <w:jc w:val="left"/>
            </w:pPr>
            <w:r>
              <w:t xml:space="preserve">867</w:t>
            </w:r>
          </w:p>
        </w:tc>
        <w:tc>
          <w:tcPr/>
          <w:p>
            <w:pPr>
              <w:pStyle w:val="Compact"/>
              <w:jc w:val="left"/>
            </w:pPr>
            <w:r>
              <w:t xml:space="preserve">170%</w:t>
            </w:r>
          </w:p>
        </w:tc>
      </w:tr>
      <w:tr>
        <w:tc>
          <w:tcPr/>
          <w:p>
            <w:pPr>
              <w:pStyle w:val="Compact"/>
              <w:jc w:val="left"/>
            </w:pPr>
            <w:r>
              <w:t xml:space="preserve">Côte d'Ivoire</w:t>
            </w:r>
          </w:p>
        </w:tc>
        <w:tc>
          <w:tcPr/>
          <w:p>
            <w:pPr>
              <w:pStyle w:val="Compact"/>
              <w:jc w:val="left"/>
            </w:pPr>
            <w:r>
              <w:t xml:space="preserve">177</w:t>
            </w:r>
          </w:p>
        </w:tc>
        <w:tc>
          <w:tcPr/>
          <w:p>
            <w:pPr>
              <w:pStyle w:val="Compact"/>
              <w:jc w:val="left"/>
            </w:pPr>
            <w:r>
              <w:t xml:space="preserve">288</w:t>
            </w:r>
          </w:p>
        </w:tc>
        <w:tc>
          <w:tcPr/>
          <w:p>
            <w:pPr>
              <w:pStyle w:val="Compact"/>
              <w:jc w:val="left"/>
            </w:pPr>
            <w:r>
              <w:t xml:space="preserve">398</w:t>
            </w:r>
          </w:p>
        </w:tc>
        <w:tc>
          <w:tcPr/>
          <w:p>
            <w:pPr>
              <w:pStyle w:val="Compact"/>
              <w:jc w:val="left"/>
            </w:pPr>
            <w:r>
              <w:t xml:space="preserve">457</w:t>
            </w:r>
          </w:p>
        </w:tc>
        <w:tc>
          <w:tcPr/>
          <w:p>
            <w:pPr>
              <w:pStyle w:val="Compact"/>
              <w:jc w:val="left"/>
            </w:pPr>
            <w:r>
              <w:t xml:space="preserve">629</w:t>
            </w:r>
          </w:p>
        </w:tc>
        <w:tc>
          <w:tcPr/>
          <w:p>
            <w:pPr>
              <w:pStyle w:val="Compact"/>
              <w:jc w:val="left"/>
            </w:pPr>
            <w:r>
              <w:t xml:space="preserve">671</w:t>
            </w:r>
          </w:p>
        </w:tc>
        <w:tc>
          <w:tcPr/>
          <w:p>
            <w:pPr>
              <w:pStyle w:val="Compact"/>
              <w:jc w:val="left"/>
            </w:pPr>
            <w:r>
              <w:t xml:space="preserve">778</w:t>
            </w:r>
          </w:p>
        </w:tc>
        <w:tc>
          <w:tcPr/>
          <w:p>
            <w:pPr>
              <w:pStyle w:val="Compact"/>
              <w:jc w:val="left"/>
            </w:pPr>
            <w:r>
              <w:t xml:space="preserve">806</w:t>
            </w:r>
          </w:p>
        </w:tc>
        <w:tc>
          <w:tcPr/>
          <w:p>
            <w:pPr>
              <w:pStyle w:val="Compact"/>
              <w:jc w:val="left"/>
            </w:pPr>
            <w:r>
              <w:t xml:space="preserve">355%</w:t>
            </w:r>
          </w:p>
        </w:tc>
      </w:tr>
      <w:tr>
        <w:tc>
          <w:tcPr/>
          <w:p>
            <w:pPr>
              <w:pStyle w:val="Compact"/>
              <w:jc w:val="left"/>
            </w:pPr>
            <w:r>
              <w:t xml:space="preserve">Ghana (1)</w:t>
            </w:r>
          </w:p>
        </w:tc>
        <w:tc>
          <w:tcPr/>
          <w:p>
            <w:pPr>
              <w:pStyle w:val="Compact"/>
              <w:jc w:val="left"/>
            </w:pPr>
            <w:r>
              <w:t xml:space="preserve">-</w:t>
            </w:r>
          </w:p>
        </w:tc>
        <w:tc>
          <w:tcPr/>
          <w:p>
            <w:pPr>
              <w:pStyle w:val="Compact"/>
              <w:jc w:val="left"/>
            </w:pPr>
            <w:r>
              <w:t xml:space="preserve">165</w:t>
            </w:r>
          </w:p>
        </w:tc>
        <w:tc>
          <w:tcPr/>
          <w:p>
            <w:pPr>
              <w:pStyle w:val="Compact"/>
              <w:jc w:val="left"/>
            </w:pPr>
            <w:r>
              <w:t xml:space="preserve">306</w:t>
            </w:r>
          </w:p>
        </w:tc>
        <w:tc>
          <w:tcPr/>
          <w:p>
            <w:pPr>
              <w:pStyle w:val="Compact"/>
              <w:jc w:val="left"/>
            </w:pPr>
            <w:r>
              <w:t xml:space="preserve">385</w:t>
            </w:r>
          </w:p>
        </w:tc>
        <w:tc>
          <w:tcPr/>
          <w:p>
            <w:pPr>
              <w:pStyle w:val="Compact"/>
              <w:jc w:val="left"/>
            </w:pPr>
            <w:r>
              <w:t xml:space="preserve">605</w:t>
            </w:r>
          </w:p>
        </w:tc>
        <w:tc>
          <w:tcPr/>
          <w:p>
            <w:pPr>
              <w:pStyle w:val="Compact"/>
              <w:jc w:val="left"/>
            </w:pPr>
            <w:r>
              <w:t xml:space="preserve">610</w:t>
            </w:r>
          </w:p>
        </w:tc>
        <w:tc>
          <w:tcPr/>
          <w:p>
            <w:pPr>
              <w:pStyle w:val="Compact"/>
              <w:jc w:val="left"/>
            </w:pPr>
            <w:r>
              <w:t xml:space="preserve">669</w:t>
            </w:r>
          </w:p>
        </w:tc>
        <w:tc>
          <w:tcPr/>
          <w:p>
            <w:pPr>
              <w:pStyle w:val="Compact"/>
              <w:jc w:val="left"/>
            </w:pPr>
            <w:r>
              <w:t xml:space="preserve">789</w:t>
            </w:r>
          </w:p>
        </w:tc>
        <w:tc>
          <w:tcPr/>
          <w:p>
            <w:pPr>
              <w:pStyle w:val="Compact"/>
              <w:jc w:val="left"/>
            </w:pPr>
            <w:r>
              <w:t xml:space="preserve">862%</w:t>
            </w:r>
          </w:p>
        </w:tc>
      </w:tr>
      <w:tr>
        <w:tc>
          <w:tcPr/>
          <w:p>
            <w:pPr>
              <w:pStyle w:val="Compact"/>
              <w:jc w:val="left"/>
            </w:pPr>
            <w:r>
              <w:t xml:space="preserve">Maurice</w:t>
            </w:r>
          </w:p>
        </w:tc>
        <w:tc>
          <w:tcPr/>
          <w:p>
            <w:pPr>
              <w:pStyle w:val="Compact"/>
              <w:jc w:val="left"/>
            </w:pPr>
            <w:r>
              <w:t xml:space="preserve">207</w:t>
            </w:r>
          </w:p>
        </w:tc>
        <w:tc>
          <w:tcPr/>
          <w:p>
            <w:pPr>
              <w:pStyle w:val="Compact"/>
              <w:jc w:val="left"/>
            </w:pPr>
            <w:r>
              <w:t xml:space="preserve">318</w:t>
            </w:r>
          </w:p>
        </w:tc>
        <w:tc>
          <w:tcPr/>
          <w:p>
            <w:pPr>
              <w:pStyle w:val="Compact"/>
              <w:jc w:val="left"/>
            </w:pPr>
            <w:r>
              <w:t xml:space="preserve">508</w:t>
            </w:r>
          </w:p>
        </w:tc>
        <w:tc>
          <w:tcPr/>
          <w:p>
            <w:pPr>
              <w:pStyle w:val="Compact"/>
              <w:jc w:val="left"/>
            </w:pPr>
            <w:r>
              <w:t xml:space="preserve">779</w:t>
            </w:r>
          </w:p>
        </w:tc>
        <w:tc>
          <w:tcPr/>
          <w:p>
            <w:pPr>
              <w:pStyle w:val="Compact"/>
              <w:jc w:val="left"/>
            </w:pPr>
            <w:r>
              <w:t xml:space="preserve">627</w:t>
            </w:r>
          </w:p>
        </w:tc>
        <w:tc>
          <w:tcPr/>
          <w:p>
            <w:pPr>
              <w:pStyle w:val="Compact"/>
              <w:jc w:val="left"/>
            </w:pPr>
            <w:r>
              <w:t xml:space="preserve">516</w:t>
            </w:r>
          </w:p>
        </w:tc>
        <w:tc>
          <w:tcPr/>
          <w:p>
            <w:pPr>
              <w:pStyle w:val="Compact"/>
              <w:jc w:val="left"/>
            </w:pPr>
            <w:r>
              <w:t xml:space="preserve">533</w:t>
            </w:r>
          </w:p>
        </w:tc>
        <w:tc>
          <w:tcPr/>
          <w:p>
            <w:pPr>
              <w:pStyle w:val="Compact"/>
              <w:jc w:val="left"/>
            </w:pPr>
            <w:r>
              <w:t xml:space="preserve">523</w:t>
            </w:r>
          </w:p>
        </w:tc>
        <w:tc>
          <w:tcPr/>
          <w:p>
            <w:pPr>
              <w:pStyle w:val="Compact"/>
              <w:jc w:val="left"/>
            </w:pPr>
            <w:r>
              <w:t xml:space="preserve">153%</w:t>
            </w:r>
          </w:p>
        </w:tc>
      </w:tr>
      <w:tr>
        <w:tc>
          <w:tcPr/>
          <w:p>
            <w:pPr>
              <w:pStyle w:val="Compact"/>
              <w:jc w:val="left"/>
            </w:pPr>
            <w:r>
              <w:t xml:space="preserve">Angola</w:t>
            </w:r>
          </w:p>
        </w:tc>
        <w:tc>
          <w:tcPr/>
          <w:p>
            <w:pPr>
              <w:pStyle w:val="Compact"/>
              <w:jc w:val="left"/>
            </w:pPr>
            <w:r>
              <w:t xml:space="preserve">129</w:t>
            </w:r>
          </w:p>
        </w:tc>
        <w:tc>
          <w:tcPr/>
          <w:p>
            <w:pPr>
              <w:pStyle w:val="Compact"/>
              <w:jc w:val="left"/>
            </w:pPr>
            <w:r>
              <w:t xml:space="preserve">680</w:t>
            </w:r>
          </w:p>
        </w:tc>
        <w:tc>
          <w:tcPr/>
          <w:p>
            <w:pPr>
              <w:pStyle w:val="Compact"/>
              <w:jc w:val="left"/>
            </w:pPr>
            <w:r>
              <w:t xml:space="preserve">828</w:t>
            </w:r>
          </w:p>
        </w:tc>
        <w:tc>
          <w:tcPr/>
          <w:p>
            <w:pPr>
              <w:pStyle w:val="Compact"/>
              <w:jc w:val="left"/>
            </w:pPr>
            <w:r>
              <w:t xml:space="preserve">1 055</w:t>
            </w:r>
          </w:p>
        </w:tc>
        <w:tc>
          <w:tcPr/>
          <w:p>
            <w:pPr>
              <w:pStyle w:val="Compact"/>
              <w:jc w:val="left"/>
            </w:pPr>
            <w:r>
              <w:t xml:space="preserve">450</w:t>
            </w:r>
          </w:p>
        </w:tc>
        <w:tc>
          <w:tcPr/>
          <w:p>
            <w:pPr>
              <w:pStyle w:val="Compact"/>
              <w:jc w:val="left"/>
            </w:pPr>
            <w:r>
              <w:t xml:space="preserve">374</w:t>
            </w:r>
          </w:p>
        </w:tc>
        <w:tc>
          <w:tcPr/>
          <w:p>
            <w:pPr>
              <w:pStyle w:val="Compact"/>
              <w:jc w:val="left"/>
            </w:pPr>
            <w:r>
              <w:t xml:space="preserve">338</w:t>
            </w:r>
          </w:p>
        </w:tc>
        <w:tc>
          <w:tcPr/>
          <w:p>
            <w:pPr>
              <w:pStyle w:val="Compact"/>
              <w:jc w:val="left"/>
            </w:pPr>
            <w:r>
              <w:t xml:space="preserve">494</w:t>
            </w:r>
          </w:p>
        </w:tc>
        <w:tc>
          <w:tcPr/>
          <w:p>
            <w:pPr>
              <w:pStyle w:val="Compact"/>
              <w:jc w:val="left"/>
            </w:pPr>
            <w:r>
              <w:t xml:space="preserve">283%</w:t>
            </w:r>
          </w:p>
        </w:tc>
      </w:tr>
      <w:tr>
        <w:tc>
          <w:tcPr/>
          <w:p>
            <w:pPr>
              <w:pStyle w:val="Compact"/>
              <w:jc w:val="left"/>
            </w:pPr>
            <w:r>
              <w:t xml:space="preserve">Autres pays</w:t>
            </w:r>
          </w:p>
        </w:tc>
        <w:tc>
          <w:tcPr/>
          <w:p>
            <w:pPr>
              <w:pStyle w:val="Compact"/>
              <w:jc w:val="left"/>
            </w:pPr>
            <w:r>
              <w:t xml:space="preserve">1 278</w:t>
            </w:r>
          </w:p>
        </w:tc>
        <w:tc>
          <w:tcPr/>
          <w:p>
            <w:pPr>
              <w:pStyle w:val="Compact"/>
              <w:jc w:val="left"/>
            </w:pPr>
            <w:r>
              <w:t xml:space="preserve">2 019</w:t>
            </w:r>
          </w:p>
        </w:tc>
        <w:tc>
          <w:tcPr/>
          <w:p>
            <w:pPr>
              <w:pStyle w:val="Compact"/>
              <w:jc w:val="left"/>
            </w:pPr>
            <w:r>
              <w:t xml:space="preserve">3 045</w:t>
            </w:r>
          </w:p>
        </w:tc>
        <w:tc>
          <w:tcPr/>
          <w:p>
            <w:pPr>
              <w:pStyle w:val="Compact"/>
              <w:jc w:val="left"/>
            </w:pPr>
            <w:r>
              <w:t xml:space="preserve">12 385</w:t>
            </w:r>
          </w:p>
        </w:tc>
        <w:tc>
          <w:tcPr/>
          <w:p>
            <w:pPr>
              <w:pStyle w:val="Compact"/>
              <w:jc w:val="left"/>
            </w:pPr>
            <w:r>
              <w:t xml:space="preserve">13 769</w:t>
            </w:r>
          </w:p>
        </w:tc>
        <w:tc>
          <w:tcPr/>
          <w:p>
            <w:pPr>
              <w:pStyle w:val="Compact"/>
              <w:jc w:val="left"/>
            </w:pPr>
            <w:r>
              <w:t xml:space="preserve">13 763</w:t>
            </w:r>
          </w:p>
        </w:tc>
        <w:tc>
          <w:tcPr/>
          <w:p>
            <w:pPr>
              <w:pStyle w:val="Compact"/>
              <w:jc w:val="left"/>
            </w:pPr>
            <w:r>
              <w:t xml:space="preserve">14 332</w:t>
            </w:r>
          </w:p>
        </w:tc>
        <w:tc>
          <w:tcPr/>
          <w:p>
            <w:pPr>
              <w:pStyle w:val="Compact"/>
              <w:jc w:val="left"/>
            </w:pPr>
            <w:r>
              <w:t xml:space="preserve">15 491</w:t>
            </w:r>
          </w:p>
        </w:tc>
        <w:tc>
          <w:tcPr/>
          <w:p>
            <w:pPr>
              <w:pStyle w:val="Compact"/>
              <w:jc w:val="left"/>
            </w:pPr>
            <w:r>
              <w:t xml:space="preserve">1112%</w:t>
            </w:r>
          </w:p>
        </w:tc>
      </w:tr>
      <w:tr>
        <w:tc>
          <w:tcPr/>
          <w:p>
            <w:pPr>
              <w:pStyle w:val="Compact"/>
              <w:jc w:val="left"/>
            </w:pPr>
            <w:r>
              <w:t xml:space="preserve">Total</w:t>
            </w:r>
          </w:p>
        </w:tc>
        <w:tc>
          <w:tcPr/>
          <w:p>
            <w:pPr>
              <w:pStyle w:val="Compact"/>
              <w:jc w:val="left"/>
            </w:pPr>
            <w:r>
              <w:t xml:space="preserve">22 444</w:t>
            </w:r>
          </w:p>
        </w:tc>
        <w:tc>
          <w:tcPr/>
          <w:p>
            <w:pPr>
              <w:pStyle w:val="Compact"/>
              <w:jc w:val="left"/>
            </w:pPr>
            <w:r>
              <w:t xml:space="preserve">46 063</w:t>
            </w:r>
          </w:p>
        </w:tc>
        <w:tc>
          <w:tcPr/>
          <w:p>
            <w:pPr>
              <w:pStyle w:val="Compact"/>
              <w:jc w:val="left"/>
            </w:pPr>
            <w:r>
              <w:t xml:space="preserve">56 885</w:t>
            </w:r>
          </w:p>
        </w:tc>
        <w:tc>
          <w:tcPr/>
          <w:p>
            <w:pPr>
              <w:pStyle w:val="Compact"/>
              <w:jc w:val="left"/>
            </w:pPr>
            <w:r>
              <w:t xml:space="preserve">70 116</w:t>
            </w:r>
          </w:p>
        </w:tc>
        <w:tc>
          <w:tcPr/>
          <w:p>
            <w:pPr>
              <w:pStyle w:val="Compact"/>
              <w:jc w:val="left"/>
            </w:pPr>
            <w:r>
              <w:t xml:space="preserve">69 374</w:t>
            </w:r>
          </w:p>
        </w:tc>
        <w:tc>
          <w:tcPr/>
          <w:p>
            <w:pPr>
              <w:pStyle w:val="Compact"/>
              <w:jc w:val="left"/>
            </w:pPr>
            <w:r>
              <w:t xml:space="preserve">67 282</w:t>
            </w:r>
          </w:p>
        </w:tc>
        <w:tc>
          <w:tcPr/>
          <w:p>
            <w:pPr>
              <w:pStyle w:val="Compact"/>
              <w:jc w:val="left"/>
            </w:pPr>
            <w:r>
              <w:t xml:space="preserve">61 881</w:t>
            </w:r>
          </w:p>
        </w:tc>
        <w:tc>
          <w:tcPr/>
          <w:p>
            <w:pPr>
              <w:pStyle w:val="Compact"/>
              <w:jc w:val="left"/>
            </w:pPr>
            <w:r>
              <w:t xml:space="preserve">74 190</w:t>
            </w:r>
          </w:p>
        </w:tc>
        <w:tc>
          <w:tcPr/>
          <w:p>
            <w:pPr>
              <w:pStyle w:val="Compact"/>
              <w:jc w:val="left"/>
            </w:pPr>
            <w:r>
              <w:t xml:space="preserve">230%</w:t>
            </w:r>
          </w:p>
        </w:tc>
      </w:tr>
    </w:tbl>
    <w:bookmarkEnd w:id="26"/>
    <w:p>
      <w:pPr>
        <w:pStyle w:val="BodyText"/>
      </w:pPr>
      <w:r>
        <w:t xml:space="preserve">Le Royaume doit se succès à la rigueur de son dispositif prudentiel qui se consolide de plus en plus.</w:t>
      </w:r>
      <w:r>
        <w:t xml:space="preserve"> </w:t>
      </w:r>
      <w:r>
        <w:t xml:space="preserve">La SBR (Solvabilité basée sur les risques) est une réforme prudentielle qui vient en ce sens renforcer cette dynamique. elle vise à consolider la résilience des compagnies d’assurances face aux différents risques qu’elles encourent. Elle repose sur trois piliers : le pilier quantitatif, le pilier qualitatif et le pilier informatif</w:t>
      </w:r>
      <w:r>
        <w:rPr>
          <w:rStyle w:val="FootnoteReference"/>
        </w:rPr>
        <w:footnoteReference w:id="27"/>
      </w:r>
      <w:r>
        <w:t xml:space="preserve">.</w:t>
      </w:r>
    </w:p>
    <w:p>
      <w:pPr>
        <w:pStyle w:val="BodyText"/>
      </w:pPr>
      <w:r>
        <w:t xml:space="preserve">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Pr>
          <w:rStyle w:val="FootnoteReference"/>
        </w:rPr>
        <w:footnoteReference w:id="28"/>
      </w:r>
      <w:r>
        <w:t xml:space="preserve">.</w:t>
      </w:r>
    </w:p>
    <w:p>
      <w:pPr>
        <w:pStyle w:val="BodyText"/>
      </w:pPr>
      <w:r>
        <w:t xml:space="preserve">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w:t>
      </w:r>
      <w:r>
        <w:rPr>
          <w:iCs/>
          <w:i/>
        </w:rPr>
        <w:t xml:space="preserve">ORSA</w:t>
      </w:r>
      <w:r>
        <w:rPr>
          <w:rStyle w:val="FootnoteReference"/>
        </w:rPr>
        <w:footnoteReference w:id="29"/>
      </w:r>
      <w:r>
        <w:t xml:space="preserve">). Il applique aussi le principe de « personne prudente » pour la politique d’investissement des assureurs.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Applications/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 principe de « personne prudente »</w:t>
            </w:r>
          </w:p>
        </w:tc>
      </w:tr>
      <w:tr>
        <w:trPr>
          <w:cantSplit/>
        </w:trPr>
        <w:tc>
          <w:tcPr>
            <w:tcMar>
              <w:top w:w="108" w:type="dxa"/>
              <w:bottom w:w="108" w:type="dxa"/>
            </w:tcMar>
          </w:tcPr>
          <w:p>
            <w:pPr>
              <w:pStyle w:val="BodyText"/>
            </w:pPr>
            <w:pPr>
              <w:spacing w:before="16" w:after="16"/>
            </w:pPr>
            <w:r>
              <w:t xml:space="preserve">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pPr>
        <w:pStyle w:val="BodyText"/>
      </w:pPr>
      <w:r>
        <w:t xml:space="preserve">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pPr>
        <w:pStyle w:val="BodyText"/>
      </w:pPr>
      <w:r>
        <w:t xml:space="preserve">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Pr>
          <w:rStyle w:val="FootnoteReference"/>
        </w:rPr>
        <w:footnoteReference w:id="33"/>
      </w:r>
      <w:r>
        <w:t xml:space="preserve">.</w:t>
      </w:r>
    </w:p>
    <w:tbl>
      <w:tblPr>
        <w:tblStyle w:val="Table"/>
        <w:tblW w:type="pct" w:w="5000"/>
        <w:tblLook w:firstRow="0" w:lastRow="0" w:firstColumn="0" w:lastColumn="0" w:noHBand="0" w:noVBand="0" w:val="0000"/>
        <w:jc w:val="start"/>
      </w:tblPr>
      <w:tblGrid>
        <w:gridCol w:w="7920"/>
      </w:tblGrid>
      <w:tr>
        <w:tc>
          <w:tcPr/>
          <w:bookmarkStart w:id="38" w:name="fig-piliers"/>
          <w:p>
            <w:pPr>
              <w:jc w:val="center"/>
            </w:pPr>
            <w:r>
              <w:drawing>
                <wp:inline>
                  <wp:extent cx="5334000" cy="3000375"/>
                  <wp:effectExtent b="0" l="0" r="0" t="0"/>
                  <wp:docPr descr="" title="" id="36" name="Picture"/>
                  <a:graphic>
                    <a:graphicData uri="http://schemas.openxmlformats.org/drawingml/2006/picture">
                      <pic:pic>
                        <pic:nvPicPr>
                          <pic:cNvPr descr="Rapport-PFE_files/figure-html/piliers.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Les 3 piliers de la SBR</w:t>
            </w:r>
          </w:p>
          <w:bookmarkEnd w:id="38"/>
        </w:tc>
      </w:tr>
    </w:tbl>
    <w:bookmarkEnd w:id="39"/>
    <w:bookmarkStart w:id="45" w:name="piliers-1-exigences-quantitatives"/>
    <w:p>
      <w:pPr>
        <w:pStyle w:val="Heading2"/>
      </w:pPr>
      <w:r>
        <w:t xml:space="preserve">1.2 Piliers 1: Exigences quantitatives :</w:t>
      </w:r>
    </w:p>
    <w:p>
      <w:pPr>
        <w:pStyle w:val="FirstParagraph"/>
      </w:pPr>
      <w:r>
        <w:t xml:space="preserve">Sur les trois piliers de la normes SBR, notre rapport de stage se concentre essentiellement sur le pilier 1. Ce dernier spécifie toutes les dispositions réglementaires afin de satisfaire les exigences quantitatives de la norme.</w:t>
      </w:r>
      <w:r>
        <w:t xml:space="preserve"> </w:t>
      </w:r>
      <w:r>
        <w:t xml:space="preserve">La détermination du capital de solvabilité requis (</w:t>
      </w:r>
      <m:oMath>
        <m:r>
          <m:t>C</m:t>
        </m:r>
        <m:r>
          <m:t>S</m:t>
        </m:r>
        <m:r>
          <m:t>R</m:t>
        </m:r>
      </m:oMath>
      <w:r>
        <w:t xml:space="preserve">) et la fixation des Fonds propres (</w:t>
      </w:r>
      <m:oMath>
        <m:r>
          <m:t>F</m:t>
        </m:r>
        <m:r>
          <m:t>P</m:t>
        </m:r>
      </m:oMath>
      <w:r>
        <w:t xml:space="preserve">) nécessite une analyse économique annuel du bilan prudentiel. L’organisme d’assurance ou de réassurance doit disposer d’une richesse nette suffisante pour faire face à ses risques dans</w:t>
      </w:r>
      <w:r>
        <w:t xml:space="preserve"> </w:t>
      </w:r>
      <m:oMath>
        <m:r>
          <m:t>X</m:t>
        </m:r>
        <m:r>
          <m:rPr>
            <m:sty m:val="p"/>
          </m:rPr>
          <m:t>%</m:t>
        </m:r>
      </m:oMath>
      <w:r>
        <w:rPr>
          <w:rStyle w:val="FootnoteReference"/>
        </w:rPr>
        <w:footnoteReference w:id="40"/>
      </w:r>
      <w:r>
        <w:t xml:space="preserve"> </w:t>
      </w:r>
      <w:r>
        <w:t xml:space="preserve">des situations possibles. Cela implique que sa richesse nette soit supérieure ou égale à l’exigence de solvabilité.</w:t>
      </w:r>
      <w:r>
        <w:t xml:space="preserve"> </w:t>
      </w:r>
      <w:r>
        <w:t xml:space="preserve">Le bilan prudentiel SBR est un bilan qui reflète la situation économique des assureurs, et non pas uniquement leur situation comptable. Il se base sur une valorisation des actifs à leur prix de marché, c’est-à-dire le prix auquel ils pourraient être vendus ou transférés.</w:t>
      </w:r>
      <w:r>
        <w:t xml:space="preserve"> </w:t>
      </w:r>
      <w:r>
        <w:t xml:space="preserve">Les passifs sont constitués essentiellement de dettes et des provisions techniques, qui représentent le coût estimé des engagements pris par les assureurs envers les assurés. Les provisions techniques se décomposent en deux éléments :</w:t>
      </w:r>
    </w:p>
    <w:p>
      <w:pPr>
        <w:numPr>
          <w:ilvl w:val="0"/>
          <w:numId w:val="1004"/>
        </w:numPr>
      </w:pPr>
      <w:r>
        <w:t xml:space="preserve">Le Best Estimate, qui n’est rien d’autre que la valeur actualisée des flux futurs attendus liés aux contrats en cours. L’actualisation se fait en utilisant une courbe de taux sans risque de référence, qui reflète les conditions du marché.</w:t>
      </w:r>
    </w:p>
    <w:p>
      <w:pPr>
        <w:numPr>
          <w:ilvl w:val="0"/>
          <w:numId w:val="1004"/>
        </w:numPr>
      </w:pPr>
      <w:r>
        <w:t xml:space="preserve">La marge de risque, qui correspond au coût du capital nécessaire pour couvrir les risques liés aux passifs jusqu’à leur extinction. Le coût du capital est calculé en appliquant un taux fixe aux exigences de fonds propres futures.</w:t>
      </w:r>
    </w:p>
    <w:p>
      <w:pPr>
        <w:pStyle w:val="FirstParagraph"/>
      </w:pPr>
      <w:r>
        <w:t xml:space="preserve">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type="pct" w:w="5000"/>
        <w:tblLook w:firstRow="0" w:lastRow="0" w:firstColumn="0" w:lastColumn="0" w:noHBand="0" w:noVBand="0" w:val="0000"/>
        <w:jc w:val="start"/>
      </w:tblPr>
      <w:tblGrid>
        <w:gridCol w:w="7920"/>
      </w:tblGrid>
      <w:tr>
        <w:tc>
          <w:tcPr/>
          <w:bookmarkStart w:id="44" w:name="fig-bilan"/>
          <w:p>
            <w:pPr>
              <w:jc w:val="center"/>
            </w:pPr>
            <w:r>
              <w:drawing>
                <wp:inline>
                  <wp:extent cx="5334000" cy="2993010"/>
                  <wp:effectExtent b="0" l="0" r="0" t="0"/>
                  <wp:docPr descr="" title="" id="42" name="Picture"/>
                  <a:graphic>
                    <a:graphicData uri="http://schemas.openxmlformats.org/drawingml/2006/picture">
                      <pic:pic>
                        <pic:nvPicPr>
                          <pic:cNvPr descr="Rapport-PFE_files/figure-html/Bilan.png" id="43" name="Picture"/>
                          <pic:cNvPicPr>
                            <a:picLocks noChangeArrowheads="1" noChangeAspect="1"/>
                          </pic:cNvPicPr>
                        </pic:nvPicPr>
                        <pic:blipFill>
                          <a:blip r:embed="rId41"/>
                          <a:stretch>
                            <a:fillRect/>
                          </a:stretch>
                        </pic:blipFill>
                        <pic:spPr bwMode="auto">
                          <a:xfrm>
                            <a:off x="0" y="0"/>
                            <a:ext cx="5334000" cy="29930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Structure d’un bilan</w:t>
            </w:r>
          </w:p>
          <w:bookmarkEnd w:id="44"/>
        </w:tc>
      </w:tr>
    </w:tbl>
    <w:p>
      <w:pPr>
        <w:pStyle w:val="BodyText"/>
      </w:pPr>
      <w:r>
        <w:t xml:space="preserve">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pPr>
        <w:pStyle w:val="BodyText"/>
      </w:pPr>
      <w:r>
        <w:t xml:space="preserve">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pPr>
        <w:numPr>
          <w:ilvl w:val="0"/>
          <w:numId w:val="1005"/>
        </w:numPr>
      </w:pPr>
      <w:r>
        <w:rPr>
          <w:iCs/>
          <w:i/>
        </w:rPr>
        <w:t xml:space="preserve">L’approche par scénario</w:t>
      </w:r>
      <w:r>
        <w:t xml:space="preserve">,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pPr>
        <w:numPr>
          <w:ilvl w:val="0"/>
          <w:numId w:val="1005"/>
        </w:numPr>
      </w:pPr>
      <w:r>
        <w:rPr>
          <w:iCs/>
          <w:i/>
        </w:rPr>
        <w:t xml:space="preserve">L’approche par facteurs</w:t>
      </w:r>
      <w:r>
        <w:t xml:space="preserve">, qui consiste à appliquer une formule mathématique qui détermine la charge en capital en fonction de paramètres prédéfinis. Par exemple, on peut utiliser un pourcentage des primes ou des provisions pour calculer le risque de souscription.</w:t>
      </w:r>
    </w:p>
    <w:p>
      <w:pPr>
        <w:pStyle w:val="FirstParagraph"/>
      </w:pPr>
      <w: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pPr>
        <w:pStyle w:val="BodyText"/>
      </w:pPr>
      <w:r>
        <w:t xml:space="preserve">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pPr>
        <w:pStyle w:val="BodyText"/>
      </w:pPr>
      <w:r>
        <w:t xml:space="preserve">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pPr>
        <w:pStyle w:val="BodyText"/>
      </w:pPr>
      <w:r>
        <w:t xml:space="preserve">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pPr>
        <w:pStyle w:val="BodyText"/>
      </w:pPr>
      <w:r>
        <w:t xml:space="preserve">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pPr>
        <w:numPr>
          <w:ilvl w:val="0"/>
          <w:numId w:val="1006"/>
        </w:numPr>
        <w:pStyle w:val="Compact"/>
      </w:pPr>
      <w:r>
        <w:t xml:space="preserve">L’approche réglementaire</w:t>
      </w:r>
      <w:r>
        <w:t xml:space="preserve"> </w:t>
      </w:r>
      <w:r>
        <w:rPr>
          <w:iCs/>
          <w:i/>
        </w:rPr>
        <w:t xml:space="preserve">vs</w:t>
      </w:r>
      <w:r>
        <w:t xml:space="preserve"> </w:t>
      </w:r>
      <w:r>
        <w:t xml:space="preserve">la liberté de modélisation : il s’agit du choix entre utiliser une méthode standardisée définie par le régulateur, ou utiliser une méthode propre à l’assureur, qui doit être validée par le régulateur.</w:t>
      </w:r>
    </w:p>
    <w:p>
      <w:pPr>
        <w:numPr>
          <w:ilvl w:val="0"/>
          <w:numId w:val="1006"/>
        </w:numPr>
        <w:pStyle w:val="Compact"/>
      </w:pPr>
      <w:r>
        <w:t xml:space="preserve">La qualité des données et la segmentation : il s’agit de s’assurer que les données utilisées pour l’évaluation sont complètes, exactes et pertinentes, et qu’elles permettent de distinguer les différents types de contrats et de risques.</w:t>
      </w:r>
    </w:p>
    <w:p>
      <w:pPr>
        <w:numPr>
          <w:ilvl w:val="0"/>
          <w:numId w:val="1006"/>
        </w:numPr>
        <w:pStyle w:val="Compact"/>
      </w:pPr>
      <w:r>
        <w:t xml:space="preserve">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pPr>
        <w:numPr>
          <w:ilvl w:val="0"/>
          <w:numId w:val="1006"/>
        </w:numPr>
        <w:pStyle w:val="Compact"/>
      </w:pPr>
      <w:r>
        <w:t xml:space="preserve">La possibilité de recourir aux</w:t>
      </w:r>
      <w:r>
        <w:t xml:space="preserve"> </w:t>
      </w:r>
      <w:r>
        <w:t xml:space="preserve">“</w:t>
      </w:r>
      <w:r>
        <w:t xml:space="preserve">dires d’experts</w:t>
      </w:r>
      <w:r>
        <w:t xml:space="preserve">”</w:t>
      </w:r>
      <w:r>
        <w:t xml:space="preserve"> </w:t>
      </w:r>
      <w:r>
        <w:t xml:space="preserve">: il s’agit de la possibilité d’utiliser le jugement professionnel des experts actuariels pour compléter ou ajuster les données ou les hypothèses, en cas de manque d’information ou d’incertitude.</w:t>
      </w:r>
    </w:p>
    <w:p>
      <w:pPr>
        <w:numPr>
          <w:ilvl w:val="0"/>
          <w:numId w:val="1006"/>
        </w:numPr>
        <w:pStyle w:val="Compact"/>
      </w:pPr>
      <w:r>
        <w:t xml:space="preserve">La modélisation des frais récurrents en adéquation avec les frontières des contrats : il s’agit de prendre en compte les frais liés à la gestion des contrats, en fonction de leur durée et de leur contenu.</w:t>
      </w:r>
    </w:p>
    <w:p>
      <w:pPr>
        <w:numPr>
          <w:ilvl w:val="0"/>
          <w:numId w:val="1006"/>
        </w:numPr>
        <w:pStyle w:val="Compact"/>
      </w:pPr>
      <w:r>
        <w:t xml:space="preserve">L’intégration des</w:t>
      </w:r>
      <w:r>
        <w:t xml:space="preserve"> </w:t>
      </w:r>
      <w:r>
        <w:t xml:space="preserve">“</w:t>
      </w:r>
      <w:r>
        <w:t xml:space="preserve">management actions</w:t>
      </w:r>
      <w:r>
        <w:t xml:space="preserve">”</w:t>
      </w:r>
      <w:r>
        <w:t xml:space="preserve"> </w:t>
      </w:r>
      <w:r>
        <w:t xml:space="preserve">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pPr>
        <w:numPr>
          <w:ilvl w:val="0"/>
          <w:numId w:val="1006"/>
        </w:numPr>
        <w:pStyle w:val="Compact"/>
      </w:pPr>
      <w:r>
        <w:t xml:space="preserve">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pPr>
        <w:pStyle w:val="FirstParagraph"/>
      </w:pPr>
      <w:r>
        <w:t xml:space="preserve">L’évaluation des risques financiers est aussi une étape importante du bilan prudentiel, car elle évalue la valeur de marché des actifs détenus par les assureurs. Ainsi, cette évaluation repose sur un certain nombre de principes parmi lesquels nous pouvons citer :</w:t>
      </w:r>
    </w:p>
    <w:p>
      <w:pPr>
        <w:numPr>
          <w:ilvl w:val="0"/>
          <w:numId w:val="1007"/>
        </w:numPr>
        <w:pStyle w:val="Compact"/>
      </w:pPr>
      <w:r>
        <w:t xml:space="preserve">La valorisation de l’immobilier et du non coté : il s’agit de déterminer le prix auquel les actifs immobiliers ou non cotés en bourse pourraient être vendus ou transférés sur le marché.</w:t>
      </w:r>
    </w:p>
    <w:p>
      <w:pPr>
        <w:numPr>
          <w:ilvl w:val="0"/>
          <w:numId w:val="1007"/>
        </w:numPr>
        <w:pStyle w:val="Compact"/>
      </w:pPr>
      <w:r>
        <w:t xml:space="preserve">La mise en transparence des OPCVM : connaître la composition détaillée des organismes de placement collectif en valeurs mobilières (OPCVM), qui sont des fonds d’investissement regroupant plusieurs actifs financiers.</w:t>
      </w:r>
    </w:p>
    <w:p>
      <w:pPr>
        <w:numPr>
          <w:ilvl w:val="0"/>
          <w:numId w:val="1007"/>
        </w:numPr>
        <w:pStyle w:val="Compact"/>
      </w:pPr>
      <w:r>
        <w:t xml:space="preserve">L’ajustement des chocs en fonction de la situation du marché financier et de la géographie du capital : il s’agit d’adapter l’intensité des chocs appliqués aux actifs financiers en fonction du contexte économique et du lieu où ils sont investis.</w:t>
      </w:r>
    </w:p>
    <w:p>
      <w:pPr>
        <w:numPr>
          <w:ilvl w:val="0"/>
          <w:numId w:val="1007"/>
        </w:numPr>
        <w:pStyle w:val="Compact"/>
      </w:pPr>
      <w:r>
        <w:t xml:space="preserve">La problématique des notations externes : il s’agit du problème lié à l’utilisation des notations attribuées par les agences externes pour évaluer le risque de défaut des actifs financiers, qui peuvent être biaisées ou imprécises.</w:t>
      </w:r>
    </w:p>
    <w:p>
      <w:pPr>
        <w:numPr>
          <w:ilvl w:val="0"/>
          <w:numId w:val="1007"/>
        </w:numPr>
        <w:pStyle w:val="Compact"/>
      </w:pPr>
      <w:r>
        <w:t xml:space="preserve">La définition des</w:t>
      </w:r>
      <w:r>
        <w:t xml:space="preserve"> </w:t>
      </w:r>
      <w:r>
        <w:t xml:space="preserve">“</w:t>
      </w:r>
      <w:r>
        <w:t xml:space="preserve">groupes</w:t>
      </w:r>
      <w:r>
        <w:t xml:space="preserve">”</w:t>
      </w:r>
      <w:r>
        <w:t xml:space="preserve"> </w:t>
      </w:r>
      <w:r>
        <w:t xml:space="preserve">et actifs</w:t>
      </w:r>
      <w:r>
        <w:t xml:space="preserve"> </w:t>
      </w:r>
      <w:r>
        <w:t xml:space="preserve">“</w:t>
      </w:r>
      <w:r>
        <w:t xml:space="preserve">stratégiques</w:t>
      </w:r>
      <w:r>
        <w:t xml:space="preserve">”</w:t>
      </w:r>
      <w:r>
        <w:t xml:space="preserve"> </w:t>
      </w:r>
      <w:r>
        <w:t xml:space="preserve">: il s’agit de définir quels sont les groupes ou les actifs financiers qui ont une importance particulière pour l’assureur, et qui doivent donc être traités différemment.</w:t>
      </w:r>
    </w:p>
    <w:p>
      <w:pPr>
        <w:pStyle w:val="FirstParagraph"/>
      </w:pPr>
      <w:r>
        <w:t xml:space="preserve">L’évaluation des impôts différés détermine le montant d’impôt que l’assureur peut économiser ou payer en cas de perte ou de bénéfice. L’évaluation passe par un test de recouvrabilité et la capacité d’absorption des pertes par les impôts différés. 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 capacité d’absorption des pertes par les impôts différés, c’est-à-dire le montant d’impôt qu’il peut économiser grâce à ses pertes futures.</w:t>
      </w:r>
    </w:p>
    <w:p>
      <w:pPr>
        <w:pStyle w:val="BodyText"/>
      </w:pPr>
      <w:r>
        <w:t xml:space="preserve">L’évaluation du capital de solvabilité requis (SCR) est la dernière étape du bilan prudentiel, elle détermine le montant minimum de fonds propres que l’assureur doit avoir pour couvrir ses risques. Il existe deux approches possibles pour calculer le SCR :</w:t>
      </w:r>
    </w:p>
    <w:p>
      <w:pPr>
        <w:numPr>
          <w:ilvl w:val="0"/>
          <w:numId w:val="1008"/>
        </w:numPr>
      </w:pPr>
      <w:r>
        <w:t xml:space="preserve">La formule standard, qui est une méthode standardisée définie par le régulateur, qui prend en compte les différents types de risques auxquels les assureurs sont exposés, et qui utilise des paramètres prédéfinis.</w:t>
      </w:r>
    </w:p>
    <w:p>
      <w:pPr>
        <w:numPr>
          <w:ilvl w:val="0"/>
          <w:numId w:val="1008"/>
        </w:numPr>
      </w:pPr>
      <w:r>
        <w:t xml:space="preserve">Le modèle interne, qui est une méthode propre à l’assureur, qui prend en compte les spécificités de son profil de risque, et qui utilise ses propres paramètres. Le modèle interne doit être validé par le régulateur.</w:t>
      </w:r>
    </w:p>
    <w:bookmarkEnd w:id="45"/>
    <w:bookmarkEnd w:id="46"/>
    <w:bookmarkStart w:id="63" w:name="X2550295fbb3cfba728df7be700e79e4d4dd16d7"/>
    <w:p>
      <w:pPr>
        <w:pStyle w:val="Heading1"/>
      </w:pPr>
      <w:r>
        <w:t xml:space="preserve">2. CHAPITRE II : Construction de la courbe des taux</w:t>
      </w:r>
    </w:p>
    <w:bookmarkStart w:id="62" w:name="sec-courbe_zc"/>
    <w:p>
      <w:pPr>
        <w:pStyle w:val="Heading2"/>
      </w:pPr>
      <w:r>
        <w:t xml:space="preserve">2.1 La construction de la courbe des taux zéro-coupon</w:t>
      </w:r>
    </w:p>
    <w:p>
      <w:pPr>
        <w:pStyle w:val="FirstParagraph"/>
      </w:pPr>
      <w:r>
        <w:t xml:space="preserve">Dans cette partie nous nous intéressons à la construction de la courbe des taux zéro-coupon dont nous avons besoin dans le reste de ce travaille afin d’actualiser les flux futurs entrant dans le calcul des différentes Best Estimate. Les taux zéro coupons sont extraits des taux moyens pondérés des transactions des bons de trésor publiées par la</w:t>
      </w:r>
      <w:r>
        <w:t xml:space="preserve"> </w:t>
      </w:r>
      <w:hyperlink r:id="rId47">
        <w:r>
          <w:rPr>
            <w:rStyle w:val="Hyperlink"/>
          </w:rPr>
          <w:t xml:space="preserve">BANK AL MAGHRIB</w:t>
        </w:r>
      </w:hyperlink>
      <w:r>
        <w:t xml:space="preserve">. Ces taux, sont en effet des taux monétaires pour les maturités inférieures ou égales à un an, alors qu’ils représentent un taux actuariel pour les maturités supérieures à un an. De plus, ils ne sont disponibles que pour certaines maturités.</w:t>
      </w:r>
    </w:p>
    <w:bookmarkStart w:id="48" w:name="tbl-taux_ref"/>
    <w:p>
      <w:pPr>
        <w:pStyle w:val="TableCaption"/>
      </w:pPr>
      <w:r>
        <w:t xml:space="preserve">Table 2: Taux de référence des bons du Trésor du 30/12/2022</w:t>
      </w:r>
    </w:p>
    <w:tbl>
      <w:tblPr>
        <w:tblStyle w:val="Table"/>
        <w:tblW w:type="auto" w:w="0"/>
        <w:tblLook w:firstRow="1" w:lastRow="0" w:firstColumn="0" w:lastColumn="0" w:noHBand="0" w:noVBand="0" w:val="0020"/>
        <w:jc w:val="start"/>
        <w:tblCaption w:val="Table 2: Taux de référence des bons du Trésor du 30/12/2022"/>
      </w:tblPr>
      <w:tblGrid>
        <w:gridCol w:w="1320"/>
        <w:gridCol w:w="1320"/>
        <w:gridCol w:w="1320"/>
        <w:gridCol w:w="1320"/>
        <w:gridCol w:w="1320"/>
        <w:gridCol w:w="1320"/>
      </w:tblGrid>
      <w:tr>
        <w:trPr>
          <w:tblHeader w:val="true"/>
        </w:trPr>
        <w:tc>
          <w:tcPr/>
          <w:p>
            <w:pPr>
              <w:pStyle w:val="Compact"/>
              <w:jc w:val="left"/>
            </w:pPr>
            <w:r>
              <w:t xml:space="preserve">Date d'échéance</w:t>
            </w:r>
          </w:p>
        </w:tc>
        <w:tc>
          <w:tcPr/>
          <w:p>
            <w:pPr>
              <w:pStyle w:val="Compact"/>
              <w:jc w:val="left"/>
            </w:pPr>
            <w:r>
              <w:t xml:space="preserve">Transaction</w:t>
            </w:r>
          </w:p>
        </w:tc>
        <w:tc>
          <w:tcPr/>
          <w:p>
            <w:pPr>
              <w:pStyle w:val="Compact"/>
              <w:jc w:val="right"/>
            </w:pPr>
            <w:r>
              <w:t xml:space="preserve">Taux moyen pondéré</w:t>
            </w:r>
          </w:p>
        </w:tc>
        <w:tc>
          <w:tcPr/>
          <w:p>
            <w:pPr>
              <w:pStyle w:val="Compact"/>
              <w:jc w:val="left"/>
            </w:pPr>
            <w:r>
              <w:t xml:space="preserve">Taux moyen pondéré (%)</w:t>
            </w:r>
          </w:p>
        </w:tc>
        <w:tc>
          <w:tcPr/>
          <w:p>
            <w:pPr>
              <w:pStyle w:val="Compact"/>
              <w:jc w:val="left"/>
            </w:pPr>
            <w:r>
              <w:t xml:space="preserve">Date de la valeur</w:t>
            </w:r>
          </w:p>
        </w:tc>
        <w:tc>
          <w:tcPr/>
          <w:p>
            <w:pPr>
              <w:pStyle w:val="Compact"/>
              <w:jc w:val="right"/>
            </w:pPr>
            <w:r>
              <w:t xml:space="preserve">Maturité</w:t>
            </w:r>
          </w:p>
        </w:tc>
      </w:tr>
      <w:tr>
        <w:tc>
          <w:tcPr/>
          <w:p>
            <w:pPr>
              <w:pStyle w:val="Compact"/>
              <w:jc w:val="left"/>
            </w:pPr>
            <w:r>
              <w:t xml:space="preserve">13/01/2023</w:t>
            </w:r>
          </w:p>
        </w:tc>
        <w:tc>
          <w:tcPr/>
          <w:p>
            <w:pPr>
              <w:pStyle w:val="Compact"/>
              <w:jc w:val="left"/>
            </w:pPr>
            <w:r>
              <w:t xml:space="preserve">322,40</w:t>
            </w:r>
          </w:p>
        </w:tc>
        <w:tc>
          <w:tcPr/>
          <w:p>
            <w:pPr>
              <w:pStyle w:val="Compact"/>
              <w:jc w:val="right"/>
            </w:pPr>
            <w:r>
              <w:t xml:space="preserve">0.02948</w:t>
            </w:r>
          </w:p>
        </w:tc>
        <w:tc>
          <w:tcPr/>
          <w:p>
            <w:pPr>
              <w:pStyle w:val="Compact"/>
              <w:jc w:val="left"/>
            </w:pPr>
            <w:r>
              <w:t xml:space="preserve">2,948 %</w:t>
            </w:r>
          </w:p>
        </w:tc>
        <w:tc>
          <w:tcPr/>
          <w:p>
            <w:pPr>
              <w:pStyle w:val="Compact"/>
              <w:jc w:val="left"/>
            </w:pPr>
            <w:r>
              <w:t xml:space="preserve">30/12/2022</w:t>
            </w:r>
          </w:p>
        </w:tc>
        <w:tc>
          <w:tcPr/>
          <w:p>
            <w:pPr>
              <w:pStyle w:val="Compact"/>
              <w:jc w:val="right"/>
            </w:pPr>
            <w:r>
              <w:t xml:space="preserve">0.039</w:t>
            </w:r>
          </w:p>
        </w:tc>
      </w:tr>
      <w:tr>
        <w:tc>
          <w:tcPr/>
          <w:p>
            <w:pPr>
              <w:pStyle w:val="Compact"/>
              <w:jc w:val="left"/>
            </w:pPr>
            <w:r>
              <w:t xml:space="preserve">23/01/2023</w:t>
            </w:r>
          </w:p>
        </w:tc>
        <w:tc>
          <w:tcPr/>
          <w:p>
            <w:pPr>
              <w:pStyle w:val="Compact"/>
              <w:jc w:val="left"/>
            </w:pPr>
            <w:r>
              <w:t xml:space="preserve">120,47</w:t>
            </w:r>
          </w:p>
        </w:tc>
        <w:tc>
          <w:tcPr/>
          <w:p>
            <w:pPr>
              <w:pStyle w:val="Compact"/>
              <w:jc w:val="right"/>
            </w:pPr>
            <w:r>
              <w:t xml:space="preserve">0.02930</w:t>
            </w:r>
          </w:p>
        </w:tc>
        <w:tc>
          <w:tcPr/>
          <w:p>
            <w:pPr>
              <w:pStyle w:val="Compact"/>
              <w:jc w:val="left"/>
            </w:pPr>
            <w:r>
              <w:t xml:space="preserve">2,930 %</w:t>
            </w:r>
          </w:p>
        </w:tc>
        <w:tc>
          <w:tcPr/>
          <w:p>
            <w:pPr>
              <w:pStyle w:val="Compact"/>
              <w:jc w:val="left"/>
            </w:pPr>
            <w:r>
              <w:t xml:space="preserve">30/12/2022</w:t>
            </w:r>
          </w:p>
        </w:tc>
        <w:tc>
          <w:tcPr/>
          <w:p>
            <w:pPr>
              <w:pStyle w:val="Compact"/>
              <w:jc w:val="right"/>
            </w:pPr>
            <w:r>
              <w:t xml:space="preserve">0.067</w:t>
            </w:r>
          </w:p>
        </w:tc>
      </w:tr>
      <w:tr>
        <w:tc>
          <w:tcPr/>
          <w:p>
            <w:pPr>
              <w:pStyle w:val="Compact"/>
              <w:jc w:val="left"/>
            </w:pPr>
            <w:r>
              <w:t xml:space="preserve">06/03/2023</w:t>
            </w:r>
          </w:p>
        </w:tc>
        <w:tc>
          <w:tcPr/>
          <w:p>
            <w:pPr>
              <w:pStyle w:val="Compact"/>
              <w:jc w:val="left"/>
            </w:pPr>
            <w:r>
              <w:t xml:space="preserve">30,15</w:t>
            </w:r>
          </w:p>
        </w:tc>
        <w:tc>
          <w:tcPr/>
          <w:p>
            <w:pPr>
              <w:pStyle w:val="Compact"/>
              <w:jc w:val="right"/>
            </w:pPr>
            <w:r>
              <w:t xml:space="preserve">0.02942</w:t>
            </w:r>
          </w:p>
        </w:tc>
        <w:tc>
          <w:tcPr/>
          <w:p>
            <w:pPr>
              <w:pStyle w:val="Compact"/>
              <w:jc w:val="left"/>
            </w:pPr>
            <w:r>
              <w:t xml:space="preserve">2,942 %</w:t>
            </w:r>
          </w:p>
        </w:tc>
        <w:tc>
          <w:tcPr/>
          <w:p>
            <w:pPr>
              <w:pStyle w:val="Compact"/>
              <w:jc w:val="left"/>
            </w:pPr>
            <w:r>
              <w:t xml:space="preserve">30/12/2022</w:t>
            </w:r>
          </w:p>
        </w:tc>
        <w:tc>
          <w:tcPr/>
          <w:p>
            <w:pPr>
              <w:pStyle w:val="Compact"/>
              <w:jc w:val="right"/>
            </w:pPr>
            <w:r>
              <w:t xml:space="preserve">0.183</w:t>
            </w:r>
          </w:p>
        </w:tc>
      </w:tr>
      <w:tr>
        <w:tc>
          <w:tcPr/>
          <w:p>
            <w:pPr>
              <w:pStyle w:val="Compact"/>
              <w:jc w:val="left"/>
            </w:pPr>
            <w:r>
              <w:t xml:space="preserve">22/05/2023</w:t>
            </w:r>
          </w:p>
        </w:tc>
        <w:tc>
          <w:tcPr/>
          <w:p>
            <w:pPr>
              <w:pStyle w:val="Compact"/>
              <w:jc w:val="left"/>
            </w:pPr>
            <w:r>
              <w:t xml:space="preserve">168,01</w:t>
            </w:r>
          </w:p>
        </w:tc>
        <w:tc>
          <w:tcPr/>
          <w:p>
            <w:pPr>
              <w:pStyle w:val="Compact"/>
              <w:jc w:val="right"/>
            </w:pPr>
            <w:r>
              <w:t xml:space="preserve">0.03172</w:t>
            </w:r>
          </w:p>
        </w:tc>
        <w:tc>
          <w:tcPr/>
          <w:p>
            <w:pPr>
              <w:pStyle w:val="Compact"/>
              <w:jc w:val="left"/>
            </w:pPr>
            <w:r>
              <w:t xml:space="preserve">3,172 %</w:t>
            </w:r>
          </w:p>
        </w:tc>
        <w:tc>
          <w:tcPr/>
          <w:p>
            <w:pPr>
              <w:pStyle w:val="Compact"/>
              <w:jc w:val="left"/>
            </w:pPr>
            <w:r>
              <w:t xml:space="preserve">30/12/2022</w:t>
            </w:r>
          </w:p>
        </w:tc>
        <w:tc>
          <w:tcPr/>
          <w:p>
            <w:pPr>
              <w:pStyle w:val="Compact"/>
              <w:jc w:val="right"/>
            </w:pPr>
            <w:r>
              <w:t xml:space="preserve">0.397</w:t>
            </w:r>
          </w:p>
        </w:tc>
      </w:tr>
      <w:tr>
        <w:tc>
          <w:tcPr/>
          <w:p>
            <w:pPr>
              <w:pStyle w:val="Compact"/>
              <w:jc w:val="left"/>
            </w:pPr>
            <w:r>
              <w:t xml:space="preserve">19/06/2023</w:t>
            </w:r>
          </w:p>
        </w:tc>
        <w:tc>
          <w:tcPr/>
          <w:p>
            <w:pPr>
              <w:pStyle w:val="Compact"/>
              <w:jc w:val="left"/>
            </w:pPr>
            <w:r>
              <w:t xml:space="preserve">829,46</w:t>
            </w:r>
          </w:p>
        </w:tc>
        <w:tc>
          <w:tcPr/>
          <w:p>
            <w:pPr>
              <w:pStyle w:val="Compact"/>
              <w:jc w:val="right"/>
            </w:pPr>
            <w:r>
              <w:t xml:space="preserve">0.03008</w:t>
            </w:r>
          </w:p>
        </w:tc>
        <w:tc>
          <w:tcPr/>
          <w:p>
            <w:pPr>
              <w:pStyle w:val="Compact"/>
              <w:jc w:val="left"/>
            </w:pPr>
            <w:r>
              <w:t xml:space="preserve">3,008 %</w:t>
            </w:r>
          </w:p>
        </w:tc>
        <w:tc>
          <w:tcPr/>
          <w:p>
            <w:pPr>
              <w:pStyle w:val="Compact"/>
              <w:jc w:val="left"/>
            </w:pPr>
            <w:r>
              <w:t xml:space="preserve">30/12/2022</w:t>
            </w:r>
          </w:p>
        </w:tc>
        <w:tc>
          <w:tcPr/>
          <w:p>
            <w:pPr>
              <w:pStyle w:val="Compact"/>
              <w:jc w:val="right"/>
            </w:pPr>
            <w:r>
              <w:t xml:space="preserve">0.475</w:t>
            </w:r>
          </w:p>
        </w:tc>
      </w:tr>
      <w:tr>
        <w:tc>
          <w:tcPr/>
          <w:p>
            <w:pPr>
              <w:pStyle w:val="Compact"/>
              <w:jc w:val="left"/>
            </w:pPr>
            <w:r>
              <w:t xml:space="preserve">17/07/2023</w:t>
            </w:r>
          </w:p>
        </w:tc>
        <w:tc>
          <w:tcPr/>
          <w:p>
            <w:pPr>
              <w:pStyle w:val="Compact"/>
              <w:jc w:val="left"/>
            </w:pPr>
            <w:r>
              <w:t xml:space="preserve">210,28</w:t>
            </w:r>
          </w:p>
        </w:tc>
        <w:tc>
          <w:tcPr/>
          <w:p>
            <w:pPr>
              <w:pStyle w:val="Compact"/>
              <w:jc w:val="right"/>
            </w:pPr>
            <w:r>
              <w:t xml:space="preserve">0.03002</w:t>
            </w:r>
          </w:p>
        </w:tc>
        <w:tc>
          <w:tcPr/>
          <w:p>
            <w:pPr>
              <w:pStyle w:val="Compact"/>
              <w:jc w:val="left"/>
            </w:pPr>
            <w:r>
              <w:t xml:space="preserve">3,002 %</w:t>
            </w:r>
          </w:p>
        </w:tc>
        <w:tc>
          <w:tcPr/>
          <w:p>
            <w:pPr>
              <w:pStyle w:val="Compact"/>
              <w:jc w:val="left"/>
            </w:pPr>
            <w:r>
              <w:t xml:space="preserve">30/12/2022</w:t>
            </w:r>
          </w:p>
        </w:tc>
        <w:tc>
          <w:tcPr/>
          <w:p>
            <w:pPr>
              <w:pStyle w:val="Compact"/>
              <w:jc w:val="right"/>
            </w:pPr>
            <w:r>
              <w:t xml:space="preserve">0.553</w:t>
            </w:r>
          </w:p>
        </w:tc>
      </w:tr>
      <w:tr>
        <w:tc>
          <w:tcPr/>
          <w:p>
            <w:pPr>
              <w:pStyle w:val="Compact"/>
              <w:jc w:val="left"/>
            </w:pPr>
            <w:r>
              <w:t xml:space="preserve">05/08/2023</w:t>
            </w:r>
          </w:p>
        </w:tc>
        <w:tc>
          <w:tcPr/>
          <w:p>
            <w:pPr>
              <w:pStyle w:val="Compact"/>
              <w:jc w:val="left"/>
            </w:pPr>
            <w:r>
              <w:t xml:space="preserve">116,18</w:t>
            </w:r>
          </w:p>
        </w:tc>
        <w:tc>
          <w:tcPr/>
          <w:p>
            <w:pPr>
              <w:pStyle w:val="Compact"/>
              <w:jc w:val="right"/>
            </w:pPr>
            <w:r>
              <w:t xml:space="preserve">0.03016</w:t>
            </w:r>
          </w:p>
        </w:tc>
        <w:tc>
          <w:tcPr/>
          <w:p>
            <w:pPr>
              <w:pStyle w:val="Compact"/>
              <w:jc w:val="left"/>
            </w:pPr>
            <w:r>
              <w:t xml:space="preserve">3,016 %</w:t>
            </w:r>
          </w:p>
        </w:tc>
        <w:tc>
          <w:tcPr/>
          <w:p>
            <w:pPr>
              <w:pStyle w:val="Compact"/>
              <w:jc w:val="left"/>
            </w:pPr>
            <w:r>
              <w:t xml:space="preserve">30/12/2022</w:t>
            </w:r>
          </w:p>
        </w:tc>
        <w:tc>
          <w:tcPr/>
          <w:p>
            <w:pPr>
              <w:pStyle w:val="Compact"/>
              <w:jc w:val="right"/>
            </w:pPr>
            <w:r>
              <w:t xml:space="preserve">0.606</w:t>
            </w:r>
          </w:p>
        </w:tc>
      </w:tr>
      <w:tr>
        <w:tc>
          <w:tcPr/>
          <w:p>
            <w:pPr>
              <w:pStyle w:val="Compact"/>
              <w:jc w:val="left"/>
            </w:pPr>
            <w:r>
              <w:t xml:space="preserve">11/09/2023</w:t>
            </w:r>
          </w:p>
        </w:tc>
        <w:tc>
          <w:tcPr/>
          <w:p>
            <w:pPr>
              <w:pStyle w:val="Compact"/>
              <w:jc w:val="left"/>
            </w:pPr>
            <w:r>
              <w:t xml:space="preserve">349,31</w:t>
            </w:r>
          </w:p>
        </w:tc>
        <w:tc>
          <w:tcPr/>
          <w:p>
            <w:pPr>
              <w:pStyle w:val="Compact"/>
              <w:jc w:val="right"/>
            </w:pPr>
            <w:r>
              <w:t xml:space="preserve">0.03045</w:t>
            </w:r>
          </w:p>
        </w:tc>
        <w:tc>
          <w:tcPr/>
          <w:p>
            <w:pPr>
              <w:pStyle w:val="Compact"/>
              <w:jc w:val="left"/>
            </w:pPr>
            <w:r>
              <w:t xml:space="preserve">3,045 %</w:t>
            </w:r>
          </w:p>
        </w:tc>
        <w:tc>
          <w:tcPr/>
          <w:p>
            <w:pPr>
              <w:pStyle w:val="Compact"/>
              <w:jc w:val="left"/>
            </w:pPr>
            <w:r>
              <w:t xml:space="preserve">30/12/2022</w:t>
            </w:r>
          </w:p>
        </w:tc>
        <w:tc>
          <w:tcPr/>
          <w:p>
            <w:pPr>
              <w:pStyle w:val="Compact"/>
              <w:jc w:val="right"/>
            </w:pPr>
            <w:r>
              <w:t xml:space="preserve">0.708</w:t>
            </w:r>
          </w:p>
        </w:tc>
      </w:tr>
      <w:tr>
        <w:tc>
          <w:tcPr/>
          <w:p>
            <w:pPr>
              <w:pStyle w:val="Compact"/>
              <w:jc w:val="left"/>
            </w:pPr>
            <w:r>
              <w:t xml:space="preserve">16/10/2023</w:t>
            </w:r>
          </w:p>
        </w:tc>
        <w:tc>
          <w:tcPr/>
          <w:p>
            <w:pPr>
              <w:pStyle w:val="Compact"/>
              <w:jc w:val="left"/>
            </w:pPr>
            <w:r>
              <w:t xml:space="preserve">57,86</w:t>
            </w:r>
          </w:p>
        </w:tc>
        <w:tc>
          <w:tcPr/>
          <w:p>
            <w:pPr>
              <w:pStyle w:val="Compact"/>
              <w:jc w:val="right"/>
            </w:pPr>
            <w:r>
              <w:t xml:space="preserve">0.03130</w:t>
            </w:r>
          </w:p>
        </w:tc>
        <w:tc>
          <w:tcPr/>
          <w:p>
            <w:pPr>
              <w:pStyle w:val="Compact"/>
              <w:jc w:val="left"/>
            </w:pPr>
            <w:r>
              <w:t xml:space="preserve">3,130 %</w:t>
            </w:r>
          </w:p>
        </w:tc>
        <w:tc>
          <w:tcPr/>
          <w:p>
            <w:pPr>
              <w:pStyle w:val="Compact"/>
              <w:jc w:val="left"/>
            </w:pPr>
            <w:r>
              <w:t xml:space="preserve">30/12/2022</w:t>
            </w:r>
          </w:p>
        </w:tc>
        <w:tc>
          <w:tcPr/>
          <w:p>
            <w:pPr>
              <w:pStyle w:val="Compact"/>
              <w:jc w:val="right"/>
            </w:pPr>
            <w:r>
              <w:t xml:space="preserve">0.806</w:t>
            </w:r>
          </w:p>
        </w:tc>
      </w:tr>
      <w:tr>
        <w:tc>
          <w:tcPr/>
          <w:p>
            <w:pPr>
              <w:pStyle w:val="Compact"/>
              <w:jc w:val="left"/>
            </w:pPr>
            <w:r>
              <w:t xml:space="preserve">15/01/2024</w:t>
            </w:r>
          </w:p>
        </w:tc>
        <w:tc>
          <w:tcPr/>
          <w:p>
            <w:pPr>
              <w:pStyle w:val="Compact"/>
              <w:jc w:val="left"/>
            </w:pPr>
            <w:r>
              <w:t xml:space="preserve">62,41</w:t>
            </w:r>
          </w:p>
        </w:tc>
        <w:tc>
          <w:tcPr/>
          <w:p>
            <w:pPr>
              <w:pStyle w:val="Compact"/>
              <w:jc w:val="right"/>
            </w:pPr>
            <w:r>
              <w:t xml:space="preserve">0.02967</w:t>
            </w:r>
          </w:p>
        </w:tc>
        <w:tc>
          <w:tcPr/>
          <w:p>
            <w:pPr>
              <w:pStyle w:val="Compact"/>
              <w:jc w:val="left"/>
            </w:pPr>
            <w:r>
              <w:t xml:space="preserve">2,967 %</w:t>
            </w:r>
          </w:p>
        </w:tc>
        <w:tc>
          <w:tcPr/>
          <w:p>
            <w:pPr>
              <w:pStyle w:val="Compact"/>
              <w:jc w:val="left"/>
            </w:pPr>
            <w:r>
              <w:t xml:space="preserve">30/12/2022</w:t>
            </w:r>
          </w:p>
        </w:tc>
        <w:tc>
          <w:tcPr/>
          <w:p>
            <w:pPr>
              <w:pStyle w:val="Compact"/>
              <w:jc w:val="right"/>
            </w:pPr>
            <w:r>
              <w:t xml:space="preserve">1.058</w:t>
            </w:r>
          </w:p>
        </w:tc>
      </w:tr>
      <w:tr>
        <w:tc>
          <w:tcPr/>
          <w:p>
            <w:pPr>
              <w:pStyle w:val="Compact"/>
              <w:jc w:val="left"/>
            </w:pPr>
            <w:r>
              <w:t xml:space="preserve">18/03/2024</w:t>
            </w:r>
          </w:p>
        </w:tc>
        <w:tc>
          <w:tcPr/>
          <w:p>
            <w:pPr>
              <w:pStyle w:val="Compact"/>
              <w:jc w:val="left"/>
            </w:pPr>
            <w:r>
              <w:t xml:space="preserve">100,37</w:t>
            </w:r>
          </w:p>
        </w:tc>
        <w:tc>
          <w:tcPr/>
          <w:p>
            <w:pPr>
              <w:pStyle w:val="Compact"/>
              <w:jc w:val="right"/>
            </w:pPr>
            <w:r>
              <w:t xml:space="preserve">0.02987</w:t>
            </w:r>
          </w:p>
        </w:tc>
        <w:tc>
          <w:tcPr/>
          <w:p>
            <w:pPr>
              <w:pStyle w:val="Compact"/>
              <w:jc w:val="left"/>
            </w:pPr>
            <w:r>
              <w:t xml:space="preserve">2,987 %</w:t>
            </w:r>
          </w:p>
        </w:tc>
        <w:tc>
          <w:tcPr/>
          <w:p>
            <w:pPr>
              <w:pStyle w:val="Compact"/>
              <w:jc w:val="left"/>
            </w:pPr>
            <w:r>
              <w:t xml:space="preserve">30/12/2022</w:t>
            </w:r>
          </w:p>
        </w:tc>
        <w:tc>
          <w:tcPr/>
          <w:p>
            <w:pPr>
              <w:pStyle w:val="Compact"/>
              <w:jc w:val="right"/>
            </w:pPr>
            <w:r>
              <w:t xml:space="preserve">1.233</w:t>
            </w:r>
          </w:p>
        </w:tc>
      </w:tr>
      <w:tr>
        <w:tc>
          <w:tcPr/>
          <w:p>
            <w:pPr>
              <w:pStyle w:val="Compact"/>
              <w:jc w:val="left"/>
            </w:pPr>
            <w:r>
              <w:t xml:space="preserve">15/04/2024</w:t>
            </w:r>
          </w:p>
        </w:tc>
        <w:tc>
          <w:tcPr/>
          <w:p>
            <w:pPr>
              <w:pStyle w:val="Compact"/>
              <w:jc w:val="left"/>
            </w:pPr>
            <w:r>
              <w:t xml:space="preserve">261,82</w:t>
            </w:r>
          </w:p>
        </w:tc>
        <w:tc>
          <w:tcPr/>
          <w:p>
            <w:pPr>
              <w:pStyle w:val="Compact"/>
              <w:jc w:val="right"/>
            </w:pPr>
            <w:r>
              <w:t xml:space="preserve">0.02961</w:t>
            </w:r>
          </w:p>
        </w:tc>
        <w:tc>
          <w:tcPr/>
          <w:p>
            <w:pPr>
              <w:pStyle w:val="Compact"/>
              <w:jc w:val="left"/>
            </w:pPr>
            <w:r>
              <w:t xml:space="preserve">2,961 %</w:t>
            </w:r>
          </w:p>
        </w:tc>
        <w:tc>
          <w:tcPr/>
          <w:p>
            <w:pPr>
              <w:pStyle w:val="Compact"/>
              <w:jc w:val="left"/>
            </w:pPr>
            <w:r>
              <w:t xml:space="preserve">30/12/2022</w:t>
            </w:r>
          </w:p>
        </w:tc>
        <w:tc>
          <w:tcPr/>
          <w:p>
            <w:pPr>
              <w:pStyle w:val="Compact"/>
              <w:jc w:val="right"/>
            </w:pPr>
            <w:r>
              <w:t xml:space="preserve">1.311</w:t>
            </w:r>
          </w:p>
        </w:tc>
      </w:tr>
      <w:tr>
        <w:tc>
          <w:tcPr/>
          <w:p>
            <w:pPr>
              <w:pStyle w:val="Compact"/>
              <w:jc w:val="left"/>
            </w:pPr>
            <w:r>
              <w:t xml:space="preserve">17/06/2024</w:t>
            </w:r>
          </w:p>
        </w:tc>
        <w:tc>
          <w:tcPr/>
          <w:p>
            <w:pPr>
              <w:pStyle w:val="Compact"/>
              <w:jc w:val="left"/>
            </w:pPr>
            <w:r>
              <w:t xml:space="preserve">53,19</w:t>
            </w:r>
          </w:p>
        </w:tc>
        <w:tc>
          <w:tcPr/>
          <w:p>
            <w:pPr>
              <w:pStyle w:val="Compact"/>
              <w:jc w:val="right"/>
            </w:pPr>
            <w:r>
              <w:t xml:space="preserve">0.02991</w:t>
            </w:r>
          </w:p>
        </w:tc>
        <w:tc>
          <w:tcPr/>
          <w:p>
            <w:pPr>
              <w:pStyle w:val="Compact"/>
              <w:jc w:val="left"/>
            </w:pPr>
            <w:r>
              <w:t xml:space="preserve">2,991 %</w:t>
            </w:r>
          </w:p>
        </w:tc>
        <w:tc>
          <w:tcPr/>
          <w:p>
            <w:pPr>
              <w:pStyle w:val="Compact"/>
              <w:jc w:val="left"/>
            </w:pPr>
            <w:r>
              <w:t xml:space="preserve">30/12/2022</w:t>
            </w:r>
          </w:p>
        </w:tc>
        <w:tc>
          <w:tcPr/>
          <w:p>
            <w:pPr>
              <w:pStyle w:val="Compact"/>
              <w:jc w:val="right"/>
            </w:pPr>
            <w:r>
              <w:t xml:space="preserve">1.486</w:t>
            </w:r>
          </w:p>
        </w:tc>
      </w:tr>
      <w:tr>
        <w:tc>
          <w:tcPr/>
          <w:p>
            <w:pPr>
              <w:pStyle w:val="Compact"/>
              <w:jc w:val="left"/>
            </w:pPr>
            <w:r>
              <w:t xml:space="preserve">15/07/2024</w:t>
            </w:r>
          </w:p>
        </w:tc>
        <w:tc>
          <w:tcPr/>
          <w:p>
            <w:pPr>
              <w:pStyle w:val="Compact"/>
              <w:jc w:val="left"/>
            </w:pPr>
            <w:r>
              <w:t xml:space="preserve">149,79</w:t>
            </w:r>
          </w:p>
        </w:tc>
        <w:tc>
          <w:tcPr/>
          <w:p>
            <w:pPr>
              <w:pStyle w:val="Compact"/>
              <w:jc w:val="right"/>
            </w:pPr>
            <w:r>
              <w:t xml:space="preserve">0.02989</w:t>
            </w:r>
          </w:p>
        </w:tc>
        <w:tc>
          <w:tcPr/>
          <w:p>
            <w:pPr>
              <w:pStyle w:val="Compact"/>
              <w:jc w:val="left"/>
            </w:pPr>
            <w:r>
              <w:t xml:space="preserve">2,989 %</w:t>
            </w:r>
          </w:p>
        </w:tc>
        <w:tc>
          <w:tcPr/>
          <w:p>
            <w:pPr>
              <w:pStyle w:val="Compact"/>
              <w:jc w:val="left"/>
            </w:pPr>
            <w:r>
              <w:t xml:space="preserve">30/12/2022</w:t>
            </w:r>
          </w:p>
        </w:tc>
        <w:tc>
          <w:tcPr/>
          <w:p>
            <w:pPr>
              <w:pStyle w:val="Compact"/>
              <w:jc w:val="right"/>
            </w:pPr>
            <w:r>
              <w:t xml:space="preserve">1.564</w:t>
            </w:r>
          </w:p>
        </w:tc>
      </w:tr>
      <w:tr>
        <w:tc>
          <w:tcPr/>
          <w:p>
            <w:pPr>
              <w:pStyle w:val="Compact"/>
              <w:jc w:val="left"/>
            </w:pPr>
            <w:r>
              <w:t xml:space="preserve">16/09/2024</w:t>
            </w:r>
          </w:p>
        </w:tc>
        <w:tc>
          <w:tcPr/>
          <w:p>
            <w:pPr>
              <w:pStyle w:val="Compact"/>
              <w:jc w:val="left"/>
            </w:pPr>
            <w:r>
              <w:t xml:space="preserve">69,58</w:t>
            </w:r>
          </w:p>
        </w:tc>
        <w:tc>
          <w:tcPr/>
          <w:p>
            <w:pPr>
              <w:pStyle w:val="Compact"/>
              <w:jc w:val="right"/>
            </w:pPr>
            <w:r>
              <w:t xml:space="preserve">0.03050</w:t>
            </w:r>
          </w:p>
        </w:tc>
        <w:tc>
          <w:tcPr/>
          <w:p>
            <w:pPr>
              <w:pStyle w:val="Compact"/>
              <w:jc w:val="left"/>
            </w:pPr>
            <w:r>
              <w:t xml:space="preserve">3,050 %</w:t>
            </w:r>
          </w:p>
        </w:tc>
        <w:tc>
          <w:tcPr/>
          <w:p>
            <w:pPr>
              <w:pStyle w:val="Compact"/>
              <w:jc w:val="left"/>
            </w:pPr>
            <w:r>
              <w:t xml:space="preserve">30/12/2022</w:t>
            </w:r>
          </w:p>
        </w:tc>
        <w:tc>
          <w:tcPr/>
          <w:p>
            <w:pPr>
              <w:pStyle w:val="Compact"/>
              <w:jc w:val="right"/>
            </w:pPr>
            <w:r>
              <w:t xml:space="preserve">1.739</w:t>
            </w:r>
          </w:p>
        </w:tc>
      </w:tr>
      <w:tr>
        <w:tc>
          <w:tcPr/>
          <w:p>
            <w:pPr>
              <w:pStyle w:val="Compact"/>
              <w:jc w:val="left"/>
            </w:pPr>
            <w:r>
              <w:t xml:space="preserve">20/10/2025</w:t>
            </w:r>
          </w:p>
        </w:tc>
        <w:tc>
          <w:tcPr/>
          <w:p>
            <w:pPr>
              <w:pStyle w:val="Compact"/>
              <w:jc w:val="left"/>
            </w:pPr>
            <w:r>
              <w:t xml:space="preserve">100,50</w:t>
            </w:r>
          </w:p>
        </w:tc>
        <w:tc>
          <w:tcPr/>
          <w:p>
            <w:pPr>
              <w:pStyle w:val="Compact"/>
              <w:jc w:val="right"/>
            </w:pPr>
            <w:r>
              <w:t xml:space="preserve">0.02980</w:t>
            </w:r>
          </w:p>
        </w:tc>
        <w:tc>
          <w:tcPr/>
          <w:p>
            <w:pPr>
              <w:pStyle w:val="Compact"/>
              <w:jc w:val="left"/>
            </w:pPr>
            <w:r>
              <w:t xml:space="preserve">2,980 %</w:t>
            </w:r>
          </w:p>
        </w:tc>
        <w:tc>
          <w:tcPr/>
          <w:p>
            <w:pPr>
              <w:pStyle w:val="Compact"/>
              <w:jc w:val="left"/>
            </w:pPr>
            <w:r>
              <w:t xml:space="preserve">30/12/2022</w:t>
            </w:r>
          </w:p>
        </w:tc>
        <w:tc>
          <w:tcPr/>
          <w:p>
            <w:pPr>
              <w:pStyle w:val="Compact"/>
              <w:jc w:val="right"/>
            </w:pPr>
            <w:r>
              <w:t xml:space="preserve">2.847</w:t>
            </w:r>
          </w:p>
        </w:tc>
      </w:tr>
      <w:tr>
        <w:tc>
          <w:tcPr/>
          <w:p>
            <w:pPr>
              <w:pStyle w:val="Compact"/>
              <w:jc w:val="left"/>
            </w:pPr>
            <w:r>
              <w:t xml:space="preserve">20/04/2026</w:t>
            </w:r>
          </w:p>
        </w:tc>
        <w:tc>
          <w:tcPr/>
          <w:p>
            <w:pPr>
              <w:pStyle w:val="Compact"/>
              <w:jc w:val="left"/>
            </w:pPr>
            <w:r>
              <w:t xml:space="preserve">138,51</w:t>
            </w:r>
          </w:p>
        </w:tc>
        <w:tc>
          <w:tcPr/>
          <w:p>
            <w:pPr>
              <w:pStyle w:val="Compact"/>
              <w:jc w:val="right"/>
            </w:pPr>
            <w:r>
              <w:t xml:space="preserve">0.02941</w:t>
            </w:r>
          </w:p>
        </w:tc>
        <w:tc>
          <w:tcPr/>
          <w:p>
            <w:pPr>
              <w:pStyle w:val="Compact"/>
              <w:jc w:val="left"/>
            </w:pPr>
            <w:r>
              <w:t xml:space="preserve">2,941 %</w:t>
            </w:r>
          </w:p>
        </w:tc>
        <w:tc>
          <w:tcPr/>
          <w:p>
            <w:pPr>
              <w:pStyle w:val="Compact"/>
              <w:jc w:val="left"/>
            </w:pPr>
            <w:r>
              <w:t xml:space="preserve">30/12/2022</w:t>
            </w:r>
          </w:p>
        </w:tc>
        <w:tc>
          <w:tcPr/>
          <w:p>
            <w:pPr>
              <w:pStyle w:val="Compact"/>
              <w:jc w:val="right"/>
            </w:pPr>
            <w:r>
              <w:t xml:space="preserve">3.353</w:t>
            </w:r>
          </w:p>
        </w:tc>
      </w:tr>
      <w:tr>
        <w:tc>
          <w:tcPr/>
          <w:p>
            <w:pPr>
              <w:pStyle w:val="Compact"/>
              <w:jc w:val="left"/>
            </w:pPr>
            <w:r>
              <w:t xml:space="preserve">16/04/2029</w:t>
            </w:r>
          </w:p>
        </w:tc>
        <w:tc>
          <w:tcPr/>
          <w:p>
            <w:pPr>
              <w:pStyle w:val="Compact"/>
              <w:jc w:val="left"/>
            </w:pPr>
            <w:r>
              <w:t xml:space="preserve">118,63</w:t>
            </w:r>
          </w:p>
        </w:tc>
        <w:tc>
          <w:tcPr/>
          <w:p>
            <w:pPr>
              <w:pStyle w:val="Compact"/>
              <w:jc w:val="right"/>
            </w:pPr>
            <w:r>
              <w:t xml:space="preserve">0.03003</w:t>
            </w:r>
          </w:p>
        </w:tc>
        <w:tc>
          <w:tcPr/>
          <w:p>
            <w:pPr>
              <w:pStyle w:val="Compact"/>
              <w:jc w:val="left"/>
            </w:pPr>
            <w:r>
              <w:t xml:space="preserve">3,003 %</w:t>
            </w:r>
          </w:p>
        </w:tc>
        <w:tc>
          <w:tcPr/>
          <w:p>
            <w:pPr>
              <w:pStyle w:val="Compact"/>
              <w:jc w:val="left"/>
            </w:pPr>
            <w:r>
              <w:t xml:space="preserve">30/12/2022</w:t>
            </w:r>
          </w:p>
        </w:tc>
        <w:tc>
          <w:tcPr/>
          <w:p>
            <w:pPr>
              <w:pStyle w:val="Compact"/>
              <w:jc w:val="right"/>
            </w:pPr>
            <w:r>
              <w:t xml:space="preserve">6.386</w:t>
            </w:r>
          </w:p>
        </w:tc>
      </w:tr>
      <w:tr>
        <w:tc>
          <w:tcPr/>
          <w:p>
            <w:pPr>
              <w:pStyle w:val="Compact"/>
              <w:jc w:val="left"/>
            </w:pPr>
            <w:r>
              <w:t xml:space="preserve">18/06/2029</w:t>
            </w:r>
          </w:p>
        </w:tc>
        <w:tc>
          <w:tcPr/>
          <w:p>
            <w:pPr>
              <w:pStyle w:val="Compact"/>
              <w:jc w:val="left"/>
            </w:pPr>
            <w:r>
              <w:t xml:space="preserve">115,57</w:t>
            </w:r>
          </w:p>
        </w:tc>
        <w:tc>
          <w:tcPr/>
          <w:p>
            <w:pPr>
              <w:pStyle w:val="Compact"/>
              <w:jc w:val="right"/>
            </w:pPr>
            <w:r>
              <w:t xml:space="preserve">0.03011</w:t>
            </w:r>
          </w:p>
        </w:tc>
        <w:tc>
          <w:tcPr/>
          <w:p>
            <w:pPr>
              <w:pStyle w:val="Compact"/>
              <w:jc w:val="left"/>
            </w:pPr>
            <w:r>
              <w:t xml:space="preserve">3,011 %</w:t>
            </w:r>
          </w:p>
        </w:tc>
        <w:tc>
          <w:tcPr/>
          <w:p>
            <w:pPr>
              <w:pStyle w:val="Compact"/>
              <w:jc w:val="left"/>
            </w:pPr>
            <w:r>
              <w:t xml:space="preserve">30/12/2022</w:t>
            </w:r>
          </w:p>
        </w:tc>
        <w:tc>
          <w:tcPr/>
          <w:p>
            <w:pPr>
              <w:pStyle w:val="Compact"/>
              <w:jc w:val="right"/>
            </w:pPr>
            <w:r>
              <w:t xml:space="preserve">6.561</w:t>
            </w:r>
          </w:p>
        </w:tc>
      </w:tr>
      <w:tr>
        <w:tc>
          <w:tcPr/>
          <w:p>
            <w:pPr>
              <w:pStyle w:val="Compact"/>
              <w:jc w:val="left"/>
            </w:pPr>
            <w:r>
              <w:t xml:space="preserve">16/06/2031</w:t>
            </w:r>
          </w:p>
        </w:tc>
        <w:tc>
          <w:tcPr/>
          <w:p>
            <w:pPr>
              <w:pStyle w:val="Compact"/>
              <w:jc w:val="left"/>
            </w:pPr>
            <w:r>
              <w:t xml:space="preserve">274,67</w:t>
            </w:r>
          </w:p>
        </w:tc>
        <w:tc>
          <w:tcPr/>
          <w:p>
            <w:pPr>
              <w:pStyle w:val="Compact"/>
              <w:jc w:val="right"/>
            </w:pPr>
            <w:r>
              <w:t xml:space="preserve">0.03126</w:t>
            </w:r>
          </w:p>
        </w:tc>
        <w:tc>
          <w:tcPr/>
          <w:p>
            <w:pPr>
              <w:pStyle w:val="Compact"/>
              <w:jc w:val="left"/>
            </w:pPr>
            <w:r>
              <w:t xml:space="preserve">3,126 %</w:t>
            </w:r>
          </w:p>
        </w:tc>
        <w:tc>
          <w:tcPr/>
          <w:p>
            <w:pPr>
              <w:pStyle w:val="Compact"/>
              <w:jc w:val="left"/>
            </w:pPr>
            <w:r>
              <w:t xml:space="preserve">30/12/2022</w:t>
            </w:r>
          </w:p>
        </w:tc>
        <w:tc>
          <w:tcPr/>
          <w:p>
            <w:pPr>
              <w:pStyle w:val="Compact"/>
              <w:jc w:val="right"/>
            </w:pPr>
            <w:r>
              <w:t xml:space="preserve">8.583</w:t>
            </w:r>
          </w:p>
        </w:tc>
      </w:tr>
      <w:tr>
        <w:tc>
          <w:tcPr/>
          <w:p>
            <w:pPr>
              <w:pStyle w:val="Compact"/>
              <w:jc w:val="left"/>
            </w:pPr>
            <w:r>
              <w:t xml:space="preserve">18/07/2033</w:t>
            </w:r>
          </w:p>
        </w:tc>
        <w:tc>
          <w:tcPr/>
          <w:p>
            <w:pPr>
              <w:pStyle w:val="Compact"/>
              <w:jc w:val="left"/>
            </w:pPr>
            <w:r>
              <w:t xml:space="preserve">317,93</w:t>
            </w:r>
          </w:p>
        </w:tc>
        <w:tc>
          <w:tcPr/>
          <w:p>
            <w:pPr>
              <w:pStyle w:val="Compact"/>
              <w:jc w:val="right"/>
            </w:pPr>
            <w:r>
              <w:t xml:space="preserve">0.03211</w:t>
            </w:r>
          </w:p>
        </w:tc>
        <w:tc>
          <w:tcPr/>
          <w:p>
            <w:pPr>
              <w:pStyle w:val="Compact"/>
              <w:jc w:val="left"/>
            </w:pPr>
            <w:r>
              <w:t xml:space="preserve">3,211 %</w:t>
            </w:r>
          </w:p>
        </w:tc>
        <w:tc>
          <w:tcPr/>
          <w:p>
            <w:pPr>
              <w:pStyle w:val="Compact"/>
              <w:jc w:val="left"/>
            </w:pPr>
            <w:r>
              <w:t xml:space="preserve">30/12/2022</w:t>
            </w:r>
          </w:p>
        </w:tc>
        <w:tc>
          <w:tcPr/>
          <w:p>
            <w:pPr>
              <w:pStyle w:val="Compact"/>
              <w:jc w:val="right"/>
            </w:pPr>
            <w:r>
              <w:t xml:space="preserve">10.703</w:t>
            </w:r>
          </w:p>
        </w:tc>
      </w:tr>
      <w:tr>
        <w:tc>
          <w:tcPr/>
          <w:p>
            <w:pPr>
              <w:pStyle w:val="Compact"/>
              <w:jc w:val="left"/>
            </w:pPr>
            <w:r>
              <w:t xml:space="preserve">17/07/2034</w:t>
            </w:r>
          </w:p>
        </w:tc>
        <w:tc>
          <w:tcPr/>
          <w:p>
            <w:pPr>
              <w:pStyle w:val="Compact"/>
              <w:jc w:val="left"/>
            </w:pPr>
            <w:r>
              <w:t xml:space="preserve">61,82</w:t>
            </w:r>
          </w:p>
        </w:tc>
        <w:tc>
          <w:tcPr/>
          <w:p>
            <w:pPr>
              <w:pStyle w:val="Compact"/>
              <w:jc w:val="right"/>
            </w:pPr>
            <w:r>
              <w:t xml:space="preserve">0.03346</w:t>
            </w:r>
          </w:p>
        </w:tc>
        <w:tc>
          <w:tcPr/>
          <w:p>
            <w:pPr>
              <w:pStyle w:val="Compact"/>
              <w:jc w:val="left"/>
            </w:pPr>
            <w:r>
              <w:t xml:space="preserve">3,346 %</w:t>
            </w:r>
          </w:p>
        </w:tc>
        <w:tc>
          <w:tcPr/>
          <w:p>
            <w:pPr>
              <w:pStyle w:val="Compact"/>
              <w:jc w:val="left"/>
            </w:pPr>
            <w:r>
              <w:t xml:space="preserve">30/12/2022</w:t>
            </w:r>
          </w:p>
        </w:tc>
        <w:tc>
          <w:tcPr/>
          <w:p>
            <w:pPr>
              <w:pStyle w:val="Compact"/>
              <w:jc w:val="right"/>
            </w:pPr>
            <w:r>
              <w:t xml:space="preserve">11.714</w:t>
            </w:r>
          </w:p>
        </w:tc>
      </w:tr>
      <w:tr>
        <w:tc>
          <w:tcPr/>
          <w:p>
            <w:pPr>
              <w:pStyle w:val="Compact"/>
              <w:jc w:val="left"/>
            </w:pPr>
            <w:r>
              <w:t xml:space="preserve">16/07/2035</w:t>
            </w:r>
          </w:p>
        </w:tc>
        <w:tc>
          <w:tcPr/>
          <w:p>
            <w:pPr>
              <w:pStyle w:val="Compact"/>
              <w:jc w:val="left"/>
            </w:pPr>
            <w:r>
              <w:t xml:space="preserve">356,46</w:t>
            </w:r>
          </w:p>
        </w:tc>
        <w:tc>
          <w:tcPr/>
          <w:p>
            <w:pPr>
              <w:pStyle w:val="Compact"/>
              <w:jc w:val="right"/>
            </w:pPr>
            <w:r>
              <w:t xml:space="preserve">0.03279</w:t>
            </w:r>
          </w:p>
        </w:tc>
        <w:tc>
          <w:tcPr/>
          <w:p>
            <w:pPr>
              <w:pStyle w:val="Compact"/>
              <w:jc w:val="left"/>
            </w:pPr>
            <w:r>
              <w:t xml:space="preserve">3,279 %</w:t>
            </w:r>
          </w:p>
        </w:tc>
        <w:tc>
          <w:tcPr/>
          <w:p>
            <w:pPr>
              <w:pStyle w:val="Compact"/>
              <w:jc w:val="left"/>
            </w:pPr>
            <w:r>
              <w:t xml:space="preserve">30/12/2022</w:t>
            </w:r>
          </w:p>
        </w:tc>
        <w:tc>
          <w:tcPr/>
          <w:p>
            <w:pPr>
              <w:pStyle w:val="Compact"/>
              <w:jc w:val="right"/>
            </w:pPr>
            <w:r>
              <w:t xml:space="preserve">12.725</w:t>
            </w:r>
          </w:p>
        </w:tc>
      </w:tr>
      <w:tr>
        <w:tc>
          <w:tcPr/>
          <w:p>
            <w:pPr>
              <w:pStyle w:val="Compact"/>
              <w:jc w:val="left"/>
            </w:pPr>
            <w:r>
              <w:t xml:space="preserve">18/08/2036</w:t>
            </w:r>
          </w:p>
        </w:tc>
        <w:tc>
          <w:tcPr/>
          <w:p>
            <w:pPr>
              <w:pStyle w:val="Compact"/>
              <w:jc w:val="left"/>
            </w:pPr>
            <w:r>
              <w:t xml:space="preserve">36,32</w:t>
            </w:r>
          </w:p>
        </w:tc>
        <w:tc>
          <w:tcPr/>
          <w:p>
            <w:pPr>
              <w:pStyle w:val="Compact"/>
              <w:jc w:val="right"/>
            </w:pPr>
            <w:r>
              <w:t xml:space="preserve">0.03374</w:t>
            </w:r>
          </w:p>
        </w:tc>
        <w:tc>
          <w:tcPr/>
          <w:p>
            <w:pPr>
              <w:pStyle w:val="Compact"/>
              <w:jc w:val="left"/>
            </w:pPr>
            <w:r>
              <w:t xml:space="preserve">3,374 %</w:t>
            </w:r>
          </w:p>
        </w:tc>
        <w:tc>
          <w:tcPr/>
          <w:p>
            <w:pPr>
              <w:pStyle w:val="Compact"/>
              <w:jc w:val="left"/>
            </w:pPr>
            <w:r>
              <w:t xml:space="preserve">30/12/2022</w:t>
            </w:r>
          </w:p>
        </w:tc>
        <w:tc>
          <w:tcPr/>
          <w:p>
            <w:pPr>
              <w:pStyle w:val="Compact"/>
              <w:jc w:val="right"/>
            </w:pPr>
            <w:r>
              <w:t xml:space="preserve">13.833</w:t>
            </w:r>
          </w:p>
        </w:tc>
      </w:tr>
      <w:tr>
        <w:tc>
          <w:tcPr/>
          <w:p>
            <w:pPr>
              <w:pStyle w:val="Compact"/>
              <w:jc w:val="left"/>
            </w:pPr>
            <w:r>
              <w:t xml:space="preserve">16/08/2038</w:t>
            </w:r>
          </w:p>
        </w:tc>
        <w:tc>
          <w:tcPr/>
          <w:p>
            <w:pPr>
              <w:pStyle w:val="Compact"/>
              <w:jc w:val="left"/>
            </w:pPr>
            <w:r>
              <w:t xml:space="preserve">135,19</w:t>
            </w:r>
          </w:p>
        </w:tc>
        <w:tc>
          <w:tcPr/>
          <w:p>
            <w:pPr>
              <w:pStyle w:val="Compact"/>
              <w:jc w:val="right"/>
            </w:pPr>
            <w:r>
              <w:t xml:space="preserve">0.03433</w:t>
            </w:r>
          </w:p>
        </w:tc>
        <w:tc>
          <w:tcPr/>
          <w:p>
            <w:pPr>
              <w:pStyle w:val="Compact"/>
              <w:jc w:val="left"/>
            </w:pPr>
            <w:r>
              <w:t xml:space="preserve">3,433 %</w:t>
            </w:r>
          </w:p>
        </w:tc>
        <w:tc>
          <w:tcPr/>
          <w:p>
            <w:pPr>
              <w:pStyle w:val="Compact"/>
              <w:jc w:val="left"/>
            </w:pPr>
            <w:r>
              <w:t xml:space="preserve">30/12/2022</w:t>
            </w:r>
          </w:p>
        </w:tc>
        <w:tc>
          <w:tcPr/>
          <w:p>
            <w:pPr>
              <w:pStyle w:val="Compact"/>
              <w:jc w:val="right"/>
            </w:pPr>
            <w:r>
              <w:t xml:space="preserve">15.856</w:t>
            </w:r>
          </w:p>
        </w:tc>
      </w:tr>
      <w:tr>
        <w:tc>
          <w:tcPr/>
          <w:p>
            <w:pPr>
              <w:pStyle w:val="Compact"/>
              <w:jc w:val="left"/>
            </w:pPr>
            <w:r>
              <w:t xml:space="preserve">16/04/2040</w:t>
            </w:r>
          </w:p>
        </w:tc>
        <w:tc>
          <w:tcPr/>
          <w:p>
            <w:pPr>
              <w:pStyle w:val="Compact"/>
              <w:jc w:val="left"/>
            </w:pPr>
            <w:r>
              <w:t xml:space="preserve">15,09</w:t>
            </w:r>
          </w:p>
        </w:tc>
        <w:tc>
          <w:tcPr/>
          <w:p>
            <w:pPr>
              <w:pStyle w:val="Compact"/>
              <w:jc w:val="right"/>
            </w:pPr>
            <w:r>
              <w:t xml:space="preserve">0.03488</w:t>
            </w:r>
          </w:p>
        </w:tc>
        <w:tc>
          <w:tcPr/>
          <w:p>
            <w:pPr>
              <w:pStyle w:val="Compact"/>
              <w:jc w:val="left"/>
            </w:pPr>
            <w:r>
              <w:t xml:space="preserve">3,488 %</w:t>
            </w:r>
          </w:p>
        </w:tc>
        <w:tc>
          <w:tcPr/>
          <w:p>
            <w:pPr>
              <w:pStyle w:val="Compact"/>
              <w:jc w:val="left"/>
            </w:pPr>
            <w:r>
              <w:t xml:space="preserve">30/12/2022</w:t>
            </w:r>
          </w:p>
        </w:tc>
        <w:tc>
          <w:tcPr/>
          <w:p>
            <w:pPr>
              <w:pStyle w:val="Compact"/>
              <w:jc w:val="right"/>
            </w:pPr>
            <w:r>
              <w:t xml:space="preserve">17.547</w:t>
            </w:r>
          </w:p>
        </w:tc>
      </w:tr>
      <w:tr>
        <w:tc>
          <w:tcPr/>
          <w:p>
            <w:pPr>
              <w:pStyle w:val="Compact"/>
              <w:jc w:val="left"/>
            </w:pPr>
            <w:r>
              <w:t xml:space="preserve">19/02/2046</w:t>
            </w:r>
          </w:p>
        </w:tc>
        <w:tc>
          <w:tcPr/>
          <w:p>
            <w:pPr>
              <w:pStyle w:val="Compact"/>
              <w:jc w:val="left"/>
            </w:pPr>
            <w:r>
              <w:t xml:space="preserve">21,09</w:t>
            </w:r>
          </w:p>
        </w:tc>
        <w:tc>
          <w:tcPr/>
          <w:p>
            <w:pPr>
              <w:pStyle w:val="Compact"/>
              <w:jc w:val="right"/>
            </w:pPr>
            <w:r>
              <w:t xml:space="preserve">0.03614</w:t>
            </w:r>
          </w:p>
        </w:tc>
        <w:tc>
          <w:tcPr/>
          <w:p>
            <w:pPr>
              <w:pStyle w:val="Compact"/>
              <w:jc w:val="left"/>
            </w:pPr>
            <w:r>
              <w:t xml:space="preserve">3,614 %</w:t>
            </w:r>
          </w:p>
        </w:tc>
        <w:tc>
          <w:tcPr/>
          <w:p>
            <w:pPr>
              <w:pStyle w:val="Compact"/>
              <w:jc w:val="left"/>
            </w:pPr>
            <w:r>
              <w:t xml:space="preserve">30/12/2022</w:t>
            </w:r>
          </w:p>
        </w:tc>
        <w:tc>
          <w:tcPr/>
          <w:p>
            <w:pPr>
              <w:pStyle w:val="Compact"/>
              <w:jc w:val="right"/>
            </w:pPr>
            <w:r>
              <w:t xml:space="preserve">23.478</w:t>
            </w:r>
          </w:p>
        </w:tc>
      </w:tr>
      <w:tr>
        <w:tc>
          <w:tcPr/>
          <w:p>
            <w:pPr>
              <w:pStyle w:val="Compact"/>
              <w:jc w:val="left"/>
            </w:pPr>
            <w:r>
              <w:t xml:space="preserve">14/02/2050</w:t>
            </w:r>
          </w:p>
        </w:tc>
        <w:tc>
          <w:tcPr/>
          <w:p>
            <w:pPr>
              <w:pStyle w:val="Compact"/>
              <w:jc w:val="left"/>
            </w:pPr>
            <w:r>
              <w:t xml:space="preserve">13,91</w:t>
            </w:r>
          </w:p>
        </w:tc>
        <w:tc>
          <w:tcPr/>
          <w:p>
            <w:pPr>
              <w:pStyle w:val="Compact"/>
              <w:jc w:val="right"/>
            </w:pPr>
            <w:r>
              <w:t xml:space="preserve">0.03789</w:t>
            </w:r>
          </w:p>
        </w:tc>
        <w:tc>
          <w:tcPr/>
          <w:p>
            <w:pPr>
              <w:pStyle w:val="Compact"/>
              <w:jc w:val="left"/>
            </w:pPr>
            <w:r>
              <w:t xml:space="preserve">3,789 %</w:t>
            </w:r>
          </w:p>
        </w:tc>
        <w:tc>
          <w:tcPr/>
          <w:p>
            <w:pPr>
              <w:pStyle w:val="Compact"/>
              <w:jc w:val="left"/>
            </w:pPr>
            <w:r>
              <w:t xml:space="preserve">30/12/2022</w:t>
            </w:r>
          </w:p>
        </w:tc>
        <w:tc>
          <w:tcPr/>
          <w:p>
            <w:pPr>
              <w:pStyle w:val="Compact"/>
              <w:jc w:val="right"/>
            </w:pPr>
            <w:r>
              <w:t xml:space="preserve">27.522</w:t>
            </w:r>
          </w:p>
        </w:tc>
      </w:tr>
      <w:tr>
        <w:tc>
          <w:tcPr/>
          <w:p>
            <w:pPr>
              <w:pStyle w:val="Compact"/>
              <w:jc w:val="left"/>
            </w:pPr>
            <w:r>
              <w:t xml:space="preserve">20/02/2051</w:t>
            </w:r>
          </w:p>
        </w:tc>
        <w:tc>
          <w:tcPr/>
          <w:p>
            <w:pPr>
              <w:pStyle w:val="Compact"/>
              <w:jc w:val="left"/>
            </w:pPr>
            <w:r>
              <w:t xml:space="preserve">135,76</w:t>
            </w:r>
          </w:p>
        </w:tc>
        <w:tc>
          <w:tcPr/>
          <w:p>
            <w:pPr>
              <w:pStyle w:val="Compact"/>
              <w:jc w:val="right"/>
            </w:pPr>
            <w:r>
              <w:t xml:space="preserve">0.03612</w:t>
            </w:r>
          </w:p>
        </w:tc>
        <w:tc>
          <w:tcPr/>
          <w:p>
            <w:pPr>
              <w:pStyle w:val="Compact"/>
              <w:jc w:val="left"/>
            </w:pPr>
            <w:r>
              <w:t xml:space="preserve">3,612 %</w:t>
            </w:r>
          </w:p>
        </w:tc>
        <w:tc>
          <w:tcPr/>
          <w:p>
            <w:pPr>
              <w:pStyle w:val="Compact"/>
              <w:jc w:val="left"/>
            </w:pPr>
            <w:r>
              <w:t xml:space="preserve">30/12/2022</w:t>
            </w:r>
          </w:p>
        </w:tc>
        <w:tc>
          <w:tcPr/>
          <w:p>
            <w:pPr>
              <w:pStyle w:val="Compact"/>
              <w:jc w:val="right"/>
            </w:pPr>
            <w:r>
              <w:t xml:space="preserve">28.553</w:t>
            </w:r>
          </w:p>
        </w:tc>
      </w:tr>
    </w:tbl>
    <w:bookmarkEnd w:id="48"/>
    <w:p>
      <w:pPr>
        <w:pStyle w:val="BodyText"/>
      </w:pPr>
      <w:r>
        <w:t xml:space="preserve">La construction de la courbe des taux zéro-coupon passe par les étapes suivantes :</w:t>
      </w:r>
    </w:p>
    <w:p>
      <w:pPr>
        <w:numPr>
          <w:ilvl w:val="0"/>
          <w:numId w:val="1009"/>
        </w:numPr>
        <w:pStyle w:val="Compact"/>
      </w:pPr>
      <w:r>
        <w:t xml:space="preserve">1-ère étape : Transformation des taux monétaires en taux actuariels.</w:t>
      </w:r>
    </w:p>
    <w:p>
      <w:pPr>
        <w:numPr>
          <w:ilvl w:val="0"/>
          <w:numId w:val="1009"/>
        </w:numPr>
        <w:pStyle w:val="Compact"/>
      </w:pPr>
      <w:r>
        <w:t xml:space="preserve">2-ème étape : Interpolation linéaire afin d’obtenir des taux actuariels pour des maturités pleines.</w:t>
      </w:r>
    </w:p>
    <w:p>
      <w:pPr>
        <w:numPr>
          <w:ilvl w:val="0"/>
          <w:numId w:val="1009"/>
        </w:numPr>
        <w:pStyle w:val="Compact"/>
      </w:pPr>
      <w:r>
        <w:t xml:space="preserve">3-ème étape : Calcule des taux zéro coupons à partir des taux actuariels des maturités pleines par la Méthode du Bootstrap.</w:t>
      </w:r>
    </w:p>
    <w:p>
      <w:pPr>
        <w:numPr>
          <w:ilvl w:val="0"/>
          <w:numId w:val="1009"/>
        </w:numPr>
        <w:pStyle w:val="Compact"/>
      </w:pPr>
      <w:r>
        <w:t xml:space="preserve">4-ème étape : Extrapolation de la courbe des taux zéro-coupon pour des maturités non observées lointaines par la méthode de Smith-Wilson.</w:t>
      </w:r>
    </w:p>
    <w:bookmarkStart w:id="51" w:name="Xcbe522a13d0cf3ed962fdea859902dd7c035635"/>
    <w:p>
      <w:pPr>
        <w:pStyle w:val="Heading3"/>
      </w:pPr>
      <w:r>
        <w:t xml:space="preserve">Transformation des taux monétaires en taux actuariels</w:t>
      </w:r>
    </w:p>
    <w:p>
      <w:pPr>
        <w:pStyle w:val="FirstParagraph"/>
      </w:pPr>
      <w:r>
        <w:t xml:space="preserve">Cette étape consiste à transformer les taux monétaires à des taux actuariels en utilisant la relation suivante :</w:t>
      </w:r>
    </w:p>
    <w:p>
      <w:pPr>
        <w:pStyle w:val="BodyText"/>
      </w:pPr>
      <w:bookmarkStart w:id="49" w:name="eq-tm_to_ta"/>
      <m:oMathPara>
        <m:oMathParaPr>
          <m:jc m:val="center"/>
        </m:oMathParaPr>
        <m:oMath>
          <m:sSub>
            <m:e>
              <m:r>
                <m:t>T</m:t>
              </m:r>
            </m:e>
            <m:sub>
              <m:r>
                <m:t>a</m:t>
              </m:r>
            </m:sub>
          </m:sSub>
          <m:r>
            <m:rPr>
              <m:sty m:val="p"/>
            </m:rPr>
            <m:t>=</m:t>
          </m:r>
          <m:sSup>
            <m:e>
              <m:d>
                <m:dPr>
                  <m:begChr m:val="("/>
                  <m:endChr m:val=")"/>
                  <m:sepChr m:val=""/>
                  <m:grow/>
                </m:dPr>
                <m:e>
                  <m:r>
                    <m:t>1</m:t>
                  </m:r>
                  <m:r>
                    <m:rPr>
                      <m:sty m:val="p"/>
                    </m:rPr>
                    <m:t>+</m:t>
                  </m:r>
                  <m:f>
                    <m:fPr>
                      <m:type m:val="bar"/>
                    </m:fPr>
                    <m:num>
                      <m:r>
                        <m:t>n</m:t>
                      </m:r>
                    </m:num>
                    <m:den>
                      <m:r>
                        <m:t>365</m:t>
                      </m:r>
                    </m:den>
                  </m:f>
                  <m:r>
                    <m:rPr>
                      <m:sty m:val="p"/>
                    </m:rPr>
                    <m:t>*</m:t>
                  </m:r>
                  <m:sSub>
                    <m:e>
                      <m:r>
                        <m:t>T</m:t>
                      </m:r>
                    </m:e>
                    <m:sub>
                      <m:r>
                        <m:t>m</m:t>
                      </m:r>
                    </m:sub>
                  </m:sSub>
                </m:e>
              </m:d>
            </m:e>
            <m:sup>
              <m:f>
                <m:fPr>
                  <m:type m:val="bar"/>
                </m:fPr>
                <m:num>
                  <m:r>
                    <m:t>365</m:t>
                  </m:r>
                </m:num>
                <m:den>
                  <m:r>
                    <m:t>n</m:t>
                  </m:r>
                </m:den>
              </m:f>
            </m:sup>
          </m:sSup>
          <m:r>
            <m:rPr>
              <m:sty m:val="p"/>
            </m:rPr>
            <m:t>−</m:t>
          </m:r>
          <m:r>
            <m:t>1</m:t>
          </m:r>
          <m:r>
            <m:rPr>
              <m:sty m:val="p"/>
            </m:rPr>
            <m:t>,</m:t>
          </m:r>
          <m:r>
            <m:t>  </m:t>
          </m:r>
          <m:d>
            <m:dPr>
              <m:begChr m:val="("/>
              <m:endChr m:val=")"/>
              <m:sepChr m:val=""/>
              <m:grow/>
            </m:dPr>
            <m:e>
              <m:r>
                <m:t>1</m:t>
              </m:r>
            </m:e>
          </m:d>
        </m:oMath>
      </m:oMathPara>
      <w:bookmarkEnd w:id="49"/>
    </w:p>
    <w:p>
      <w:pPr>
        <w:pStyle w:val="FirstParagraph"/>
      </w:pPr>
      <w:r>
        <w:t xml:space="preserve">avec :</w:t>
      </w:r>
    </w:p>
    <w:p>
      <w:pPr>
        <w:numPr>
          <w:ilvl w:val="0"/>
          <w:numId w:val="1010"/>
        </w:numPr>
      </w:pPr>
      <m:oMath>
        <m:sSub>
          <m:e>
            <m:r>
              <m:t>T</m:t>
            </m:r>
          </m:e>
          <m:sub>
            <m:r>
              <m:t>a</m:t>
            </m:r>
          </m:sub>
        </m:sSub>
      </m:oMath>
      <w:r>
        <w:t xml:space="preserve"> </w:t>
      </w:r>
      <w:r>
        <w:t xml:space="preserve">: Le taux actuariel.</w:t>
      </w:r>
    </w:p>
    <w:p>
      <w:pPr>
        <w:numPr>
          <w:ilvl w:val="0"/>
          <w:numId w:val="1010"/>
        </w:numPr>
      </w:pPr>
      <m:oMath>
        <m:sSub>
          <m:e>
            <m:r>
              <m:t>T</m:t>
            </m:r>
          </m:e>
          <m:sub>
            <m:r>
              <m:t>m</m:t>
            </m:r>
          </m:sub>
        </m:sSub>
      </m:oMath>
      <w:r>
        <w:t xml:space="preserve"> </w:t>
      </w:r>
      <w:r>
        <w:t xml:space="preserve">: Le taux monétaire.</w:t>
      </w:r>
    </w:p>
    <w:p>
      <w:pPr>
        <w:numPr>
          <w:ilvl w:val="0"/>
          <w:numId w:val="1010"/>
        </w:numPr>
      </w:pPr>
      <m:oMath>
        <m:r>
          <m:t>n</m:t>
        </m:r>
      </m:oMath>
      <w:r>
        <w:t xml:space="preserve"> </w:t>
      </w:r>
      <w:r>
        <w:t xml:space="preserve">: Le nombre de jours entre la date de valeur et la date d’échéance.</w:t>
      </w:r>
    </w:p>
    <w:p>
      <w:pPr>
        <w:numPr>
          <w:ilvl w:val="0"/>
          <w:numId w:val="1010"/>
        </w:numPr>
      </w:pPr>
      <m:oMath>
        <m:f>
          <m:fPr>
            <m:type m:val="bar"/>
          </m:fPr>
          <m:num>
            <m:r>
              <m:t>365</m:t>
            </m:r>
          </m:num>
          <m:den>
            <m:r>
              <m:t>n</m:t>
            </m:r>
          </m:den>
        </m:f>
      </m:oMath>
      <w:r>
        <w:t xml:space="preserve"> </w:t>
      </w:r>
      <w:r>
        <w:t xml:space="preserve">: La maturité.</w:t>
      </w:r>
    </w:p>
    <w:p>
      <w:pPr>
        <w:pStyle w:val="FirstParagraph"/>
      </w:pPr>
      <w:r>
        <w:t xml:space="preserve">Après l’application de cette formule sur Les données de marché marocain (publiées par la BAM), nous avons obtenu les résultats cités dans le tableau suivant :</w:t>
      </w:r>
    </w:p>
    <w:bookmarkStart w:id="50" w:name="tbl-taux_act"/>
    <w:p>
      <w:pPr>
        <w:pStyle w:val="TableCaption"/>
      </w:pPr>
      <w:r>
        <w:t xml:space="preserve">Table 3: Conversion du taux monétaire en taux actuariel</w:t>
      </w:r>
    </w:p>
    <w:tbl>
      <w:tblPr>
        <w:tblStyle w:val="Table"/>
        <w:tblW w:type="auto" w:w="0"/>
        <w:tblLook w:firstRow="1" w:lastRow="0" w:firstColumn="0" w:lastColumn="0" w:noHBand="0" w:noVBand="0" w:val="0020"/>
        <w:jc w:val="start"/>
        <w:tblCaption w:val="Table 3: Conversion du taux monétaire en taux actuariel"/>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0.039</w:t>
            </w:r>
          </w:p>
        </w:tc>
        <w:tc>
          <w:tcPr/>
          <w:p>
            <w:pPr>
              <w:pStyle w:val="Compact"/>
              <w:jc w:val="right"/>
            </w:pPr>
            <w:r>
              <w:t xml:space="preserve">0.03032</w:t>
            </w:r>
          </w:p>
        </w:tc>
        <w:tc>
          <w:tcPr/>
          <w:p>
            <w:pPr>
              <w:pStyle w:val="Compact"/>
              <w:jc w:val="left"/>
            </w:pPr>
            <w:r>
              <w:t xml:space="preserve">3,032%</w:t>
            </w:r>
          </w:p>
        </w:tc>
      </w:tr>
      <w:tr>
        <w:tc>
          <w:tcPr/>
          <w:p>
            <w:pPr>
              <w:pStyle w:val="Compact"/>
              <w:jc w:val="right"/>
            </w:pPr>
            <w:r>
              <w:t xml:space="preserve">0.067</w:t>
            </w:r>
          </w:p>
        </w:tc>
        <w:tc>
          <w:tcPr/>
          <w:p>
            <w:pPr>
              <w:pStyle w:val="Compact"/>
              <w:jc w:val="right"/>
            </w:pPr>
            <w:r>
              <w:t xml:space="preserve">0.03012</w:t>
            </w:r>
          </w:p>
        </w:tc>
        <w:tc>
          <w:tcPr/>
          <w:p>
            <w:pPr>
              <w:pStyle w:val="Compact"/>
              <w:jc w:val="left"/>
            </w:pPr>
            <w:r>
              <w:t xml:space="preserve">3,012%</w:t>
            </w:r>
          </w:p>
        </w:tc>
      </w:tr>
      <w:tr>
        <w:tc>
          <w:tcPr/>
          <w:p>
            <w:pPr>
              <w:pStyle w:val="Compact"/>
              <w:jc w:val="right"/>
            </w:pPr>
            <w:r>
              <w:t xml:space="preserve">0.183</w:t>
            </w:r>
          </w:p>
        </w:tc>
        <w:tc>
          <w:tcPr/>
          <w:p>
            <w:pPr>
              <w:pStyle w:val="Compact"/>
              <w:jc w:val="right"/>
            </w:pPr>
            <w:r>
              <w:t xml:space="preserve">0.03020</w:t>
            </w:r>
          </w:p>
        </w:tc>
        <w:tc>
          <w:tcPr/>
          <w:p>
            <w:pPr>
              <w:pStyle w:val="Compact"/>
              <w:jc w:val="left"/>
            </w:pPr>
            <w:r>
              <w:t xml:space="preserve">3,02%</w:t>
            </w:r>
          </w:p>
        </w:tc>
      </w:tr>
      <w:tr>
        <w:tc>
          <w:tcPr/>
          <w:p>
            <w:pPr>
              <w:pStyle w:val="Compact"/>
              <w:jc w:val="right"/>
            </w:pPr>
            <w:r>
              <w:t xml:space="preserve">0.397</w:t>
            </w:r>
          </w:p>
        </w:tc>
        <w:tc>
          <w:tcPr/>
          <w:p>
            <w:pPr>
              <w:pStyle w:val="Compact"/>
              <w:jc w:val="right"/>
            </w:pPr>
            <w:r>
              <w:t xml:space="preserve">0.03248</w:t>
            </w:r>
          </w:p>
        </w:tc>
        <w:tc>
          <w:tcPr/>
          <w:p>
            <w:pPr>
              <w:pStyle w:val="Compact"/>
              <w:jc w:val="left"/>
            </w:pPr>
            <w:r>
              <w:t xml:space="preserve">3,248%</w:t>
            </w:r>
          </w:p>
        </w:tc>
      </w:tr>
      <w:tr>
        <w:tc>
          <w:tcPr/>
          <w:p>
            <w:pPr>
              <w:pStyle w:val="Compact"/>
              <w:jc w:val="right"/>
            </w:pPr>
            <w:r>
              <w:t xml:space="preserve">0.475</w:t>
            </w:r>
          </w:p>
        </w:tc>
        <w:tc>
          <w:tcPr/>
          <w:p>
            <w:pPr>
              <w:pStyle w:val="Compact"/>
              <w:jc w:val="right"/>
            </w:pPr>
            <w:r>
              <w:t xml:space="preserve">0.03075</w:t>
            </w:r>
          </w:p>
        </w:tc>
        <w:tc>
          <w:tcPr/>
          <w:p>
            <w:pPr>
              <w:pStyle w:val="Compact"/>
              <w:jc w:val="left"/>
            </w:pPr>
            <w:r>
              <w:t xml:space="preserve">3,075%</w:t>
            </w:r>
          </w:p>
        </w:tc>
      </w:tr>
      <w:tr>
        <w:tc>
          <w:tcPr/>
          <w:p>
            <w:pPr>
              <w:pStyle w:val="Compact"/>
              <w:jc w:val="right"/>
            </w:pPr>
            <w:r>
              <w:t xml:space="preserve">0.553</w:t>
            </w:r>
          </w:p>
        </w:tc>
        <w:tc>
          <w:tcPr/>
          <w:p>
            <w:pPr>
              <w:pStyle w:val="Compact"/>
              <w:jc w:val="right"/>
            </w:pPr>
            <w:r>
              <w:t xml:space="preserve">0.03065</w:t>
            </w:r>
          </w:p>
        </w:tc>
        <w:tc>
          <w:tcPr/>
          <w:p>
            <w:pPr>
              <w:pStyle w:val="Compact"/>
              <w:jc w:val="left"/>
            </w:pPr>
            <w:r>
              <w:t xml:space="preserve">3,065%</w:t>
            </w:r>
          </w:p>
        </w:tc>
      </w:tr>
      <w:tr>
        <w:tc>
          <w:tcPr/>
          <w:p>
            <w:pPr>
              <w:pStyle w:val="Compact"/>
              <w:jc w:val="right"/>
            </w:pPr>
            <w:r>
              <w:t xml:space="preserve">0.606</w:t>
            </w:r>
          </w:p>
        </w:tc>
        <w:tc>
          <w:tcPr/>
          <w:p>
            <w:pPr>
              <w:pStyle w:val="Compact"/>
              <w:jc w:val="right"/>
            </w:pPr>
            <w:r>
              <w:t xml:space="preserve">0.03077</w:t>
            </w:r>
          </w:p>
        </w:tc>
        <w:tc>
          <w:tcPr/>
          <w:p>
            <w:pPr>
              <w:pStyle w:val="Compact"/>
              <w:jc w:val="left"/>
            </w:pPr>
            <w:r>
              <w:t xml:space="preserve">3,077%</w:t>
            </w:r>
          </w:p>
        </w:tc>
      </w:tr>
      <w:tr>
        <w:tc>
          <w:tcPr/>
          <w:p>
            <w:pPr>
              <w:pStyle w:val="Compact"/>
              <w:jc w:val="right"/>
            </w:pPr>
            <w:r>
              <w:t xml:space="preserve">0.708</w:t>
            </w:r>
          </w:p>
        </w:tc>
        <w:tc>
          <w:tcPr/>
          <w:p>
            <w:pPr>
              <w:pStyle w:val="Compact"/>
              <w:jc w:val="right"/>
            </w:pPr>
            <w:r>
              <w:t xml:space="preserve">0.03102</w:t>
            </w:r>
          </w:p>
        </w:tc>
        <w:tc>
          <w:tcPr/>
          <w:p>
            <w:pPr>
              <w:pStyle w:val="Compact"/>
              <w:jc w:val="left"/>
            </w:pPr>
            <w:r>
              <w:t xml:space="preserve">3,102%</w:t>
            </w:r>
          </w:p>
        </w:tc>
      </w:tr>
      <w:tr>
        <w:tc>
          <w:tcPr/>
          <w:p>
            <w:pPr>
              <w:pStyle w:val="Compact"/>
              <w:jc w:val="right"/>
            </w:pPr>
            <w:r>
              <w:t xml:space="preserve">0.806</w:t>
            </w:r>
          </w:p>
        </w:tc>
        <w:tc>
          <w:tcPr/>
          <w:p>
            <w:pPr>
              <w:pStyle w:val="Compact"/>
              <w:jc w:val="right"/>
            </w:pPr>
            <w:r>
              <w:t xml:space="preserve">0.03184</w:t>
            </w:r>
          </w:p>
        </w:tc>
        <w:tc>
          <w:tcPr/>
          <w:p>
            <w:pPr>
              <w:pStyle w:val="Compact"/>
              <w:jc w:val="left"/>
            </w:pPr>
            <w:r>
              <w:t xml:space="preserve">3,184%</w:t>
            </w:r>
          </w:p>
        </w:tc>
      </w:tr>
      <w:tr>
        <w:tc>
          <w:tcPr/>
          <w:p>
            <w:pPr>
              <w:pStyle w:val="Compact"/>
              <w:jc w:val="right"/>
            </w:pPr>
            <w:r>
              <w:t xml:space="preserve">1.058</w:t>
            </w:r>
          </w:p>
        </w:tc>
        <w:tc>
          <w:tcPr/>
          <w:p>
            <w:pPr>
              <w:pStyle w:val="Compact"/>
              <w:jc w:val="right"/>
            </w:pPr>
            <w:r>
              <w:t xml:space="preserve">0.02967</w:t>
            </w:r>
          </w:p>
        </w:tc>
        <w:tc>
          <w:tcPr/>
          <w:p>
            <w:pPr>
              <w:pStyle w:val="Compact"/>
              <w:jc w:val="left"/>
            </w:pPr>
            <w:r>
              <w:t xml:space="preserve">2,967%</w:t>
            </w:r>
          </w:p>
        </w:tc>
      </w:tr>
      <w:tr>
        <w:tc>
          <w:tcPr/>
          <w:p>
            <w:pPr>
              <w:pStyle w:val="Compact"/>
              <w:jc w:val="right"/>
            </w:pPr>
            <w:r>
              <w:t xml:space="preserve">1.233</w:t>
            </w:r>
          </w:p>
        </w:tc>
        <w:tc>
          <w:tcPr/>
          <w:p>
            <w:pPr>
              <w:pStyle w:val="Compact"/>
              <w:jc w:val="right"/>
            </w:pPr>
            <w:r>
              <w:t xml:space="preserve">0.02987</w:t>
            </w:r>
          </w:p>
        </w:tc>
        <w:tc>
          <w:tcPr/>
          <w:p>
            <w:pPr>
              <w:pStyle w:val="Compact"/>
              <w:jc w:val="left"/>
            </w:pPr>
            <w:r>
              <w:t xml:space="preserve">2,987%</w:t>
            </w:r>
          </w:p>
        </w:tc>
      </w:tr>
      <w:tr>
        <w:tc>
          <w:tcPr/>
          <w:p>
            <w:pPr>
              <w:pStyle w:val="Compact"/>
              <w:jc w:val="right"/>
            </w:pPr>
            <w:r>
              <w:t xml:space="preserve">1.311</w:t>
            </w:r>
          </w:p>
        </w:tc>
        <w:tc>
          <w:tcPr/>
          <w:p>
            <w:pPr>
              <w:pStyle w:val="Compact"/>
              <w:jc w:val="right"/>
            </w:pPr>
            <w:r>
              <w:t xml:space="preserve">0.02961</w:t>
            </w:r>
          </w:p>
        </w:tc>
        <w:tc>
          <w:tcPr/>
          <w:p>
            <w:pPr>
              <w:pStyle w:val="Compact"/>
              <w:jc w:val="left"/>
            </w:pPr>
            <w:r>
              <w:t xml:space="preserve">2,961%</w:t>
            </w:r>
          </w:p>
        </w:tc>
      </w:tr>
      <w:tr>
        <w:tc>
          <w:tcPr/>
          <w:p>
            <w:pPr>
              <w:pStyle w:val="Compact"/>
              <w:jc w:val="right"/>
            </w:pPr>
            <w:r>
              <w:t xml:space="preserve">1.486</w:t>
            </w:r>
          </w:p>
        </w:tc>
        <w:tc>
          <w:tcPr/>
          <w:p>
            <w:pPr>
              <w:pStyle w:val="Compact"/>
              <w:jc w:val="right"/>
            </w:pPr>
            <w:r>
              <w:t xml:space="preserve">0.02991</w:t>
            </w:r>
          </w:p>
        </w:tc>
        <w:tc>
          <w:tcPr/>
          <w:p>
            <w:pPr>
              <w:pStyle w:val="Compact"/>
              <w:jc w:val="left"/>
            </w:pPr>
            <w:r>
              <w:t xml:space="preserve">2,991%</w:t>
            </w:r>
          </w:p>
        </w:tc>
      </w:tr>
      <w:tr>
        <w:tc>
          <w:tcPr/>
          <w:p>
            <w:pPr>
              <w:pStyle w:val="Compact"/>
              <w:jc w:val="right"/>
            </w:pPr>
            <w:r>
              <w:t xml:space="preserve">1.564</w:t>
            </w:r>
          </w:p>
        </w:tc>
        <w:tc>
          <w:tcPr/>
          <w:p>
            <w:pPr>
              <w:pStyle w:val="Compact"/>
              <w:jc w:val="right"/>
            </w:pPr>
            <w:r>
              <w:t xml:space="preserve">0.02989</w:t>
            </w:r>
          </w:p>
        </w:tc>
        <w:tc>
          <w:tcPr/>
          <w:p>
            <w:pPr>
              <w:pStyle w:val="Compact"/>
              <w:jc w:val="left"/>
            </w:pPr>
            <w:r>
              <w:t xml:space="preserve">2,989%</w:t>
            </w:r>
          </w:p>
        </w:tc>
      </w:tr>
      <w:tr>
        <w:tc>
          <w:tcPr/>
          <w:p>
            <w:pPr>
              <w:pStyle w:val="Compact"/>
              <w:jc w:val="right"/>
            </w:pPr>
            <w:r>
              <w:t xml:space="preserve">1.739</w:t>
            </w:r>
          </w:p>
        </w:tc>
        <w:tc>
          <w:tcPr/>
          <w:p>
            <w:pPr>
              <w:pStyle w:val="Compact"/>
              <w:jc w:val="right"/>
            </w:pPr>
            <w:r>
              <w:t xml:space="preserve">0.03050</w:t>
            </w:r>
          </w:p>
        </w:tc>
        <w:tc>
          <w:tcPr/>
          <w:p>
            <w:pPr>
              <w:pStyle w:val="Compact"/>
              <w:jc w:val="left"/>
            </w:pPr>
            <w:r>
              <w:t xml:space="preserve">3,05%</w:t>
            </w:r>
          </w:p>
        </w:tc>
      </w:tr>
      <w:tr>
        <w:tc>
          <w:tcPr/>
          <w:p>
            <w:pPr>
              <w:pStyle w:val="Compact"/>
              <w:jc w:val="right"/>
            </w:pPr>
            <w:r>
              <w:t xml:space="preserve">2.847</w:t>
            </w:r>
          </w:p>
        </w:tc>
        <w:tc>
          <w:tcPr/>
          <w:p>
            <w:pPr>
              <w:pStyle w:val="Compact"/>
              <w:jc w:val="right"/>
            </w:pPr>
            <w:r>
              <w:t xml:space="preserve">0.02980</w:t>
            </w:r>
          </w:p>
        </w:tc>
        <w:tc>
          <w:tcPr/>
          <w:p>
            <w:pPr>
              <w:pStyle w:val="Compact"/>
              <w:jc w:val="left"/>
            </w:pPr>
            <w:r>
              <w:t xml:space="preserve">2,98%</w:t>
            </w:r>
          </w:p>
        </w:tc>
      </w:tr>
      <w:tr>
        <w:tc>
          <w:tcPr/>
          <w:p>
            <w:pPr>
              <w:pStyle w:val="Compact"/>
              <w:jc w:val="right"/>
            </w:pPr>
            <w:r>
              <w:t xml:space="preserve">3.353</w:t>
            </w:r>
          </w:p>
        </w:tc>
        <w:tc>
          <w:tcPr/>
          <w:p>
            <w:pPr>
              <w:pStyle w:val="Compact"/>
              <w:jc w:val="right"/>
            </w:pPr>
            <w:r>
              <w:t xml:space="preserve">0.02941</w:t>
            </w:r>
          </w:p>
        </w:tc>
        <w:tc>
          <w:tcPr/>
          <w:p>
            <w:pPr>
              <w:pStyle w:val="Compact"/>
              <w:jc w:val="left"/>
            </w:pPr>
            <w:r>
              <w:t xml:space="preserve">2,941%</w:t>
            </w:r>
          </w:p>
        </w:tc>
      </w:tr>
      <w:tr>
        <w:tc>
          <w:tcPr/>
          <w:p>
            <w:pPr>
              <w:pStyle w:val="Compact"/>
              <w:jc w:val="right"/>
            </w:pPr>
            <w:r>
              <w:t xml:space="preserve">6.386</w:t>
            </w:r>
          </w:p>
        </w:tc>
        <w:tc>
          <w:tcPr/>
          <w:p>
            <w:pPr>
              <w:pStyle w:val="Compact"/>
              <w:jc w:val="right"/>
            </w:pPr>
            <w:r>
              <w:t xml:space="preserve">0.03003</w:t>
            </w:r>
          </w:p>
        </w:tc>
        <w:tc>
          <w:tcPr/>
          <w:p>
            <w:pPr>
              <w:pStyle w:val="Compact"/>
              <w:jc w:val="left"/>
            </w:pPr>
            <w:r>
              <w:t xml:space="preserve">3,003%</w:t>
            </w:r>
          </w:p>
        </w:tc>
      </w:tr>
      <w:tr>
        <w:tc>
          <w:tcPr/>
          <w:p>
            <w:pPr>
              <w:pStyle w:val="Compact"/>
              <w:jc w:val="right"/>
            </w:pPr>
            <w:r>
              <w:t xml:space="preserve">6.561</w:t>
            </w:r>
          </w:p>
        </w:tc>
        <w:tc>
          <w:tcPr/>
          <w:p>
            <w:pPr>
              <w:pStyle w:val="Compact"/>
              <w:jc w:val="right"/>
            </w:pPr>
            <w:r>
              <w:t xml:space="preserve">0.03011</w:t>
            </w:r>
          </w:p>
        </w:tc>
        <w:tc>
          <w:tcPr/>
          <w:p>
            <w:pPr>
              <w:pStyle w:val="Compact"/>
              <w:jc w:val="left"/>
            </w:pPr>
            <w:r>
              <w:t xml:space="preserve">3,011%</w:t>
            </w:r>
          </w:p>
        </w:tc>
      </w:tr>
      <w:tr>
        <w:tc>
          <w:tcPr/>
          <w:p>
            <w:pPr>
              <w:pStyle w:val="Compact"/>
              <w:jc w:val="right"/>
            </w:pPr>
            <w:r>
              <w:t xml:space="preserve">8.583</w:t>
            </w:r>
          </w:p>
        </w:tc>
        <w:tc>
          <w:tcPr/>
          <w:p>
            <w:pPr>
              <w:pStyle w:val="Compact"/>
              <w:jc w:val="right"/>
            </w:pPr>
            <w:r>
              <w:t xml:space="preserve">0.03126</w:t>
            </w:r>
          </w:p>
        </w:tc>
        <w:tc>
          <w:tcPr/>
          <w:p>
            <w:pPr>
              <w:pStyle w:val="Compact"/>
              <w:jc w:val="left"/>
            </w:pPr>
            <w:r>
              <w:t xml:space="preserve">3,126%</w:t>
            </w:r>
          </w:p>
        </w:tc>
      </w:tr>
      <w:tr>
        <w:tc>
          <w:tcPr/>
          <w:p>
            <w:pPr>
              <w:pStyle w:val="Compact"/>
              <w:jc w:val="right"/>
            </w:pPr>
            <w:r>
              <w:t xml:space="preserve">10.703</w:t>
            </w:r>
          </w:p>
        </w:tc>
        <w:tc>
          <w:tcPr/>
          <w:p>
            <w:pPr>
              <w:pStyle w:val="Compact"/>
              <w:jc w:val="right"/>
            </w:pPr>
            <w:r>
              <w:t xml:space="preserve">0.03211</w:t>
            </w:r>
          </w:p>
        </w:tc>
        <w:tc>
          <w:tcPr/>
          <w:p>
            <w:pPr>
              <w:pStyle w:val="Compact"/>
              <w:jc w:val="left"/>
            </w:pPr>
            <w:r>
              <w:t xml:space="preserve">3,211%</w:t>
            </w:r>
          </w:p>
        </w:tc>
      </w:tr>
      <w:tr>
        <w:tc>
          <w:tcPr/>
          <w:p>
            <w:pPr>
              <w:pStyle w:val="Compact"/>
              <w:jc w:val="right"/>
            </w:pPr>
            <w:r>
              <w:t xml:space="preserve">11.714</w:t>
            </w:r>
          </w:p>
        </w:tc>
        <w:tc>
          <w:tcPr/>
          <w:p>
            <w:pPr>
              <w:pStyle w:val="Compact"/>
              <w:jc w:val="right"/>
            </w:pPr>
            <w:r>
              <w:t xml:space="preserve">0.03346</w:t>
            </w:r>
          </w:p>
        </w:tc>
        <w:tc>
          <w:tcPr/>
          <w:p>
            <w:pPr>
              <w:pStyle w:val="Compact"/>
              <w:jc w:val="left"/>
            </w:pPr>
            <w:r>
              <w:t xml:space="preserve">3,346%</w:t>
            </w:r>
          </w:p>
        </w:tc>
      </w:tr>
      <w:tr>
        <w:tc>
          <w:tcPr/>
          <w:p>
            <w:pPr>
              <w:pStyle w:val="Compact"/>
              <w:jc w:val="right"/>
            </w:pPr>
            <w:r>
              <w:t xml:space="preserve">12.725</w:t>
            </w:r>
          </w:p>
        </w:tc>
        <w:tc>
          <w:tcPr/>
          <w:p>
            <w:pPr>
              <w:pStyle w:val="Compact"/>
              <w:jc w:val="right"/>
            </w:pPr>
            <w:r>
              <w:t xml:space="preserve">0.03279</w:t>
            </w:r>
          </w:p>
        </w:tc>
        <w:tc>
          <w:tcPr/>
          <w:p>
            <w:pPr>
              <w:pStyle w:val="Compact"/>
              <w:jc w:val="left"/>
            </w:pPr>
            <w:r>
              <w:t xml:space="preserve">3,279%</w:t>
            </w:r>
          </w:p>
        </w:tc>
      </w:tr>
      <w:tr>
        <w:tc>
          <w:tcPr/>
          <w:p>
            <w:pPr>
              <w:pStyle w:val="Compact"/>
              <w:jc w:val="right"/>
            </w:pPr>
            <w:r>
              <w:t xml:space="preserve">13.833</w:t>
            </w:r>
          </w:p>
        </w:tc>
        <w:tc>
          <w:tcPr/>
          <w:p>
            <w:pPr>
              <w:pStyle w:val="Compact"/>
              <w:jc w:val="right"/>
            </w:pPr>
            <w:r>
              <w:t xml:space="preserve">0.03374</w:t>
            </w:r>
          </w:p>
        </w:tc>
        <w:tc>
          <w:tcPr/>
          <w:p>
            <w:pPr>
              <w:pStyle w:val="Compact"/>
              <w:jc w:val="left"/>
            </w:pPr>
            <w:r>
              <w:t xml:space="preserve">3,374%</w:t>
            </w:r>
          </w:p>
        </w:tc>
      </w:tr>
      <w:tr>
        <w:tc>
          <w:tcPr/>
          <w:p>
            <w:pPr>
              <w:pStyle w:val="Compact"/>
              <w:jc w:val="right"/>
            </w:pPr>
            <w:r>
              <w:t xml:space="preserve">15.856</w:t>
            </w:r>
          </w:p>
        </w:tc>
        <w:tc>
          <w:tcPr/>
          <w:p>
            <w:pPr>
              <w:pStyle w:val="Compact"/>
              <w:jc w:val="right"/>
            </w:pPr>
            <w:r>
              <w:t xml:space="preserve">0.03433</w:t>
            </w:r>
          </w:p>
        </w:tc>
        <w:tc>
          <w:tcPr/>
          <w:p>
            <w:pPr>
              <w:pStyle w:val="Compact"/>
              <w:jc w:val="left"/>
            </w:pPr>
            <w:r>
              <w:t xml:space="preserve">3,433%</w:t>
            </w:r>
          </w:p>
        </w:tc>
      </w:tr>
      <w:tr>
        <w:tc>
          <w:tcPr/>
          <w:p>
            <w:pPr>
              <w:pStyle w:val="Compact"/>
              <w:jc w:val="right"/>
            </w:pPr>
            <w:r>
              <w:t xml:space="preserve">17.547</w:t>
            </w:r>
          </w:p>
        </w:tc>
        <w:tc>
          <w:tcPr/>
          <w:p>
            <w:pPr>
              <w:pStyle w:val="Compact"/>
              <w:jc w:val="right"/>
            </w:pPr>
            <w:r>
              <w:t xml:space="preserve">0.03488</w:t>
            </w:r>
          </w:p>
        </w:tc>
        <w:tc>
          <w:tcPr/>
          <w:p>
            <w:pPr>
              <w:pStyle w:val="Compact"/>
              <w:jc w:val="left"/>
            </w:pPr>
            <w:r>
              <w:t xml:space="preserve">3,488%</w:t>
            </w:r>
          </w:p>
        </w:tc>
      </w:tr>
      <w:tr>
        <w:tc>
          <w:tcPr/>
          <w:p>
            <w:pPr>
              <w:pStyle w:val="Compact"/>
              <w:jc w:val="right"/>
            </w:pPr>
            <w:r>
              <w:t xml:space="preserve">23.478</w:t>
            </w:r>
          </w:p>
        </w:tc>
        <w:tc>
          <w:tcPr/>
          <w:p>
            <w:pPr>
              <w:pStyle w:val="Compact"/>
              <w:jc w:val="right"/>
            </w:pPr>
            <w:r>
              <w:t xml:space="preserve">0.03614</w:t>
            </w:r>
          </w:p>
        </w:tc>
        <w:tc>
          <w:tcPr/>
          <w:p>
            <w:pPr>
              <w:pStyle w:val="Compact"/>
              <w:jc w:val="left"/>
            </w:pPr>
            <w:r>
              <w:t xml:space="preserve">3,614%</w:t>
            </w:r>
          </w:p>
        </w:tc>
      </w:tr>
      <w:tr>
        <w:tc>
          <w:tcPr/>
          <w:p>
            <w:pPr>
              <w:pStyle w:val="Compact"/>
              <w:jc w:val="right"/>
            </w:pPr>
            <w:r>
              <w:t xml:space="preserve">27.522</w:t>
            </w:r>
          </w:p>
        </w:tc>
        <w:tc>
          <w:tcPr/>
          <w:p>
            <w:pPr>
              <w:pStyle w:val="Compact"/>
              <w:jc w:val="right"/>
            </w:pPr>
            <w:r>
              <w:t xml:space="preserve">0.03789</w:t>
            </w:r>
          </w:p>
        </w:tc>
        <w:tc>
          <w:tcPr/>
          <w:p>
            <w:pPr>
              <w:pStyle w:val="Compact"/>
              <w:jc w:val="left"/>
            </w:pPr>
            <w:r>
              <w:t xml:space="preserve">3,789%</w:t>
            </w:r>
          </w:p>
        </w:tc>
      </w:tr>
      <w:tr>
        <w:tc>
          <w:tcPr/>
          <w:p>
            <w:pPr>
              <w:pStyle w:val="Compact"/>
              <w:jc w:val="right"/>
            </w:pPr>
            <w:r>
              <w:t xml:space="preserve">28.553</w:t>
            </w:r>
          </w:p>
        </w:tc>
        <w:tc>
          <w:tcPr/>
          <w:p>
            <w:pPr>
              <w:pStyle w:val="Compact"/>
              <w:jc w:val="right"/>
            </w:pPr>
            <w:r>
              <w:t xml:space="preserve">0.03612</w:t>
            </w:r>
          </w:p>
        </w:tc>
        <w:tc>
          <w:tcPr/>
          <w:p>
            <w:pPr>
              <w:pStyle w:val="Compact"/>
              <w:jc w:val="left"/>
            </w:pPr>
            <w:r>
              <w:t xml:space="preserve">3,612%</w:t>
            </w:r>
          </w:p>
        </w:tc>
      </w:tr>
    </w:tbl>
    <w:bookmarkEnd w:id="50"/>
    <w:bookmarkEnd w:id="51"/>
    <w:bookmarkStart w:id="54" w:name="X96b896b92b42645ba88a707007c4252bf9e5cd7"/>
    <w:p>
      <w:pPr>
        <w:pStyle w:val="Heading3"/>
      </w:pPr>
      <w:r>
        <w:t xml:space="preserve">Interpolation linéaire de la courbe des taux actuariels</w:t>
      </w:r>
    </w:p>
    <w:p>
      <w:pPr>
        <w:pStyle w:val="FirstParagraph"/>
      </w:pPr>
      <w:r>
        <w:t xml:space="preserve">En réalité, nous ne disposons que des taux actuariels de maturités ayant des valeurs décimales, le but de cette étape est donc la détermination des taux actuariels avec des maturités pleines en utilisant une interpolation linéaire.</w:t>
      </w:r>
    </w:p>
    <w:p>
      <w:pPr>
        <w:pStyle w:val="BodyText"/>
      </w:pPr>
      <w:r>
        <w:t xml:space="preserve">Cette opération consiste à déterminer le</w:t>
      </w:r>
      <w:r>
        <w:t xml:space="preserve"> </w:t>
      </w:r>
      <m:oMath>
        <m:r>
          <m:t>D</m:t>
        </m:r>
        <m:r>
          <m:t>P</m:t>
        </m:r>
        <m:r>
          <m:t>L</m:t>
        </m:r>
      </m:oMath>
      <w:r>
        <w:t xml:space="preserve"> </w:t>
      </w:r>
      <w:r>
        <w:t xml:space="preserve">qui correspond au dernier point liquide. Il est déterminé de sorte que le volume cumulé des obligations dont les échéances sont supérieures au DPL et inférieur à</w:t>
      </w:r>
      <w:r>
        <w:t xml:space="preserve"> </w:t>
      </w:r>
      <m:oMath>
        <m:r>
          <m:t>6</m:t>
        </m:r>
        <m:r>
          <m:rPr>
            <m:sty m:val="p"/>
          </m:rPr>
          <m:t>%</m:t>
        </m:r>
      </m:oMath>
      <w:r>
        <w:t xml:space="preserve"> </w:t>
      </w:r>
      <w:r>
        <w:t xml:space="preserve">du volume total des transactions prises en compte pour la construction de la courbe des taux zéro-coupon. Il correspond aussi à dernière maturité observable.</w:t>
      </w:r>
    </w:p>
    <w:p>
      <w:pPr>
        <w:pStyle w:val="BodyText"/>
      </w:pPr>
      <w:r>
        <w:t xml:space="preserve">La formule d’interpolation pour toute maturité</w:t>
      </w:r>
      <w:r>
        <w:t xml:space="preserve"> </w:t>
      </w:r>
      <m:oMath>
        <m:r>
          <m:t>j</m:t>
        </m:r>
      </m:oMath>
      <w:r>
        <w:t xml:space="preserve"> </w:t>
      </w:r>
      <w:r>
        <w:t xml:space="preserve">allant de</w:t>
      </w:r>
      <w:r>
        <w:t xml:space="preserve"> </w:t>
      </w:r>
      <m:oMath>
        <m:r>
          <m:t>1</m:t>
        </m:r>
        <m:r>
          <m:rPr>
            <m:sty m:val="p"/>
          </m:rPr>
          <m:t>,</m:t>
        </m:r>
        <m:r>
          <m:t>2</m:t>
        </m:r>
        <m:r>
          <m:rPr>
            <m:sty m:val="p"/>
          </m:rPr>
          <m:t>,</m:t>
        </m:r>
        <m:r>
          <m:rPr>
            <m:sty m:val="p"/>
          </m:rPr>
          <m:t>…</m:t>
        </m:r>
        <m:r>
          <m:rPr>
            <m:sty m:val="p"/>
          </m:rPr>
          <m:t>,</m:t>
        </m:r>
        <m:r>
          <m:t>D</m:t>
        </m:r>
        <m:r>
          <m:t>P</m:t>
        </m:r>
        <m:r>
          <m:t>L</m:t>
        </m:r>
      </m:oMath>
      <w:r>
        <w:t xml:space="preserve"> </w:t>
      </w:r>
      <w:r>
        <w:t xml:space="preserve">est la suivante :</w:t>
      </w:r>
    </w:p>
    <w:p>
      <w:pPr>
        <w:pStyle w:val="BodyText"/>
      </w:pPr>
      <w:bookmarkStart w:id="52" w:name="eq-dpl"/>
      <m:oMathPara>
        <m:oMathParaPr>
          <m:jc m:val="center"/>
        </m:oMathParaPr>
        <m:oMath>
          <m:sSub>
            <m:e>
              <m:r>
                <m:t>t</m:t>
              </m:r>
            </m:e>
            <m:sub>
              <m:r>
                <m:t>j</m:t>
              </m:r>
            </m:sub>
          </m:sSub>
          <m:r>
            <m:rPr>
              <m:sty m:val="p"/>
            </m:rPr>
            <m:t>=</m:t>
          </m:r>
          <m:sSub>
            <m:e>
              <m:r>
                <m:t>t</m:t>
              </m:r>
            </m:e>
            <m:sub>
              <m:r>
                <m:t>i</m:t>
              </m:r>
            </m:sub>
          </m:sSub>
          <m:r>
            <m:rPr>
              <m:sty m:val="p"/>
            </m:rPr>
            <m:t>+</m:t>
          </m:r>
          <m:f>
            <m:fPr>
              <m:type m:val="bar"/>
            </m:fPr>
            <m:num>
              <m:sSub>
                <m:e>
                  <m:r>
                    <m:t>t</m:t>
                  </m:r>
                </m:e>
                <m:sub>
                  <m:r>
                    <m:t>i</m:t>
                  </m:r>
                  <m:r>
                    <m:rPr>
                      <m:sty m:val="p"/>
                    </m:rPr>
                    <m:t>+</m:t>
                  </m:r>
                  <m:r>
                    <m:t>1</m:t>
                  </m:r>
                </m:sub>
              </m:sSub>
              <m:r>
                <m:rPr>
                  <m:sty m:val="p"/>
                </m:rPr>
                <m:t>−</m:t>
              </m:r>
              <m:sSub>
                <m:e>
                  <m:r>
                    <m:t>t</m:t>
                  </m:r>
                </m:e>
                <m:sub>
                  <m:r>
                    <m:t>i</m:t>
                  </m:r>
                </m:sub>
              </m:sSub>
            </m:num>
            <m:den>
              <m:sSub>
                <m:e>
                  <m:r>
                    <m:t>n</m:t>
                  </m:r>
                </m:e>
                <m:sub>
                  <m:r>
                    <m:t>i</m:t>
                  </m:r>
                  <m:r>
                    <m:rPr>
                      <m:sty m:val="p"/>
                    </m:rPr>
                    <m:t>+</m:t>
                  </m:r>
                  <m:r>
                    <m:t>1</m:t>
                  </m:r>
                </m:sub>
              </m:sSub>
              <m:r>
                <m:rPr>
                  <m:sty m:val="p"/>
                </m:rPr>
                <m:t>−</m:t>
              </m:r>
              <m:sSub>
                <m:e>
                  <m:r>
                    <m:t>n</m:t>
                  </m:r>
                </m:e>
                <m:sub>
                  <m:r>
                    <m:t>i</m:t>
                  </m:r>
                </m:sub>
              </m:sSub>
            </m:den>
          </m:f>
          <m:r>
            <m:rPr>
              <m:sty m:val="p"/>
            </m:rPr>
            <m:t>×</m:t>
          </m:r>
          <m:d>
            <m:dPr>
              <m:begChr m:val="("/>
              <m:endChr m:val=")"/>
              <m:sepChr m:val=""/>
              <m:grow/>
            </m:dPr>
            <m:e>
              <m:r>
                <m:t>j</m:t>
              </m:r>
              <m:r>
                <m:rPr>
                  <m:sty m:val="p"/>
                </m:rPr>
                <m:t>−</m:t>
              </m:r>
              <m:sSub>
                <m:e>
                  <m:r>
                    <m:t>n</m:t>
                  </m:r>
                </m:e>
                <m:sub>
                  <m:r>
                    <m:t>i</m:t>
                  </m:r>
                </m:sub>
              </m:sSub>
            </m:e>
          </m:d>
          <m:r>
            <m:t> </m:t>
          </m:r>
          <m:r>
            <m:rPr>
              <m:sty m:val="p"/>
            </m:rPr>
            <m:t>,</m:t>
          </m:r>
          <m:r>
            <m:t>  </m:t>
          </m:r>
          <m:d>
            <m:dPr>
              <m:begChr m:val="("/>
              <m:endChr m:val=")"/>
              <m:sepChr m:val=""/>
              <m:grow/>
            </m:dPr>
            <m:e>
              <m:r>
                <m:t>2</m:t>
              </m:r>
            </m:e>
          </m:d>
        </m:oMath>
      </m:oMathPara>
      <w:bookmarkEnd w:id="52"/>
    </w:p>
    <w:p>
      <w:pPr>
        <w:pStyle w:val="FirstParagraph"/>
      </w:pPr>
      <w:r>
        <w:t xml:space="preserve">avec :</w:t>
      </w:r>
    </w:p>
    <w:p>
      <w:pPr>
        <w:numPr>
          <w:ilvl w:val="0"/>
          <w:numId w:val="1011"/>
        </w:numPr>
        <w:pStyle w:val="Compact"/>
      </w:pPr>
      <m:oMath>
        <m:sSub>
          <m:e>
            <m:r>
              <m:t>t</m:t>
            </m:r>
          </m:e>
          <m:sub>
            <m:r>
              <m:t>j</m:t>
            </m:r>
          </m:sub>
        </m:sSub>
      </m:oMath>
      <w:r>
        <w:t xml:space="preserve"> </w:t>
      </w:r>
      <w:r>
        <w:t xml:space="preserve">: Taux actuariels de maturité pleine j compris entre les maturités n_i et n_(i+1),</w:t>
      </w:r>
    </w:p>
    <w:p>
      <w:pPr>
        <w:numPr>
          <w:ilvl w:val="0"/>
          <w:numId w:val="1011"/>
        </w:numPr>
        <w:pStyle w:val="Compact"/>
      </w:pPr>
      <m:oMath>
        <m:sSub>
          <m:e>
            <m:r>
              <m:t>t</m:t>
            </m:r>
          </m:e>
          <m:sub>
            <m:r>
              <m:t>i</m:t>
            </m:r>
          </m:sub>
        </m:sSub>
      </m:oMath>
      <w:r>
        <w:t xml:space="preserve"> </w:t>
      </w:r>
      <w:r>
        <w:t xml:space="preserve">: Taux actuariels de maturités n_i.</w:t>
      </w:r>
    </w:p>
    <w:bookmarkStart w:id="53" w:name="tbl-taux_inter"/>
    <w:p>
      <w:pPr>
        <w:pStyle w:val="TableCaption"/>
      </w:pPr>
      <w:r>
        <w:t xml:space="preserve">Table 4: Interpolation des taux actuariels pour avoir des taux de maturités pleines</w:t>
      </w:r>
    </w:p>
    <w:tbl>
      <w:tblPr>
        <w:tblStyle w:val="Table"/>
        <w:tblW w:type="auto" w:w="0"/>
        <w:tblLook w:firstRow="1" w:lastRow="0" w:firstColumn="0" w:lastColumn="0" w:noHBand="0" w:noVBand="0" w:val="0020"/>
        <w:jc w:val="start"/>
        <w:tblCaption w:val="Table 4: Interpolation des taux actuariels pour avoir des taux de maturités pleines"/>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0.02968</w:t>
            </w:r>
          </w:p>
        </w:tc>
        <w:tc>
          <w:tcPr/>
          <w:p>
            <w:pPr>
              <w:pStyle w:val="Compact"/>
              <w:jc w:val="left"/>
            </w:pPr>
            <w:r>
              <w:t xml:space="preserve">2,968%</w:t>
            </w:r>
          </w:p>
        </w:tc>
      </w:tr>
      <w:tr>
        <w:tc>
          <w:tcPr/>
          <w:p>
            <w:pPr>
              <w:pStyle w:val="Compact"/>
              <w:jc w:val="right"/>
            </w:pPr>
            <w:r>
              <w:t xml:space="preserve">4</w:t>
            </w:r>
          </w:p>
        </w:tc>
        <w:tc>
          <w:tcPr/>
          <w:p>
            <w:pPr>
              <w:pStyle w:val="Compact"/>
              <w:jc w:val="right"/>
            </w:pPr>
            <w:r>
              <w:t xml:space="preserve">0.02954</w:t>
            </w:r>
          </w:p>
        </w:tc>
        <w:tc>
          <w:tcPr/>
          <w:p>
            <w:pPr>
              <w:pStyle w:val="Compact"/>
              <w:jc w:val="left"/>
            </w:pPr>
            <w:r>
              <w:t xml:space="preserve">2,954%</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0.02995</w:t>
            </w:r>
          </w:p>
        </w:tc>
        <w:tc>
          <w:tcPr/>
          <w:p>
            <w:pPr>
              <w:pStyle w:val="Compact"/>
              <w:jc w:val="left"/>
            </w:pPr>
            <w:r>
              <w:t xml:space="preserve">2,995%</w:t>
            </w:r>
          </w:p>
        </w:tc>
      </w:tr>
      <w:tr>
        <w:tc>
          <w:tcPr/>
          <w:p>
            <w:pPr>
              <w:pStyle w:val="Compact"/>
              <w:jc w:val="right"/>
            </w:pPr>
            <w:r>
              <w:t xml:space="preserve">7</w:t>
            </w:r>
          </w:p>
        </w:tc>
        <w:tc>
          <w:tcPr/>
          <w:p>
            <w:pPr>
              <w:pStyle w:val="Compact"/>
              <w:jc w:val="right"/>
            </w:pPr>
            <w:r>
              <w:t xml:space="preserve">0.03036</w:t>
            </w:r>
          </w:p>
        </w:tc>
        <w:tc>
          <w:tcPr/>
          <w:p>
            <w:pPr>
              <w:pStyle w:val="Compact"/>
              <w:jc w:val="left"/>
            </w:pPr>
            <w:r>
              <w:t xml:space="preserve">3,036%</w:t>
            </w:r>
          </w:p>
        </w:tc>
      </w:tr>
      <w:tr>
        <w:tc>
          <w:tcPr/>
          <w:p>
            <w:pPr>
              <w:pStyle w:val="Compact"/>
              <w:jc w:val="right"/>
            </w:pPr>
            <w:r>
              <w:t xml:space="preserve">8</w:t>
            </w:r>
          </w:p>
        </w:tc>
        <w:tc>
          <w:tcPr/>
          <w:p>
            <w:pPr>
              <w:pStyle w:val="Compact"/>
              <w:jc w:val="right"/>
            </w:pPr>
            <w:r>
              <w:t xml:space="preserve">0.03093</w:t>
            </w:r>
          </w:p>
        </w:tc>
        <w:tc>
          <w:tcPr/>
          <w:p>
            <w:pPr>
              <w:pStyle w:val="Compact"/>
              <w:jc w:val="left"/>
            </w:pPr>
            <w:r>
              <w:t xml:space="preserve">3,093%</w:t>
            </w:r>
          </w:p>
        </w:tc>
      </w:tr>
      <w:tr>
        <w:tc>
          <w:tcPr/>
          <w:p>
            <w:pPr>
              <w:pStyle w:val="Compact"/>
              <w:jc w:val="right"/>
            </w:pPr>
            <w:r>
              <w:t xml:space="preserve">9</w:t>
            </w:r>
          </w:p>
        </w:tc>
        <w:tc>
          <w:tcPr/>
          <w:p>
            <w:pPr>
              <w:pStyle w:val="Compact"/>
              <w:jc w:val="right"/>
            </w:pPr>
            <w:r>
              <w:t xml:space="preserve">0.03143</w:t>
            </w:r>
          </w:p>
        </w:tc>
        <w:tc>
          <w:tcPr/>
          <w:p>
            <w:pPr>
              <w:pStyle w:val="Compact"/>
              <w:jc w:val="left"/>
            </w:pPr>
            <w:r>
              <w:t xml:space="preserve">3,143%</w:t>
            </w:r>
          </w:p>
        </w:tc>
      </w:tr>
      <w:tr>
        <w:tc>
          <w:tcPr/>
          <w:p>
            <w:pPr>
              <w:pStyle w:val="Compact"/>
              <w:jc w:val="right"/>
            </w:pPr>
            <w:r>
              <w:t xml:space="preserve">10</w:t>
            </w:r>
          </w:p>
        </w:tc>
        <w:tc>
          <w:tcPr/>
          <w:p>
            <w:pPr>
              <w:pStyle w:val="Compact"/>
              <w:jc w:val="right"/>
            </w:pPr>
            <w:r>
              <w:t xml:space="preserve">0.03183</w:t>
            </w:r>
          </w:p>
        </w:tc>
        <w:tc>
          <w:tcPr/>
          <w:p>
            <w:pPr>
              <w:pStyle w:val="Compact"/>
              <w:jc w:val="left"/>
            </w:pPr>
            <w:r>
              <w:t xml:space="preserve">3,183%</w:t>
            </w:r>
          </w:p>
        </w:tc>
      </w:tr>
      <w:tr>
        <w:tc>
          <w:tcPr/>
          <w:p>
            <w:pPr>
              <w:pStyle w:val="Compact"/>
              <w:jc w:val="right"/>
            </w:pPr>
            <w:r>
              <w:t xml:space="preserve">11</w:t>
            </w:r>
          </w:p>
        </w:tc>
        <w:tc>
          <w:tcPr/>
          <w:p>
            <w:pPr>
              <w:pStyle w:val="Compact"/>
              <w:jc w:val="right"/>
            </w:pPr>
            <w:r>
              <w:t xml:space="preserve">0.03251</w:t>
            </w:r>
          </w:p>
        </w:tc>
        <w:tc>
          <w:tcPr/>
          <w:p>
            <w:pPr>
              <w:pStyle w:val="Compact"/>
              <w:jc w:val="left"/>
            </w:pPr>
            <w:r>
              <w:t xml:space="preserve">3,251%</w:t>
            </w:r>
          </w:p>
        </w:tc>
      </w:tr>
      <w:tr>
        <w:tc>
          <w:tcPr/>
          <w:p>
            <w:pPr>
              <w:pStyle w:val="Compact"/>
              <w:jc w:val="right"/>
            </w:pPr>
            <w:r>
              <w:t xml:space="preserve">12</w:t>
            </w:r>
          </w:p>
        </w:tc>
        <w:tc>
          <w:tcPr/>
          <w:p>
            <w:pPr>
              <w:pStyle w:val="Compact"/>
              <w:jc w:val="right"/>
            </w:pPr>
            <w:r>
              <w:t xml:space="preserve">0.03327</w:t>
            </w:r>
          </w:p>
        </w:tc>
        <w:tc>
          <w:tcPr/>
          <w:p>
            <w:pPr>
              <w:pStyle w:val="Compact"/>
              <w:jc w:val="left"/>
            </w:pPr>
            <w:r>
              <w:t xml:space="preserve">3,327%</w:t>
            </w:r>
          </w:p>
        </w:tc>
      </w:tr>
      <w:tr>
        <w:tc>
          <w:tcPr/>
          <w:p>
            <w:pPr>
              <w:pStyle w:val="Compact"/>
              <w:jc w:val="right"/>
            </w:pPr>
            <w:r>
              <w:t xml:space="preserve">13</w:t>
            </w:r>
          </w:p>
        </w:tc>
        <w:tc>
          <w:tcPr/>
          <w:p>
            <w:pPr>
              <w:pStyle w:val="Compact"/>
              <w:jc w:val="right"/>
            </w:pPr>
            <w:r>
              <w:t xml:space="preserve">0.03303</w:t>
            </w:r>
          </w:p>
        </w:tc>
        <w:tc>
          <w:tcPr/>
          <w:p>
            <w:pPr>
              <w:pStyle w:val="Compact"/>
              <w:jc w:val="left"/>
            </w:pPr>
            <w:r>
              <w:t xml:space="preserve">3,303%</w:t>
            </w:r>
          </w:p>
        </w:tc>
      </w:tr>
      <w:tr>
        <w:tc>
          <w:tcPr/>
          <w:p>
            <w:pPr>
              <w:pStyle w:val="Compact"/>
              <w:jc w:val="right"/>
            </w:pPr>
            <w:r>
              <w:t xml:space="preserve">14</w:t>
            </w:r>
          </w:p>
        </w:tc>
        <w:tc>
          <w:tcPr/>
          <w:p>
            <w:pPr>
              <w:pStyle w:val="Compact"/>
              <w:jc w:val="right"/>
            </w:pPr>
            <w:r>
              <w:t xml:space="preserve">0.03379</w:t>
            </w:r>
          </w:p>
        </w:tc>
        <w:tc>
          <w:tcPr/>
          <w:p>
            <w:pPr>
              <w:pStyle w:val="Compact"/>
              <w:jc w:val="left"/>
            </w:pPr>
            <w:r>
              <w:t xml:space="preserve">3,379%</w:t>
            </w:r>
          </w:p>
        </w:tc>
      </w:tr>
      <w:tr>
        <w:tc>
          <w:tcPr/>
          <w:p>
            <w:pPr>
              <w:pStyle w:val="Compact"/>
              <w:jc w:val="right"/>
            </w:pPr>
            <w:r>
              <w:t xml:space="preserve">15</w:t>
            </w:r>
          </w:p>
        </w:tc>
        <w:tc>
          <w:tcPr/>
          <w:p>
            <w:pPr>
              <w:pStyle w:val="Compact"/>
              <w:jc w:val="right"/>
            </w:pPr>
            <w:r>
              <w:t xml:space="preserve">0.03408</w:t>
            </w:r>
          </w:p>
        </w:tc>
        <w:tc>
          <w:tcPr/>
          <w:p>
            <w:pPr>
              <w:pStyle w:val="Compact"/>
              <w:jc w:val="left"/>
            </w:pPr>
            <w:r>
              <w:t xml:space="preserve">3,408%</w:t>
            </w:r>
          </w:p>
        </w:tc>
      </w:tr>
      <w:tr>
        <w:tc>
          <w:tcPr/>
          <w:p>
            <w:pPr>
              <w:pStyle w:val="Compact"/>
              <w:jc w:val="right"/>
            </w:pPr>
            <w:r>
              <w:t xml:space="preserve">16</w:t>
            </w:r>
          </w:p>
        </w:tc>
        <w:tc>
          <w:tcPr/>
          <w:p>
            <w:pPr>
              <w:pStyle w:val="Compact"/>
              <w:jc w:val="right"/>
            </w:pPr>
            <w:r>
              <w:t xml:space="preserve">0.03438</w:t>
            </w:r>
          </w:p>
        </w:tc>
        <w:tc>
          <w:tcPr/>
          <w:p>
            <w:pPr>
              <w:pStyle w:val="Compact"/>
              <w:jc w:val="left"/>
            </w:pPr>
            <w:r>
              <w:t xml:space="preserve">3,438%</w:t>
            </w:r>
          </w:p>
        </w:tc>
      </w:tr>
      <w:tr>
        <w:tc>
          <w:tcPr/>
          <w:p>
            <w:pPr>
              <w:pStyle w:val="Compact"/>
              <w:jc w:val="right"/>
            </w:pPr>
            <w:r>
              <w:t xml:space="preserve">17</w:t>
            </w:r>
          </w:p>
        </w:tc>
        <w:tc>
          <w:tcPr/>
          <w:p>
            <w:pPr>
              <w:pStyle w:val="Compact"/>
              <w:jc w:val="right"/>
            </w:pPr>
            <w:r>
              <w:t xml:space="preserve">0.03470</w:t>
            </w:r>
          </w:p>
        </w:tc>
        <w:tc>
          <w:tcPr/>
          <w:p>
            <w:pPr>
              <w:pStyle w:val="Compact"/>
              <w:jc w:val="left"/>
            </w:pPr>
            <w:r>
              <w:t xml:space="preserve">3,47%</w:t>
            </w:r>
          </w:p>
        </w:tc>
      </w:tr>
      <w:tr>
        <w:tc>
          <w:tcPr/>
          <w:p>
            <w:pPr>
              <w:pStyle w:val="Compact"/>
              <w:jc w:val="right"/>
            </w:pPr>
            <w:r>
              <w:t xml:space="preserve">18</w:t>
            </w:r>
          </w:p>
        </w:tc>
        <w:tc>
          <w:tcPr/>
          <w:p>
            <w:pPr>
              <w:pStyle w:val="Compact"/>
              <w:jc w:val="right"/>
            </w:pPr>
            <w:r>
              <w:t xml:space="preserve">0.03498</w:t>
            </w:r>
          </w:p>
        </w:tc>
        <w:tc>
          <w:tcPr/>
          <w:p>
            <w:pPr>
              <w:pStyle w:val="Compact"/>
              <w:jc w:val="left"/>
            </w:pPr>
            <w:r>
              <w:t xml:space="preserve">3,498%</w:t>
            </w:r>
          </w:p>
        </w:tc>
      </w:tr>
      <w:tr>
        <w:tc>
          <w:tcPr/>
          <w:p>
            <w:pPr>
              <w:pStyle w:val="Compact"/>
              <w:jc w:val="right"/>
            </w:pPr>
            <w:r>
              <w:t xml:space="preserve">19</w:t>
            </w:r>
          </w:p>
        </w:tc>
        <w:tc>
          <w:tcPr/>
          <w:p>
            <w:pPr>
              <w:pStyle w:val="Compact"/>
              <w:jc w:val="right"/>
            </w:pPr>
            <w:r>
              <w:t xml:space="preserve">0.03519</w:t>
            </w:r>
          </w:p>
        </w:tc>
        <w:tc>
          <w:tcPr/>
          <w:p>
            <w:pPr>
              <w:pStyle w:val="Compact"/>
              <w:jc w:val="left"/>
            </w:pPr>
            <w:r>
              <w:t xml:space="preserve">3,519%</w:t>
            </w:r>
          </w:p>
        </w:tc>
      </w:tr>
      <w:tr>
        <w:tc>
          <w:tcPr/>
          <w:p>
            <w:pPr>
              <w:pStyle w:val="Compact"/>
              <w:jc w:val="right"/>
            </w:pPr>
            <w:r>
              <w:t xml:space="preserve">20</w:t>
            </w:r>
          </w:p>
        </w:tc>
        <w:tc>
          <w:tcPr/>
          <w:p>
            <w:pPr>
              <w:pStyle w:val="Compact"/>
              <w:jc w:val="right"/>
            </w:pPr>
            <w:r>
              <w:t xml:space="preserve">0.03540</w:t>
            </w:r>
          </w:p>
        </w:tc>
        <w:tc>
          <w:tcPr/>
          <w:p>
            <w:pPr>
              <w:pStyle w:val="Compact"/>
              <w:jc w:val="left"/>
            </w:pPr>
            <w:r>
              <w:t xml:space="preserve">3,54%</w:t>
            </w:r>
          </w:p>
        </w:tc>
      </w:tr>
      <w:tr>
        <w:tc>
          <w:tcPr/>
          <w:p>
            <w:pPr>
              <w:pStyle w:val="Compact"/>
              <w:jc w:val="right"/>
            </w:pPr>
            <w:r>
              <w:t xml:space="preserve">21</w:t>
            </w:r>
          </w:p>
        </w:tc>
        <w:tc>
          <w:tcPr/>
          <w:p>
            <w:pPr>
              <w:pStyle w:val="Compact"/>
              <w:jc w:val="right"/>
            </w:pPr>
            <w:r>
              <w:t xml:space="preserve">0.03561</w:t>
            </w:r>
          </w:p>
        </w:tc>
        <w:tc>
          <w:tcPr/>
          <w:p>
            <w:pPr>
              <w:pStyle w:val="Compact"/>
              <w:jc w:val="left"/>
            </w:pPr>
            <w:r>
              <w:t xml:space="preserve">3,561%</w:t>
            </w:r>
          </w:p>
        </w:tc>
      </w:tr>
      <w:tr>
        <w:tc>
          <w:tcPr/>
          <w:p>
            <w:pPr>
              <w:pStyle w:val="Compact"/>
              <w:jc w:val="right"/>
            </w:pPr>
            <w:r>
              <w:t xml:space="preserve">22</w:t>
            </w:r>
          </w:p>
        </w:tc>
        <w:tc>
          <w:tcPr/>
          <w:p>
            <w:pPr>
              <w:pStyle w:val="Compact"/>
              <w:jc w:val="right"/>
            </w:pPr>
            <w:r>
              <w:t xml:space="preserve">0.03583</w:t>
            </w:r>
          </w:p>
        </w:tc>
        <w:tc>
          <w:tcPr/>
          <w:p>
            <w:pPr>
              <w:pStyle w:val="Compact"/>
              <w:jc w:val="left"/>
            </w:pPr>
            <w:r>
              <w:t xml:space="preserve">3,583%</w:t>
            </w:r>
          </w:p>
        </w:tc>
      </w:tr>
      <w:tr>
        <w:tc>
          <w:tcPr/>
          <w:p>
            <w:pPr>
              <w:pStyle w:val="Compact"/>
              <w:jc w:val="right"/>
            </w:pPr>
            <w:r>
              <w:t xml:space="preserve">23</w:t>
            </w:r>
          </w:p>
        </w:tc>
        <w:tc>
          <w:tcPr/>
          <w:p>
            <w:pPr>
              <w:pStyle w:val="Compact"/>
              <w:jc w:val="right"/>
            </w:pPr>
            <w:r>
              <w:t xml:space="preserve">0.03604</w:t>
            </w:r>
          </w:p>
        </w:tc>
        <w:tc>
          <w:tcPr/>
          <w:p>
            <w:pPr>
              <w:pStyle w:val="Compact"/>
              <w:jc w:val="left"/>
            </w:pPr>
            <w:r>
              <w:t xml:space="preserve">3,604%</w:t>
            </w:r>
          </w:p>
        </w:tc>
      </w:tr>
      <w:tr>
        <w:tc>
          <w:tcPr/>
          <w:p>
            <w:pPr>
              <w:pStyle w:val="Compact"/>
              <w:jc w:val="right"/>
            </w:pPr>
            <w:r>
              <w:t xml:space="preserve">24</w:t>
            </w:r>
          </w:p>
        </w:tc>
        <w:tc>
          <w:tcPr/>
          <w:p>
            <w:pPr>
              <w:pStyle w:val="Compact"/>
              <w:jc w:val="right"/>
            </w:pPr>
            <w:r>
              <w:t xml:space="preserve">0.03637</w:t>
            </w:r>
          </w:p>
        </w:tc>
        <w:tc>
          <w:tcPr/>
          <w:p>
            <w:pPr>
              <w:pStyle w:val="Compact"/>
              <w:jc w:val="left"/>
            </w:pPr>
            <w:r>
              <w:t xml:space="preserve">3,637%</w:t>
            </w:r>
          </w:p>
        </w:tc>
      </w:tr>
      <w:tr>
        <w:tc>
          <w:tcPr/>
          <w:p>
            <w:pPr>
              <w:pStyle w:val="Compact"/>
              <w:jc w:val="right"/>
            </w:pPr>
            <w:r>
              <w:t xml:space="preserve">25</w:t>
            </w:r>
          </w:p>
        </w:tc>
        <w:tc>
          <w:tcPr/>
          <w:p>
            <w:pPr>
              <w:pStyle w:val="Compact"/>
              <w:jc w:val="right"/>
            </w:pPr>
            <w:r>
              <w:t xml:space="preserve">0.03680</w:t>
            </w:r>
          </w:p>
        </w:tc>
        <w:tc>
          <w:tcPr/>
          <w:p>
            <w:pPr>
              <w:pStyle w:val="Compact"/>
              <w:jc w:val="left"/>
            </w:pPr>
            <w:r>
              <w:t xml:space="preserve">3,68%</w:t>
            </w:r>
          </w:p>
        </w:tc>
      </w:tr>
      <w:tr>
        <w:tc>
          <w:tcPr/>
          <w:p>
            <w:pPr>
              <w:pStyle w:val="Compact"/>
              <w:jc w:val="right"/>
            </w:pPr>
            <w:r>
              <w:t xml:space="preserve">26</w:t>
            </w:r>
          </w:p>
        </w:tc>
        <w:tc>
          <w:tcPr/>
          <w:p>
            <w:pPr>
              <w:pStyle w:val="Compact"/>
              <w:jc w:val="right"/>
            </w:pPr>
            <w:r>
              <w:t xml:space="preserve">0.03723</w:t>
            </w:r>
          </w:p>
        </w:tc>
        <w:tc>
          <w:tcPr/>
          <w:p>
            <w:pPr>
              <w:pStyle w:val="Compact"/>
              <w:jc w:val="left"/>
            </w:pPr>
            <w:r>
              <w:t xml:space="preserve">3,723%</w:t>
            </w:r>
          </w:p>
        </w:tc>
      </w:tr>
      <w:tr>
        <w:tc>
          <w:tcPr/>
          <w:p>
            <w:pPr>
              <w:pStyle w:val="Compact"/>
              <w:jc w:val="right"/>
            </w:pPr>
            <w:r>
              <w:t xml:space="preserve">27</w:t>
            </w:r>
          </w:p>
        </w:tc>
        <w:tc>
          <w:tcPr/>
          <w:p>
            <w:pPr>
              <w:pStyle w:val="Compact"/>
              <w:jc w:val="right"/>
            </w:pPr>
            <w:r>
              <w:t xml:space="preserve">0.03766</w:t>
            </w:r>
          </w:p>
        </w:tc>
        <w:tc>
          <w:tcPr/>
          <w:p>
            <w:pPr>
              <w:pStyle w:val="Compact"/>
              <w:jc w:val="left"/>
            </w:pPr>
            <w:r>
              <w:t xml:space="preserve">3,766%</w:t>
            </w:r>
          </w:p>
        </w:tc>
      </w:tr>
      <w:tr>
        <w:tc>
          <w:tcPr/>
          <w:p>
            <w:pPr>
              <w:pStyle w:val="Compact"/>
              <w:jc w:val="right"/>
            </w:pPr>
            <w:r>
              <w:t xml:space="preserve">28</w:t>
            </w:r>
          </w:p>
        </w:tc>
        <w:tc>
          <w:tcPr/>
          <w:p>
            <w:pPr>
              <w:pStyle w:val="Compact"/>
              <w:jc w:val="right"/>
            </w:pPr>
            <w:r>
              <w:t xml:space="preserve">0.03707</w:t>
            </w:r>
          </w:p>
        </w:tc>
        <w:tc>
          <w:tcPr/>
          <w:p>
            <w:pPr>
              <w:pStyle w:val="Compact"/>
              <w:jc w:val="left"/>
            </w:pPr>
            <w:r>
              <w:t xml:space="preserve">3,707%</w:t>
            </w:r>
          </w:p>
        </w:tc>
      </w:tr>
    </w:tbl>
    <w:bookmarkEnd w:id="53"/>
    <w:bookmarkEnd w:id="54"/>
    <w:bookmarkStart w:id="58" w:name="la-méthode-de-bootstrap"/>
    <w:p>
      <w:pPr>
        <w:pStyle w:val="Heading3"/>
      </w:pPr>
      <w:r>
        <w:t xml:space="preserve">la méthode de Bootstrap</w:t>
      </w:r>
    </w:p>
    <w:p>
      <w:pPr>
        <w:pStyle w:val="FirstParagraph"/>
      </w:pPr>
      <w:r>
        <w:t xml:space="preserve">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pPr>
        <w:numPr>
          <w:ilvl w:val="0"/>
          <w:numId w:val="1012"/>
        </w:numPr>
        <w:pStyle w:val="Compact"/>
      </w:pPr>
      <w:r>
        <w:rPr>
          <w:bCs/>
          <w:b/>
        </w:rPr>
        <w:t xml:space="preserve">Pour une maturité inférieure ou égale a un an</w:t>
      </w:r>
      <w:r>
        <w:t xml:space="preserve"> </w:t>
      </w:r>
      <w:r>
        <w:t xml:space="preserve">:</w:t>
      </w:r>
    </w:p>
    <w:p>
      <w:pPr>
        <w:pStyle w:val="FirstParagraph"/>
      </w:pPr>
      <w:r>
        <w:t xml:space="preserve">Le taux zéro-coupon est donc le taux actuariel de même maturité. Car aucun coupon n’est payé avant l’échéance.</w:t>
      </w:r>
    </w:p>
    <w:p>
      <w:pPr>
        <w:numPr>
          <w:ilvl w:val="0"/>
          <w:numId w:val="1013"/>
        </w:numPr>
        <w:pStyle w:val="Compact"/>
      </w:pPr>
      <w:r>
        <w:rPr>
          <w:bCs/>
          <w:b/>
        </w:rPr>
        <w:t xml:space="preserve">Pour une maturité supérieure à un an</w:t>
      </w:r>
      <w:r>
        <w:t xml:space="preserve"> </w:t>
      </w:r>
      <w:r>
        <w:t xml:space="preserve">:</w:t>
      </w:r>
    </w:p>
    <w:p>
      <w:pPr>
        <w:pStyle w:val="FirstParagraph"/>
      </w:pPr>
      <w:r>
        <w:t xml:space="preserve">Le taux zéro-coupon est calculé par la formule suivante :</w:t>
      </w:r>
    </w:p>
    <w:p>
      <w:pPr>
        <w:pStyle w:val="BodyText"/>
      </w:pPr>
      <w:bookmarkStart w:id="55" w:name="eq-gbmp"/>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r>
            <m:t> </m:t>
          </m:r>
          <m:r>
            <m:rPr>
              <m:sty m:val="p"/>
            </m:rPr>
            <m:t>.</m:t>
          </m:r>
          <m:r>
            <m:t>  </m:t>
          </m:r>
          <m:d>
            <m:dPr>
              <m:begChr m:val="("/>
              <m:endChr m:val=")"/>
              <m:sepChr m:val=""/>
              <m:grow/>
            </m:dPr>
            <m:e>
              <m:r>
                <m:t>3</m:t>
              </m:r>
            </m:e>
          </m:d>
        </m:oMath>
      </m:oMathPara>
      <w:bookmarkEnd w:id="55"/>
    </w:p>
    <w:p>
      <w:pPr>
        <w:pStyle w:val="FirstParagraph"/>
      </w:pPr>
      <w:r>
        <w:t xml:space="preserve">En effet, on a supposé que le prix théorique d’une obligation correspond à la somme de ses flux futures actualisés aux taux zéro-coupon de l’échéance de chaque flux:</w:t>
      </w:r>
    </w:p>
    <w:p>
      <w:pPr>
        <w:pStyle w:val="BodyText"/>
      </w:pPr>
      <w:bookmarkStart w:id="56" w:name="eq-gbmp"/>
      <m:oMathPara>
        <m:oMathParaPr>
          <m:jc m:val="center"/>
        </m:oMathParaPr>
        <m:oMath>
          <m:r>
            <m:t>P</m:t>
          </m:r>
          <m:r>
            <m:rPr>
              <m:sty m:val="p"/>
            </m:rPr>
            <m:t>=</m:t>
          </m:r>
          <m:f>
            <m:fPr>
              <m:type m:val="bar"/>
            </m:fPr>
            <m:num>
              <m:sSub>
                <m:e>
                  <m:r>
                    <m:t>t</m:t>
                  </m:r>
                </m:e>
                <m:sub>
                  <m:r>
                    <m:t>n</m:t>
                  </m:r>
                </m:sub>
              </m:sSub>
              <m:r>
                <m:rPr>
                  <m:sty m:val="p"/>
                </m:rPr>
                <m:t>*</m:t>
              </m:r>
              <m:r>
                <m:t>N</m:t>
              </m:r>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r>
                <m:rPr>
                  <m:sty m:val="p"/>
                </m:rPr>
                <m:t>*</m:t>
              </m:r>
              <m:r>
                <m:t>N</m:t>
              </m:r>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N</m:t>
              </m:r>
              <m:r>
                <m:rPr>
                  <m:sty m:val="p"/>
                </m:rPr>
                <m:t>+</m:t>
              </m:r>
              <m:sSub>
                <m:e>
                  <m:r>
                    <m:t>t</m:t>
                  </m:r>
                </m:e>
                <m:sub>
                  <m:r>
                    <m:t>n</m:t>
                  </m:r>
                </m:sub>
              </m:sSub>
              <m:r>
                <m:rPr>
                  <m:sty m:val="p"/>
                </m:rPr>
                <m:t>*</m:t>
              </m:r>
              <m:r>
                <m:t>N</m:t>
              </m:r>
            </m:num>
            <m:den>
              <m:sSup>
                <m:e>
                  <m:d>
                    <m:dPr>
                      <m:begChr m:val="("/>
                      <m:endChr m:val=")"/>
                      <m:sepChr m:val=""/>
                      <m:grow/>
                    </m:dPr>
                    <m:e>
                      <m:r>
                        <m:t>1</m:t>
                      </m:r>
                      <m:r>
                        <m:rPr>
                          <m:sty m:val="p"/>
                        </m:rPr>
                        <m:t>+</m:t>
                      </m:r>
                      <m:sSub>
                        <m:e>
                          <m:r>
                            <m:t>R</m:t>
                          </m:r>
                        </m:e>
                        <m:sub>
                          <m:r>
                            <m:t>n</m:t>
                          </m:r>
                        </m:sub>
                      </m:sSub>
                    </m:e>
                  </m:d>
                </m:e>
                <m:sup>
                  <m:r>
                    <m:t>n</m:t>
                  </m:r>
                </m:sup>
              </m:sSup>
            </m:den>
          </m:f>
          <m:r>
            <m:rPr>
              <m:sty m:val="p"/>
            </m:rPr>
            <m:t>,</m:t>
          </m:r>
          <m:r>
            <m:t>  </m:t>
          </m:r>
          <m:d>
            <m:dPr>
              <m:begChr m:val="("/>
              <m:endChr m:val=")"/>
              <m:sepChr m:val=""/>
              <m:grow/>
            </m:dPr>
            <m:e>
              <m:r>
                <m:t>4</m:t>
              </m:r>
            </m:e>
          </m:d>
        </m:oMath>
      </m:oMathPara>
      <w:bookmarkEnd w:id="56"/>
    </w:p>
    <w:p>
      <w:pPr>
        <w:pStyle w:val="FirstParagraph"/>
      </w:pPr>
      <w:r>
        <w:t xml:space="preserve">avec :</w:t>
      </w:r>
    </w:p>
    <w:p>
      <w:pPr>
        <w:numPr>
          <w:ilvl w:val="0"/>
          <w:numId w:val="1014"/>
        </w:numPr>
      </w:pPr>
      <m:oMath>
        <m:r>
          <m:t>P</m:t>
        </m:r>
      </m:oMath>
      <w:r>
        <w:t xml:space="preserve"> </w:t>
      </w:r>
      <w:r>
        <w:t xml:space="preserve">: Prix d’émission du bon de trésor,</w:t>
      </w:r>
    </w:p>
    <w:p>
      <w:pPr>
        <w:numPr>
          <w:ilvl w:val="0"/>
          <w:numId w:val="1014"/>
        </w:numPr>
      </w:pPr>
      <m:oMath>
        <m:r>
          <m:t>N</m:t>
        </m:r>
      </m:oMath>
      <w:r>
        <w:t xml:space="preserve"> </w:t>
      </w:r>
      <w:r>
        <w:t xml:space="preserve">: Valeur Nominale du bon de trésor.</w:t>
      </w:r>
    </w:p>
    <w:p>
      <w:pPr>
        <w:pStyle w:val="FirstParagraph"/>
      </w:pPr>
      <w:r>
        <w:t xml:space="preserve">Et puisque nous avons supposé que les obligations des Bons du trésor sont émises au pair, c’est-à-dire que le prix d’émission des obligations des bons du trésor et leur valeur nominale sont égaux</w:t>
      </w:r>
      <w:r>
        <w:t xml:space="preserve"> </w:t>
      </w:r>
      <m:oMath>
        <m:d>
          <m:dPr>
            <m:begChr m:val="("/>
            <m:endChr m:val=")"/>
            <m:sepChr m:val=""/>
            <m:grow/>
          </m:dPr>
          <m:e>
            <m:r>
              <m:t>P</m:t>
            </m:r>
            <m:r>
              <m:rPr>
                <m:sty m:val="p"/>
              </m:rPr>
              <m:t>=</m:t>
            </m:r>
            <m:r>
              <m:t>N</m:t>
            </m:r>
          </m:e>
        </m:d>
      </m:oMath>
      <w:r>
        <w:t xml:space="preserve">, on en déduit l’expression:</w:t>
      </w:r>
    </w:p>
    <w:p>
      <w:pPr>
        <w:pStyle w:val="BodyText"/>
      </w:pPr>
      <m:oMathPara>
        <m:oMathParaPr>
          <m:jc m:val="center"/>
        </m:oMathParaPr>
        <m:oMath>
          <m:r>
            <m:t>1</m:t>
          </m:r>
          <m:r>
            <m:rPr>
              <m:sty m:val="p"/>
            </m:rPr>
            <m:t>=</m:t>
          </m:r>
          <m:f>
            <m:fPr>
              <m:type m:val="bar"/>
            </m:fPr>
            <m:num>
              <m:sSub>
                <m:e>
                  <m:r>
                    <m:t>t</m:t>
                  </m:r>
                </m:e>
                <m:sub>
                  <m:r>
                    <m:t>n</m:t>
                  </m:r>
                </m:sub>
              </m:sSub>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oMath>
      </m:oMathPara>
    </w:p>
    <w:p>
      <w:pPr>
        <w:pStyle w:val="FirstParagraph"/>
      </w:pPr>
      <m:oMathPara>
        <m:oMathParaPr>
          <m:jc m:val="center"/>
        </m:oMathParaPr>
        <m:oMath>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r>
            <m:rPr>
              <m:sty m:val="p"/>
            </m:rPr>
            <m:t>=</m:t>
          </m:r>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oMath>
      </m:oMathPara>
    </w:p>
    <w:p>
      <w:pPr>
        <w:pStyle w:val="FirstParagraph"/>
      </w:pPr>
      <m:oMathPara>
        <m:oMathParaPr>
          <m:jc m:val="center"/>
        </m:oMathParaPr>
        <m:oMath>
          <m:r>
            <m:rPr>
              <m:sty m:val="p"/>
            </m:rPr>
            <m:t>⟹</m:t>
          </m:r>
          <m:sSup>
            <m:e>
              <m:d>
                <m:dPr>
                  <m:begChr m:val="("/>
                  <m:endChr m:val=")"/>
                  <m:sepChr m:val=""/>
                  <m:grow/>
                </m:dPr>
                <m:e>
                  <m:r>
                    <m:t>1</m:t>
                  </m:r>
                  <m:r>
                    <m:rPr>
                      <m:sty m:val="p"/>
                    </m:rPr>
                    <m:t>+</m:t>
                  </m:r>
                  <m:sSub>
                    <m:e>
                      <m:r>
                        <m:t>R</m:t>
                      </m:r>
                    </m:e>
                    <m:sub>
                      <m:r>
                        <m:t>n</m:t>
                      </m:r>
                    </m:sub>
                  </m:sSub>
                </m:e>
              </m:d>
            </m:e>
            <m:sup>
              <m:r>
                <m:t>n</m:t>
              </m:r>
            </m:sup>
          </m:sSup>
          <m:r>
            <m:rPr>
              <m:sty m:val="p"/>
            </m:rPr>
            <m:t>=</m:t>
          </m:r>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r>
            <m:t> </m:t>
          </m:r>
          <m:r>
            <m:rPr>
              <m:sty m:val="p"/>
            </m:rPr>
            <m:t>.</m:t>
          </m:r>
        </m:oMath>
      </m:oMathPara>
    </w:p>
    <w:p>
      <w:pPr>
        <w:pStyle w:val="FirstParagraph"/>
      </w:pPr>
      <w:r>
        <w:t xml:space="preserve">On en arrive à la conclusion :</w:t>
      </w:r>
    </w:p>
    <w:p>
      <w:pPr>
        <w:pStyle w:val="BodyText"/>
      </w:pPr>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oMath>
      </m:oMathPara>
    </w:p>
    <w:bookmarkStart w:id="57" w:name="tbl-taux_zc"/>
    <w:p>
      <w:pPr>
        <w:pStyle w:val="TableCaption"/>
      </w:pPr>
      <w:r>
        <w:t xml:space="preserve">Table 5: Transformation du taux actuariel en taux ZC avec la méthode Bootstrap</w:t>
      </w:r>
    </w:p>
    <w:tbl>
      <w:tblPr>
        <w:tblStyle w:val="Table"/>
        <w:tblW w:type="auto" w:w="0"/>
        <w:tblLook w:firstRow="1" w:lastRow="0" w:firstColumn="0" w:lastColumn="0" w:noHBand="0" w:noVBand="0" w:val="0020"/>
        <w:jc w:val="start"/>
        <w:tblCaption w:val="Table 5: Transformation du taux actuariel en taux ZC avec la méthode Bootstrap"/>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zéro coupon</w:t>
            </w:r>
          </w:p>
        </w:tc>
        <w:tc>
          <w:tcPr/>
          <w:p>
            <w:pPr>
              <w:pStyle w:val="Compact"/>
              <w:jc w:val="left"/>
            </w:pPr>
            <w:r>
              <w:t xml:space="preserve">Taux zéro coupon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0.02966</w:t>
            </w:r>
          </w:p>
        </w:tc>
        <w:tc>
          <w:tcPr/>
          <w:p>
            <w:pPr>
              <w:pStyle w:val="Compact"/>
              <w:jc w:val="left"/>
            </w:pPr>
            <w:r>
              <w:t xml:space="preserve">2,966%</w:t>
            </w:r>
          </w:p>
        </w:tc>
      </w:tr>
      <w:tr>
        <w:tc>
          <w:tcPr/>
          <w:p>
            <w:pPr>
              <w:pStyle w:val="Compact"/>
              <w:jc w:val="right"/>
            </w:pPr>
            <w:r>
              <w:t xml:space="preserve">4</w:t>
            </w:r>
          </w:p>
        </w:tc>
        <w:tc>
          <w:tcPr/>
          <w:p>
            <w:pPr>
              <w:pStyle w:val="Compact"/>
              <w:jc w:val="right"/>
            </w:pPr>
            <w:r>
              <w:t xml:space="preserve">0.02952</w:t>
            </w:r>
          </w:p>
        </w:tc>
        <w:tc>
          <w:tcPr/>
          <w:p>
            <w:pPr>
              <w:pStyle w:val="Compact"/>
              <w:jc w:val="left"/>
            </w:pPr>
            <w:r>
              <w:t xml:space="preserve">2,952%</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0.02996</w:t>
            </w:r>
          </w:p>
        </w:tc>
        <w:tc>
          <w:tcPr/>
          <w:p>
            <w:pPr>
              <w:pStyle w:val="Compact"/>
              <w:jc w:val="left"/>
            </w:pPr>
            <w:r>
              <w:t xml:space="preserve">2,996%</w:t>
            </w:r>
          </w:p>
        </w:tc>
      </w:tr>
      <w:tr>
        <w:tc>
          <w:tcPr/>
          <w:p>
            <w:pPr>
              <w:pStyle w:val="Compact"/>
              <w:jc w:val="right"/>
            </w:pPr>
            <w:r>
              <w:t xml:space="preserve">7</w:t>
            </w:r>
          </w:p>
        </w:tc>
        <w:tc>
          <w:tcPr/>
          <w:p>
            <w:pPr>
              <w:pStyle w:val="Compact"/>
              <w:jc w:val="right"/>
            </w:pPr>
            <w:r>
              <w:t xml:space="preserve">0.03041</w:t>
            </w:r>
          </w:p>
        </w:tc>
        <w:tc>
          <w:tcPr/>
          <w:p>
            <w:pPr>
              <w:pStyle w:val="Compact"/>
              <w:jc w:val="left"/>
            </w:pPr>
            <w:r>
              <w:t xml:space="preserve">3,041%</w:t>
            </w:r>
          </w:p>
        </w:tc>
      </w:tr>
      <w:tr>
        <w:tc>
          <w:tcPr/>
          <w:p>
            <w:pPr>
              <w:pStyle w:val="Compact"/>
              <w:jc w:val="right"/>
            </w:pPr>
            <w:r>
              <w:t xml:space="preserve">8</w:t>
            </w:r>
          </w:p>
        </w:tc>
        <w:tc>
          <w:tcPr/>
          <w:p>
            <w:pPr>
              <w:pStyle w:val="Compact"/>
              <w:jc w:val="right"/>
            </w:pPr>
            <w:r>
              <w:t xml:space="preserve">0.03104</w:t>
            </w:r>
          </w:p>
        </w:tc>
        <w:tc>
          <w:tcPr/>
          <w:p>
            <w:pPr>
              <w:pStyle w:val="Compact"/>
              <w:jc w:val="left"/>
            </w:pPr>
            <w:r>
              <w:t xml:space="preserve">3,104%</w:t>
            </w:r>
          </w:p>
        </w:tc>
      </w:tr>
      <w:tr>
        <w:tc>
          <w:tcPr/>
          <w:p>
            <w:pPr>
              <w:pStyle w:val="Compact"/>
              <w:jc w:val="right"/>
            </w:pPr>
            <w:r>
              <w:t xml:space="preserve">9</w:t>
            </w:r>
          </w:p>
        </w:tc>
        <w:tc>
          <w:tcPr/>
          <w:p>
            <w:pPr>
              <w:pStyle w:val="Compact"/>
              <w:jc w:val="right"/>
            </w:pPr>
            <w:r>
              <w:t xml:space="preserve">0.03160</w:t>
            </w:r>
          </w:p>
        </w:tc>
        <w:tc>
          <w:tcPr/>
          <w:p>
            <w:pPr>
              <w:pStyle w:val="Compact"/>
              <w:jc w:val="left"/>
            </w:pPr>
            <w:r>
              <w:t xml:space="preserve">3,16%</w:t>
            </w:r>
          </w:p>
        </w:tc>
      </w:tr>
      <w:tr>
        <w:tc>
          <w:tcPr/>
          <w:p>
            <w:pPr>
              <w:pStyle w:val="Compact"/>
              <w:jc w:val="right"/>
            </w:pPr>
            <w:r>
              <w:t xml:space="preserve">10</w:t>
            </w:r>
          </w:p>
        </w:tc>
        <w:tc>
          <w:tcPr/>
          <w:p>
            <w:pPr>
              <w:pStyle w:val="Compact"/>
              <w:jc w:val="right"/>
            </w:pPr>
            <w:r>
              <w:t xml:space="preserve">0.03205</w:t>
            </w:r>
          </w:p>
        </w:tc>
        <w:tc>
          <w:tcPr/>
          <w:p>
            <w:pPr>
              <w:pStyle w:val="Compact"/>
              <w:jc w:val="left"/>
            </w:pPr>
            <w:r>
              <w:t xml:space="preserve">3,205%</w:t>
            </w:r>
          </w:p>
        </w:tc>
      </w:tr>
      <w:tr>
        <w:tc>
          <w:tcPr/>
          <w:p>
            <w:pPr>
              <w:pStyle w:val="Compact"/>
              <w:jc w:val="right"/>
            </w:pPr>
            <w:r>
              <w:t xml:space="preserve">11</w:t>
            </w:r>
          </w:p>
        </w:tc>
        <w:tc>
          <w:tcPr/>
          <w:p>
            <w:pPr>
              <w:pStyle w:val="Compact"/>
              <w:jc w:val="right"/>
            </w:pPr>
            <w:r>
              <w:t xml:space="preserve">0.03284</w:t>
            </w:r>
          </w:p>
        </w:tc>
        <w:tc>
          <w:tcPr/>
          <w:p>
            <w:pPr>
              <w:pStyle w:val="Compact"/>
              <w:jc w:val="left"/>
            </w:pPr>
            <w:r>
              <w:t xml:space="preserve">3,284%</w:t>
            </w:r>
          </w:p>
        </w:tc>
      </w:tr>
      <w:tr>
        <w:tc>
          <w:tcPr/>
          <w:p>
            <w:pPr>
              <w:pStyle w:val="Compact"/>
              <w:jc w:val="right"/>
            </w:pPr>
            <w:r>
              <w:t xml:space="preserve">12</w:t>
            </w:r>
          </w:p>
        </w:tc>
        <w:tc>
          <w:tcPr/>
          <w:p>
            <w:pPr>
              <w:pStyle w:val="Compact"/>
              <w:jc w:val="right"/>
            </w:pPr>
            <w:r>
              <w:t xml:space="preserve">0.03374</w:t>
            </w:r>
          </w:p>
        </w:tc>
        <w:tc>
          <w:tcPr/>
          <w:p>
            <w:pPr>
              <w:pStyle w:val="Compact"/>
              <w:jc w:val="left"/>
            </w:pPr>
            <w:r>
              <w:t xml:space="preserve">3,374%</w:t>
            </w:r>
          </w:p>
        </w:tc>
      </w:tr>
      <w:tr>
        <w:tc>
          <w:tcPr/>
          <w:p>
            <w:pPr>
              <w:pStyle w:val="Compact"/>
              <w:jc w:val="right"/>
            </w:pPr>
            <w:r>
              <w:t xml:space="preserve">13</w:t>
            </w:r>
          </w:p>
        </w:tc>
        <w:tc>
          <w:tcPr/>
          <w:p>
            <w:pPr>
              <w:pStyle w:val="Compact"/>
              <w:jc w:val="right"/>
            </w:pPr>
            <w:r>
              <w:t xml:space="preserve">0.03340</w:t>
            </w:r>
          </w:p>
        </w:tc>
        <w:tc>
          <w:tcPr/>
          <w:p>
            <w:pPr>
              <w:pStyle w:val="Compact"/>
              <w:jc w:val="left"/>
            </w:pPr>
            <w:r>
              <w:t xml:space="preserve">3,34%</w:t>
            </w:r>
          </w:p>
        </w:tc>
      </w:tr>
      <w:tr>
        <w:tc>
          <w:tcPr/>
          <w:p>
            <w:pPr>
              <w:pStyle w:val="Compact"/>
              <w:jc w:val="right"/>
            </w:pPr>
            <w:r>
              <w:t xml:space="preserve">14</w:t>
            </w:r>
          </w:p>
        </w:tc>
        <w:tc>
          <w:tcPr/>
          <w:p>
            <w:pPr>
              <w:pStyle w:val="Compact"/>
              <w:jc w:val="right"/>
            </w:pPr>
            <w:r>
              <w:t xml:space="preserve">0.03434</w:t>
            </w:r>
          </w:p>
        </w:tc>
        <w:tc>
          <w:tcPr/>
          <w:p>
            <w:pPr>
              <w:pStyle w:val="Compact"/>
              <w:jc w:val="left"/>
            </w:pPr>
            <w:r>
              <w:t xml:space="preserve">3,434%</w:t>
            </w:r>
          </w:p>
        </w:tc>
      </w:tr>
      <w:tr>
        <w:tc>
          <w:tcPr/>
          <w:p>
            <w:pPr>
              <w:pStyle w:val="Compact"/>
              <w:jc w:val="right"/>
            </w:pPr>
            <w:r>
              <w:t xml:space="preserve">15</w:t>
            </w:r>
          </w:p>
        </w:tc>
        <w:tc>
          <w:tcPr/>
          <w:p>
            <w:pPr>
              <w:pStyle w:val="Compact"/>
              <w:jc w:val="right"/>
            </w:pPr>
            <w:r>
              <w:t xml:space="preserve">0.03468</w:t>
            </w:r>
          </w:p>
        </w:tc>
        <w:tc>
          <w:tcPr/>
          <w:p>
            <w:pPr>
              <w:pStyle w:val="Compact"/>
              <w:jc w:val="left"/>
            </w:pPr>
            <w:r>
              <w:t xml:space="preserve">3,468%</w:t>
            </w:r>
          </w:p>
        </w:tc>
      </w:tr>
      <w:tr>
        <w:tc>
          <w:tcPr/>
          <w:p>
            <w:pPr>
              <w:pStyle w:val="Compact"/>
              <w:jc w:val="right"/>
            </w:pPr>
            <w:r>
              <w:t xml:space="preserve">16</w:t>
            </w:r>
          </w:p>
        </w:tc>
        <w:tc>
          <w:tcPr/>
          <w:p>
            <w:pPr>
              <w:pStyle w:val="Compact"/>
              <w:jc w:val="right"/>
            </w:pPr>
            <w:r>
              <w:t xml:space="preserve">0.03504</w:t>
            </w:r>
          </w:p>
        </w:tc>
        <w:tc>
          <w:tcPr/>
          <w:p>
            <w:pPr>
              <w:pStyle w:val="Compact"/>
              <w:jc w:val="left"/>
            </w:pPr>
            <w:r>
              <w:t xml:space="preserve">3,504%</w:t>
            </w:r>
          </w:p>
        </w:tc>
      </w:tr>
      <w:tr>
        <w:tc>
          <w:tcPr/>
          <w:p>
            <w:pPr>
              <w:pStyle w:val="Compact"/>
              <w:jc w:val="right"/>
            </w:pPr>
            <w:r>
              <w:t xml:space="preserve">17</w:t>
            </w:r>
          </w:p>
        </w:tc>
        <w:tc>
          <w:tcPr/>
          <w:p>
            <w:pPr>
              <w:pStyle w:val="Compact"/>
              <w:jc w:val="right"/>
            </w:pPr>
            <w:r>
              <w:t xml:space="preserve">0.03544</w:t>
            </w:r>
          </w:p>
        </w:tc>
        <w:tc>
          <w:tcPr/>
          <w:p>
            <w:pPr>
              <w:pStyle w:val="Compact"/>
              <w:jc w:val="left"/>
            </w:pPr>
            <w:r>
              <w:t xml:space="preserve">3,544%</w:t>
            </w:r>
          </w:p>
        </w:tc>
      </w:tr>
      <w:tr>
        <w:tc>
          <w:tcPr/>
          <w:p>
            <w:pPr>
              <w:pStyle w:val="Compact"/>
              <w:jc w:val="right"/>
            </w:pPr>
            <w:r>
              <w:t xml:space="preserve">18</w:t>
            </w:r>
          </w:p>
        </w:tc>
        <w:tc>
          <w:tcPr/>
          <w:p>
            <w:pPr>
              <w:pStyle w:val="Compact"/>
              <w:jc w:val="right"/>
            </w:pPr>
            <w:r>
              <w:t xml:space="preserve">0.03579</w:t>
            </w:r>
          </w:p>
        </w:tc>
        <w:tc>
          <w:tcPr/>
          <w:p>
            <w:pPr>
              <w:pStyle w:val="Compact"/>
              <w:jc w:val="left"/>
            </w:pPr>
            <w:r>
              <w:t xml:space="preserve">3,579%</w:t>
            </w:r>
          </w:p>
        </w:tc>
      </w:tr>
      <w:tr>
        <w:tc>
          <w:tcPr/>
          <w:p>
            <w:pPr>
              <w:pStyle w:val="Compact"/>
              <w:jc w:val="right"/>
            </w:pPr>
            <w:r>
              <w:t xml:space="preserve">19</w:t>
            </w:r>
          </w:p>
        </w:tc>
        <w:tc>
          <w:tcPr/>
          <w:p>
            <w:pPr>
              <w:pStyle w:val="Compact"/>
              <w:jc w:val="right"/>
            </w:pPr>
            <w:r>
              <w:t xml:space="preserve">0.03605</w:t>
            </w:r>
          </w:p>
        </w:tc>
        <w:tc>
          <w:tcPr/>
          <w:p>
            <w:pPr>
              <w:pStyle w:val="Compact"/>
              <w:jc w:val="left"/>
            </w:pPr>
            <w:r>
              <w:t xml:space="preserve">3,605%</w:t>
            </w:r>
          </w:p>
        </w:tc>
      </w:tr>
      <w:tr>
        <w:tc>
          <w:tcPr/>
          <w:p>
            <w:pPr>
              <w:pStyle w:val="Compact"/>
              <w:jc w:val="right"/>
            </w:pPr>
            <w:r>
              <w:t xml:space="preserve">20</w:t>
            </w:r>
          </w:p>
        </w:tc>
        <w:tc>
          <w:tcPr/>
          <w:p>
            <w:pPr>
              <w:pStyle w:val="Compact"/>
              <w:jc w:val="right"/>
            </w:pPr>
            <w:r>
              <w:t xml:space="preserve">0.03632</w:t>
            </w:r>
          </w:p>
        </w:tc>
        <w:tc>
          <w:tcPr/>
          <w:p>
            <w:pPr>
              <w:pStyle w:val="Compact"/>
              <w:jc w:val="left"/>
            </w:pPr>
            <w:r>
              <w:t xml:space="preserve">3,632%</w:t>
            </w:r>
          </w:p>
        </w:tc>
      </w:tr>
      <w:tr>
        <w:tc>
          <w:tcPr/>
          <w:p>
            <w:pPr>
              <w:pStyle w:val="Compact"/>
              <w:jc w:val="right"/>
            </w:pPr>
            <w:r>
              <w:t xml:space="preserve">21</w:t>
            </w:r>
          </w:p>
        </w:tc>
        <w:tc>
          <w:tcPr/>
          <w:p>
            <w:pPr>
              <w:pStyle w:val="Compact"/>
              <w:jc w:val="right"/>
            </w:pPr>
            <w:r>
              <w:t xml:space="preserve">0.03659</w:t>
            </w:r>
          </w:p>
        </w:tc>
        <w:tc>
          <w:tcPr/>
          <w:p>
            <w:pPr>
              <w:pStyle w:val="Compact"/>
              <w:jc w:val="left"/>
            </w:pPr>
            <w:r>
              <w:t xml:space="preserve">3,659%</w:t>
            </w:r>
          </w:p>
        </w:tc>
      </w:tr>
      <w:tr>
        <w:tc>
          <w:tcPr/>
          <w:p>
            <w:pPr>
              <w:pStyle w:val="Compact"/>
              <w:jc w:val="right"/>
            </w:pPr>
            <w:r>
              <w:t xml:space="preserve">22</w:t>
            </w:r>
          </w:p>
        </w:tc>
        <w:tc>
          <w:tcPr/>
          <w:p>
            <w:pPr>
              <w:pStyle w:val="Compact"/>
              <w:jc w:val="right"/>
            </w:pPr>
            <w:r>
              <w:t xml:space="preserve">0.03688</w:t>
            </w:r>
          </w:p>
        </w:tc>
        <w:tc>
          <w:tcPr/>
          <w:p>
            <w:pPr>
              <w:pStyle w:val="Compact"/>
              <w:jc w:val="left"/>
            </w:pPr>
            <w:r>
              <w:t xml:space="preserve">3,688%</w:t>
            </w:r>
          </w:p>
        </w:tc>
      </w:tr>
      <w:tr>
        <w:tc>
          <w:tcPr/>
          <w:p>
            <w:pPr>
              <w:pStyle w:val="Compact"/>
              <w:jc w:val="right"/>
            </w:pPr>
            <w:r>
              <w:t xml:space="preserve">23</w:t>
            </w:r>
          </w:p>
        </w:tc>
        <w:tc>
          <w:tcPr/>
          <w:p>
            <w:pPr>
              <w:pStyle w:val="Compact"/>
              <w:jc w:val="right"/>
            </w:pPr>
            <w:r>
              <w:t xml:space="preserve">0.03717</w:t>
            </w:r>
          </w:p>
        </w:tc>
        <w:tc>
          <w:tcPr/>
          <w:p>
            <w:pPr>
              <w:pStyle w:val="Compact"/>
              <w:jc w:val="left"/>
            </w:pPr>
            <w:r>
              <w:t xml:space="preserve">3,717%</w:t>
            </w:r>
          </w:p>
        </w:tc>
      </w:tr>
      <w:tr>
        <w:tc>
          <w:tcPr/>
          <w:p>
            <w:pPr>
              <w:pStyle w:val="Compact"/>
              <w:jc w:val="right"/>
            </w:pPr>
            <w:r>
              <w:t xml:space="preserve">24</w:t>
            </w:r>
          </w:p>
        </w:tc>
        <w:tc>
          <w:tcPr/>
          <w:p>
            <w:pPr>
              <w:pStyle w:val="Compact"/>
              <w:jc w:val="right"/>
            </w:pPr>
            <w:r>
              <w:t xml:space="preserve">0.03766</w:t>
            </w:r>
          </w:p>
        </w:tc>
        <w:tc>
          <w:tcPr/>
          <w:p>
            <w:pPr>
              <w:pStyle w:val="Compact"/>
              <w:jc w:val="left"/>
            </w:pPr>
            <w:r>
              <w:t xml:space="preserve">3,766%</w:t>
            </w:r>
          </w:p>
        </w:tc>
      </w:tr>
      <w:tr>
        <w:tc>
          <w:tcPr/>
          <w:p>
            <w:pPr>
              <w:pStyle w:val="Compact"/>
              <w:jc w:val="right"/>
            </w:pPr>
            <w:r>
              <w:t xml:space="preserve">25</w:t>
            </w:r>
          </w:p>
        </w:tc>
        <w:tc>
          <w:tcPr/>
          <w:p>
            <w:pPr>
              <w:pStyle w:val="Compact"/>
              <w:jc w:val="right"/>
            </w:pPr>
            <w:r>
              <w:t xml:space="preserve">0.03833</w:t>
            </w:r>
          </w:p>
        </w:tc>
        <w:tc>
          <w:tcPr/>
          <w:p>
            <w:pPr>
              <w:pStyle w:val="Compact"/>
              <w:jc w:val="left"/>
            </w:pPr>
            <w:r>
              <w:t xml:space="preserve">3,833%</w:t>
            </w:r>
          </w:p>
        </w:tc>
      </w:tr>
      <w:tr>
        <w:tc>
          <w:tcPr/>
          <w:p>
            <w:pPr>
              <w:pStyle w:val="Compact"/>
              <w:jc w:val="right"/>
            </w:pPr>
            <w:r>
              <w:t xml:space="preserve">26</w:t>
            </w:r>
          </w:p>
        </w:tc>
        <w:tc>
          <w:tcPr/>
          <w:p>
            <w:pPr>
              <w:pStyle w:val="Compact"/>
              <w:jc w:val="right"/>
            </w:pPr>
            <w:r>
              <w:t xml:space="preserve">0.03902</w:t>
            </w:r>
          </w:p>
        </w:tc>
        <w:tc>
          <w:tcPr/>
          <w:p>
            <w:pPr>
              <w:pStyle w:val="Compact"/>
              <w:jc w:val="left"/>
            </w:pPr>
            <w:r>
              <w:t xml:space="preserve">3,902%</w:t>
            </w:r>
          </w:p>
        </w:tc>
      </w:tr>
      <w:tr>
        <w:tc>
          <w:tcPr/>
          <w:p>
            <w:pPr>
              <w:pStyle w:val="Compact"/>
              <w:jc w:val="right"/>
            </w:pPr>
            <w:r>
              <w:t xml:space="preserve">27</w:t>
            </w:r>
          </w:p>
        </w:tc>
        <w:tc>
          <w:tcPr/>
          <w:p>
            <w:pPr>
              <w:pStyle w:val="Compact"/>
              <w:jc w:val="right"/>
            </w:pPr>
            <w:r>
              <w:t xml:space="preserve">0.03974</w:t>
            </w:r>
          </w:p>
        </w:tc>
        <w:tc>
          <w:tcPr/>
          <w:p>
            <w:pPr>
              <w:pStyle w:val="Compact"/>
              <w:jc w:val="left"/>
            </w:pPr>
            <w:r>
              <w:t xml:space="preserve">3,974%</w:t>
            </w:r>
          </w:p>
        </w:tc>
      </w:tr>
      <w:tr>
        <w:tc>
          <w:tcPr/>
          <w:p>
            <w:pPr>
              <w:pStyle w:val="Compact"/>
              <w:jc w:val="right"/>
            </w:pPr>
            <w:r>
              <w:t xml:space="preserve">28</w:t>
            </w:r>
          </w:p>
        </w:tc>
        <w:tc>
          <w:tcPr/>
          <w:p>
            <w:pPr>
              <w:pStyle w:val="Compact"/>
              <w:jc w:val="right"/>
            </w:pPr>
            <w:r>
              <w:t xml:space="preserve">0.03858</w:t>
            </w:r>
          </w:p>
        </w:tc>
        <w:tc>
          <w:tcPr/>
          <w:p>
            <w:pPr>
              <w:pStyle w:val="Compact"/>
              <w:jc w:val="left"/>
            </w:pPr>
            <w:r>
              <w:t xml:space="preserve">3,858%</w:t>
            </w:r>
          </w:p>
        </w:tc>
      </w:tr>
    </w:tbl>
    <w:bookmarkEnd w:id="57"/>
    <w:bookmarkEnd w:id="58"/>
    <w:bookmarkStart w:id="61" w:name="X336f36db0687334b747abecf8d379445810500d"/>
    <w:p>
      <w:pPr>
        <w:pStyle w:val="Heading3"/>
      </w:pPr>
      <w:r>
        <w:t xml:space="preserve">Extrapolation de la courbe des taux zéro-coupon : Méthode de Smith-Wilson</w:t>
      </w:r>
    </w:p>
    <w:p>
      <w:pPr>
        <w:pStyle w:val="FirstParagraph"/>
      </w:pPr>
      <w: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w:t>
      </w:r>
      <w:r>
        <w:t xml:space="preserve"> </w:t>
      </w:r>
      <w:r>
        <w:t xml:space="preserve">“</w:t>
      </w:r>
      <w:r>
        <w:t xml:space="preserve">fonction de Smith-Wilson</w:t>
      </w:r>
      <w:r>
        <w:t xml:space="preserve">”</w:t>
      </w:r>
      <w:r>
        <w:t xml:space="preserve">.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pPr>
        <w:pStyle w:val="BodyText"/>
      </w:pPr>
      <w:r>
        <w:t xml:space="preserve">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pPr>
        <w:pStyle w:val="BodyText"/>
      </w:pPr>
      <w:r>
        <w:t xml:space="preserve">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pPr>
        <w:pStyle w:val="BodyText"/>
      </w:pPr>
      <w:r>
        <w:t xml:space="preserve">Les paramètres d’entrée sont les suivants :</w:t>
      </w:r>
    </w:p>
    <w:p>
      <w:pPr>
        <w:numPr>
          <w:ilvl w:val="0"/>
          <w:numId w:val="1015"/>
        </w:numPr>
        <w:pStyle w:val="Compact"/>
      </w:pPr>
      <w:r>
        <w:t xml:space="preserve">le UFR (Ultimate Forward Rate)</w:t>
      </w:r>
    </w:p>
    <w:p>
      <w:pPr>
        <w:numPr>
          <w:ilvl w:val="0"/>
          <w:numId w:val="1015"/>
        </w:numPr>
        <w:pStyle w:val="Compact"/>
      </w:pPr>
      <m:oMath>
        <m:r>
          <m:t>α</m:t>
        </m:r>
      </m:oMath>
      <w:r>
        <w:t xml:space="preserve"> </w:t>
      </w:r>
      <w:r>
        <w:t xml:space="preserve">la vitesse de convergence vers le UFR.</w:t>
      </w:r>
    </w:p>
    <w:p>
      <w:pPr>
        <w:pStyle w:val="FirstParagraph"/>
      </w:pPr>
      <w:r>
        <w:t xml:space="preserve">En fait, sur le marché on observe les prix zéro-coupons de différentes maturités</w:t>
      </w:r>
      <w:r>
        <w:t xml:space="preserve"> </w:t>
      </w:r>
      <m:oMath>
        <m:sSub>
          <m:e>
            <m:r>
              <m:t>u</m:t>
            </m:r>
          </m:e>
          <m:sub>
            <m:r>
              <m:t>1</m:t>
            </m:r>
          </m:sub>
        </m:sSub>
        <m:r>
          <m:rPr>
            <m:sty m:val="p"/>
          </m:rPr>
          <m:t>,</m:t>
        </m:r>
        <m:sSub>
          <m:e>
            <m:r>
              <m:t>u</m:t>
            </m:r>
          </m:e>
          <m:sub>
            <m:r>
              <m:t>2</m:t>
            </m:r>
          </m:sub>
        </m:sSub>
        <m:r>
          <m:rPr>
            <m:sty m:val="p"/>
          </m:rPr>
          <m:t>,</m:t>
        </m:r>
        <m:r>
          <m:rPr>
            <m:sty m:val="p"/>
          </m:rPr>
          <m:t>…</m:t>
        </m:r>
        <m:r>
          <m:rPr>
            <m:sty m:val="p"/>
          </m:rPr>
          <m:t>.</m:t>
        </m:r>
        <m:r>
          <m:rPr>
            <m:sty m:val="p"/>
          </m:rPr>
          <m:t>,</m:t>
        </m:r>
        <m:sSub>
          <m:e>
            <m:r>
              <m:t>u</m:t>
            </m:r>
          </m:e>
          <m:sub>
            <m:r>
              <m:t>N</m:t>
            </m:r>
          </m:sub>
        </m:sSub>
      </m:oMath>
      <w:r>
        <w:t xml:space="preserve"> </w:t>
      </w:r>
      <w:r>
        <w:t xml:space="preserve">alors Smith-Wilson suppose que le facteur d’actualisation $P(</w:t>
      </w:r>
      <w:r>
        <w:t xml:space="preserve">) $ est déterminé par:</w:t>
      </w:r>
    </w:p>
    <w:p>
      <w:pPr>
        <w:pStyle w:val="BodyText"/>
      </w:pPr>
      <w:bookmarkStart w:id="59" w:name="eq-gbmp"/>
      <m:oMathPara>
        <m:oMathParaPr>
          <m:jc m:val="center"/>
        </m:oMathParaPr>
        <m:oMath>
          <m:r>
            <m:t>P</m:t>
          </m:r>
          <m:d>
            <m:dPr>
              <m:begChr m:val="("/>
              <m:endChr m:val=")"/>
              <m:sepChr m:val=""/>
              <m:grow/>
            </m:dPr>
            <m:e>
              <m:r>
                <m:t>τ</m:t>
              </m:r>
            </m:e>
          </m:d>
          <m:r>
            <m:rPr>
              <m:sty m:val="p"/>
            </m:rPr>
            <m:t>=</m:t>
          </m:r>
          <m:sSup>
            <m:e>
              <m:r>
                <m:t>e</m:t>
              </m:r>
            </m:e>
            <m:sup>
              <m:r>
                <m:rPr>
                  <m:sty m:val="p"/>
                </m:rPr>
                <m:t>−</m:t>
              </m:r>
              <m:r>
                <m:t>U</m:t>
              </m:r>
              <m:r>
                <m:t>F</m:t>
              </m:r>
              <m:r>
                <m:t>R</m:t>
              </m:r>
              <m:r>
                <m:rPr>
                  <m:sty m:val="p"/>
                </m:rPr>
                <m:t>*</m:t>
              </m:r>
              <m:r>
                <m:t>τ</m:t>
              </m:r>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r>
            <m:t>  </m:t>
          </m:r>
          <m:d>
            <m:dPr>
              <m:begChr m:val="("/>
              <m:endChr m:val=")"/>
              <m:sepChr m:val=""/>
              <m:grow/>
            </m:dPr>
            <m:e>
              <m:r>
                <m:t>5</m:t>
              </m:r>
            </m:e>
          </m:d>
        </m:oMath>
      </m:oMathPara>
      <w:bookmarkEnd w:id="59"/>
    </w:p>
    <w:p>
      <w:pPr>
        <w:pStyle w:val="FirstParagraph"/>
      </w:pPr>
      <w:r>
        <w:t xml:space="preserve">où:</w:t>
      </w:r>
    </w:p>
    <w:p>
      <w:pPr>
        <w:pStyle w:val="BodyText"/>
      </w:pPr>
      <m:oMathPara>
        <m:oMathParaPr>
          <m:jc m:val="center"/>
        </m:oMathParaPr>
        <m:oMath>
          <m:r>
            <m:t>W</m:t>
          </m:r>
          <m:d>
            <m:dPr>
              <m:begChr m:val="("/>
              <m:endChr m:val=")"/>
              <m:sepChr m:val=""/>
              <m:grow/>
            </m:dPr>
            <m:e>
              <m:r>
                <m:t>τ</m:t>
              </m:r>
              <m:r>
                <m:rPr>
                  <m:sty m:val="p"/>
                </m:rPr>
                <m:t>,</m:t>
              </m:r>
              <m:sSub>
                <m:e>
                  <m:r>
                    <m:t>μ</m:t>
                  </m:r>
                </m:e>
                <m:sub>
                  <m:r>
                    <m:t>j</m:t>
                  </m:r>
                </m:sub>
              </m:sSub>
            </m:e>
          </m:d>
          <m:r>
            <m:rPr>
              <m:sty m:val="p"/>
            </m:rPr>
            <m:t>=</m:t>
          </m:r>
          <m:sSup>
            <m:e>
              <m:r>
                <m:t>e</m:t>
              </m:r>
            </m:e>
            <m:sup>
              <m:r>
                <m:rPr>
                  <m:sty m:val="p"/>
                </m:rPr>
                <m:t>−</m:t>
              </m:r>
              <m:r>
                <m:t>U</m:t>
              </m:r>
              <m:r>
                <m:t>F</m:t>
              </m:r>
              <m:r>
                <m:t>R</m:t>
              </m:r>
              <m:r>
                <m:rPr>
                  <m:sty m:val="p"/>
                </m:rPr>
                <m:t>*</m:t>
              </m:r>
              <m:d>
                <m:dPr>
                  <m:begChr m:val="("/>
                  <m:endChr m:val=")"/>
                  <m:sepChr m:val=""/>
                  <m:grow/>
                </m:dPr>
                <m:e>
                  <m:r>
                    <m:t>τ</m:t>
                  </m:r>
                  <m:r>
                    <m:rPr>
                      <m:sty m:val="p"/>
                    </m:rPr>
                    <m:t>+</m:t>
                  </m:r>
                  <m:sSub>
                    <m:e>
                      <m:r>
                        <m:t>μ</m:t>
                      </m:r>
                    </m:e>
                    <m:sub>
                      <m:r>
                        <m:t>j</m:t>
                      </m:r>
                    </m:sub>
                  </m:sSub>
                </m:e>
              </m:d>
            </m:sup>
          </m:sSup>
          <m:r>
            <m:rPr>
              <m:sty m:val="p"/>
            </m:rPr>
            <m:t>*</m:t>
          </m:r>
          <m:d>
            <m:dPr>
              <m:begChr m:val="["/>
              <m:endChr m:val="]"/>
              <m:sepChr m:val=""/>
              <m:grow/>
            </m:dPr>
            <m:e>
              <m:r>
                <m:t>α</m:t>
              </m:r>
              <m:r>
                <m:rPr>
                  <m:sty m:val="p"/>
                </m:rPr>
                <m:t>*</m:t>
              </m:r>
              <m:r>
                <m:t>m</m:t>
              </m:r>
              <m:r>
                <m:t>i</m:t>
              </m:r>
              <m:r>
                <m:t>n</m:t>
              </m:r>
              <m:d>
                <m:dPr>
                  <m:begChr m:val="("/>
                  <m:endChr m:val=")"/>
                  <m:sepChr m:val=""/>
                  <m:grow/>
                </m:dPr>
                <m:e>
                  <m:r>
                    <m:t>τ</m:t>
                  </m:r>
                  <m:r>
                    <m:rPr>
                      <m:sty m:val="p"/>
                    </m:rPr>
                    <m:t>,</m:t>
                  </m:r>
                  <m:sSub>
                    <m:e>
                      <m:r>
                        <m:t>μ</m:t>
                      </m:r>
                    </m:e>
                    <m:sub>
                      <m:r>
                        <m:t>j</m:t>
                      </m:r>
                    </m:sub>
                  </m:sSub>
                </m:e>
              </m:d>
              <m:r>
                <m:rPr>
                  <m:sty m:val="p"/>
                </m:rPr>
                <m:t>−</m:t>
              </m:r>
              <m:r>
                <m:t>0</m:t>
              </m:r>
              <m:r>
                <m:rPr>
                  <m:sty m:val="p"/>
                </m:rPr>
                <m:t>,</m:t>
              </m:r>
              <m:r>
                <m:t>5</m:t>
              </m:r>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r>
                <m:rPr>
                  <m:sty m:val="p"/>
                </m:rPr>
                <m:t>*</m:t>
              </m:r>
              <m:d>
                <m:dPr>
                  <m:begChr m:val="("/>
                  <m:endChr m:val=")"/>
                  <m:sepChr m:val=""/>
                  <m:grow/>
                </m:dPr>
                <m:e>
                  <m:sSup>
                    <m:e>
                      <m:r>
                        <m:t>e</m:t>
                      </m:r>
                    </m:e>
                    <m:sup>
                      <m:r>
                        <m:t>α</m:t>
                      </m:r>
                      <m:r>
                        <m:rPr>
                          <m:sty m:val="p"/>
                        </m:rPr>
                        <m:t>*</m:t>
                      </m:r>
                      <m:r>
                        <m:t>m</m:t>
                      </m:r>
                      <m:r>
                        <m:t>i</m:t>
                      </m:r>
                      <m:r>
                        <m:t>n</m:t>
                      </m:r>
                      <m:d>
                        <m:dPr>
                          <m:begChr m:val="("/>
                          <m:endChr m:val=")"/>
                          <m:sepChr m:val=""/>
                          <m:grow/>
                        </m:dPr>
                        <m:e>
                          <m:r>
                            <m:t>τ</m:t>
                          </m:r>
                          <m:r>
                            <m:rPr>
                              <m:sty m:val="p"/>
                            </m:rPr>
                            <m:t>,</m:t>
                          </m:r>
                          <m:sSub>
                            <m:e>
                              <m:r>
                                <m:t>μ</m:t>
                              </m:r>
                            </m:e>
                            <m:sub>
                              <m:r>
                                <m:t>j</m:t>
                              </m:r>
                            </m:sub>
                          </m:sSub>
                        </m:e>
                      </m:d>
                    </m:sup>
                  </m:sSup>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e>
              </m:d>
            </m:e>
          </m:d>
          <m:r>
            <m:t> </m:t>
          </m:r>
          <m:r>
            <m:rPr>
              <m:sty m:val="p"/>
            </m:rPr>
            <m:t>,</m:t>
          </m:r>
        </m:oMath>
      </m:oMathPara>
    </w:p>
    <w:p>
      <w:pPr>
        <w:pStyle w:val="FirstParagraph"/>
      </w:pPr>
      <w:r>
        <w:t xml:space="preserve">avec :</w:t>
      </w:r>
    </w:p>
    <w:p>
      <w:pPr>
        <w:numPr>
          <w:ilvl w:val="0"/>
          <w:numId w:val="1016"/>
        </w:numPr>
        <w:pStyle w:val="Compact"/>
      </w:pPr>
      <m:oMath>
        <m:r>
          <m:t>W</m:t>
        </m:r>
      </m:oMath>
      <w:r>
        <w:t xml:space="preserve"> </w:t>
      </w:r>
      <w:r>
        <w:t xml:space="preserve">représente un ensemble de fonctions à noyau pour chaque prix d’obligation observable d’entrée.</w:t>
      </w:r>
    </w:p>
    <w:p>
      <w:pPr>
        <w:numPr>
          <w:ilvl w:val="0"/>
          <w:numId w:val="1016"/>
        </w:numPr>
        <w:pStyle w:val="Compact"/>
      </w:pPr>
      <m:oMath>
        <m:r>
          <m:t>α</m:t>
        </m:r>
      </m:oMath>
      <w:r>
        <w:t xml:space="preserve"> </w:t>
      </w:r>
      <w:r>
        <w:t xml:space="preserve">: la vitesse de convergence vers le UFR.</w:t>
      </w:r>
    </w:p>
    <w:p>
      <w:pPr>
        <w:numPr>
          <w:ilvl w:val="0"/>
          <w:numId w:val="1016"/>
        </w:numPr>
        <w:pStyle w:val="Compact"/>
      </w:pPr>
      <m:oMath>
        <m:r>
          <m:t>N</m:t>
        </m:r>
      </m:oMath>
      <w:r>
        <w:t xml:space="preserve">: le nombre d’obligations ZC dont le prix est observé sur le marché.</w:t>
      </w:r>
    </w:p>
    <w:p>
      <w:pPr>
        <w:numPr>
          <w:ilvl w:val="0"/>
          <w:numId w:val="1016"/>
        </w:numPr>
        <w:pStyle w:val="Compact"/>
      </w:pPr>
      <m:oMath>
        <m:sSub>
          <m:e>
            <m:r>
              <m:t>u</m:t>
            </m:r>
          </m:e>
          <m:sub>
            <m:r>
              <m:t>j</m:t>
            </m:r>
          </m:sub>
        </m:sSub>
      </m:oMath>
      <w:r>
        <w:t xml:space="preserve">: la j-ème maturité disponible. .</w:t>
      </w:r>
    </w:p>
    <w:p>
      <w:pPr>
        <w:numPr>
          <w:ilvl w:val="0"/>
          <w:numId w:val="1016"/>
        </w:numPr>
        <w:pStyle w:val="Compact"/>
      </w:pPr>
      <m:oMath>
        <m:sSub>
          <m:e>
            <m:r>
              <m:t>γ</m:t>
            </m:r>
          </m:e>
          <m:sub>
            <m:r>
              <m:t>j</m:t>
            </m:r>
          </m:sub>
        </m:sSub>
      </m:oMath>
      <w:r>
        <w:t xml:space="preserve"> </w:t>
      </w:r>
      <w:r>
        <w:t xml:space="preserve">: les inconnus à ajuster par rapport à la courbe des taux zéro-coupon disponible avant extrapolation.</w:t>
      </w:r>
    </w:p>
    <w:p>
      <w:pPr>
        <w:pStyle w:val="FirstParagraph"/>
      </w:pPr>
      <w:r>
        <w:t xml:space="preserve">Pour déterminer ces inconnus, on fixe d’abord</w:t>
      </w:r>
      <w:r>
        <w:t xml:space="preserve"> </w:t>
      </w:r>
      <m:oMath>
        <m:r>
          <m:t>U</m:t>
        </m:r>
        <m:r>
          <m:t>F</m:t>
        </m:r>
        <m:r>
          <m:t>R</m:t>
        </m:r>
      </m:oMath>
      <w:r>
        <w:t xml:space="preserve"> </w:t>
      </w:r>
      <w:r>
        <w:t xml:space="preserve">et</w:t>
      </w:r>
      <w:r>
        <w:t xml:space="preserve"> </w:t>
      </w:r>
      <m:oMath>
        <m:r>
          <m:t>α</m:t>
        </m:r>
      </m:oMath>
      <w:r>
        <w:t xml:space="preserve">,le vecteur</w:t>
      </w:r>
      <w:r>
        <w:t xml:space="preserve"> </w:t>
      </w:r>
      <m:oMath>
        <m:r>
          <m:t>γ</m:t>
        </m:r>
      </m:oMath>
      <w:r>
        <w:t xml:space="preserve"> </w:t>
      </w:r>
      <w:r>
        <w:t xml:space="preserve">s’obtient comme solution d’un système d’équations linéaires définies par l’expression du prix de chaque obligation ZC considérée.</w:t>
      </w:r>
    </w:p>
    <w:p>
      <w:pPr>
        <w:pStyle w:val="BodyText"/>
      </w:pPr>
      <w:r>
        <w:t xml:space="preserve">Soit :</w:t>
      </w:r>
    </w:p>
    <w:p>
      <w:pPr>
        <w:pStyle w:val="BodyText"/>
      </w:pPr>
      <m:oMathPara>
        <m:oMathParaPr>
          <m:jc m:val="center"/>
        </m:oMathParaPr>
        <m:oMath>
          <m:sSub>
            <m:e>
              <m:r>
                <m:t>m</m:t>
              </m:r>
            </m:e>
            <m:sub>
              <m:r>
                <m:t>j</m:t>
              </m:r>
            </m:sub>
          </m:sSub>
          <m:r>
            <m:rPr>
              <m:sty m:val="p"/>
            </m:rPr>
            <m:t>=</m:t>
          </m:r>
          <m:r>
            <m:t>P</m:t>
          </m:r>
          <m:d>
            <m:dPr>
              <m:begChr m:val="("/>
              <m:endChr m:val=")"/>
              <m:sepChr m:val=""/>
              <m:grow/>
            </m:dPr>
            <m:e>
              <m:sSub>
                <m:e>
                  <m:r>
                    <m:t>μ</m:t>
                  </m:r>
                </m:e>
                <m:sub>
                  <m:r>
                    <m:t>j</m:t>
                  </m:r>
                </m:sub>
              </m:sSub>
            </m:e>
          </m:d>
          <m:r>
            <m:rPr>
              <m:sty m:val="p"/>
            </m:rPr>
            <m:t>=</m:t>
          </m:r>
          <m:sSup>
            <m:e>
              <m:r>
                <m:t>e</m:t>
              </m:r>
            </m:e>
            <m:sup>
              <m:r>
                <m:rPr>
                  <m:sty m:val="p"/>
                </m:rPr>
                <m:t>−</m:t>
              </m:r>
              <m:r>
                <m:t>U</m:t>
              </m:r>
              <m:r>
                <m:t>F</m:t>
              </m:r>
              <m:r>
                <m:t>R</m:t>
              </m:r>
              <m:r>
                <m:rPr>
                  <m:sty m:val="p"/>
                </m:rPr>
                <m:t>*</m:t>
              </m:r>
              <m:sSub>
                <m:e>
                  <m:r>
                    <m:t>μ</m:t>
                  </m:r>
                </m:e>
                <m:sub>
                  <m:r>
                    <m:t>j</m:t>
                  </m:r>
                </m:sub>
              </m:sSub>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oMath>
      </m:oMathPara>
    </w:p>
    <w:p>
      <w:pPr>
        <w:pStyle w:val="FirstParagraph"/>
      </w:pPr>
      <w:r>
        <w:t xml:space="preserve">sous forme matricielle :</w:t>
      </w:r>
    </w:p>
    <w:p>
      <w:pPr>
        <w:pStyle w:val="BodyText"/>
      </w:pPr>
      <m:oMathPara>
        <m:oMathParaPr>
          <m:jc m:val="center"/>
        </m:oMathParaPr>
        <m:oMath>
          <m:r>
            <m:t>m</m:t>
          </m:r>
          <m:r>
            <m:rPr>
              <m:sty m:val="p"/>
            </m:rPr>
            <m:t>=</m:t>
          </m:r>
          <m:r>
            <m:t>P</m:t>
          </m:r>
          <m:r>
            <m:rPr>
              <m:sty m:val="p"/>
            </m:rPr>
            <m:t>=</m:t>
          </m:r>
          <m:r>
            <m:t>µ</m:t>
          </m:r>
          <m:r>
            <m:rPr>
              <m:sty m:val="p"/>
            </m:rPr>
            <m:t>+</m:t>
          </m:r>
          <m:r>
            <m:t>γ</m:t>
          </m:r>
          <m:r>
            <m:rPr>
              <m:sty m:val="p"/>
            </m:rPr>
            <m:t>∗</m:t>
          </m:r>
          <m:r>
            <m:t>W</m:t>
          </m:r>
          <m:r>
            <m:rPr>
              <m:sty m:val="p"/>
            </m:rPr>
            <m:t>⇒</m:t>
          </m:r>
          <m:r>
            <m:t>γ</m:t>
          </m:r>
          <m:r>
            <m:rPr>
              <m:sty m:val="p"/>
            </m:rPr>
            <m:t>=</m:t>
          </m:r>
          <m:sSup>
            <m:e>
              <m:r>
                <m:t>W</m:t>
              </m:r>
            </m:e>
            <m:sup>
              <m:r>
                <m:rPr>
                  <m:sty m:val="p"/>
                </m:rPr>
                <m:t>−</m:t>
              </m:r>
              <m:r>
                <m:t>1</m:t>
              </m:r>
            </m:sup>
          </m:sSup>
          <m:d>
            <m:dPr>
              <m:begChr m:val="("/>
              <m:endChr m:val=")"/>
              <m:sepChr m:val=""/>
              <m:grow/>
            </m:dPr>
            <m:e>
              <m:r>
                <m:t>P</m:t>
              </m:r>
              <m:r>
                <m:rPr>
                  <m:sty m:val="p"/>
                </m:rPr>
                <m:t>−</m:t>
              </m:r>
              <m:r>
                <m:t>µ</m:t>
              </m:r>
            </m:e>
          </m:d>
          <m:r>
            <m:rPr>
              <m:sty m:val="p"/>
            </m:rPr>
            <m:t>,</m:t>
          </m:r>
        </m:oMath>
      </m:oMathPara>
    </w:p>
    <w:p>
      <w:pPr>
        <w:pStyle w:val="FirstParagraph"/>
      </w:pPr>
      <w:r>
        <w:t xml:space="preserve">avec:</w:t>
      </w:r>
    </w:p>
    <w:p>
      <w:pPr>
        <w:pStyle w:val="BodyText"/>
      </w:pPr>
      <m:oMath>
        <m:r>
          <m:t>m</m:t>
        </m:r>
        <m:r>
          <m:rPr>
            <m:sty m:val="p"/>
          </m:rPr>
          <m:t>=</m:t>
        </m:r>
        <m:sSup>
          <m:e>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N</m:t>
                    </m:r>
                  </m:sub>
                </m:sSub>
              </m:e>
            </m:d>
          </m:e>
          <m:sup>
            <m:r>
              <m:t>T</m:t>
            </m:r>
          </m:sup>
        </m:sSup>
      </m:oMath>
    </w:p>
    <w:p>
      <w:pPr>
        <w:pStyle w:val="BodyText"/>
      </w:pPr>
      <m:oMath>
        <m:r>
          <m:t>P</m:t>
        </m:r>
        <m:r>
          <m:rPr>
            <m:sty m:val="p"/>
          </m:rPr>
          <m:t>=</m:t>
        </m:r>
        <m:sSup>
          <m:e>
            <m:d>
              <m:dPr>
                <m:begChr m:val="("/>
                <m:endChr m:val=")"/>
                <m:sepChr m:val=""/>
                <m:grow/>
              </m:dPr>
              <m:e>
                <m:r>
                  <m:t>P</m:t>
                </m:r>
                <m:d>
                  <m:dPr>
                    <m:begChr m:val="("/>
                    <m:endChr m:val=")"/>
                    <m:sepChr m:val=""/>
                    <m:grow/>
                  </m:dPr>
                  <m:e>
                    <m:sSub>
                      <m:e>
                        <m:r>
                          <m:t>u</m:t>
                        </m:r>
                      </m:e>
                      <m:sub>
                        <m:r>
                          <m:t>1</m:t>
                        </m:r>
                      </m:sub>
                    </m:sSub>
                  </m:e>
                </m:d>
                <m:r>
                  <m:rPr>
                    <m:sty m:val="p"/>
                  </m:rPr>
                  <m:t>,</m:t>
                </m:r>
                <m:r>
                  <m:t>P</m:t>
                </m:r>
                <m:d>
                  <m:dPr>
                    <m:begChr m:val="("/>
                    <m:endChr m:val=")"/>
                    <m:sepChr m:val=""/>
                    <m:grow/>
                  </m:dPr>
                  <m:e>
                    <m:sSub>
                      <m:e>
                        <m:r>
                          <m:t>u</m:t>
                        </m:r>
                      </m:e>
                      <m:sub>
                        <m:r>
                          <m:t>2</m:t>
                        </m:r>
                      </m:sub>
                    </m:sSub>
                  </m:e>
                </m:d>
                <m:r>
                  <m:rPr>
                    <m:sty m:val="p"/>
                  </m:rPr>
                  <m:t>,</m:t>
                </m:r>
                <m:r>
                  <m:rPr>
                    <m:sty m:val="p"/>
                  </m:rPr>
                  <m:t>…</m:t>
                </m:r>
                <m:r>
                  <m:rPr>
                    <m:sty m:val="p"/>
                  </m:rPr>
                  <m:t>,</m:t>
                </m:r>
                <m:r>
                  <m:t>P</m:t>
                </m:r>
                <m:d>
                  <m:dPr>
                    <m:begChr m:val="("/>
                    <m:endChr m:val=")"/>
                    <m:sepChr m:val=""/>
                    <m:grow/>
                  </m:dPr>
                  <m:e>
                    <m:sSub>
                      <m:e>
                        <m:r>
                          <m:t>u</m:t>
                        </m:r>
                      </m:e>
                      <m:sub>
                        <m:r>
                          <m:t>N</m:t>
                        </m:r>
                      </m:sub>
                    </m:sSub>
                  </m:e>
                </m:d>
              </m:e>
            </m:d>
          </m:e>
          <m:sup>
            <m:r>
              <m:t>T</m:t>
            </m:r>
          </m:sup>
        </m:sSup>
      </m:oMath>
    </w:p>
    <w:p>
      <w:pPr>
        <w:pStyle w:val="BodyText"/>
      </w:pPr>
      <m:oMath>
        <m:r>
          <m:t>µ</m:t>
        </m:r>
        <m:r>
          <m:rPr>
            <m:sty m:val="p"/>
          </m:rPr>
          <m:t>=</m:t>
        </m:r>
        <m:sSup>
          <m:e>
            <m:d>
              <m:dPr>
                <m:begChr m:val="("/>
                <m:endChr m:val=")"/>
                <m:sepChr m:val=""/>
                <m:grow/>
              </m:dPr>
              <m:e>
                <m:sSup>
                  <m:e>
                    <m:r>
                      <m:t>e</m:t>
                    </m:r>
                  </m:e>
                  <m:sup>
                    <m:r>
                      <m:rPr>
                        <m:sty m:val="p"/>
                      </m:rPr>
                      <m:t>−</m:t>
                    </m:r>
                    <m:r>
                      <m:t>U</m:t>
                    </m:r>
                    <m:r>
                      <m:t>F</m:t>
                    </m:r>
                    <m:r>
                      <m:t>R</m:t>
                    </m:r>
                    <m:r>
                      <m:rPr>
                        <m:sty m:val="p"/>
                      </m:rPr>
                      <m:t>∗</m:t>
                    </m:r>
                    <m:sSub>
                      <m:e>
                        <m:r>
                          <m:t>u</m:t>
                        </m:r>
                      </m:e>
                      <m:sub>
                        <m:r>
                          <m:t>1</m:t>
                        </m:r>
                      </m:sub>
                    </m:sSub>
                  </m:sup>
                </m:sSup>
                <m:r>
                  <m:rPr>
                    <m:sty m:val="p"/>
                  </m:rPr>
                  <m:t>,</m:t>
                </m:r>
                <m:sSup>
                  <m:e>
                    <m:r>
                      <m:t>e</m:t>
                    </m:r>
                  </m:e>
                  <m:sup>
                    <m:r>
                      <m:rPr>
                        <m:sty m:val="p"/>
                      </m:rPr>
                      <m:t>−</m:t>
                    </m:r>
                    <m:r>
                      <m:t>U</m:t>
                    </m:r>
                    <m:r>
                      <m:t>F</m:t>
                    </m:r>
                    <m:r>
                      <m:t>R</m:t>
                    </m:r>
                    <m:r>
                      <m:rPr>
                        <m:sty m:val="p"/>
                      </m:rPr>
                      <m:t>∗</m:t>
                    </m:r>
                    <m:sSub>
                      <m:e>
                        <m:r>
                          <m:t>u</m:t>
                        </m:r>
                      </m:e>
                      <m:sub>
                        <m:r>
                          <m:t>2</m:t>
                        </m:r>
                      </m:sub>
                    </m:sSub>
                  </m:sup>
                </m:sSup>
                <m:r>
                  <m:rPr>
                    <m:sty m:val="p"/>
                  </m:rPr>
                  <m:t>,</m:t>
                </m:r>
                <m:r>
                  <m:rPr>
                    <m:sty m:val="p"/>
                  </m:rPr>
                  <m:t>…</m:t>
                </m:r>
                <m:r>
                  <m:rPr>
                    <m:sty m:val="p"/>
                  </m:rPr>
                  <m:t>,</m:t>
                </m:r>
                <m:sSup>
                  <m:e>
                    <m:r>
                      <m:t>e</m:t>
                    </m:r>
                  </m:e>
                  <m:sup>
                    <m:r>
                      <m:rPr>
                        <m:sty m:val="p"/>
                      </m:rPr>
                      <m:t>−</m:t>
                    </m:r>
                    <m:r>
                      <m:t>U</m:t>
                    </m:r>
                    <m:r>
                      <m:t>F</m:t>
                    </m:r>
                    <m:r>
                      <m:t>R</m:t>
                    </m:r>
                    <m:r>
                      <m:rPr>
                        <m:sty m:val="p"/>
                      </m:rPr>
                      <m:t>*</m:t>
                    </m:r>
                    <m:sSub>
                      <m:e>
                        <m:r>
                          <m:t>u</m:t>
                        </m:r>
                      </m:e>
                      <m:sub>
                        <m:r>
                          <m:t>N</m:t>
                        </m:r>
                      </m:sub>
                    </m:sSub>
                  </m:sup>
                </m:sSup>
              </m:e>
            </m:d>
          </m:e>
          <m:sup>
            <m:r>
              <m:t>T</m:t>
            </m:r>
          </m:sup>
        </m:sSup>
      </m:oMath>
    </w:p>
    <w:p>
      <w:pPr>
        <w:pStyle w:val="BodyText"/>
      </w:pPr>
      <w:r>
        <w:t xml:space="preserve">$$</w:t>
      </w:r>
      <w:r>
        <w:t xml:space="preserve"> </w:t>
      </w:r>
      <w:r>
        <w:t xml:space="preserve">W =</w:t>
      </w:r>
    </w:p>
    <w:p>
      <w:pPr>
        <w:pStyle w:val="BodyText"/>
      </w:pPr>
      <w:r>
        <w:t xml:space="preserve">$$</w:t>
      </w:r>
    </w:p>
    <w:p>
      <w:pPr>
        <w:pStyle w:val="BodyText"/>
      </w:pPr>
      <m:oMathPara>
        <m:oMathParaPr>
          <m:jc m:val="center"/>
        </m:oMathParaPr>
        <m:oMath>
          <m:r>
            <m:t>W</m:t>
          </m:r>
          <m:r>
            <m:t>i</m:t>
          </m:r>
          <m:r>
            <m:t>j</m:t>
          </m:r>
          <m:r>
            <m:rPr>
              <m:sty m:val="p"/>
            </m:rPr>
            <m:t>=</m:t>
          </m:r>
          <m:r>
            <m:t>W</m:t>
          </m:r>
          <m:d>
            <m:dPr>
              <m:begChr m:val="("/>
              <m:endChr m:val=")"/>
              <m:sepChr m:val=""/>
              <m:grow/>
            </m:dPr>
            <m:e>
              <m:sSub>
                <m:e>
                  <m:r>
                    <m:t>u</m:t>
                  </m:r>
                </m:e>
                <m:sub>
                  <m:r>
                    <m:t>i</m:t>
                  </m:r>
                </m:sub>
              </m:sSub>
              <m:r>
                <m:rPr>
                  <m:sty m:val="p"/>
                </m:rPr>
                <m:t>,</m:t>
              </m:r>
              <m:sSub>
                <m:e>
                  <m:r>
                    <m:t>u</m:t>
                  </m:r>
                </m:e>
                <m:sub>
                  <m:r>
                    <m:t>j</m:t>
                  </m:r>
                </m:sub>
              </m:sSub>
            </m:e>
          </m:d>
          <m:r>
            <m:t>  </m:t>
          </m:r>
          <m:r>
            <m:t>i</m:t>
          </m:r>
          <m:r>
            <m:rPr>
              <m:sty m:val="p"/>
            </m:rPr>
            <m:t>,</m:t>
          </m:r>
          <m:r>
            <m:t>j</m:t>
          </m:r>
          <m:r>
            <m:rPr>
              <m:sty m:val="p"/>
            </m:rPr>
            <m:t>=</m:t>
          </m:r>
          <m:r>
            <m:t>1</m:t>
          </m:r>
          <m:r>
            <m:rPr>
              <m:sty m:val="p"/>
            </m:rPr>
            <m:t>,</m:t>
          </m:r>
          <m:r>
            <m:rPr>
              <m:sty m:val="p"/>
            </m:rPr>
            <m:t>…</m:t>
          </m:r>
          <m:r>
            <m:rPr>
              <m:sty m:val="p"/>
            </m:rPr>
            <m:t>,</m:t>
          </m:r>
          <m:r>
            <m:t>N</m:t>
          </m:r>
          <m:r>
            <m:t> </m:t>
          </m:r>
          <m:r>
            <m:t> </m:t>
          </m:r>
        </m:oMath>
      </m:oMathPara>
    </w:p>
    <w:p>
      <w:pPr>
        <w:pStyle w:val="FirstParagraph"/>
      </w:pPr>
      <w:r>
        <w:t xml:space="preserve">Après la détermination des inconnus, on passe au calcul des prix zéro-coupon correspondants aux maturités pleines, et finalement déduire les taux zéro-coupon correspondants à ces maturités par la relation suivante :</w:t>
      </w:r>
    </w:p>
    <w:p>
      <w:pPr>
        <w:pStyle w:val="BodyText"/>
      </w:pPr>
      <w:bookmarkStart w:id="60" w:name="eq-gbmp"/>
      <m:oMathPara>
        <m:oMathParaPr>
          <m:jc m:val="center"/>
        </m:oMathParaPr>
        <m:oMath>
          <m:r>
            <m:t>R</m:t>
          </m:r>
          <m:d>
            <m:dPr>
              <m:begChr m:val="("/>
              <m:endChr m:val=")"/>
              <m:sepChr m:val=""/>
              <m:grow/>
            </m:dPr>
            <m:e>
              <m:r>
                <m:t>t</m:t>
              </m:r>
            </m:e>
          </m:d>
          <m:r>
            <m:rPr>
              <m:sty m:val="p"/>
            </m:rPr>
            <m:t>=</m:t>
          </m:r>
          <m:sSup>
            <m:e>
              <m:d>
                <m:dPr>
                  <m:begChr m:val="("/>
                  <m:endChr m:val=")"/>
                  <m:sepChr m:val=""/>
                  <m:grow/>
                </m:dPr>
                <m:e>
                  <m:f>
                    <m:fPr>
                      <m:type m:val="bar"/>
                    </m:fPr>
                    <m:num>
                      <m:r>
                        <m:t>1</m:t>
                      </m:r>
                    </m:num>
                    <m:den>
                      <m:r>
                        <m:t>P</m:t>
                      </m:r>
                      <m:d>
                        <m:dPr>
                          <m:begChr m:val="("/>
                          <m:endChr m:val=")"/>
                          <m:sepChr m:val=""/>
                          <m:grow/>
                        </m:dPr>
                        <m:e>
                          <m:r>
                            <m:t>t</m:t>
                          </m:r>
                        </m:e>
                      </m:d>
                    </m:den>
                  </m:f>
                </m:e>
              </m:d>
            </m:e>
            <m:sup>
              <m:f>
                <m:fPr>
                  <m:type m:val="bar"/>
                </m:fPr>
                <m:num>
                  <m:r>
                    <m:t>1</m:t>
                  </m:r>
                </m:num>
                <m:den>
                  <m:r>
                    <m:t>t</m:t>
                  </m:r>
                </m:den>
              </m:f>
            </m:sup>
          </m:sSup>
          <m:r>
            <m:rPr>
              <m:sty m:val="p"/>
            </m:rPr>
            <m:t>−</m:t>
          </m:r>
          <m:r>
            <m:t>1</m:t>
          </m:r>
          <m:r>
            <m:t>  </m:t>
          </m:r>
          <m:d>
            <m:dPr>
              <m:begChr m:val="("/>
              <m:endChr m:val=")"/>
              <m:sepChr m:val=""/>
              <m:grow/>
            </m:dPr>
            <m:e>
              <m:r>
                <m:t>6</m:t>
              </m:r>
            </m:e>
          </m:d>
        </m:oMath>
      </m:oMathPara>
      <w:bookmarkEnd w:id="60"/>
    </w:p>
    <w:bookmarkEnd w:id="61"/>
    <w:bookmarkEnd w:id="62"/>
    <w:bookmarkEnd w:id="63"/>
    <w:bookmarkStart w:id="93" w:name="chapitre-iii-valorisation-de-lactif"/>
    <w:p>
      <w:pPr>
        <w:pStyle w:val="Heading1"/>
      </w:pPr>
      <w:r>
        <w:t xml:space="preserve">3. CHAPITRE III : Valorisation de l’actif</w:t>
      </w:r>
    </w:p>
    <w:bookmarkStart w:id="64" w:name="directives-de-lacaps"/>
    <w:p>
      <w:pPr>
        <w:pStyle w:val="Heading2"/>
      </w:pPr>
      <w:r>
        <w:t xml:space="preserve">3.1 Directives de l’ACAPS</w:t>
      </w:r>
    </w:p>
    <w:p>
      <w:pPr>
        <w:pStyle w:val="FirstParagraph"/>
      </w:pPr>
      <w:r>
        <w:t xml:space="preserve">Selon les directions de l’autorité de contrôle des Assurances et de la Prévoyance Sociale, les actifs doivent être évaluer comme suit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Actif</w:t>
            </w:r>
          </w:p>
        </w:tc>
        <w:tc>
          <w:tcPr/>
          <w:p>
            <w:pPr>
              <w:pStyle w:val="Compact"/>
              <w:jc w:val="left"/>
            </w:pPr>
            <w:r>
              <w:t xml:space="preserve">Valorisation</w:t>
            </w:r>
          </w:p>
        </w:tc>
      </w:tr>
      <w:tr>
        <w:tc>
          <w:tcPr/>
          <w:p>
            <w:pPr>
              <w:pStyle w:val="Compact"/>
              <w:jc w:val="left"/>
            </w:pPr>
            <w:r>
              <w:t xml:space="preserve">Actions cotées à la bourse</w:t>
            </w:r>
          </w:p>
        </w:tc>
        <w:tc>
          <w:tcPr/>
          <w:p>
            <w:pPr>
              <w:pStyle w:val="Compact"/>
              <w:jc w:val="left"/>
            </w:pPr>
            <w:r>
              <w:t xml:space="preserve">Dernier cours coté</w:t>
            </w:r>
          </w:p>
        </w:tc>
      </w:tr>
      <w:tr>
        <w:tc>
          <w:tcPr/>
          <w:p>
            <w:pPr>
              <w:pStyle w:val="Compact"/>
              <w:jc w:val="left"/>
            </w:pPr>
            <w:r>
              <w:t xml:space="preserve">Titres OPCVM et OPCI</w:t>
            </w:r>
          </w:p>
        </w:tc>
        <w:tc>
          <w:tcPr/>
          <w:p>
            <w:pPr>
              <w:pStyle w:val="Compact"/>
              <w:jc w:val="left"/>
            </w:pPr>
            <w:r>
              <w:t xml:space="preserve">Dernière valeur liquidative</w:t>
            </w:r>
          </w:p>
        </w:tc>
      </w:tr>
      <w:tr>
        <w:tc>
          <w:tcPr/>
          <w:p>
            <w:pPr>
              <w:pStyle w:val="Compact"/>
              <w:jc w:val="left"/>
            </w:pPr>
            <w:r>
              <w:t xml:space="preserve">Titres OPCC et FPCT</w:t>
            </w:r>
          </w:p>
        </w:tc>
        <w:tc>
          <w:tcPr/>
          <w:p>
            <w:pPr>
              <w:pStyle w:val="Compact"/>
              <w:jc w:val="left"/>
            </w:pPr>
            <w:r>
              <w:t xml:space="preserve">Dernière valeur connue</w:t>
            </w:r>
          </w:p>
        </w:tc>
      </w:tr>
      <w:tr>
        <w:tc>
          <w:tcPr/>
          <w:p>
            <w:pPr>
              <w:pStyle w:val="Compact"/>
              <w:jc w:val="left"/>
            </w:pPr>
            <w:r>
              <w:t xml:space="preserve">Titres de créances négociables , obligations et bons</w:t>
            </w:r>
          </w:p>
        </w:tc>
        <w:tc>
          <w:tcPr/>
          <w:p>
            <w:pPr>
              <w:pStyle w:val="Compact"/>
              <w:jc w:val="left"/>
            </w:pPr>
            <w:r>
              <w:t xml:space="preserve">Valeur de marché</w:t>
            </w:r>
          </w:p>
        </w:tc>
      </w:tr>
      <w:tr>
        <w:tc>
          <w:tcPr/>
          <w:p>
            <w:pPr>
              <w:pStyle w:val="Compact"/>
              <w:jc w:val="left"/>
            </w:pPr>
            <w:r>
              <w:t xml:space="preserve">Immobilisations corporelles</w:t>
            </w:r>
          </w:p>
        </w:tc>
        <w:tc>
          <w:tcPr/>
          <w:p>
            <w:pPr>
              <w:pStyle w:val="Compact"/>
              <w:jc w:val="left"/>
            </w:pPr>
            <w:r>
              <w:t xml:space="preserve">Valeur comptable</w:t>
            </w:r>
          </w:p>
        </w:tc>
      </w:tr>
      <w:tr>
        <w:tc>
          <w:tcPr/>
          <w:p>
            <w:pPr>
              <w:pStyle w:val="Compact"/>
              <w:jc w:val="left"/>
            </w:pPr>
            <w:r>
              <w:t xml:space="preserve">Autres créances</w:t>
            </w:r>
          </w:p>
        </w:tc>
        <w:tc>
          <w:tcPr/>
          <w:p>
            <w:pPr>
              <w:pStyle w:val="Compact"/>
              <w:jc w:val="left"/>
            </w:pPr>
            <w:r>
              <w:t xml:space="preserve">Valeur comptable</w:t>
            </w:r>
          </w:p>
        </w:tc>
      </w:tr>
      <w:tr>
        <w:tc>
          <w:tcPr/>
          <w:p>
            <w:pPr>
              <w:pStyle w:val="Compact"/>
              <w:jc w:val="left"/>
            </w:pPr>
            <w:r>
              <w:t xml:space="preserve">Immobilisations en non valeur</w:t>
            </w:r>
          </w:p>
        </w:tc>
        <w:tc>
          <w:tcPr/>
          <w:p>
            <w:pPr>
              <w:pStyle w:val="Compact"/>
              <w:jc w:val="left"/>
            </w:pPr>
            <w:r>
              <w:t xml:space="preserve">Valeur nulle</w:t>
            </w:r>
          </w:p>
        </w:tc>
      </w:tr>
      <w:tr>
        <w:tc>
          <w:tcPr/>
          <w:p>
            <w:pPr>
              <w:pStyle w:val="Compact"/>
              <w:jc w:val="left"/>
            </w:pPr>
            <w:r>
              <w:t xml:space="preserve">Immobilisations incorporelles</w:t>
            </w:r>
          </w:p>
        </w:tc>
        <w:tc>
          <w:tcPr/>
          <w:p>
            <w:pPr>
              <w:pStyle w:val="Compact"/>
              <w:jc w:val="left"/>
            </w:pPr>
            <w:r>
              <w:t xml:space="preserve">Valeur nulle</w:t>
            </w:r>
          </w:p>
        </w:tc>
      </w:tr>
      <w:tr>
        <w:tc>
          <w:tcPr/>
          <w:p>
            <w:pPr>
              <w:pStyle w:val="Compact"/>
              <w:jc w:val="left"/>
            </w:pPr>
            <w:r>
              <w:t xml:space="preserve">Actifs immobiliers hors OPCI</w:t>
            </w:r>
          </w:p>
        </w:tc>
        <w:tc>
          <w:tcPr/>
          <w:p>
            <w:pPr>
              <w:pStyle w:val="Compact"/>
              <w:jc w:val="left"/>
            </w:pPr>
            <w:r>
              <w:t xml:space="preserve">Valeur de transaction ( sinon valeur comptable )</w:t>
            </w:r>
          </w:p>
        </w:tc>
      </w:tr>
      <w:tr>
        <w:tc>
          <w:tcPr/>
          <w:p>
            <w:pPr>
              <w:pStyle w:val="Compact"/>
              <w:jc w:val="left"/>
            </w:pPr>
            <w:r>
              <w:t xml:space="preserve">Autres actifs</w:t>
            </w:r>
          </w:p>
        </w:tc>
        <w:tc>
          <w:tcPr/>
          <w:p>
            <w:pPr>
              <w:pStyle w:val="Compact"/>
              <w:jc w:val="left"/>
            </w:pPr>
            <w:r>
              <w:t xml:space="preserve">Valeur d’expert (sinon valeur comptable )</w:t>
            </w:r>
          </w:p>
        </w:tc>
      </w:tr>
    </w:tbl>
    <w:p>
      <w:pPr>
        <w:numPr>
          <w:ilvl w:val="0"/>
          <w:numId w:val="1017"/>
        </w:numPr>
        <w:pStyle w:val="Compact"/>
      </w:pPr>
      <w:r>
        <w:t xml:space="preserve">Titres OPCVM et OPCI : Dernière valeur liquidative.</w:t>
      </w:r>
    </w:p>
    <w:p>
      <w:pPr>
        <w:numPr>
          <w:ilvl w:val="0"/>
          <w:numId w:val="1017"/>
        </w:numPr>
        <w:pStyle w:val="Compact"/>
      </w:pPr>
      <w:r>
        <w:t xml:space="preserve">Titres OPCC et FPCT : Dernière valeur connue.</w:t>
      </w:r>
    </w:p>
    <w:p>
      <w:pPr>
        <w:numPr>
          <w:ilvl w:val="0"/>
          <w:numId w:val="1017"/>
        </w:numPr>
        <w:pStyle w:val="Compact"/>
      </w:pPr>
      <w:r>
        <w:t xml:space="preserve">Titres de créances négociables, obligations et bons : Valeur de marché.</w:t>
      </w:r>
    </w:p>
    <w:p>
      <w:pPr>
        <w:numPr>
          <w:ilvl w:val="0"/>
          <w:numId w:val="1017"/>
        </w:numPr>
        <w:pStyle w:val="Compact"/>
      </w:pPr>
      <w:r>
        <w:t xml:space="preserve">Immobilisations corporelles : Valeur comptable.</w:t>
      </w:r>
    </w:p>
    <w:p>
      <w:pPr>
        <w:numPr>
          <w:ilvl w:val="0"/>
          <w:numId w:val="1017"/>
        </w:numPr>
        <w:pStyle w:val="Compact"/>
      </w:pPr>
      <w:r>
        <w:t xml:space="preserve">Autres créances : Valeur comptable.</w:t>
      </w:r>
    </w:p>
    <w:p>
      <w:pPr>
        <w:numPr>
          <w:ilvl w:val="0"/>
          <w:numId w:val="1017"/>
        </w:numPr>
        <w:pStyle w:val="Compact"/>
      </w:pPr>
      <w:r>
        <w:t xml:space="preserve">Immobilisations en non-valeur : Valeur nulle.</w:t>
      </w:r>
    </w:p>
    <w:p>
      <w:pPr>
        <w:numPr>
          <w:ilvl w:val="0"/>
          <w:numId w:val="1017"/>
        </w:numPr>
        <w:pStyle w:val="Compact"/>
      </w:pPr>
      <w:r>
        <w:t xml:space="preserve">Immobilisations incorporelles : Valeur nulle.</w:t>
      </w:r>
    </w:p>
    <w:p>
      <w:pPr>
        <w:numPr>
          <w:ilvl w:val="0"/>
          <w:numId w:val="1017"/>
        </w:numPr>
        <w:pStyle w:val="Compact"/>
      </w:pPr>
      <w:r>
        <w:t xml:space="preserve">Actifs immobiliers hors OPCI : Valeur de transaction (sinon valeur comptable).</w:t>
      </w:r>
    </w:p>
    <w:p>
      <w:pPr>
        <w:numPr>
          <w:ilvl w:val="0"/>
          <w:numId w:val="1017"/>
        </w:numPr>
        <w:pStyle w:val="Compact"/>
      </w:pPr>
      <w:r>
        <w:t xml:space="preserve">Autres actifs : Valeur d’expert (sinon valeur comptable)</w:t>
      </w:r>
    </w:p>
    <w:p>
      <w:pPr>
        <w:pStyle w:val="FirstParagraph"/>
      </w:pPr>
      <w:r>
        <w:t xml:space="preserve">Pour les actions cotées à la bourse de Casablanca, ils sont valorisées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bookmarkEnd w:id="64"/>
    <w:bookmarkStart w:id="92" w:name="modélisation-du-prix-des-actions"/>
    <w:p>
      <w:pPr>
        <w:pStyle w:val="Heading2"/>
      </w:pPr>
      <w:r>
        <w:t xml:space="preserve">3.2 Modélisation du prix des actions</w:t>
      </w:r>
    </w:p>
    <w:p>
      <w:pPr>
        <w:pStyle w:val="FirstParagraph"/>
      </w:pPr>
      <w:r>
        <w:t xml:space="preserve">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pPr>
        <w:pStyle w:val="BodyText"/>
      </w:pPr>
      <w:r>
        <w:t xml:space="preserve">Ainsi, si la valeur présente de l’action est une donnée du marché, sa valeur future quant à elle est aléatoire d’où la nécessité de sa modélisation.</w:t>
      </w:r>
    </w:p>
    <w:bookmarkStart w:id="78" w:name="modèle-de-black-scholes"/>
    <w:p>
      <w:pPr>
        <w:pStyle w:val="Heading3"/>
      </w:pPr>
      <w:r>
        <w:t xml:space="preserve">Modèle de Black-Scholes</w:t>
      </w:r>
    </w:p>
    <w:p>
      <w:pPr>
        <w:pStyle w:val="FirstParagraph"/>
      </w:pPr>
      <w:r>
        <w:t xml:space="preserve">Le modèle de Black-Scholes modèle a été développé en 1973 par</w:t>
      </w:r>
      <w:r>
        <w:t xml:space="preserve"> </w:t>
      </w:r>
      <w:r>
        <w:rPr>
          <w:iCs/>
          <w:i/>
        </w:rPr>
        <w:t xml:space="preserve">Fischer Black</w:t>
      </w:r>
      <w:r>
        <w:t xml:space="preserve">,</w:t>
      </w:r>
      <w:r>
        <w:t xml:space="preserve"> </w:t>
      </w:r>
      <w:r>
        <w:rPr>
          <w:iCs/>
          <w:i/>
        </w:rPr>
        <w:t xml:space="preserve">Robert Merton</w:t>
      </w:r>
      <w:r>
        <w:t xml:space="preserve"> </w:t>
      </w:r>
      <w:r>
        <w:t xml:space="preserve">et</w:t>
      </w:r>
      <w:r>
        <w:t xml:space="preserve"> </w:t>
      </w:r>
      <w:r>
        <w:rPr>
          <w:iCs/>
          <w:i/>
        </w:rPr>
        <w:t xml:space="preserve">Myron Scholes</w:t>
      </w:r>
      <w:r>
        <w:t xml:space="preserve">,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pPr>
        <w:pStyle w:val="BodyText"/>
      </w:pPr>
      <w:r>
        <w:t xml:space="preserve">En termes mathématiques, le prix d’une action peut donc être représenté comme une fonction scalaire du temps actuel</w:t>
      </w:r>
      <w:r>
        <w:t xml:space="preserve"> </w:t>
      </w:r>
      <m:oMath>
        <m:r>
          <m:t>t</m:t>
        </m:r>
      </m:oMath>
      <w:r>
        <w:t xml:space="preserve">. Nous noterons cette fonction</w:t>
      </w:r>
      <w:r>
        <w:t xml:space="preserve"> </w:t>
      </w:r>
      <m:oMath>
        <m:r>
          <m:t>S</m:t>
        </m:r>
        <m:d>
          <m:dPr>
            <m:begChr m:val="("/>
            <m:endChr m:val=")"/>
            <m:sepChr m:val=""/>
            <m:grow/>
          </m:dPr>
          <m:e>
            <m:r>
              <m:t>t</m:t>
            </m:r>
          </m:e>
        </m:d>
      </m:oMath>
      <w:r>
        <w:t xml:space="preserve">. Notons qu’en termes techniques,</w:t>
      </w:r>
      <w:r>
        <w:t xml:space="preserve"> </w:t>
      </w:r>
      <m:oMath>
        <m:r>
          <m:t>S</m:t>
        </m:r>
        <m:d>
          <m:dPr>
            <m:begChr m:val="("/>
            <m:endChr m:val=")"/>
            <m:sepChr m:val=""/>
            <m:grow/>
          </m:dPr>
          <m:e>
            <m:r>
              <m:t>t</m:t>
            </m:r>
          </m:e>
        </m:d>
      </m:oMath>
      <w:r>
        <w:t xml:space="preserve"> </w:t>
      </w:r>
      <w:r>
        <w:t xml:space="preserve">est une série temporelle, qui bien qu’apparemment continue (avec continuité</w:t>
      </w:r>
      <w:r>
        <w:t xml:space="preserve"> </w:t>
      </w:r>
      <m:oMath>
        <m:r>
          <m:t>C</m:t>
        </m:r>
        <m:d>
          <m:dPr>
            <m:begChr m:val="["/>
            <m:endChr m:val="]"/>
            <m:sepChr m:val=""/>
            <m:grow/>
          </m:dPr>
          <m:e>
            <m:r>
              <m:t>0</m:t>
            </m:r>
          </m:e>
        </m:d>
      </m:oMath>
      <w:r>
        <w:t xml:space="preserve">), est en réalité discontinue (sujette de sauts). De plus, ce n’est pas une fonction dont la dérivée première n’existe pas.</w:t>
      </w:r>
    </w:p>
    <w:p>
      <w:pPr>
        <w:pStyle w:val="BodyText"/>
      </w:pPr>
      <w:r>
        <w:t xml:space="preserve">Nous allons modéliser</w:t>
      </w:r>
      <w:r>
        <w:t xml:space="preserve"> </w:t>
      </w:r>
      <m:oMath>
        <m:r>
          <m:t>S</m:t>
        </m:r>
        <m:d>
          <m:dPr>
            <m:begChr m:val="("/>
            <m:endChr m:val=")"/>
            <m:sepChr m:val=""/>
            <m:grow/>
          </m:dPr>
          <m:e>
            <m:r>
              <m:t>t</m:t>
            </m:r>
          </m:e>
        </m:d>
      </m:oMath>
      <w:r>
        <w:t xml:space="preserve"> </w:t>
      </w:r>
      <w:r>
        <w:t xml:space="preserve">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pPr>
        <w:pStyle w:val="BodyText"/>
      </w:pPr>
      <w:r>
        <w:t xml:space="preserve">Dans ce contexte, le comportement de la variable</w:t>
      </w:r>
      <w:r>
        <w:t xml:space="preserve"> </w:t>
      </w:r>
      <m:oMath>
        <m:r>
          <m:t>S</m:t>
        </m:r>
        <m:d>
          <m:dPr>
            <m:begChr m:val="("/>
            <m:endChr m:val=")"/>
            <m:sepChr m:val=""/>
            <m:grow/>
          </m:dPr>
          <m:e>
            <m:r>
              <m:t>t</m:t>
            </m:r>
          </m:e>
        </m:d>
      </m:oMath>
      <w:r>
        <w:t xml:space="preserve"> </w:t>
      </w:r>
      <w:r>
        <w:t xml:space="preserve">peut être décrit pour une</w:t>
      </w:r>
      <w:r>
        <w:t xml:space="preserve"> </w:t>
      </w:r>
      <w:r>
        <w:rPr>
          <w:iCs/>
          <w:i/>
        </w:rPr>
        <w:t xml:space="preserve">Équation Différentielle Stochastique</w:t>
      </w:r>
      <w:r>
        <w:t xml:space="preserve"> </w:t>
      </w:r>
      <w:r>
        <w:t xml:space="preserve">(</w:t>
      </w:r>
      <m:oMath>
        <m:r>
          <m:t>E</m:t>
        </m:r>
        <m:r>
          <m:t>D</m:t>
        </m:r>
        <m:r>
          <m:t>S</m:t>
        </m:r>
      </m:oMath>
      <w:r>
        <w:t xml:space="preserve">). Dans le cas des actions, l’</w:t>
      </w:r>
      <m:oMath>
        <m:r>
          <m:t>E</m:t>
        </m:r>
        <m:r>
          <m:t>D</m:t>
        </m:r>
        <m:r>
          <m:t>S</m:t>
        </m:r>
      </m:oMath>
      <w:r>
        <w:t xml:space="preserve"> </w:t>
      </w:r>
      <w:r>
        <w:t xml:space="preserve">standard utilisée pour modéliser la trajectoire du cours est appelé</w:t>
      </w:r>
      <w:r>
        <w:t xml:space="preserve"> </w:t>
      </w:r>
      <w:r>
        <w:rPr>
          <w:iCs/>
          <w:i/>
        </w:rPr>
        <w:t xml:space="preserve">Mouvement Brownien Géométrique</w:t>
      </w:r>
      <w:r>
        <w:t xml:space="preserve"> </w:t>
      </w:r>
      <w:r>
        <w:t xml:space="preserve">(</w:t>
      </w:r>
      <m:oMath>
        <m:r>
          <m:t>G</m:t>
        </m:r>
        <m:r>
          <m:t>B</m:t>
        </m:r>
        <m:r>
          <m:t>M</m:t>
        </m:r>
      </m:oMath>
      <w:r>
        <w:t xml:space="preserve"> </w:t>
      </w:r>
      <w:r>
        <w:t xml:space="preserve">: Geometric Brownian Motion). Sous la mesure de probabilité dite réelle</w:t>
      </w:r>
      <w:r>
        <w:t xml:space="preserve"> </w:t>
      </w:r>
      <m:oMath>
        <m:r>
          <m:t>P</m:t>
        </m:r>
      </m:oMath>
      <w:r>
        <w:t xml:space="preserve">, le mouvement brownien géométrique (</w:t>
      </w:r>
      <m:oMath>
        <m:r>
          <m:t>G</m:t>
        </m:r>
        <m:r>
          <m:t>B</m:t>
        </m:r>
        <m:r>
          <m:t>M</m:t>
        </m:r>
      </m:oMath>
      <w:r>
        <w:t xml:space="preserve">) est formellement représenté en temps continu de la manière suivante : (voir l’ouvrage</w:t>
      </w:r>
      <w:r>
        <w:t xml:space="preserve"> </w:t>
      </w:r>
      <w:r>
        <w:rPr>
          <w:iCs/>
          <w:i/>
        </w:rPr>
        <w:t xml:space="preserve">C++ For Quantitative Finance</w:t>
      </w:r>
      <w:r>
        <w:rPr>
          <w:rStyle w:val="FootnoteReference"/>
        </w:rPr>
        <w:footnoteReference w:id="65"/>
      </w:r>
      <w:r>
        <w:t xml:space="preserve">)</w:t>
      </w:r>
    </w:p>
    <w:p>
      <w:pPr>
        <w:pStyle w:val="BodyText"/>
      </w:pPr>
      <w:bookmarkStart w:id="66" w:name="eq-gbmp1"/>
      <m:oMathPara>
        <m:oMathParaPr>
          <m:jc m:val="center"/>
        </m:oMathParaPr>
        <m:oMath>
          <m:r>
            <m:t>d</m:t>
          </m:r>
          <m:sSub>
            <m:e>
              <m:r>
                <m:t>S</m:t>
              </m:r>
            </m:e>
            <m:sub>
              <m:r>
                <m:t>t</m:t>
              </m:r>
            </m:sub>
          </m:sSub>
          <m:r>
            <m:rPr>
              <m:sty m:val="p"/>
            </m:rPr>
            <m:t>=</m:t>
          </m:r>
          <m:r>
            <m:t>μ</m:t>
          </m:r>
          <m:sSub>
            <m:e>
              <m:r>
                <m:t>S</m:t>
              </m:r>
            </m:e>
            <m:sub>
              <m:r>
                <m:t>t</m:t>
              </m:r>
            </m:sub>
          </m:sSub>
          <m:r>
            <m:t>d</m:t>
          </m:r>
          <m:r>
            <m:t>t</m:t>
          </m:r>
          <m:r>
            <m:rPr>
              <m:sty m:val="p"/>
            </m:rPr>
            <m:t>+</m:t>
          </m:r>
          <m:r>
            <m:t>σ</m:t>
          </m:r>
          <m:sSub>
            <m:e>
              <m:r>
                <m:t>S</m:t>
              </m:r>
            </m:e>
            <m:sub>
              <m:r>
                <m:t>t</m:t>
              </m:r>
            </m:sub>
          </m:sSub>
          <m:r>
            <m:t>d</m:t>
          </m:r>
          <m:sSubSup>
            <m:e>
              <m:r>
                <m:t>W</m:t>
              </m:r>
            </m:e>
            <m:sub>
              <m:r>
                <m:t>t</m:t>
              </m:r>
            </m:sub>
            <m:sup>
              <m:r>
                <m:t>P</m:t>
              </m:r>
            </m:sup>
          </m:sSubSup>
          <m:r>
            <m:t> </m:t>
          </m:r>
          <m:r>
            <m:rPr>
              <m:sty m:val="p"/>
            </m:rPr>
            <m:t>,</m:t>
          </m:r>
          <m:r>
            <m:t>  </m:t>
          </m:r>
          <m:d>
            <m:dPr>
              <m:begChr m:val="("/>
              <m:endChr m:val=")"/>
              <m:sepChr m:val=""/>
              <m:grow/>
            </m:dPr>
            <m:e>
              <m:r>
                <m:t>7</m:t>
              </m:r>
            </m:e>
          </m:d>
        </m:oMath>
      </m:oMathPara>
      <w:bookmarkEnd w:id="66"/>
    </w:p>
    <w:p>
      <w:pPr>
        <w:pStyle w:val="FirstParagraph"/>
      </w:pPr>
      <w:r>
        <w:t xml:space="preserve">où</w:t>
      </w:r>
      <w:r>
        <w:t xml:space="preserve"> </w:t>
      </w:r>
      <m:oMath>
        <m:r>
          <m:t>μ</m:t>
        </m:r>
      </m:oMath>
      <w:r>
        <w:t xml:space="preserve"> </w:t>
      </w:r>
      <w:r>
        <w:t xml:space="preserve">représente le drift,</w:t>
      </w:r>
      <w:r>
        <w:t xml:space="preserve"> </w:t>
      </w:r>
      <m:oMath>
        <m:r>
          <m:t>σ</m:t>
        </m:r>
      </m:oMath>
      <w:r>
        <w:t xml:space="preserve"> </w:t>
      </w:r>
      <w:r>
        <w:t xml:space="preserve">la volatilité et</w:t>
      </w:r>
      <w:r>
        <w:t xml:space="preserve"> </w:t>
      </w:r>
      <m:oMath>
        <m:sSup>
          <m:e>
            <m:r>
              <m:t>W</m:t>
            </m:r>
          </m:e>
          <m:sup>
            <m:r>
              <m:t>P</m:t>
            </m:r>
          </m:sup>
        </m:sSup>
      </m:oMath>
      <w:r>
        <w:t xml:space="preserve"> </w:t>
      </w:r>
      <w:r>
        <w:t xml:space="preserve">est mouvement brownien standard sous la probabilité</w:t>
      </w:r>
      <w:r>
        <w:t xml:space="preserve"> </w:t>
      </w:r>
      <m:oMath>
        <m:r>
          <m:t>P</m:t>
        </m:r>
      </m:oMath>
      <w:r>
        <w:t xml:space="preserve">.</w:t>
      </w:r>
    </w:p>
    <w:p>
      <w:pPr>
        <w:pStyle w:val="BodyText"/>
      </w:pPr>
      <w:r>
        <w:t xml:space="preserve">Cependant, dans la littérature, cette représentation n’est pas utilisée pour la valorisation des produit dérivés. Il est remplacé par la représentation suivante sous la mesure de probabilité neutre au risque</w:t>
      </w:r>
      <w:r>
        <w:t xml:space="preserve"> </w:t>
      </w:r>
      <m:oMath>
        <m:r>
          <m:rPr>
            <m:sty m:val="p"/>
            <m:scr m:val="double-struck"/>
          </m:rPr>
          <m:t>Q</m:t>
        </m:r>
      </m:oMath>
      <w:r>
        <w:t xml:space="preserve">:</w:t>
      </w:r>
    </w:p>
    <w:p>
      <w:pPr>
        <w:pStyle w:val="BodyText"/>
      </w:pPr>
      <w:bookmarkStart w:id="67" w:name="eq-gbmq"/>
      <m:oMathPara>
        <m:oMathParaPr>
          <m:jc m:val="center"/>
        </m:oMathParaPr>
        <m:oMath>
          <m:r>
            <m:t>d</m:t>
          </m:r>
          <m:sSub>
            <m:e>
              <m:r>
                <m:t>S</m:t>
              </m:r>
            </m:e>
            <m:sub>
              <m:r>
                <m:t>t</m:t>
              </m:r>
            </m:sub>
          </m:sSub>
          <m:r>
            <m:rPr>
              <m:sty m:val="p"/>
            </m:rPr>
            <m:t>=</m:t>
          </m:r>
          <m:r>
            <m:t>r</m:t>
          </m:r>
          <m:sSub>
            <m:e>
              <m:r>
                <m:t>S</m:t>
              </m:r>
            </m:e>
            <m:sub>
              <m:r>
                <m:t>t</m:t>
              </m:r>
            </m:sub>
          </m:sSub>
          <m:r>
            <m:t>d</m:t>
          </m:r>
          <m:r>
            <m:t>t</m:t>
          </m:r>
          <m:r>
            <m:rPr>
              <m:sty m:val="p"/>
            </m:rPr>
            <m:t>+</m:t>
          </m:r>
          <m:r>
            <m:t>σ</m:t>
          </m:r>
          <m:sSub>
            <m:e>
              <m:r>
                <m:t>S</m:t>
              </m:r>
            </m:e>
            <m:sub>
              <m:r>
                <m:t>t</m:t>
              </m:r>
            </m:sub>
          </m:sSub>
          <m:r>
            <m:t>d</m:t>
          </m:r>
          <m:sSubSup>
            <m:e>
              <m:r>
                <m:t>W</m:t>
              </m:r>
            </m:e>
            <m:sub>
              <m:r>
                <m:t>t</m:t>
              </m:r>
            </m:sub>
            <m:sup>
              <m:r>
                <m:rPr>
                  <m:sty m:val="p"/>
                  <m:scr m:val="double-struck"/>
                </m:rPr>
                <m:t>Q</m:t>
              </m:r>
            </m:sup>
          </m:sSubSup>
          <m:r>
            <m:t>  </m:t>
          </m:r>
          <m:d>
            <m:dPr>
              <m:begChr m:val="("/>
              <m:endChr m:val=")"/>
              <m:sepChr m:val=""/>
              <m:grow/>
            </m:dPr>
            <m:e>
              <m:r>
                <m:t>8</m:t>
              </m:r>
            </m:e>
          </m:d>
        </m:oMath>
      </m:oMathPara>
      <w:bookmarkEnd w:id="67"/>
    </w:p>
    <w:p>
      <w:pPr>
        <w:pStyle w:val="FirstParagraph"/>
      </w:pPr>
      <w:r>
        <w:t xml:space="preserve">Dans l’</w:t>
      </w:r>
      <w:hyperlink w:anchor="eq-gbmq">
        <w:r>
          <w:rPr>
            <w:rStyle w:val="Hyperlink"/>
          </w:rPr>
          <w:t xml:space="preserve">Equation 8</w:t>
        </w:r>
      </w:hyperlink>
      <w:r>
        <w:t xml:space="preserve"> </w:t>
      </w:r>
      <w:r>
        <w:t xml:space="preserve">précédente, nous avons remplacé</w:t>
      </w:r>
      <w:r>
        <w:t xml:space="preserve"> </w:t>
      </w:r>
      <m:oMath>
        <m:r>
          <m:t>μ</m:t>
        </m:r>
      </m:oMath>
      <w:r>
        <w:t xml:space="preserve"> </w:t>
      </w:r>
      <w:r>
        <w:t xml:space="preserve">par le taux d’intérêt sans risque</w:t>
      </w:r>
      <w:r>
        <w:t xml:space="preserve"> </w:t>
      </w:r>
      <m:oMath>
        <m:r>
          <m:t>r</m:t>
        </m:r>
      </m:oMath>
      <w:r>
        <w:t xml:space="preserve">,</w:t>
      </w:r>
      <w:r>
        <w:t xml:space="preserve"> </w:t>
      </w:r>
      <m:oMath>
        <m:r>
          <m:t>σ</m:t>
        </m:r>
      </m:oMath>
      <w:r>
        <w:t xml:space="preserve"> </w:t>
      </w:r>
      <w:r>
        <w:t xml:space="preserve">est la volatilité et</w:t>
      </w:r>
      <w:r>
        <w:t xml:space="preserve"> </w:t>
      </w:r>
      <m:oMath>
        <m:r>
          <m:t>d</m:t>
        </m:r>
        <m:r>
          <m:t>W</m:t>
        </m:r>
      </m:oMath>
      <w:r>
        <w:t xml:space="preserve"> </w:t>
      </w:r>
      <w:r>
        <w:t xml:space="preserve">est l’incrément d’un processus de Wiener. L’équation 2 peut en outre être représentée comme suit :</w:t>
      </w:r>
    </w:p>
    <w:p>
      <w:pPr>
        <w:pStyle w:val="BodyText"/>
      </w:pPr>
      <m:oMathPara>
        <m:oMathParaPr>
          <m:jc m:val="center"/>
        </m:oMathParaPr>
        <m:oMath>
          <m:f>
            <m:fPr>
              <m:type m:val="bar"/>
            </m:fPr>
            <m:num>
              <m:r>
                <m:t>d</m:t>
              </m:r>
              <m:sSub>
                <m:e>
                  <m:r>
                    <m:t>S</m:t>
                  </m:r>
                </m:e>
                <m:sub>
                  <m:r>
                    <m:t>t</m:t>
                  </m:r>
                </m:sub>
              </m:sSub>
            </m:num>
            <m:den>
              <m:sSub>
                <m:e>
                  <m:r>
                    <m:t>S</m:t>
                  </m:r>
                </m:e>
                <m:sub>
                  <m:r>
                    <m:t>t</m:t>
                  </m:r>
                </m:sub>
              </m:sSub>
            </m:den>
          </m:f>
          <m:r>
            <m:rPr>
              <m:sty m:val="p"/>
            </m:rPr>
            <m:t>=</m:t>
          </m:r>
          <m:r>
            <m:t>r</m:t>
          </m:r>
          <m:r>
            <m:t>d</m:t>
          </m:r>
          <m:r>
            <m:t>t</m:t>
          </m:r>
          <m:r>
            <m:rPr>
              <m:sty m:val="p"/>
            </m:rPr>
            <m:t>+</m:t>
          </m:r>
          <m:r>
            <m:t>σ</m:t>
          </m:r>
          <m:r>
            <m:t>d</m:t>
          </m:r>
          <m:sSubSup>
            <m:e>
              <m:r>
                <m:t>W</m:t>
              </m:r>
            </m:e>
            <m:sub>
              <m:r>
                <m:t>t</m:t>
              </m:r>
            </m:sub>
            <m:sup>
              <m:r>
                <m:rPr>
                  <m:sty m:val="p"/>
                  <m:scr m:val="double-struck"/>
                </m:rPr>
                <m:t>Q</m:t>
              </m:r>
            </m:sup>
          </m:sSubSup>
        </m:oMath>
      </m:oMathPara>
    </w:p>
    <w:p>
      <w:pPr>
        <w:pStyle w:val="FirstParagraph"/>
      </w:pPr>
      <w:r>
        <w:t xml:space="preserve">Dans cette dernière équation, nous pouvons identifier le terme</w:t>
      </w:r>
      <w:r>
        <w:t xml:space="preserve"> </w:t>
      </w:r>
      <m:oMath>
        <m:f>
          <m:fPr>
            <m:type m:val="bar"/>
          </m:fPr>
          <m:num>
            <m:r>
              <m:t>d</m:t>
            </m:r>
            <m:sSub>
              <m:e>
                <m:r>
                  <m:t>S</m:t>
                </m:r>
              </m:e>
              <m:sub>
                <m:r>
                  <m:t>t</m:t>
                </m:r>
              </m:sub>
            </m:sSub>
          </m:num>
          <m:den>
            <m:sSub>
              <m:e>
                <m:r>
                  <m:t>S</m:t>
                </m:r>
              </m:e>
              <m:sub>
                <m:r>
                  <m:t>t</m:t>
                </m:r>
              </m:sub>
            </m:sSub>
          </m:den>
        </m:f>
      </m:oMath>
      <w:r>
        <w:t xml:space="preserve"> </w:t>
      </w:r>
      <w:r>
        <w:t xml:space="preserve">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pPr>
        <w:pStyle w:val="BodyText"/>
      </w:pPr>
      <w:r>
        <w:t xml:space="preserve">Intéressons nous aux solutions</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de l’EDS</w:t>
      </w:r>
      <w:r>
        <w:t xml:space="preserve"> </w:t>
      </w:r>
      <w:hyperlink w:anchor="eq-gbmq">
        <w:r>
          <w:rPr>
            <w:rStyle w:val="Hyperlink"/>
          </w:rPr>
          <w:t xml:space="preserve">Equation 8</w:t>
        </w:r>
      </w:hyperlink>
      <w:r>
        <w:t xml:space="preserve"> </w:t>
      </w:r>
      <w:r>
        <w:t xml:space="preserve">qui peut être réécrite comme suit :</w:t>
      </w:r>
    </w:p>
    <w:p>
      <w:pPr>
        <w:pStyle w:val="BodyText"/>
      </w:pPr>
      <w:bookmarkStart w:id="68" w:name="eq-intEDS"/>
      <m:oMathPara>
        <m:oMathParaPr>
          <m:jc m:val="center"/>
        </m:oMathParaPr>
        <m:oMath>
          <m:sSub>
            <m:e>
              <m:r>
                <m:t>S</m:t>
              </m:r>
            </m:e>
            <m:sub>
              <m:r>
                <m:t>t</m:t>
              </m:r>
            </m:sub>
          </m:sSub>
          <m:r>
            <m:rPr>
              <m:sty m:val="p"/>
            </m:rPr>
            <m:t>=</m:t>
          </m:r>
          <m:sSub>
            <m:e>
              <m:r>
                <m:t>x</m:t>
              </m:r>
            </m:e>
            <m:sub>
              <m:r>
                <m:t>0</m:t>
              </m:r>
            </m:sub>
          </m:sSub>
          <m:r>
            <m:rPr>
              <m:sty m:val="p"/>
            </m:rPr>
            <m:t>+</m:t>
          </m:r>
          <m:nary>
            <m:naryPr>
              <m:chr m:val="∫"/>
              <m:limLoc m:val="subSup"/>
              <m:subHide m:val="0"/>
              <m:supHide m:val="0"/>
            </m:naryPr>
            <m:sub>
              <m:r>
                <m:t>0</m:t>
              </m:r>
            </m:sub>
            <m:sup>
              <m:r>
                <m:t>t</m:t>
              </m:r>
            </m:sup>
            <m:e>
              <m:sSub>
                <m:e>
                  <m:r>
                    <m:t>S</m:t>
                  </m:r>
                </m:e>
                <m:sub>
                  <m:r>
                    <m:t>s</m:t>
                  </m:r>
                </m:sub>
              </m:sSub>
            </m:e>
          </m:nary>
          <m:d>
            <m:dPr>
              <m:begChr m:val="("/>
              <m:endChr m:val=")"/>
              <m:sepChr m:val=""/>
              <m:grow/>
            </m:dPr>
            <m:e>
              <m:r>
                <m:t>μ</m:t>
              </m:r>
              <m:r>
                <m:t>d</m:t>
              </m:r>
              <m:r>
                <m:t>t</m:t>
              </m:r>
              <m:r>
                <m:rPr>
                  <m:sty m:val="p"/>
                </m:rPr>
                <m:t>+</m:t>
              </m:r>
              <m:r>
                <m:t>σ</m:t>
              </m:r>
              <m:r>
                <m:t>d</m:t>
              </m:r>
              <m:sSubSup>
                <m:e>
                  <m:r>
                    <m:t>W</m:t>
                  </m:r>
                </m:e>
                <m:sub>
                  <m:r>
                    <m:t>s</m:t>
                  </m:r>
                </m:sub>
                <m:sup>
                  <m:r>
                    <m:rPr>
                      <m:sty m:val="p"/>
                      <m:scr m:val="double-struck"/>
                    </m:rPr>
                    <m:t>P</m:t>
                  </m:r>
                </m:sup>
              </m:sSubSup>
            </m:e>
          </m:d>
          <m:r>
            <m:t> </m:t>
          </m:r>
          <m:r>
            <m:rPr>
              <m:sty m:val="p"/>
            </m:rPr>
            <m:t>;</m:t>
          </m:r>
          <m:r>
            <m:t> </m:t>
          </m:r>
          <m:r>
            <m:t> </m:t>
          </m:r>
          <m:r>
            <m:t>a</m:t>
          </m:r>
          <m:r>
            <m:t>v</m:t>
          </m:r>
          <m:r>
            <m:t>e</m:t>
          </m:r>
          <m:r>
            <m:t>c</m:t>
          </m:r>
          <m:r>
            <m:t> </m:t>
          </m:r>
          <m:sSub>
            <m:e>
              <m:r>
                <m:t>S</m:t>
              </m:r>
            </m:e>
            <m:sub>
              <m:r>
                <m:t>0</m:t>
              </m:r>
            </m:sub>
          </m:sSub>
          <m:r>
            <m:rPr>
              <m:sty m:val="p"/>
            </m:rPr>
            <m:t>=</m:t>
          </m:r>
          <m:sSub>
            <m:e>
              <m:r>
                <m:t>x</m:t>
              </m:r>
            </m:e>
            <m:sub>
              <m:r>
                <m:t>0</m:t>
              </m:r>
            </m:sub>
          </m:sSub>
          <m:r>
            <m:t>  </m:t>
          </m:r>
          <m:d>
            <m:dPr>
              <m:begChr m:val="("/>
              <m:endChr m:val=")"/>
              <m:sepChr m:val=""/>
              <m:grow/>
            </m:dPr>
            <m:e>
              <m:r>
                <m:t>9</m:t>
              </m:r>
            </m:e>
          </m:d>
        </m:oMath>
      </m:oMathPara>
      <w:bookmarkEnd w:id="68"/>
    </w:p>
    <w:p>
      <w:pPr>
        <w:pStyle w:val="FirstParagraph"/>
      </w:pPr>
      <w:r>
        <w:t xml:space="preserve">Puisque</w:t>
      </w:r>
      <w:r>
        <w:t xml:space="preserve"> </w:t>
      </w:r>
      <m:oMath>
        <m:r>
          <m:t>μ</m:t>
        </m:r>
      </m:oMath>
      <w:r>
        <w:t xml:space="preserve"> </w:t>
      </w:r>
      <w:r>
        <w:t xml:space="preserve">et</w:t>
      </w:r>
      <w:r>
        <w:t xml:space="preserve"> </w:t>
      </w:r>
      <m:oMath>
        <m:r>
          <m:t>σ</m:t>
        </m:r>
      </m:oMath>
      <w:r>
        <w:t xml:space="preserve"> </w:t>
      </w:r>
      <w:r>
        <w:t xml:space="preserve">sont positifs, cela signifie que l’on cherche un processus adapté</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tel que les intégrales</w:t>
      </w:r>
      <w:r>
        <w:t xml:space="preserve"> </w:t>
      </w:r>
      <m:oMath>
        <m:nary>
          <m:naryPr>
            <m:chr m:val="∫"/>
            <m:limLoc m:val="subSup"/>
            <m:subHide m:val="0"/>
            <m:supHide m:val="0"/>
          </m:naryPr>
          <m:sub>
            <m:r>
              <m:t>0</m:t>
            </m:r>
          </m:sub>
          <m:sup>
            <m:r>
              <m:t>t</m:t>
            </m:r>
          </m:sup>
          <m:e>
            <m:sSub>
              <m:e>
                <m:r>
                  <m:t>S</m:t>
                </m:r>
              </m:e>
              <m:sub>
                <m:r>
                  <m:t>s</m:t>
                </m:r>
              </m:sub>
            </m:sSub>
          </m:e>
        </m:nary>
      </m:oMath>
      <w:r>
        <w:t xml:space="preserve"> </w:t>
      </w:r>
      <w:r>
        <w:t xml:space="preserve">et</w:t>
      </w:r>
      <w:r>
        <w:t xml:space="preserve"> </w:t>
      </w:r>
      <m:oMath>
        <m:nary>
          <m:naryPr>
            <m:chr m:val="∫"/>
            <m:limLoc m:val="subSup"/>
            <m:subHide m:val="0"/>
            <m:supHide m:val="0"/>
          </m:naryPr>
          <m:sub>
            <m:r>
              <m:t>0</m:t>
            </m:r>
          </m:sub>
          <m:sup>
            <m:r>
              <m:t>t</m:t>
            </m:r>
          </m:sup>
          <m:e>
            <m:sSub>
              <m:e>
                <m:r>
                  <m:t>S</m:t>
                </m:r>
              </m:e>
              <m:sub>
                <m:r>
                  <m:t>s</m:t>
                </m:r>
              </m:sub>
            </m:sSub>
          </m:e>
        </m:nary>
        <m:r>
          <m:t>d</m:t>
        </m:r>
        <m:sSubSup>
          <m:e>
            <m:r>
              <m:t>W</m:t>
            </m:r>
          </m:e>
          <m:sub>
            <m:r>
              <m:t>s</m:t>
            </m:r>
          </m:sub>
          <m:sup>
            <m:r>
              <m:rPr>
                <m:sty m:val="p"/>
                <m:scr m:val="double-struck"/>
              </m:rPr>
              <m:t>P</m:t>
            </m:r>
          </m:sup>
        </m:sSubSup>
      </m:oMath>
      <w:r>
        <w:t xml:space="preserve"> </w:t>
      </w:r>
      <w:r>
        <w:t xml:space="preserve">aient un sens, et qui vérifie l’</w:t>
      </w:r>
      <w:hyperlink w:anchor="eq-intEDS">
        <w:r>
          <w:rPr>
            <w:rStyle w:val="Hyperlink"/>
          </w:rPr>
          <w:t xml:space="preserve">Equation 9</w:t>
        </w:r>
      </w:hyperlink>
      <w:r>
        <w:t xml:space="preserve">, pour chaque</w:t>
      </w:r>
      <w:r>
        <w:t xml:space="preserve"> </w:t>
      </w:r>
      <m:oMath>
        <m:r>
          <m:t>t</m:t>
        </m:r>
      </m:oMath>
      <w:r>
        <w:t xml:space="preserve">.</w:t>
      </w:r>
    </w:p>
    <w:p>
      <w:pPr>
        <w:pStyle w:val="BodyText"/>
      </w:pPr>
      <w:r>
        <w:t xml:space="preserve">Commençons par un calcul formel en posant</w:t>
      </w:r>
      <w:r>
        <w:t xml:space="preserve"> </w:t>
      </w:r>
      <m:oMath>
        <m:sSub>
          <m:e>
            <m:r>
              <m:t>Y</m:t>
            </m:r>
          </m:e>
          <m:sub>
            <m:r>
              <m:t>t</m:t>
            </m:r>
          </m:sub>
        </m:sSub>
        <m:r>
          <m:rPr>
            <m:sty m:val="p"/>
          </m:rPr>
          <m:t>=</m:t>
        </m:r>
        <m:r>
          <m:t>l</m:t>
        </m:r>
        <m:r>
          <m:t>o</m:t>
        </m:r>
        <m:r>
          <m:t>g</m:t>
        </m:r>
        <m:d>
          <m:dPr>
            <m:begChr m:val="("/>
            <m:endChr m:val=")"/>
            <m:sepChr m:val=""/>
            <m:grow/>
          </m:dPr>
          <m:e>
            <m:sSub>
              <m:e>
                <m:r>
                  <m:t>S</m:t>
                </m:r>
              </m:e>
              <m:sub>
                <m:r>
                  <m:t>t</m:t>
                </m:r>
              </m:sub>
            </m:sSub>
          </m:e>
        </m:d>
      </m:oMath>
      <w:r>
        <w:t xml:space="preserve"> </w:t>
      </w:r>
      <w:r>
        <w:t xml:space="preserve">où</w:t>
      </w:r>
      <w:r>
        <w:t xml:space="preserve"> </w:t>
      </w:r>
      <m:oMath>
        <m:sSub>
          <m:e>
            <m:r>
              <m:t>S</m:t>
            </m:r>
          </m:e>
          <m:sub>
            <m:r>
              <m:t>t</m:t>
            </m:r>
          </m:sub>
        </m:sSub>
      </m:oMath>
      <w:r>
        <w:t xml:space="preserve"> </w:t>
      </w:r>
      <w:r>
        <w:t xml:space="preserve">est une solution de l’</w:t>
      </w:r>
      <w:hyperlink w:anchor="eq-intEDS">
        <w:r>
          <w:rPr>
            <w:rStyle w:val="Hyperlink"/>
          </w:rPr>
          <w:t xml:space="preserve">Equation 9</w:t>
        </w:r>
      </w:hyperlink>
      <w:r>
        <w:t xml:space="preserve">.</w:t>
      </w:r>
      <w:r>
        <w:t xml:space="preserve"> </w:t>
      </w:r>
      <m:oMath>
        <m:sSub>
          <m:e>
            <m:r>
              <m:t>S</m:t>
            </m:r>
          </m:e>
          <m:sub>
            <m:r>
              <m:t>t</m:t>
            </m:r>
          </m:sub>
        </m:sSub>
      </m:oMath>
      <w:r>
        <w:t xml:space="preserve"> </w:t>
      </w:r>
      <w:r>
        <w:t xml:space="preserve">est un processus d’Itô avec</w:t>
      </w:r>
      <w:r>
        <w:t xml:space="preserve"> </w:t>
      </w:r>
      <m:oMath>
        <m:sSub>
          <m:e>
            <m:r>
              <m:t>K</m:t>
            </m:r>
          </m:e>
          <m:sub>
            <m:r>
              <m:t>s</m:t>
            </m:r>
          </m:sub>
        </m:sSub>
        <m:r>
          <m:rPr>
            <m:sty m:val="p"/>
          </m:rPr>
          <m:t>=</m:t>
        </m:r>
        <m:r>
          <m:t>μ</m:t>
        </m:r>
        <m:sSub>
          <m:e>
            <m:r>
              <m:t>S</m:t>
            </m:r>
          </m:e>
          <m:sub>
            <m:r>
              <m:t>s</m:t>
            </m:r>
          </m:sub>
        </m:sSub>
      </m:oMath>
      <w:r>
        <w:t xml:space="preserve"> </w:t>
      </w:r>
      <w:r>
        <w:t xml:space="preserve">et</w:t>
      </w:r>
      <w:r>
        <w:t xml:space="preserve"> </w:t>
      </w:r>
      <m:oMath>
        <m:sSub>
          <m:e>
            <m:r>
              <m:t>H</m:t>
            </m:r>
          </m:e>
          <m:sub>
            <m:r>
              <m:t>s</m:t>
            </m:r>
          </m:sub>
        </m:sSub>
        <m:r>
          <m:rPr>
            <m:sty m:val="p"/>
          </m:rPr>
          <m:t>=</m:t>
        </m:r>
        <m:r>
          <m:t>σ</m:t>
        </m:r>
        <m:sSub>
          <m:e>
            <m:r>
              <m:t>S</m:t>
            </m:r>
          </m:e>
          <m:sub>
            <m:r>
              <m:t>s</m:t>
            </m:r>
          </m:sub>
        </m:sSub>
      </m:oMath>
      <w:r>
        <w:t xml:space="preserve">. Appliquons la formule d’Itô à</w:t>
      </w:r>
      <w:r>
        <w:t xml:space="preserve"> </w:t>
      </w:r>
      <m:oMath>
        <m:r>
          <m:t>f</m:t>
        </m:r>
        <m:d>
          <m:dPr>
            <m:begChr m:val="("/>
            <m:endChr m:val=")"/>
            <m:sepChr m:val=""/>
            <m:grow/>
          </m:dPr>
          <m:e>
            <m:r>
              <m:t>x</m:t>
            </m:r>
          </m:e>
        </m:d>
        <m:r>
          <m:rPr>
            <m:sty m:val="p"/>
          </m:rPr>
          <m:t>=</m:t>
        </m:r>
        <m:r>
          <m:t>l</m:t>
        </m:r>
        <m:r>
          <m:t>o</m:t>
        </m:r>
        <m:r>
          <m:t>g</m:t>
        </m:r>
        <m:d>
          <m:dPr>
            <m:begChr m:val="("/>
            <m:endChr m:val=")"/>
            <m:sepChr m:val=""/>
            <m:grow/>
          </m:dPr>
          <m:e>
            <m:r>
              <m:t>x</m:t>
            </m:r>
          </m:e>
        </m:d>
      </m:oMath>
      <w:r>
        <w:t xml:space="preserve">. On obtient, en supposant</w:t>
      </w:r>
      <w:r>
        <w:t xml:space="preserve"> </w:t>
      </w:r>
      <m:oMath>
        <m:sSub>
          <m:e>
            <m:r>
              <m:t>S</m:t>
            </m:r>
          </m:e>
          <m:sub>
            <m:r>
              <m:t>t</m:t>
            </m:r>
          </m:sub>
        </m:sSub>
      </m:oMath>
      <w:r>
        <w:t xml:space="preserve"> </w:t>
      </w:r>
      <w:r>
        <w:t xml:space="preserve">positif :</w:t>
      </w:r>
    </w:p>
    <w:p>
      <w:pPr>
        <w:pStyle w:val="BodyText"/>
      </w:pPr>
      <m:oMathPara>
        <m:oMathParaPr>
          <m:jc m:val="center"/>
        </m:oMathParaPr>
        <m:oMath>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nary>
            <m:naryPr>
              <m:chr m:val="∫"/>
              <m:limLoc m:val="subSup"/>
              <m:subHide m:val="0"/>
              <m:supHide m:val="0"/>
            </m:naryPr>
            <m:sub>
              <m:r>
                <m:t>0</m:t>
              </m:r>
            </m:sub>
            <m:sup>
              <m:r>
                <m:t>t</m:t>
              </m:r>
            </m:sup>
            <m:e>
              <m:f>
                <m:fPr>
                  <m:type m:val="bar"/>
                </m:fPr>
                <m:num>
                  <m:r>
                    <m:t>d</m:t>
                  </m:r>
                  <m:sSub>
                    <m:e>
                      <m:r>
                        <m:t>S</m:t>
                      </m:r>
                    </m:e>
                    <m:sub>
                      <m:r>
                        <m:t>s</m:t>
                      </m:r>
                    </m:sub>
                  </m:sSub>
                </m:num>
                <m:den>
                  <m:sSub>
                    <m:e>
                      <m:r>
                        <m:t>S</m:t>
                      </m:r>
                    </m:e>
                    <m:sub>
                      <m:r>
                        <m:t>s</m:t>
                      </m:r>
                    </m:sub>
                  </m:sSub>
                </m:den>
              </m:f>
            </m:e>
          </m:nary>
          <m:r>
            <m:rPr>
              <m:sty m:val="p"/>
            </m:rPr>
            <m:t>+</m:t>
          </m:r>
          <m:f>
            <m:fPr>
              <m:type m:val="bar"/>
            </m:fPr>
            <m:num>
              <m:r>
                <m:t>1</m:t>
              </m:r>
            </m:num>
            <m:den>
              <m:r>
                <m:t>2</m:t>
              </m:r>
            </m:den>
          </m:f>
          <m:nary>
            <m:naryPr>
              <m:chr m:val="∫"/>
              <m:limLoc m:val="subSup"/>
              <m:subHide m:val="0"/>
              <m:supHide m:val="0"/>
            </m:naryPr>
            <m:sub>
              <m:r>
                <m:t>0</m:t>
              </m:r>
            </m:sub>
            <m:sup>
              <m:r>
                <m:t>t</m:t>
              </m:r>
            </m:sup>
            <m:e>
              <m:f>
                <m:fPr>
                  <m:type m:val="bar"/>
                </m:fPr>
                <m:num>
                  <m:r>
                    <m:rPr>
                      <m:sty m:val="p"/>
                    </m:rPr>
                    <m:t>−</m:t>
                  </m:r>
                  <m:r>
                    <m:t>1</m:t>
                  </m:r>
                </m:num>
                <m:den>
                  <m:sSubSup>
                    <m:e>
                      <m:r>
                        <m:t>S</m:t>
                      </m:r>
                    </m:e>
                    <m:sub>
                      <m:r>
                        <m:t>s</m:t>
                      </m:r>
                    </m:sub>
                    <m:sup>
                      <m:r>
                        <m:t>2</m:t>
                      </m:r>
                    </m:sup>
                  </m:sSubSup>
                </m:den>
              </m:f>
            </m:e>
          </m:nary>
          <m:sSup>
            <m:e>
              <m:r>
                <m:t>σ</m:t>
              </m:r>
            </m:e>
            <m:sup>
              <m:r>
                <m:t>2</m:t>
              </m:r>
            </m:sup>
          </m:sSup>
          <m:sSubSup>
            <m:e>
              <m:r>
                <m:t>S</m:t>
              </m:r>
            </m:e>
            <m:sub>
              <m:r>
                <m:t>s</m:t>
              </m:r>
            </m:sub>
            <m:sup>
              <m:r>
                <m:t>2</m:t>
              </m:r>
            </m:sup>
          </m:sSubSup>
          <m:r>
            <m:t>d</m:t>
          </m:r>
          <m:r>
            <m:t>s</m:t>
          </m:r>
          <m:r>
            <m:t> </m:t>
          </m:r>
          <m:r>
            <m:rPr>
              <m:sty m:val="p"/>
            </m:rPr>
            <m:t>,</m:t>
          </m:r>
        </m:oMath>
      </m:oMathPara>
    </w:p>
    <w:p>
      <w:pPr>
        <w:pStyle w:val="FirstParagraph"/>
      </w:pPr>
      <w:r>
        <w:t xml:space="preserve">soit, en utilisant</w:t>
      </w:r>
      <w:r>
        <w:t xml:space="preserve"> </w:t>
      </w:r>
      <w:hyperlink w:anchor="eq-gbmp1">
        <w:r>
          <w:rPr>
            <w:rStyle w:val="Hyperlink"/>
          </w:rPr>
          <w:t xml:space="preserve">Equation 7</w:t>
        </w:r>
      </w:hyperlink>
      <w:r>
        <w:t xml:space="preserve"> </w:t>
      </w:r>
      <w:r>
        <w:t xml:space="preserve">:</w:t>
      </w:r>
    </w:p>
    <w:p>
      <w:pPr>
        <w:pStyle w:val="BodyText"/>
      </w:pPr>
      <m:oMathPara>
        <m:oMathParaPr>
          <m:jc m:val="center"/>
        </m:oMathParaPr>
        <m:oMath>
          <m:sSub>
            <m:e>
              <m:r>
                <m:t>Y</m:t>
              </m:r>
            </m:e>
            <m:sub>
              <m:r>
                <m:t>t</m:t>
              </m:r>
            </m:sub>
          </m:sSub>
          <m:r>
            <m:rPr>
              <m:sty m:val="p"/>
            </m:rPr>
            <m:t>=</m:t>
          </m:r>
          <m:sSub>
            <m:e>
              <m:r>
                <m:t>Y</m:t>
              </m:r>
            </m:e>
            <m:sub>
              <m:r>
                <m:t>0</m:t>
              </m:r>
            </m:sub>
          </m:sSub>
          <m:r>
            <m:rPr>
              <m:sty m:val="p"/>
            </m:rPr>
            <m:t>+</m:t>
          </m:r>
          <m:nary>
            <m:naryPr>
              <m:chr m:val="∫"/>
              <m:limLoc m:val="subSup"/>
              <m:subHide m:val="0"/>
              <m:supHide m:val="0"/>
            </m:naryPr>
            <m:sub>
              <m:r>
                <m:t>0</m:t>
              </m:r>
            </m:sub>
            <m:sup>
              <m:r>
                <m:t>t</m:t>
              </m:r>
            </m:sup>
            <m:e>
              <m:d>
                <m:dPr>
                  <m:begChr m:val="("/>
                  <m:endChr m:val=")"/>
                  <m:sepChr m:val=""/>
                  <m:grow/>
                </m:dPr>
                <m:e>
                  <m:r>
                    <m:t>μ</m:t>
                  </m:r>
                  <m:r>
                    <m:rPr>
                      <m:sty m:val="p"/>
                    </m:rPr>
                    <m:t>−</m:t>
                  </m:r>
                  <m:f>
                    <m:fPr>
                      <m:type m:val="bar"/>
                    </m:fPr>
                    <m:num>
                      <m:sSup>
                        <m:e>
                          <m:r>
                            <m:t>σ</m:t>
                          </m:r>
                        </m:e>
                        <m:sup>
                          <m:r>
                            <m:t>2</m:t>
                          </m:r>
                        </m:sup>
                      </m:sSup>
                    </m:num>
                    <m:den>
                      <m:r>
                        <m:t>2</m:t>
                      </m:r>
                    </m:den>
                  </m:f>
                </m:e>
              </m:d>
            </m:e>
          </m:nary>
          <m:r>
            <m:t>d</m:t>
          </m:r>
          <m:r>
            <m:t>s</m:t>
          </m:r>
          <m:r>
            <m:rPr>
              <m:sty m:val="p"/>
            </m:rPr>
            <m:t>+</m:t>
          </m:r>
          <m:nary>
            <m:naryPr>
              <m:chr m:val="∫"/>
              <m:limLoc m:val="subSup"/>
              <m:subHide m:val="0"/>
              <m:supHide m:val="0"/>
            </m:naryPr>
            <m:sub>
              <m:r>
                <m:t>0</m:t>
              </m:r>
            </m:sub>
            <m:sup>
              <m:r>
                <m:t>t</m:t>
              </m:r>
            </m:sup>
            <m:e>
              <m:r>
                <m:t>σ</m:t>
              </m:r>
            </m:e>
          </m:nary>
          <m:r>
            <m:t>d</m:t>
          </m:r>
          <m:sSub>
            <m:e>
              <m:r>
                <m:t>W</m:t>
              </m:r>
            </m:e>
            <m:sub>
              <m:r>
                <m:t>s</m:t>
              </m:r>
            </m:sub>
          </m:sSub>
          <m:r>
            <m:t> </m:t>
          </m:r>
          <m:r>
            <m:rPr>
              <m:sty m:val="p"/>
            </m:rPr>
            <m:t>,</m:t>
          </m:r>
        </m:oMath>
      </m:oMathPara>
    </w:p>
    <w:p>
      <w:pPr>
        <w:pStyle w:val="FirstParagraph"/>
      </w:pPr>
      <w:r>
        <w:t xml:space="preserve">puis</w:t>
      </w:r>
    </w:p>
    <w:p>
      <w:pPr>
        <w:pStyle w:val="BodyText"/>
      </w:pPr>
      <m:oMathPara>
        <m:oMathParaPr>
          <m:jc m:val="center"/>
        </m:oMathParaPr>
        <m:oMath>
          <m:sSub>
            <m:e>
              <m:r>
                <m:t>Y</m:t>
              </m:r>
            </m:e>
            <m:sub>
              <m:r>
                <m:t>t</m:t>
              </m:r>
            </m:sub>
          </m:sSub>
          <m:r>
            <m:rPr>
              <m:sty m:val="p"/>
            </m:rPr>
            <m:t>=</m:t>
          </m:r>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r>
            <m:t> </m:t>
          </m:r>
          <m:r>
            <m:rPr>
              <m:sty m:val="p"/>
            </m:rPr>
            <m:t>,</m:t>
          </m:r>
        </m:oMath>
      </m:oMathPara>
    </w:p>
    <w:p>
      <w:pPr>
        <w:pStyle w:val="FirstParagraph"/>
      </w:pPr>
      <w:r>
        <w:t xml:space="preserve">ainsi :</w:t>
      </w:r>
    </w:p>
    <w:p>
      <w:pPr>
        <w:pStyle w:val="BodyText"/>
      </w:pPr>
      <w:bookmarkStart w:id="69" w:name="eq-solBS"/>
      <m:oMathPara>
        <m:oMathParaPr>
          <m:jc m:val="center"/>
        </m:oMathParaPr>
        <m:oMath>
          <m:sSub>
            <m:e>
              <m:r>
                <m:t>S</m:t>
              </m:r>
            </m:e>
            <m:sub>
              <m:r>
                <m:t>t</m:t>
              </m:r>
            </m:sub>
          </m:sSub>
          <m:r>
            <m:rPr>
              <m:sty m:val="p"/>
            </m:rPr>
            <m:t>=</m:t>
          </m:r>
          <m:sSub>
            <m:e>
              <m:r>
                <m:t>S</m:t>
              </m:r>
            </m:e>
            <m:sub>
              <m:r>
                <m:t>0</m:t>
              </m:r>
            </m:sub>
          </m:sSub>
          <m:r>
            <m:rPr>
              <m:sty m:val="p"/>
            </m:rPr>
            <m:t>exp</m:t>
          </m:r>
          <m:d>
            <m:dPr>
              <m:begChr m:val="("/>
              <m:endChr m:val=")"/>
              <m:sepChr m:val=""/>
              <m:grow/>
            </m:dPr>
            <m:e>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e>
          </m:d>
          <m:r>
            <m:t> </m:t>
          </m:r>
          <m:r>
            <m:rPr>
              <m:sty m:val="p"/>
            </m:rPr>
            <m:t>,</m:t>
          </m:r>
          <m:r>
            <m:t>  </m:t>
          </m:r>
          <m:d>
            <m:dPr>
              <m:begChr m:val="("/>
              <m:endChr m:val=")"/>
              <m:sepChr m:val=""/>
              <m:grow/>
            </m:dPr>
            <m:e>
              <m:r>
                <m:t>10</m:t>
              </m:r>
            </m:e>
          </m:d>
        </m:oMath>
      </m:oMathPara>
      <w:bookmarkEnd w:id="69"/>
    </w:p>
    <w:p>
      <w:pPr>
        <w:pStyle w:val="FirstParagraph"/>
      </w:pPr>
      <w:r>
        <w:t xml:space="preserve">est solution de l’EDS.</w:t>
      </w:r>
    </w:p>
    <w:tbl>
      <w:tblPr>
        <w:tblStyle w:val="Table"/>
        <w:tblW w:type="pct" w:w="5000"/>
        <w:tblLook w:firstRow="0" w:lastRow="0" w:firstColumn="0" w:lastColumn="0" w:noHBand="0" w:noVBand="0" w:val="0000"/>
        <w:jc w:val="start"/>
      </w:tblPr>
      <w:tblGrid>
        <w:gridCol w:w="7920"/>
      </w:tblGrid>
      <w:tr>
        <w:tc>
          <w:tcPr/>
          <w:bookmarkStart w:id="73" w:name="fig-MASI_BS"/>
          <w:p>
            <w:pPr>
              <w:jc w:val="center"/>
            </w:pPr>
            <w:r>
              <w:drawing>
                <wp:inline>
                  <wp:extent cx="5334000" cy="3291840"/>
                  <wp:effectExtent b="0" l="0" r="0" t="0"/>
                  <wp:docPr descr="" title="" id="71" name="Picture"/>
                  <a:graphic>
                    <a:graphicData uri="http://schemas.openxmlformats.org/drawingml/2006/picture">
                      <pic:pic>
                        <pic:nvPicPr>
                          <pic:cNvPr descr="Rapport-PFE_files/figure-html/Masi_BS.png" id="72" name="Picture"/>
                          <pic:cNvPicPr>
                            <a:picLocks noChangeArrowheads="1" noChangeAspect="1"/>
                          </pic:cNvPicPr>
                        </pic:nvPicPr>
                        <pic:blipFill>
                          <a:blip r:embed="rId70"/>
                          <a:stretch>
                            <a:fillRect/>
                          </a:stretch>
                        </pic:blipFill>
                        <pic:spPr bwMode="auto">
                          <a:xfrm>
                            <a:off x="0" y="0"/>
                            <a:ext cx="5334000"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Simulation du cours de l’indice MASI sur une année avec le modèle de Black-Scholes</w:t>
            </w:r>
          </w:p>
          <w:bookmarkEnd w:id="7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77" w:name="fig-MASI_R"/>
          <w:p>
            <w:pPr>
              <w:jc w:val="center"/>
            </w:pPr>
            <w:r>
              <w:drawing>
                <wp:inline>
                  <wp:extent cx="5334000" cy="2998910"/>
                  <wp:effectExtent b="0" l="0" r="0" t="0"/>
                  <wp:docPr descr="" title="" id="75" name="Picture"/>
                  <a:graphic>
                    <a:graphicData uri="http://schemas.openxmlformats.org/drawingml/2006/picture">
                      <pic:pic>
                        <pic:nvPicPr>
                          <pic:cNvPr descr="Rapport-PFE_files/figure-html/MASI_reel.png" id="76" name="Picture"/>
                          <pic:cNvPicPr>
                            <a:picLocks noChangeArrowheads="1" noChangeAspect="1"/>
                          </pic:cNvPicPr>
                        </pic:nvPicPr>
                        <pic:blipFill>
                          <a:blip r:embed="rId7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Cours de l’indice Masi observé sur la même période</w:t>
            </w:r>
          </w:p>
          <w:bookmarkEnd w:id="77"/>
        </w:tc>
      </w:tr>
    </w:tbl>
    <w:bookmarkEnd w:id="78"/>
    <w:bookmarkStart w:id="91" w:name="réseaux-de-neurones-récurrents"/>
    <w:p>
      <w:pPr>
        <w:pStyle w:val="Heading3"/>
      </w:pPr>
      <w:r>
        <w:t xml:space="preserve">Réseaux de neurones récurrents</w:t>
      </w:r>
    </w:p>
    <w:p>
      <w:pPr>
        <w:pStyle w:val="FirstParagraph"/>
      </w:pPr>
      <w:r>
        <w:t xml:space="preserve">Dans cette partie on va s’intéresser à l’entraînement d’un modèle de réseaux de neurones récurrents (</w:t>
      </w:r>
      <w:r>
        <w:rPr>
          <w:bCs/>
          <w:b/>
        </w:rPr>
        <w:t xml:space="preserve">RNN</w:t>
      </w:r>
      <w:r>
        <w:t xml:space="preserve"> </w:t>
      </w:r>
      <w:r>
        <w:t xml:space="preserve">pour</w:t>
      </w:r>
      <w:r>
        <w:t xml:space="preserve"> </w:t>
      </w:r>
      <w:r>
        <w:rPr>
          <w:iCs/>
          <w:i/>
        </w:rPr>
        <w:t xml:space="preserve">recurrent neural network</w:t>
      </w:r>
      <w:r>
        <w:t xml:space="preserve"> </w:t>
      </w:r>
      <w:r>
        <w:t xml:space="preserve">en anglais), plus spécifiquement au modèle LSTM (Long short-term memory) avec des données historiques de l’indice MASI (</w:t>
      </w:r>
      <w:r>
        <w:rPr>
          <w:iCs/>
          <w:i/>
        </w:rPr>
        <w:t xml:space="preserve">Moroccan All Shares Index</w:t>
      </w:r>
      <w:r>
        <w:t xml:space="preserve">) afin prédire les cours journaliers de clôture.</w:t>
      </w:r>
    </w:p>
    <w:p>
      <w:pPr>
        <w:pStyle w:val="BodyText"/>
      </w:pPr>
      <w:r>
        <w:t xml:space="preserve">Le (RNN) est un type de réseau neuronal artificiel qui utilise des données séquentielles ou des données de séries chronologiques. Ces algorithmes d’apprentissage en profondeur (</w:t>
      </w:r>
      <w:r>
        <w:t xml:space="preserve"> </w:t>
      </w:r>
      <w:r>
        <w:rPr>
          <w:iCs/>
          <w:i/>
        </w:rPr>
        <w:t xml:space="preserve">Deep Learning</w:t>
      </w:r>
      <w:r>
        <w:t xml:space="preserve"> </w:t>
      </w:r>
      <w:r>
        <w:t xml:space="preserve">) sont couramment utilisés pour les problèmes ordinaux ou temporels, tels que la traduction linguistique, traitement automatique des langues (</w:t>
      </w:r>
      <w:r>
        <w:t xml:space="preserve"> </w:t>
      </w:r>
      <w:r>
        <w:rPr>
          <w:iCs/>
          <w:i/>
        </w:rPr>
        <w:t xml:space="preserve">NLP</w:t>
      </w:r>
      <w:r>
        <w:t xml:space="preserve"> </w:t>
      </w:r>
      <w:r>
        <w:t xml:space="preserve">),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w:t>
      </w:r>
      <w:r>
        <w:t xml:space="preserve"> </w:t>
      </w:r>
      <w:r>
        <w:rPr>
          <w:iCs/>
          <w:i/>
        </w:rPr>
        <w:t xml:space="preserve">feedforward</w:t>
      </w:r>
      <w:r>
        <w:t xml:space="preserve"> </w:t>
      </w:r>
      <w:r>
        <w:t xml:space="preserve">(des réseaux de neurones artificiels qui traitent les informations dans une seule direction) ont des poids différents sur chaque nœud. Les</w:t>
      </w:r>
      <w:r>
        <w:t xml:space="preserve"> </w:t>
      </w:r>
      <w:r>
        <w:rPr>
          <w:bCs/>
          <w:b/>
        </w:rPr>
        <w:t xml:space="preserve">RNN</w:t>
      </w:r>
      <w:r>
        <w:t xml:space="preserve"> </w:t>
      </w:r>
      <w:r>
        <w:t xml:space="preserve">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jc w:val="start"/>
      </w:tblPr>
      <w:tblGrid>
        <w:gridCol w:w="7920"/>
      </w:tblGrid>
      <w:tr>
        <w:tc>
          <w:tcPr/>
          <w:bookmarkStart w:id="82" w:name="fig-piliers"/>
          <w:p>
            <w:pPr>
              <w:jc w:val="center"/>
            </w:pPr>
            <w:r>
              <w:drawing>
                <wp:inline>
                  <wp:extent cx="5334000" cy="2051050"/>
                  <wp:effectExtent b="0" l="0" r="0" t="0"/>
                  <wp:docPr descr="" title="" id="80" name="Picture"/>
                  <a:graphic>
                    <a:graphicData uri="http://schemas.openxmlformats.org/drawingml/2006/picture">
                      <pic:pic>
                        <pic:nvPicPr>
                          <pic:cNvPr descr="Rapport-PFE_files/figure-html/Shema_RNN.png" id="81" name="Picture"/>
                          <pic:cNvPicPr>
                            <a:picLocks noChangeArrowheads="1" noChangeAspect="1"/>
                          </pic:cNvPicPr>
                        </pic:nvPicPr>
                        <pic:blipFill>
                          <a:blip r:embed="rId79"/>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Fonctionnement des réseaux de neurones récurrents</w:t>
            </w:r>
          </w:p>
          <w:bookmarkEnd w:id="82"/>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pPr>
        <w:pStyle w:val="BodyText"/>
      </w:pPr>
      <w:r>
        <w:t xml:space="preserve">Dans notre cas, Nous nous sommes focalisés sur l’application du modèle LSTM sur les données de l’indice MASI. Notre échantillon comporte</w:t>
      </w:r>
      <w:r>
        <w:t xml:space="preserve"> </w:t>
      </w:r>
      <m:oMath>
        <m:r>
          <m:t>5000</m:t>
        </m:r>
      </m:oMath>
      <w:r>
        <w:t xml:space="preserve"> </w:t>
      </w:r>
      <w:r>
        <w:t xml:space="preserve">observations journalières du cours d’ouverture, cours de clôture, le cours le plus bas, le cours plus haut et la variation du cours entre deux dates successives.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La figure suivante donne un aperçu de Dernier cours de cet indice entre les années 2002 et 2022.</w:t>
      </w:r>
    </w:p>
    <w:tbl>
      <w:tblPr>
        <w:tblStyle w:val="Table"/>
        <w:tblW w:type="pct" w:w="5000"/>
        <w:tblLook w:firstRow="0" w:lastRow="0" w:firstColumn="0" w:lastColumn="0" w:noHBand="0" w:noVBand="0" w:val="0000"/>
        <w:jc w:val="start"/>
      </w:tblPr>
      <w:tblGrid>
        <w:gridCol w:w="7920"/>
      </w:tblGrid>
      <w:tr>
        <w:tc>
          <w:tcPr/>
          <w:bookmarkStart w:id="86" w:name="fig-masi_plot"/>
          <w:p>
            <w:pPr>
              <w:jc w:val="center"/>
            </w:pPr>
            <w:r>
              <w:drawing>
                <wp:inline>
                  <wp:extent cx="5334000" cy="3627782"/>
                  <wp:effectExtent b="0" l="0" r="0" t="0"/>
                  <wp:docPr descr="" title="" id="84" name="Picture"/>
                  <a:graphic>
                    <a:graphicData uri="http://schemas.openxmlformats.org/drawingml/2006/picture">
                      <pic:pic>
                        <pic:nvPicPr>
                          <pic:cNvPr descr="Rapport-PFE_files/figure-html/Derniere.png" id="85" name="Picture"/>
                          <pic:cNvPicPr>
                            <a:picLocks noChangeArrowheads="1" noChangeAspect="1"/>
                          </pic:cNvPicPr>
                        </pic:nvPicPr>
                        <pic:blipFill>
                          <a:blip r:embed="rId83"/>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Le cours Historiques de Clôture pour l’indice MASI</w:t>
            </w:r>
          </w:p>
          <w:bookmarkEnd w:id="86"/>
        </w:tc>
      </w:tr>
    </w:tbl>
    <w:p>
      <w:pPr>
        <w:pStyle w:val="BodyText"/>
      </w:pPr>
      <w:r>
        <w:t xml:space="preserve">Les réseaux de neurones récurrents sont réputés être plus performants comparés aux autres méthodes en terme de prédiction de série chronologique. Ainsi, il est tout naturel de s’attendre à un excellent score lors d’une application du modèle LSTM. Nous allons voir plus de détails sur la méthode de ce modèle sur le langage python la</w:t>
      </w:r>
      <w:r>
        <w:t xml:space="preserve"> </w:t>
      </w:r>
      <w:hyperlink w:anchor="sec-rnn_app">
        <w:r>
          <w:rPr>
            <w:rStyle w:val="Hyperlink"/>
          </w:rPr>
          <w:t xml:space="preserve">Section 7.1</w:t>
        </w:r>
      </w:hyperlink>
      <w:r>
        <w:t xml:space="preserve">.</w:t>
      </w:r>
    </w:p>
    <w:p>
      <w:pPr>
        <w:pStyle w:val="BodyText"/>
      </w:pPr>
      <w:r>
        <w:t xml:space="preserve">Le graphique suivant est une représentation conjointe du dernier cours observé (en bleu) et le cours prédit (en orange) par notre modèle sur la même période.</w:t>
      </w:r>
    </w:p>
    <w:tbl>
      <w:tblPr>
        <w:tblStyle w:val="Table"/>
        <w:tblW w:type="pct" w:w="5000"/>
        <w:tblLook w:firstRow="0" w:lastRow="0" w:firstColumn="0" w:lastColumn="0" w:noHBand="0" w:noVBand="0" w:val="0000"/>
        <w:jc w:val="start"/>
      </w:tblPr>
      <w:tblGrid>
        <w:gridCol w:w="7920"/>
      </w:tblGrid>
      <w:tr>
        <w:tc>
          <w:tcPr/>
          <w:bookmarkStart w:id="90" w:name="fig-Prediction_masi"/>
          <w:p>
            <w:pPr>
              <w:jc w:val="center"/>
            </w:pPr>
            <w:r>
              <w:drawing>
                <wp:inline>
                  <wp:extent cx="5334000" cy="3765683"/>
                  <wp:effectExtent b="0" l="0" r="0" t="0"/>
                  <wp:docPr descr="" title="" id="88" name="Picture"/>
                  <a:graphic>
                    <a:graphicData uri="http://schemas.openxmlformats.org/drawingml/2006/picture">
                      <pic:pic>
                        <pic:nvPicPr>
                          <pic:cNvPr descr="Rapport-PFE_files/figure-html/Prediction.png" id="89" name="Picture"/>
                          <pic:cNvPicPr>
                            <a:picLocks noChangeArrowheads="1" noChangeAspect="1"/>
                          </pic:cNvPicPr>
                        </pic:nvPicPr>
                        <pic:blipFill>
                          <a:blip r:embed="rId87"/>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Courbe de cours prédit et de cours observé</w:t>
            </w:r>
          </w:p>
          <w:bookmarkEnd w:id="90"/>
        </w:tc>
      </w:tr>
    </w:tbl>
    <w:p>
      <w:pPr>
        <w:pStyle w:val="BodyText"/>
      </w:pPr>
      <w:r>
        <w:t xml:space="preserve">Une remarque flagrante est que les deux courbes sont presque confondues. Ce constat s’explique par la faiblesse de la valeur du RMSE qui vaut</w:t>
      </w:r>
      <w:r>
        <w:t xml:space="preserve"> </w:t>
      </w:r>
      <m:oMath>
        <m:r>
          <m:t>29</m:t>
        </m:r>
        <m:r>
          <m:rPr>
            <m:sty m:val="p"/>
          </m:rPr>
          <m:t>,</m:t>
        </m:r>
        <m:r>
          <m:t>44</m:t>
        </m:r>
      </m:oMath>
      <w:r>
        <w:t xml:space="preserve">.</w:t>
      </w:r>
    </w:p>
    <w:p>
      <w:pPr>
        <w:pStyle w:val="BodyText"/>
      </w:pPr>
      <w:r>
        <w:t xml:space="preserve">La racine de l’erreur quadratique moyenne (en anglais, root-mean-square error ou RMSE) est une mesure de l’écart type des résidus. Plus précisément, elle mesure la différence entre les valeurs prédites par le modèle et les valeurs observées. En terme de cohérence et de précision, le modèle LSTM nous a donné de meilleurs résultat comparé à celui de Black &amp; Scholes.</w:t>
      </w:r>
    </w:p>
    <w:bookmarkEnd w:id="91"/>
    <w:bookmarkEnd w:id="92"/>
    <w:bookmarkEnd w:id="93"/>
    <w:bookmarkStart w:id="161" w:name="X35be4e1d432b72e5eca82ccc14d28e032b67b9f"/>
    <w:p>
      <w:pPr>
        <w:pStyle w:val="Heading1"/>
      </w:pPr>
      <w:r>
        <w:t xml:space="preserve">4. CHAPITRE IV : Valorisation des provisions techniques prudentielles</w:t>
      </w:r>
    </w:p>
    <w:bookmarkStart w:id="95" w:name="généralité"/>
    <w:p>
      <w:pPr>
        <w:pStyle w:val="Heading2"/>
      </w:pPr>
      <w:r>
        <w:t xml:space="preserve">4.1 Généralité</w:t>
      </w:r>
    </w:p>
    <w:p>
      <w:pPr>
        <w:pStyle w:val="FirstParagraph"/>
      </w:pPr>
      <w:r>
        <w:t xml:space="preserve">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pPr>
        <w:pStyle w:val="BodyText"/>
      </w:pPr>
      <w:r>
        <w:t xml:space="preserve">Elles sont évaluées comme suit :</w:t>
      </w:r>
    </w:p>
    <w:p>
      <w:pPr>
        <w:pStyle w:val="BodyText"/>
      </w:pPr>
      <w:bookmarkStart w:id="94" w:name="eq-gbmp"/>
      <m:oMathPara>
        <m:oMathParaPr>
          <m:jc m:val="center"/>
        </m:oMathParaPr>
        <m:oMath>
          <m:r>
            <m:t>P</m:t>
          </m:r>
          <m:r>
            <m:t>T</m:t>
          </m:r>
          <m:r>
            <m:rPr>
              <m:sty m:val="p"/>
            </m:rPr>
            <m:t>=</m:t>
          </m:r>
          <m:r>
            <m:t>B</m:t>
          </m:r>
          <m:sSub>
            <m:e>
              <m:r>
                <m:t>E</m:t>
              </m:r>
            </m:e>
            <m:sub>
              <m:r>
                <m:t>e</m:t>
              </m:r>
              <m:r>
                <m:t>n</m:t>
              </m:r>
              <m:r>
                <m:t>g</m:t>
              </m:r>
            </m:sub>
          </m:sSub>
          <m:r>
            <m:rPr>
              <m:sty m:val="p"/>
            </m:rPr>
            <m:t>+</m:t>
          </m:r>
          <m:r>
            <m:t>B</m:t>
          </m:r>
          <m:r>
            <m:t>E</m:t>
          </m:r>
          <m:r>
            <m:t>F</m:t>
          </m:r>
          <m:r>
            <m:t>G</m:t>
          </m:r>
          <m:r>
            <m:rPr>
              <m:sty m:val="p"/>
            </m:rPr>
            <m:t>+</m:t>
          </m:r>
          <m:r>
            <m:t>M</m:t>
          </m:r>
          <m:r>
            <m:t>R</m:t>
          </m:r>
          <m:r>
            <m:rPr>
              <m:sty m:val="p"/>
            </m:rPr>
            <m:t>,</m:t>
          </m:r>
          <m:r>
            <m:t>  </m:t>
          </m:r>
          <m:d>
            <m:dPr>
              <m:begChr m:val="("/>
              <m:endChr m:val=")"/>
              <m:sepChr m:val=""/>
              <m:grow/>
            </m:dPr>
            <m:e>
              <m:r>
                <m:t>11</m:t>
              </m:r>
            </m:e>
          </m:d>
        </m:oMath>
      </m:oMathPara>
      <w:bookmarkEnd w:id="94"/>
    </w:p>
    <w:p>
      <w:pPr>
        <w:pStyle w:val="FirstParagraph"/>
      </w:pPr>
      <w:r>
        <w:t xml:space="preserve">avec :</w:t>
      </w:r>
    </w:p>
    <w:p>
      <w:pPr>
        <w:numPr>
          <w:ilvl w:val="0"/>
          <w:numId w:val="1018"/>
        </w:numPr>
      </w:pPr>
      <m:oMath>
        <m:r>
          <m:t>P</m:t>
        </m:r>
        <m:r>
          <m:t>T</m:t>
        </m:r>
      </m:oMath>
      <w:r>
        <w:t xml:space="preserve"> </w:t>
      </w:r>
      <w:r>
        <w:t xml:space="preserve">: la provision technique.</w:t>
      </w:r>
    </w:p>
    <w:p>
      <w:pPr>
        <w:numPr>
          <w:ilvl w:val="0"/>
          <w:numId w:val="1018"/>
        </w:numPr>
      </w:pPr>
      <m:oMath>
        <m:r>
          <m:t>B</m:t>
        </m:r>
        <m:sSub>
          <m:e>
            <m:r>
              <m:t>E</m:t>
            </m:r>
          </m:e>
          <m:sub>
            <m:r>
              <m:t>e</m:t>
            </m:r>
            <m:r>
              <m:t>n</m:t>
            </m:r>
            <m:r>
              <m:t>g</m:t>
            </m:r>
          </m:sub>
        </m:sSub>
      </m:oMath>
      <w:r>
        <w:t xml:space="preserve"> </w:t>
      </w:r>
      <w:r>
        <w:t xml:space="preserve">: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pPr>
        <w:numPr>
          <w:ilvl w:val="0"/>
          <w:numId w:val="1018"/>
        </w:numPr>
      </w:pPr>
      <m:oMath>
        <m:r>
          <m:t>B</m:t>
        </m:r>
        <m:r>
          <m:t>E</m:t>
        </m:r>
        <m:r>
          <m:t>F</m:t>
        </m:r>
        <m:r>
          <m:t>G</m:t>
        </m:r>
      </m:oMath>
      <w:r>
        <w:t xml:space="preserve"> </w:t>
      </w:r>
      <w:r>
        <w:t xml:space="preserve">: La meilleure estimation des frais de gestion correspond à la somme probabilisée et actualisée des flux de frais de gestion des contrats et déterminée, selon la nature des opérations d’assurance.</w:t>
      </w:r>
    </w:p>
    <w:p>
      <w:pPr>
        <w:numPr>
          <w:ilvl w:val="0"/>
          <w:numId w:val="1018"/>
        </w:numPr>
      </w:pPr>
      <m:oMath>
        <m:r>
          <m:t>M</m:t>
        </m:r>
        <m:r>
          <m:t>R</m:t>
        </m:r>
      </m:oMath>
      <w:r>
        <w:t xml:space="preserve"> </w:t>
      </w:r>
      <w:r>
        <w:t xml:space="preserve">: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bookmarkEnd w:id="95"/>
    <w:bookmarkStart w:id="111" w:name="X32462c7e3a0a11848884f7548d4747bc280232c"/>
    <w:p>
      <w:pPr>
        <w:pStyle w:val="Heading2"/>
      </w:pPr>
      <w:r>
        <w:t xml:space="preserve">4.2 Opérations d’assurance vie, décès ou capitalisation</w:t>
      </w:r>
    </w:p>
    <w:p>
      <w:pPr>
        <w:pStyle w:val="FirstParagraph"/>
      </w:pPr>
      <w: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pPr>
        <w:pStyle w:val="BodyText"/>
      </w:pPr>
      <w:r>
        <w:t xml:space="preserve">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pPr>
        <w:pStyle w:val="BodyText"/>
      </w:pPr>
      <w:r>
        <w:t xml:space="preserve">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bookmarkStart w:id="106" w:name="Xeb1f9d92a4c5859eacf38eb19f2fdc8a983fcd5"/>
    <w:p>
      <w:pPr>
        <w:pStyle w:val="Heading3"/>
      </w:pPr>
      <w:r>
        <w:t xml:space="preserve">Meilleure estimations des engagements (</w:t>
      </w:r>
      <m:oMath>
        <m:r>
          <m:t>B</m:t>
        </m:r>
        <m:sSub>
          <m:e>
            <m:r>
              <m:t>E</m:t>
            </m:r>
          </m:e>
          <m:sub>
            <m:r>
              <m:t>e</m:t>
            </m:r>
            <m:r>
              <m:t>n</m:t>
            </m:r>
            <m:r>
              <m:t>g</m:t>
            </m:r>
          </m:sub>
        </m:sSub>
      </m:oMath>
      <w:r>
        <w:t xml:space="preserve">)</w:t>
      </w:r>
    </w:p>
    <w:p>
      <w:pPr>
        <w:pStyle w:val="FirstParagraph"/>
      </w:pPr>
      <w:r>
        <w:t xml:space="preserve">Pour les opérations d’assurance vie, décès ou de capitalisation hors unités de compte, la meilleure estimation des engagements comprend la meilleure estimation des garanties probabilisées et les bénéfices discrétionnaires futurs.</w:t>
      </w:r>
    </w:p>
    <w:p>
      <w:pPr>
        <w:pStyle w:val="BodyText"/>
      </w:pPr>
      <w:bookmarkStart w:id="96" w:name="eq-gbmp"/>
      <m:oMathPara>
        <m:oMathParaPr>
          <m:jc m:val="center"/>
        </m:oMathParaPr>
        <m:oMath>
          <m:r>
            <m:t>B</m:t>
          </m:r>
          <m:sSub>
            <m:e>
              <m:r>
                <m:t>E</m:t>
              </m:r>
            </m:e>
            <m:sub>
              <m:r>
                <m:t>e</m:t>
              </m:r>
              <m:r>
                <m:t>n</m:t>
              </m:r>
              <m:r>
                <m:t>g</m:t>
              </m:r>
            </m:sub>
          </m:sSub>
          <m:r>
            <m:rPr>
              <m:sty m:val="p"/>
            </m:rPr>
            <m:t>=</m:t>
          </m:r>
          <m:r>
            <m:t>B</m:t>
          </m:r>
          <m:r>
            <m:t>E</m:t>
          </m:r>
          <m:r>
            <m:t>G</m:t>
          </m:r>
          <m:r>
            <m:t>P</m:t>
          </m:r>
          <m:r>
            <m:rPr>
              <m:sty m:val="p"/>
            </m:rPr>
            <m:t>+</m:t>
          </m:r>
          <m:r>
            <m:t>B</m:t>
          </m:r>
          <m:r>
            <m:t>D</m:t>
          </m:r>
          <m:r>
            <m:t>F</m:t>
          </m:r>
          <m:r>
            <m:t> </m:t>
          </m:r>
          <m:r>
            <m:rPr>
              <m:sty m:val="p"/>
            </m:rPr>
            <m:t>,</m:t>
          </m:r>
          <m:r>
            <m:t>  </m:t>
          </m:r>
          <m:d>
            <m:dPr>
              <m:begChr m:val="("/>
              <m:endChr m:val=")"/>
              <m:sepChr m:val=""/>
              <m:grow/>
            </m:dPr>
            <m:e>
              <m:r>
                <m:t>12</m:t>
              </m:r>
            </m:e>
          </m:d>
        </m:oMath>
      </m:oMathPara>
      <w:bookmarkEnd w:id="96"/>
    </w:p>
    <w:p>
      <w:pPr>
        <w:pStyle w:val="FirstParagraph"/>
      </w:pPr>
      <w:r>
        <w:t xml:space="preserve">avec :</w:t>
      </w:r>
    </w:p>
    <w:p>
      <w:pPr>
        <w:numPr>
          <w:ilvl w:val="0"/>
          <w:numId w:val="1019"/>
        </w:numPr>
        <w:pStyle w:val="Compact"/>
      </w:pPr>
      <m:oMath>
        <m:r>
          <m:t>B</m:t>
        </m:r>
        <m:r>
          <m:t>E</m:t>
        </m:r>
        <m:r>
          <m:t>G</m:t>
        </m:r>
        <m:r>
          <m:t>P</m:t>
        </m:r>
      </m:oMath>
      <w:r>
        <w:t xml:space="preserve">: la meilleure estimation des garanties probabilisées.</w:t>
      </w:r>
    </w:p>
    <w:p>
      <w:pPr>
        <w:numPr>
          <w:ilvl w:val="0"/>
          <w:numId w:val="1019"/>
        </w:numPr>
        <w:pStyle w:val="Compact"/>
      </w:pPr>
      <m:oMath>
        <m:r>
          <m:t>B</m:t>
        </m:r>
        <m:r>
          <m:t>D</m:t>
        </m:r>
        <m:r>
          <m:t>F</m:t>
        </m:r>
      </m:oMath>
      <w:r>
        <w:t xml:space="preserve">: les bénéfices discrétionnaires futurs.</w:t>
      </w:r>
    </w:p>
    <w:bookmarkStart w:id="102" w:name="sec-MEGP"/>
    <w:p>
      <w:pPr>
        <w:pStyle w:val="Heading4"/>
      </w:pPr>
      <w:r>
        <w:t xml:space="preserve">Meilleure estimation des garanties probabilisées</w:t>
      </w:r>
    </w:p>
    <w:p>
      <w:pPr>
        <w:pStyle w:val="FirstParagraph"/>
      </w:pPr>
      <w:r>
        <w:t xml:space="preserve">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pPr>
        <w:pStyle w:val="BodyText"/>
      </w:pPr>
      <w:r>
        <w:t xml:space="preserve">$$</w:t>
      </w:r>
      <w:r>
        <w:t xml:space="preserve"> </w:t>
      </w:r>
      <w:r>
        <w:t xml:space="preserve">BEGP =</w:t>
      </w:r>
      <w:r>
        <w:t xml:space="preserve"> </w:t>
      </w:r>
      <w:r>
        <w:t xml:space="preserve">_{t=0}^{t=N}</w:t>
      </w:r>
      <w:r>
        <w:t xml:space="preserve"> </w:t>
      </w:r>
      <w:r>
        <w:t xml:space="preserve">,</w:t>
      </w:r>
    </w:p>
    <w:p>
      <w:pPr>
        <w:pStyle w:val="BodyText"/>
      </w:pPr>
      <w:r>
        <w:t xml:space="preserve">$${#eq-gbmp}</w:t>
      </w:r>
    </w:p>
    <w:p>
      <w:pPr>
        <w:pStyle w:val="BodyText"/>
      </w:pPr>
      <w:r>
        <w:t xml:space="preserve">avec :</w:t>
      </w:r>
    </w:p>
    <w:p>
      <w:pPr>
        <w:numPr>
          <w:ilvl w:val="0"/>
          <w:numId w:val="1020"/>
        </w:numPr>
      </w:pPr>
      <m:oMath>
        <m:r>
          <m:t>E</m:t>
        </m:r>
        <m:r>
          <m:t>n</m:t>
        </m:r>
        <m:sSub>
          <m:e>
            <m:r>
              <m:t>c</m:t>
            </m:r>
          </m:e>
          <m:sub>
            <m:r>
              <m:t>t</m:t>
            </m:r>
          </m:sub>
        </m:sSub>
      </m:oMath>
      <w:r>
        <w:t xml:space="preserve">: Les encaissements à la date</w:t>
      </w:r>
      <w:r>
        <w:t xml:space="preserve"> </w:t>
      </w:r>
      <m:oMath>
        <m:r>
          <m:t>t</m:t>
        </m:r>
      </m:oMath>
      <w:r>
        <w:t xml:space="preserve"> </w:t>
      </w:r>
      <w:r>
        <w:t xml:space="preserve">qui correspondent aux engagements des assurés.</w:t>
      </w:r>
    </w:p>
    <w:p>
      <w:pPr>
        <w:numPr>
          <w:ilvl w:val="0"/>
          <w:numId w:val="1020"/>
        </w:numPr>
      </w:pPr>
      <m:oMath>
        <m:r>
          <m:t>D</m:t>
        </m:r>
        <m:r>
          <m:t>e</m:t>
        </m:r>
        <m:sSub>
          <m:e>
            <m:r>
              <m:t>c</m:t>
            </m:r>
          </m:e>
          <m:sub>
            <m:r>
              <m:t>t</m:t>
            </m:r>
          </m:sub>
        </m:sSub>
      </m:oMath>
      <w:r>
        <w:t xml:space="preserve">: Les décaissements à la date</w:t>
      </w:r>
      <w:r>
        <w:t xml:space="preserve"> </w:t>
      </w:r>
      <m:oMath>
        <m:r>
          <m:t>t</m:t>
        </m:r>
      </m:oMath>
      <w:r>
        <w:t xml:space="preserve">. qui correspondent aux règlements de toutes prestations garanties au titre des contrats, y compris les rachats. Ils sont déterminés en tenant compte des engagements contractuels et en utilisant, le cas échéant, les bases techniques suivantes :</w:t>
      </w:r>
    </w:p>
    <w:p>
      <w:pPr>
        <w:numPr>
          <w:ilvl w:val="0"/>
          <w:numId w:val="1020"/>
        </w:numPr>
      </w:pPr>
      <w:r>
        <w:rPr>
          <w:bCs/>
          <w:b/>
        </w:rPr>
        <w:t xml:space="preserve">La table de mortalité</w:t>
      </w:r>
      <w:r>
        <w:t xml:space="preserve">: La table de mortalité TV 88-90 pour les assurances en cas de vie ou la table de mortalité TD 88-90 pour les assurances en cas de décès (</w:t>
      </w:r>
      <w:r>
        <w:rPr>
          <w:bCs/>
          <w:b/>
        </w:rPr>
        <w:t xml:space="preserve">prévues à l’ANNEXE N°3</w:t>
      </w:r>
      <w:r>
        <w:t xml:space="preserve">), auxquelles l’entreprise d’assurances et de réassurance peut substituer une table de mortalité d’expérience, matérialisant la mortalité propre à la population de ses assurés et ce, après accord de l’Autorité ;</w:t>
      </w:r>
    </w:p>
    <w:p>
      <w:pPr>
        <w:numPr>
          <w:ilvl w:val="0"/>
          <w:numId w:val="1020"/>
        </w:numPr>
      </w:pPr>
      <w:r>
        <w:rPr>
          <w:bCs/>
          <w:b/>
        </w:rPr>
        <w:t xml:space="preserve">La table de rachat en montant</w:t>
      </w:r>
      <w:r>
        <w:t xml:space="preserve">.</w:t>
      </w:r>
    </w:p>
    <w:p>
      <w:pPr>
        <w:numPr>
          <w:ilvl w:val="0"/>
          <w:numId w:val="1020"/>
        </w:numPr>
      </w:pPr>
      <w:r>
        <w:rPr>
          <w:bCs/>
          <w:b/>
        </w:rPr>
        <w:t xml:space="preserve">La table de résiliation</w:t>
      </w:r>
      <w:r>
        <w:t xml:space="preserve">.</w:t>
      </w:r>
    </w:p>
    <w:p>
      <w:pPr>
        <w:numPr>
          <w:ilvl w:val="0"/>
          <w:numId w:val="1020"/>
        </w:numPr>
      </w:pPr>
      <w:r>
        <w:rPr>
          <w:bCs/>
          <w:b/>
        </w:rPr>
        <w:t xml:space="preserve">Un taux de sortie en rente</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tip.png" id="98"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Les flux de trésorerie futurs probabilisés précités sont déterminés en considérant un horizon de projection suffisant pour la couverture de l’ensemble de la durée de vie des engagements à la date d’inventaire.</w:t>
            </w:r>
          </w:p>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Applications/quarto/share/formats/docx/tip.png" id="100"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Exemple:</w:t>
            </w:r>
          </w:p>
        </w:tc>
      </w:tr>
      <w:tr>
        <w:trPr>
          <w:cantSplit/>
        </w:trPr>
        <w:tc>
          <w:tcPr>
            <w:tcMar>
              <w:top w:w="108" w:type="dxa"/>
              <w:bottom w:w="108" w:type="dxa"/>
            </w:tcMar>
          </w:tcPr>
          <w:p>
            <w:pPr>
              <w:pStyle w:val="BodyText"/>
            </w:pPr>
            <w:pPr>
              <w:spacing w:before="16"/>
            </w:pPr>
            <w:r>
              <w:t xml:space="preserve">Un contrat d’assurance mixte à prime unique sur</w:t>
            </w:r>
            <w:r>
              <w:t xml:space="preserve"> </w:t>
            </w:r>
            <m:oMath>
              <m:r>
                <m:t>N</m:t>
              </m:r>
            </m:oMath>
            <w:r>
              <w:t xml:space="preserve"> </w:t>
            </w:r>
            <w:r>
              <w:t xml:space="preserve">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pPr>
              <w:pStyle w:val="BodyText"/>
            </w:pPr>
            <w:pPr>
              <w:spacing w:after="16"/>
            </w:pPr>
            <w:r>
              <w:t xml:space="preserve">Si on prend l’exemple d’un contrat d’assurance-vie mixte de capital en cas de vie égale au capital en cas de décès</w:t>
            </w:r>
            <w:r>
              <w:t xml:space="preserve"> </w:t>
            </w:r>
            <m:oMath>
              <m:r>
                <m:t>K</m:t>
              </m:r>
            </m:oMath>
            <w:r>
              <w:t xml:space="preserve">.</w:t>
            </w:r>
            <w:r>
              <w:t xml:space="preserve"> </w:t>
            </w:r>
            <w:r>
              <w:t xml:space="preserve">Soit</w:t>
            </w:r>
            <w:r>
              <w:t xml:space="preserve"> </w:t>
            </w:r>
            <m:oMath>
              <m:sSub>
                <m:e>
                  <m:r>
                    <m:t>q</m:t>
                  </m:r>
                </m:e>
                <m:sub>
                  <m:r>
                    <m:t>x</m:t>
                  </m:r>
                  <m:r>
                    <m:rPr>
                      <m:sty m:val="p"/>
                    </m:rPr>
                    <m:t>+</m:t>
                  </m:r>
                  <m:r>
                    <m:t>t</m:t>
                  </m:r>
                </m:sub>
              </m:sSub>
            </m:oMath>
            <w:r>
              <w:t xml:space="preserve"> </w:t>
            </w:r>
            <w:r>
              <w:t xml:space="preserve">la probabilité qu’un individu d’âge</w:t>
            </w:r>
            <w:r>
              <w:t xml:space="preserve"> </w:t>
            </w:r>
            <m:oMath>
              <m:r>
                <m:t>x</m:t>
              </m:r>
            </m:oMath>
            <w:r>
              <w:t xml:space="preserve"> </w:t>
            </w:r>
            <w:r>
              <w:t xml:space="preserve">lors de la souscription décéde entre</w:t>
            </w:r>
            <w:r>
              <w:t xml:space="preserve"> </w:t>
            </w:r>
            <m:oMath>
              <m:r>
                <m:t>x</m:t>
              </m:r>
              <m:r>
                <m:rPr>
                  <m:sty m:val="p"/>
                </m:rPr>
                <m:t>+</m:t>
              </m:r>
              <m:r>
                <m:t>t</m:t>
              </m:r>
            </m:oMath>
            <w:r>
              <w:t xml:space="preserve"> </w:t>
            </w:r>
            <w:r>
              <w:t xml:space="preserve">et</w:t>
            </w:r>
            <w:r>
              <w:t xml:space="preserve"> </w:t>
            </w:r>
            <m:oMath>
              <m:r>
                <m:t>x</m:t>
              </m:r>
              <m:r>
                <m:rPr>
                  <m:sty m:val="p"/>
                </m:rPr>
                <m:t>+</m:t>
              </m:r>
              <m:r>
                <m:t>t</m:t>
              </m:r>
              <m:r>
                <m:rPr>
                  <m:sty m:val="p"/>
                </m:rPr>
                <m:t>+</m:t>
              </m:r>
              <m:r>
                <m:t>1</m:t>
              </m:r>
            </m:oMath>
            <w:r>
              <w:t xml:space="preserve">. On note</w:t>
            </w:r>
            <w:r>
              <w:t xml:space="preserve"> </w:t>
            </w:r>
            <m:oMath>
              <m:r>
                <m:t>N</m:t>
              </m:r>
              <m:r>
                <m:t>b</m:t>
              </m:r>
              <m:sSub>
                <m:e>
                  <m:r>
                    <m:t>P</m:t>
                  </m:r>
                </m:e>
                <m:sub>
                  <m:r>
                    <m:t>t</m:t>
                  </m:r>
                </m:sub>
              </m:sSub>
            </m:oMath>
            <w:r>
              <w:t xml:space="preserve"> </w:t>
            </w:r>
            <w:r>
              <w:t xml:space="preserve">le nombre de police en début de période</w:t>
            </w:r>
            <w:r>
              <w:t xml:space="preserve"> </w:t>
            </w:r>
            <m:oMath>
              <m:r>
                <m:t>t</m:t>
              </m:r>
            </m:oMath>
            <w:r>
              <w:t xml:space="preserve"> </w:t>
            </w:r>
            <w:r>
              <w:t xml:space="preserve">et</w:t>
            </w:r>
            <w:r>
              <w:t xml:space="preserve"> </w:t>
            </w:r>
            <m:oMath>
              <m:sSub>
                <m:e>
                  <m:r>
                    <m:t>r</m:t>
                  </m:r>
                </m:e>
                <m:sub>
                  <m:r>
                    <m:t>s</m:t>
                  </m:r>
                </m:sub>
              </m:sSub>
            </m:oMath>
            <w:r>
              <w:t xml:space="preserve"> </w:t>
            </w:r>
            <w:r>
              <w:t xml:space="preserve">le taux ZC.</w:t>
            </w:r>
            <w:r>
              <w:t xml:space="preserve"> </w:t>
            </w:r>
            <w:r>
              <w:t xml:space="preserve">La prestation correspondante à ce contrat en date t :</w:t>
            </w:r>
          </w:p>
          <w:p>
            <w:pPr>
              <w:pStyle w:val="BodyText"/>
            </w:pPr>
            <w:bookmarkStart w:id="101" w:name="eq-gbmp"/>
            <m:oMathPara>
              <m:oMathParaPr>
                <m:jc m:val="center"/>
              </m:oMathParaPr>
              <m:oMath>
                <m:r>
                  <m:t>D</m:t>
                </m:r>
                <m:r>
                  <m:t>e</m:t>
                </m:r>
                <m:sSub>
                  <m:e>
                    <m:r>
                      <m:t>c</m:t>
                    </m:r>
                  </m:e>
                  <m:sub>
                    <m:r>
                      <m:t>t</m:t>
                    </m:r>
                  </m:sub>
                </m:sSub>
                <m:r>
                  <m:rPr>
                    <m:sty m:val="p"/>
                  </m:rPr>
                  <m:t>=</m:t>
                </m:r>
                <m:r>
                  <m:t>K</m:t>
                </m:r>
                <m:r>
                  <m:rPr>
                    <m:sty m:val="p"/>
                  </m:rPr>
                  <m:t>×</m:t>
                </m:r>
                <m:r>
                  <m:t>N</m:t>
                </m:r>
                <m:r>
                  <m:t>b</m:t>
                </m:r>
                <m:sSub>
                  <m:e>
                    <m:r>
                      <m:t>P</m:t>
                    </m:r>
                  </m:e>
                  <m:sub>
                    <m:r>
                      <m:t>t</m:t>
                    </m:r>
                  </m:sub>
                </m:sSub>
                <m:r>
                  <m:rPr>
                    <m:sty m:val="p"/>
                  </m:rPr>
                  <m:t>×</m:t>
                </m:r>
                <m:sSub>
                  <m:e>
                    <m:r>
                      <m:t>q</m:t>
                    </m:r>
                  </m:e>
                  <m:sub>
                    <m:r>
                      <m:t>x</m:t>
                    </m:r>
                    <m:r>
                      <m:rPr>
                        <m:sty m:val="p"/>
                      </m:rPr>
                      <m:t>+</m:t>
                    </m:r>
                    <m:r>
                      <m:t>t</m:t>
                    </m:r>
                  </m:sub>
                </m:sSub>
                <m:r>
                  <m:rPr>
                    <m:sty m:val="p"/>
                  </m:rPr>
                  <m:t>×</m:t>
                </m:r>
                <m:sSup>
                  <m:e>
                    <m:d>
                      <m:dPr>
                        <m:begChr m:val="("/>
                        <m:endChr m:val=")"/>
                        <m:sepChr m:val=""/>
                        <m:grow/>
                      </m:dPr>
                      <m:e>
                        <m:r>
                          <m:t>1</m:t>
                        </m:r>
                        <m:r>
                          <m:rPr>
                            <m:sty m:val="p"/>
                          </m:rPr>
                          <m:t>+</m:t>
                        </m:r>
                        <m:sSub>
                          <m:e>
                            <m:r>
                              <m:t>r</m:t>
                            </m:r>
                          </m:e>
                          <m:sub>
                            <m:r>
                              <m:t>t</m:t>
                            </m:r>
                          </m:sub>
                        </m:sSub>
                      </m:e>
                    </m:d>
                  </m:e>
                  <m:sup>
                    <m:r>
                      <m:t>t</m:t>
                    </m:r>
                  </m:sup>
                </m:sSup>
                <m:r>
                  <m:t> </m:t>
                </m:r>
                <m:r>
                  <m:rPr>
                    <m:sty m:val="p"/>
                  </m:rPr>
                  <m:t>,</m:t>
                </m:r>
                <m:r>
                  <m:t>  </m:t>
                </m:r>
                <m:d>
                  <m:dPr>
                    <m:begChr m:val="("/>
                    <m:endChr m:val=")"/>
                    <m:sepChr m:val=""/>
                    <m:grow/>
                  </m:dPr>
                  <m:e>
                    <m:r>
                      <m:t>13</m:t>
                    </m:r>
                  </m:e>
                </m:d>
              </m:oMath>
            </m:oMathPara>
            <w:bookmarkEnd w:id="101"/>
          </w:p>
        </w:tc>
      </w:tr>
    </w:tbl>
    <w:bookmarkEnd w:id="102"/>
    <w:bookmarkStart w:id="105" w:name="bénéfices-discrétionnaires-futurs"/>
    <w:p>
      <w:pPr>
        <w:pStyle w:val="Heading4"/>
      </w:pPr>
      <w:r>
        <w:t xml:space="preserve">Bénéfices discrétionnaires futurs</w:t>
      </w:r>
    </w:p>
    <w:p>
      <w:pPr>
        <w:pStyle w:val="FirstParagraph"/>
      </w:pPr>
      <w:r>
        <w:t xml:space="preserve">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pPr>
        <w:pStyle w:val="BodyText"/>
      </w:pPr>
      <w:bookmarkStart w:id="103" w:name="eq-gbmp"/>
      <m:oMathPara>
        <m:oMathParaPr>
          <m:jc m:val="center"/>
        </m:oMathParaPr>
        <m:oMath>
          <m:r>
            <m:t>B</m:t>
          </m:r>
          <m:r>
            <m:t>D</m:t>
          </m:r>
          <m:r>
            <m:t>F</m:t>
          </m:r>
          <m:r>
            <m:rPr>
              <m:sty m:val="p"/>
            </m:rPr>
            <m:t>=</m:t>
          </m:r>
          <m:r>
            <m:t>P</m:t>
          </m:r>
          <m:r>
            <m:t>P</m:t>
          </m:r>
          <m:r>
            <m:t>B</m:t>
          </m:r>
          <m:r>
            <m:rPr>
              <m:sty m:val="p"/>
            </m:rPr>
            <m:t>+</m:t>
          </m:r>
          <m:bar>
            <m:barPr>
              <m:pos m:val="top"/>
            </m:barPr>
            <m:e>
              <m:r>
                <m:t>T</m:t>
              </m:r>
              <m:r>
                <m:t>P</m:t>
              </m:r>
              <m:r>
                <m:t>B</m:t>
              </m:r>
            </m:e>
          </m:bar>
          <m:r>
            <m:rPr>
              <m:sty m:val="p"/>
            </m:rPr>
            <m:t>×</m:t>
          </m:r>
          <m:d>
            <m:dPr>
              <m:begChr m:val="("/>
              <m:endChr m:val=")"/>
              <m:sepChr m:val=""/>
              <m:grow/>
            </m:dPr>
            <m:e>
              <m:r>
                <m:t>S</m:t>
              </m:r>
              <m:r>
                <m:t>T</m:t>
              </m:r>
              <m:r>
                <m:rPr>
                  <m:sty m:val="p"/>
                </m:rPr>
                <m:t>+</m:t>
              </m:r>
              <m:r>
                <m:t>S</m:t>
              </m:r>
              <m:r>
                <m:t>F</m:t>
              </m:r>
            </m:e>
          </m:d>
          <m:r>
            <m:rPr>
              <m:sty m:val="p"/>
            </m:rPr>
            <m:t>×</m:t>
          </m:r>
          <m:sSub>
            <m:e>
              <m:r>
                <m:rPr>
                  <m:sty m:val="b"/>
                </m:rPr>
                <m:t>1</m:t>
              </m:r>
            </m:e>
            <m:sub>
              <m:d>
                <m:dPr>
                  <m:begChr m:val="("/>
                  <m:endChr m:val=")"/>
                  <m:sepChr m:val=""/>
                  <m:grow/>
                </m:dPr>
                <m:e>
                  <m:r>
                    <m:t>S</m:t>
                  </m:r>
                  <m:r>
                    <m:t>T</m:t>
                  </m:r>
                  <m:r>
                    <m:rPr>
                      <m:sty m:val="p"/>
                    </m:rPr>
                    <m:t>+</m:t>
                  </m:r>
                  <m:r>
                    <m:t>S</m:t>
                  </m:r>
                  <m:r>
                    <m:t>F</m:t>
                  </m:r>
                </m:e>
              </m:d>
              <m:r>
                <m:rPr>
                  <m:sty m:val="p"/>
                </m:rPr>
                <m:t>&gt;</m:t>
              </m:r>
              <m:r>
                <m:t>0</m:t>
              </m:r>
            </m:sub>
          </m:sSub>
          <m:r>
            <m:rPr>
              <m:sty m:val="p"/>
            </m:rPr>
            <m:t>,</m:t>
          </m:r>
          <m:r>
            <m:t>  </m:t>
          </m:r>
          <m:d>
            <m:dPr>
              <m:begChr m:val="("/>
              <m:endChr m:val=")"/>
              <m:sepChr m:val=""/>
              <m:grow/>
            </m:dPr>
            <m:e>
              <m:r>
                <m:t>14</m:t>
              </m:r>
            </m:e>
          </m:d>
        </m:oMath>
      </m:oMathPara>
      <w:bookmarkEnd w:id="103"/>
    </w:p>
    <w:p>
      <w:pPr>
        <w:pStyle w:val="FirstParagraph"/>
      </w:pPr>
      <w:r>
        <w:t xml:space="preserve">avec :</w:t>
      </w:r>
    </w:p>
    <w:p>
      <w:pPr>
        <w:numPr>
          <w:ilvl w:val="0"/>
          <w:numId w:val="1021"/>
        </w:numPr>
      </w:pPr>
      <m:oMath>
        <m:r>
          <m:t>P</m:t>
        </m:r>
        <m:r>
          <m:t>P</m:t>
        </m:r>
        <m:r>
          <m:t>B</m:t>
        </m:r>
      </m:oMath>
      <w:r>
        <w:t xml:space="preserve"> </w:t>
      </w:r>
      <w:r>
        <w:t xml:space="preserve">: Le montant de la provision pour participation aux bénéfices, évaluée à la valeur comptable.</w:t>
      </w:r>
    </w:p>
    <w:p>
      <w:pPr>
        <w:numPr>
          <w:ilvl w:val="0"/>
          <w:numId w:val="1021"/>
        </w:numPr>
      </w:pPr>
      <m:oMath>
        <m:r>
          <m:t>S</m:t>
        </m:r>
        <m:r>
          <m:t>T</m:t>
        </m:r>
      </m:oMath>
      <w:r>
        <w:t xml:space="preserve"> </w:t>
      </w:r>
      <w:r>
        <w:t xml:space="preserve">: Somme des soldes techniques.</w:t>
      </w:r>
    </w:p>
    <w:p>
      <w:pPr>
        <w:numPr>
          <w:ilvl w:val="0"/>
          <w:numId w:val="1021"/>
        </w:numPr>
      </w:pPr>
      <m:oMath>
        <m:bar>
          <m:barPr>
            <m:pos m:val="top"/>
          </m:barPr>
          <m:e>
            <m:r>
              <m:t>T</m:t>
            </m:r>
            <m:r>
              <m:t>P</m:t>
            </m:r>
            <m:r>
              <m:t>B</m:t>
            </m:r>
          </m:e>
        </m:bar>
      </m:oMath>
      <w:r>
        <w:t xml:space="preserve"> </w:t>
      </w:r>
      <w:r>
        <w:t xml:space="preserve">: Le taux de participation au bénéfice moyen servi aux assurés.</w:t>
      </w:r>
    </w:p>
    <w:p>
      <w:pPr>
        <w:pStyle w:val="FirstParagraph"/>
      </w:pPr>
      <w:r>
        <w:rPr>
          <w:bCs/>
          <w:b/>
        </w:rPr>
        <w:t xml:space="preserve">Le taux de participation aux bénéfices moyen servi aux assurés</w:t>
      </w:r>
      <w:r>
        <w:t xml:space="preserve"> </w:t>
      </w:r>
      <w:r>
        <w:t xml:space="preserve">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w:t>
      </w:r>
      <w:r>
        <w:t xml:space="preserve"> </w:t>
      </w:r>
      <w:r>
        <w:t xml:space="preserve">En notation mathématique :</w:t>
      </w:r>
    </w:p>
    <w:p>
      <w:pPr>
        <w:pStyle w:val="BodyText"/>
      </w:pPr>
      <w:bookmarkStart w:id="104" w:name="eq-gbmp"/>
      <m:oMathPara>
        <m:oMathParaPr>
          <m:jc m:val="center"/>
        </m:oMathParaPr>
        <m:oMath>
          <m:bar>
            <m:barPr>
              <m:pos m:val="top"/>
            </m:barPr>
            <m:e>
              <m:r>
                <m:t>T</m:t>
              </m:r>
              <m:r>
                <m:t>P</m:t>
              </m:r>
              <m:r>
                <m:t>B</m:t>
              </m:r>
            </m:e>
          </m:bar>
          <m:r>
            <m:rPr>
              <m:sty m:val="p"/>
            </m:rPr>
            <m:t>=</m:t>
          </m:r>
          <m:f>
            <m:fPr>
              <m:type m:val="bar"/>
            </m:fPr>
            <m:num>
              <m:r>
                <m:t>D</m:t>
              </m:r>
              <m:r>
                <m:t>o</m:t>
              </m:r>
              <m:r>
                <m:t>t</m:t>
              </m:r>
            </m:num>
            <m:den>
              <m:r>
                <m:t>R</m:t>
              </m:r>
              <m:r>
                <m:t>T</m:t>
              </m:r>
              <m:r>
                <m:rPr>
                  <m:sty m:val="p"/>
                </m:rPr>
                <m:t>+</m:t>
              </m:r>
              <m:r>
                <m:t>R</m:t>
              </m:r>
              <m:r>
                <m:t>F</m:t>
              </m:r>
            </m:den>
          </m:f>
          <m:r>
            <m:rPr>
              <m:sty m:val="p"/>
            </m:rPr>
            <m:t>,</m:t>
          </m:r>
          <m:r>
            <m:t>  </m:t>
          </m:r>
          <m:d>
            <m:dPr>
              <m:begChr m:val="("/>
              <m:endChr m:val=")"/>
              <m:sepChr m:val=""/>
              <m:grow/>
            </m:dPr>
            <m:e>
              <m:r>
                <m:t>15</m:t>
              </m:r>
            </m:e>
          </m:d>
        </m:oMath>
      </m:oMathPara>
      <w:bookmarkEnd w:id="104"/>
    </w:p>
    <w:p>
      <w:pPr>
        <w:pStyle w:val="FirstParagraph"/>
      </w:pPr>
      <w:r>
        <w:t xml:space="preserve">avec :</w:t>
      </w:r>
    </w:p>
    <w:p>
      <w:pPr>
        <w:numPr>
          <w:ilvl w:val="0"/>
          <w:numId w:val="1022"/>
        </w:numPr>
        <w:pStyle w:val="Compact"/>
      </w:pPr>
      <m:oMath>
        <m:r>
          <m:t>D</m:t>
        </m:r>
        <m:r>
          <m:t>o</m:t>
        </m:r>
        <m:r>
          <m:t>t</m:t>
        </m:r>
      </m:oMath>
      <w:r>
        <w:t xml:space="preserve"> </w:t>
      </w:r>
      <w:r>
        <w:t xml:space="preserve">: somme des dotations au titre, des trois derniers exercices clos au moins.</w:t>
      </w:r>
    </w:p>
    <w:p>
      <w:pPr>
        <w:numPr>
          <w:ilvl w:val="0"/>
          <w:numId w:val="1022"/>
        </w:numPr>
        <w:pStyle w:val="Compact"/>
      </w:pPr>
      <m:oMath>
        <m:r>
          <m:t>R</m:t>
        </m:r>
        <m:r>
          <m:t>T</m:t>
        </m:r>
      </m:oMath>
      <w:r>
        <w:t xml:space="preserve"> </w:t>
      </w:r>
      <w:r>
        <w:t xml:space="preserve">:les résultats techniques.</w:t>
      </w:r>
    </w:p>
    <w:p>
      <w:pPr>
        <w:numPr>
          <w:ilvl w:val="0"/>
          <w:numId w:val="1022"/>
        </w:numPr>
        <w:pStyle w:val="Compact"/>
      </w:pPr>
      <m:oMath>
        <m:r>
          <m:t>R</m:t>
        </m:r>
        <m:r>
          <m:t>F</m:t>
        </m:r>
      </m:oMath>
      <w:r>
        <w:t xml:space="preserve"> </w:t>
      </w:r>
      <w:r>
        <w:t xml:space="preserve">:les résultats financiers.</w:t>
      </w:r>
    </w:p>
    <w:bookmarkEnd w:id="105"/>
    <w:bookmarkEnd w:id="106"/>
    <w:bookmarkStart w:id="110" w:name="Xb36307078f8a6b20714aed4cb695975c0bea969"/>
    <w:p>
      <w:pPr>
        <w:pStyle w:val="Heading3"/>
      </w:pPr>
      <w:r>
        <w:t xml:space="preserve">Meilleure estimation des frais de gestions (</w:t>
      </w:r>
      <m:oMath>
        <m:r>
          <m:t>B</m:t>
        </m:r>
        <m:r>
          <m:t>E</m:t>
        </m:r>
        <m:r>
          <m:t>F</m:t>
        </m:r>
        <m:r>
          <m:t>G</m:t>
        </m:r>
      </m:oMath>
      <w:r>
        <w:t xml:space="preserve">)</w:t>
      </w:r>
    </w:p>
    <w:p>
      <w:pPr>
        <w:pStyle w:val="FirstParagraph"/>
      </w:pPr>
      <w:r>
        <w:t xml:space="preserve">La meilleure estimation des frais de gestion correspond à la somme actualisée des flux de frais de gestion futurs probabilisés.</w:t>
      </w:r>
    </w:p>
    <w:p>
      <w:pPr>
        <w:pStyle w:val="BodyText"/>
      </w:pPr>
      <w:bookmarkStart w:id="107" w:name="eq-gbmp"/>
      <m:oMathPara>
        <m:oMathParaPr>
          <m:jc m:val="center"/>
        </m:oMathParaPr>
        <m:oMath>
          <m:r>
            <m:t>B</m:t>
          </m:r>
          <m:r>
            <m:t>E</m:t>
          </m:r>
          <m:r>
            <m:t>F</m:t>
          </m:r>
          <m:r>
            <m:t>G</m:t>
          </m:r>
          <m:r>
            <m:rPr>
              <m:sty m:val="p"/>
            </m:rPr>
            <m:t>=</m:t>
          </m:r>
          <m:nary>
            <m:naryPr>
              <m:chr m:val="∑"/>
              <m:limLoc m:val="undOvr"/>
              <m:subHide m:val="0"/>
              <m:supHide m:val="0"/>
            </m:naryPr>
            <m:sub>
              <m:r>
                <m:t>t</m:t>
              </m:r>
              <m:r>
                <m:rPr>
                  <m:sty m:val="p"/>
                </m:rPr>
                <m:t>=</m:t>
              </m:r>
              <m:r>
                <m:t>1</m:t>
              </m:r>
            </m:sub>
            <m:sup>
              <m:r>
                <m:t>N</m:t>
              </m:r>
            </m:sup>
            <m:e>
              <m:f>
                <m:fPr>
                  <m:type m:val="bar"/>
                </m:fPr>
                <m:num>
                  <m:r>
                    <m:t>F</m:t>
                  </m:r>
                  <m:sSub>
                    <m:e>
                      <m:r>
                        <m:t>G</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d>
            <m:dPr>
              <m:begChr m:val="("/>
              <m:endChr m:val=")"/>
              <m:sepChr m:val=""/>
              <m:grow/>
            </m:dPr>
            <m:e>
              <m:r>
                <m:t>16</m:t>
              </m:r>
            </m:e>
          </m:d>
        </m:oMath>
      </m:oMathPara>
      <w:bookmarkEnd w:id="107"/>
    </w:p>
    <w:p>
      <w:pPr>
        <w:pStyle w:val="FirstParagraph"/>
      </w:pPr>
      <w:r>
        <w:t xml:space="preserve">Les frais de gestion futurs sont estimés sur la base d’une projection effectuée en considérant un</w:t>
      </w:r>
      <w:r>
        <w:t xml:space="preserve"> </w:t>
      </w:r>
      <w:r>
        <w:t xml:space="preserve">horizon de projection suffisant pour la couverture de la durée de vie des engagements à la date</w:t>
      </w:r>
      <w:r>
        <w:t xml:space="preserve"> </w:t>
      </w:r>
      <w:r>
        <w:t xml:space="preserve">d’inventaire. Ils sont déterminés pour chaque année de projection en multipliant le nombre de</w:t>
      </w:r>
      <w:r>
        <w:t xml:space="preserve"> </w:t>
      </w:r>
      <w:r>
        <w:t xml:space="preserve">contrats par le montant de frais de gestion unitaire moyen.</w:t>
      </w:r>
    </w:p>
    <w:p>
      <w:pPr>
        <w:pStyle w:val="BodyText"/>
      </w:pPr>
      <w:bookmarkStart w:id="108" w:name="eq-gbmp"/>
      <m:oMathPara>
        <m:oMathParaPr>
          <m:jc m:val="center"/>
        </m:oMathParaPr>
        <m:oMath>
          <m:r>
            <m:t>F</m:t>
          </m:r>
          <m:sSub>
            <m:e>
              <m:r>
                <m:t>G</m:t>
              </m:r>
            </m:e>
            <m:sub>
              <m:r>
                <m:t>t</m:t>
              </m:r>
            </m:sub>
          </m:sSub>
          <m:r>
            <m:rPr>
              <m:sty m:val="p"/>
            </m:rPr>
            <m:t>=</m:t>
          </m:r>
          <m:r>
            <m:t>N</m:t>
          </m:r>
          <m:r>
            <m:t>b</m:t>
          </m:r>
          <m:sSub>
            <m:e>
              <m:r>
                <m:t>C</m:t>
              </m:r>
            </m:e>
            <m:sub>
              <m:r>
                <m:t>t</m:t>
              </m:r>
            </m:sub>
          </m:sSub>
          <m:r>
            <m:rPr>
              <m:sty m:val="p"/>
            </m:rPr>
            <m:t>×</m:t>
          </m:r>
          <m:bar>
            <m:barPr>
              <m:pos m:val="top"/>
            </m:barPr>
            <m:e>
              <m:r>
                <m:t>F</m:t>
              </m:r>
              <m:r>
                <m:t>G</m:t>
              </m:r>
              <m:sSub>
                <m:e>
                  <m:r>
                    <m:t>U</m:t>
                  </m:r>
                </m:e>
                <m:sub>
                  <m:r>
                    <m:t>t</m:t>
                  </m:r>
                </m:sub>
              </m:sSub>
            </m:e>
          </m:bar>
          <m:r>
            <m:t> </m:t>
          </m:r>
          <m:r>
            <m:rPr>
              <m:sty m:val="p"/>
            </m:rPr>
            <m:t>,</m:t>
          </m:r>
          <m:r>
            <m:t>  </m:t>
          </m:r>
          <m:d>
            <m:dPr>
              <m:begChr m:val="("/>
              <m:endChr m:val=")"/>
              <m:sepChr m:val=""/>
              <m:grow/>
            </m:dPr>
            <m:e>
              <m:r>
                <m:t>17</m:t>
              </m:r>
            </m:e>
          </m:d>
        </m:oMath>
      </m:oMathPara>
      <w:bookmarkEnd w:id="108"/>
    </w:p>
    <w:p>
      <w:pPr>
        <w:pStyle w:val="FirstParagraph"/>
      </w:pPr>
      <w:r>
        <w:t xml:space="preserve">avec :</w:t>
      </w:r>
    </w:p>
    <w:p>
      <w:pPr>
        <w:numPr>
          <w:ilvl w:val="0"/>
          <w:numId w:val="1023"/>
        </w:numPr>
        <w:pStyle w:val="Compact"/>
      </w:pPr>
      <m:oMath>
        <m:sSub>
          <m:e>
            <m:acc>
              <m:accPr>
                <m:chr m:val="‾"/>
              </m:accPr>
              <m:e>
                <m:r>
                  <m:t>F</m:t>
                </m:r>
                <m:r>
                  <m:t>G</m:t>
                </m:r>
                <m:r>
                  <m:t>U</m:t>
                </m:r>
              </m:e>
            </m:acc>
          </m:e>
          <m:sub>
            <m:r>
              <m:t>t</m:t>
            </m:r>
          </m:sub>
        </m:sSub>
      </m:oMath>
      <w:r>
        <w:t xml:space="preserve"> </w:t>
      </w:r>
      <w:r>
        <w:t xml:space="preserve">: Le montant de frais de gestion unitaire moyen est estimé en considérant la moyenne sur les trois derniers exercices clos des montants de frais de gestion unitaires.</w:t>
      </w:r>
    </w:p>
    <w:p>
      <w:pPr>
        <w:numPr>
          <w:ilvl w:val="0"/>
          <w:numId w:val="1023"/>
        </w:numPr>
        <w:pStyle w:val="Compact"/>
      </w:pPr>
      <m:oMath>
        <m:r>
          <m:t>N</m:t>
        </m:r>
        <m:r>
          <m:t>b</m:t>
        </m:r>
        <m:sSub>
          <m:e>
            <m:r>
              <m:t>C</m:t>
            </m:r>
          </m:e>
          <m:sub>
            <m:r>
              <m:t>t</m:t>
            </m:r>
          </m:sub>
        </m:sSub>
      </m:oMath>
      <w:r>
        <w:t xml:space="preserve"> </w:t>
      </w:r>
      <w:r>
        <w:t xml:space="preserve">: Le nombre de contrats précité est estimé par sous-catégories, compte tenu des bases techniques suivantes (La table de mortalité, La table de rachat en nombre, La table de résiliation).</w:t>
      </w:r>
    </w:p>
    <w:p>
      <w:pPr>
        <w:numPr>
          <w:ilvl w:val="0"/>
          <w:numId w:val="1023"/>
        </w:numPr>
        <w:pStyle w:val="Compact"/>
      </w:pPr>
      <m:oMath>
        <m:r>
          <m:t>F</m:t>
        </m:r>
        <m:sSub>
          <m:e>
            <m:r>
              <m:t>G</m:t>
            </m:r>
          </m:e>
          <m:sub>
            <m:r>
              <m:t>t</m:t>
            </m:r>
          </m:sub>
        </m:sSub>
      </m:oMath>
      <w:r>
        <w:t xml:space="preserve"> </w:t>
      </w:r>
      <w:r>
        <w:t xml:space="preserve">: Les frais de gestions.</w:t>
      </w:r>
    </w:p>
    <w:p>
      <w:pPr>
        <w:pStyle w:val="FirstParagraph"/>
      </w:pPr>
      <w:r>
        <w:t xml:space="preserve">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pPr>
        <w:pStyle w:val="BodyText"/>
      </w:pPr>
      <w:bookmarkStart w:id="109" w:name="eq-gbmp"/>
      <m:oMathPara>
        <m:oMathParaPr>
          <m:jc m:val="center"/>
        </m:oMathParaPr>
        <m:oMath>
          <m:bar>
            <m:barPr>
              <m:pos m:val="top"/>
            </m:barPr>
            <m:e>
              <m:r>
                <m:t>F</m:t>
              </m:r>
              <m:r>
                <m:t>G</m:t>
              </m:r>
              <m:sSub>
                <m:e>
                  <m:r>
                    <m:t>U</m:t>
                  </m:r>
                </m:e>
                <m:sub>
                  <m:r>
                    <m:t>t</m:t>
                  </m:r>
                </m:sub>
              </m:sSub>
            </m:e>
          </m:bar>
          <m:r>
            <m:rPr>
              <m:sty m:val="p"/>
            </m:rPr>
            <m:t>=</m:t>
          </m:r>
          <m:f>
            <m:fPr>
              <m:type m:val="bar"/>
            </m:fPr>
            <m:num>
              <m:r>
                <m:t>1</m:t>
              </m:r>
            </m:num>
            <m:den>
              <m:r>
                <m:t>3</m:t>
              </m:r>
            </m:den>
          </m:f>
          <m:r>
            <m:rPr>
              <m:sty m:val="p"/>
            </m:rPr>
            <m:t>×</m:t>
          </m:r>
          <m:d>
            <m:dPr>
              <m:begChr m:val="("/>
              <m:endChr m:val=")"/>
              <m:sepChr m:val=""/>
              <m:grow/>
            </m:dPr>
            <m:e>
              <m:f>
                <m:fPr>
                  <m:type m:val="bar"/>
                </m:fPr>
                <m:num>
                  <m:r>
                    <m:t>F</m:t>
                  </m:r>
                  <m:sSub>
                    <m:e>
                      <m:r>
                        <m:t>G</m:t>
                      </m:r>
                    </m:e>
                    <m:sub>
                      <m:r>
                        <m:t>t</m:t>
                      </m:r>
                      <m:r>
                        <m:rPr>
                          <m:sty m:val="p"/>
                        </m:rPr>
                        <m:t>−</m:t>
                      </m:r>
                      <m:r>
                        <m:t>1</m:t>
                      </m:r>
                    </m:sub>
                  </m:sSub>
                </m:num>
                <m:den>
                  <m:r>
                    <m:t>N</m:t>
                  </m:r>
                  <m:r>
                    <m:t>b</m:t>
                  </m:r>
                  <m:sSub>
                    <m:e>
                      <m:r>
                        <m:t>C</m:t>
                      </m:r>
                    </m:e>
                    <m:sub>
                      <m:r>
                        <m:t>t</m:t>
                      </m:r>
                      <m:r>
                        <m:rPr>
                          <m:sty m:val="p"/>
                        </m:rPr>
                        <m:t>−</m:t>
                      </m:r>
                      <m:r>
                        <m:t>1</m:t>
                      </m:r>
                    </m:sub>
                  </m:sSub>
                </m:den>
              </m:f>
              <m:r>
                <m:rPr>
                  <m:sty m:val="p"/>
                </m:rPr>
                <m:t>+</m:t>
              </m:r>
              <m:f>
                <m:fPr>
                  <m:type m:val="bar"/>
                </m:fPr>
                <m:num>
                  <m:r>
                    <m:t>F</m:t>
                  </m:r>
                  <m:sSub>
                    <m:e>
                      <m:r>
                        <m:t>G</m:t>
                      </m:r>
                    </m:e>
                    <m:sub>
                      <m:r>
                        <m:t>t</m:t>
                      </m:r>
                      <m:r>
                        <m:rPr>
                          <m:sty m:val="p"/>
                        </m:rPr>
                        <m:t>−</m:t>
                      </m:r>
                      <m:r>
                        <m:t>2</m:t>
                      </m:r>
                    </m:sub>
                  </m:sSub>
                </m:num>
                <m:den>
                  <m:r>
                    <m:t>N</m:t>
                  </m:r>
                  <m:r>
                    <m:t>b</m:t>
                  </m:r>
                  <m:sSub>
                    <m:e>
                      <m:r>
                        <m:t>C</m:t>
                      </m:r>
                    </m:e>
                    <m:sub>
                      <m:r>
                        <m:t>t</m:t>
                      </m:r>
                      <m:r>
                        <m:rPr>
                          <m:sty m:val="p"/>
                        </m:rPr>
                        <m:t>−</m:t>
                      </m:r>
                      <m:r>
                        <m:t>2</m:t>
                      </m:r>
                    </m:sub>
                  </m:sSub>
                </m:den>
              </m:f>
              <m:r>
                <m:rPr>
                  <m:sty m:val="p"/>
                </m:rPr>
                <m:t>+</m:t>
              </m:r>
              <m:f>
                <m:fPr>
                  <m:type m:val="bar"/>
                </m:fPr>
                <m:num>
                  <m:r>
                    <m:t>F</m:t>
                  </m:r>
                  <m:sSub>
                    <m:e>
                      <m:r>
                        <m:t>G</m:t>
                      </m:r>
                    </m:e>
                    <m:sub>
                      <m:r>
                        <m:t>t</m:t>
                      </m:r>
                      <m:r>
                        <m:rPr>
                          <m:sty m:val="p"/>
                        </m:rPr>
                        <m:t>−</m:t>
                      </m:r>
                      <m:r>
                        <m:t>3</m:t>
                      </m:r>
                    </m:sub>
                  </m:sSub>
                </m:num>
                <m:den>
                  <m:r>
                    <m:t>N</m:t>
                  </m:r>
                  <m:r>
                    <m:t>b</m:t>
                  </m:r>
                  <m:sSub>
                    <m:e>
                      <m:r>
                        <m:t>C</m:t>
                      </m:r>
                    </m:e>
                    <m:sub>
                      <m:r>
                        <m:t>t</m:t>
                      </m:r>
                      <m:r>
                        <m:rPr>
                          <m:sty m:val="p"/>
                        </m:rPr>
                        <m:t>−</m:t>
                      </m:r>
                      <m:r>
                        <m:t>3</m:t>
                      </m:r>
                    </m:sub>
                  </m:sSub>
                </m:den>
              </m:f>
            </m:e>
          </m:d>
          <m:r>
            <m:t>  </m:t>
          </m:r>
          <m:d>
            <m:dPr>
              <m:begChr m:val="("/>
              <m:endChr m:val=")"/>
              <m:sepChr m:val=""/>
              <m:grow/>
            </m:dPr>
            <m:e>
              <m:r>
                <m:t>18</m:t>
              </m:r>
            </m:e>
          </m:d>
        </m:oMath>
      </m:oMathPara>
      <w:bookmarkEnd w:id="109"/>
    </w:p>
    <w:bookmarkEnd w:id="110"/>
    <w:bookmarkEnd w:id="111"/>
    <w:bookmarkStart w:id="113" w:name="rentes-découlants-des-opérations-non-vie"/>
    <w:p>
      <w:pPr>
        <w:pStyle w:val="Heading2"/>
      </w:pPr>
      <w:r>
        <w:t xml:space="preserve">4.3 Rentes découlants des opérations non-vie</w:t>
      </w:r>
    </w:p>
    <w:p>
      <w:pPr>
        <w:pStyle w:val="FirstParagraph"/>
      </w:pPr>
      <w:r>
        <w:t xml:space="preserve">La meilleure estimation des engagements pour les rentes découlant des opérations d’assurance non vie correspond à la meilleure estimation des garanties probabilisées déterminée avant.</w:t>
      </w:r>
    </w:p>
    <w:p>
      <w:pPr>
        <w:pStyle w:val="BodyText"/>
      </w:pPr>
      <w:bookmarkStart w:id="112" w:name="eq-gbmp"/>
      <m:oMathPara>
        <m:oMathParaPr>
          <m:jc m:val="center"/>
        </m:oMathParaPr>
        <m:oMath>
          <m:r>
            <m:t>B</m:t>
          </m:r>
          <m:sSub>
            <m:e>
              <m:r>
                <m:t>E</m:t>
              </m:r>
            </m:e>
            <m:sub>
              <m:r>
                <m:t>e</m:t>
              </m:r>
              <m:r>
                <m:t>n</m:t>
              </m:r>
              <m:r>
                <m:t>g</m:t>
              </m:r>
            </m:sub>
          </m:sSub>
          <m:r>
            <m:rPr>
              <m:sty m:val="p"/>
            </m:rPr>
            <m:t>=</m:t>
          </m:r>
          <m:r>
            <m:t>B</m:t>
          </m:r>
          <m:r>
            <m:t>E</m:t>
          </m:r>
          <m:r>
            <m:t>G</m:t>
          </m:r>
          <m:r>
            <m:t>P</m:t>
          </m:r>
          <m:r>
            <m:t> </m:t>
          </m:r>
          <m:r>
            <m:rPr>
              <m:sty m:val="p"/>
            </m:rPr>
            <m:t>,</m:t>
          </m:r>
          <m:r>
            <m:t>  </m:t>
          </m:r>
          <m:d>
            <m:dPr>
              <m:begChr m:val="("/>
              <m:endChr m:val=")"/>
              <m:sepChr m:val=""/>
              <m:grow/>
            </m:dPr>
            <m:e>
              <m:r>
                <m:t>19</m:t>
              </m:r>
            </m:e>
          </m:d>
        </m:oMath>
      </m:oMathPara>
      <w:bookmarkEnd w:id="112"/>
    </w:p>
    <w:p>
      <w:pPr>
        <w:pStyle w:val="FirstParagraph"/>
      </w:pPr>
      <w:r>
        <w:t xml:space="preserve">avec :</w:t>
      </w:r>
    </w:p>
    <w:p>
      <w:pPr>
        <w:numPr>
          <w:ilvl w:val="0"/>
          <w:numId w:val="1024"/>
        </w:numPr>
        <w:pStyle w:val="Compact"/>
      </w:pPr>
      <m:oMath>
        <m:r>
          <m:t>B</m:t>
        </m:r>
        <m:sSub>
          <m:e>
            <m:r>
              <m:t>E</m:t>
            </m:r>
          </m:e>
          <m:sub>
            <m:r>
              <m:t>e</m:t>
            </m:r>
            <m:r>
              <m:t>n</m:t>
            </m:r>
            <m:r>
              <m:t>g</m:t>
            </m:r>
          </m:sub>
        </m:sSub>
      </m:oMath>
      <w:r>
        <w:t xml:space="preserve"> </w:t>
      </w:r>
      <w:r>
        <w:t xml:space="preserve">: la meilleure estimation rentes découlant des opérations d’assurance non vie.</w:t>
      </w:r>
    </w:p>
    <w:p>
      <w:pPr>
        <w:numPr>
          <w:ilvl w:val="0"/>
          <w:numId w:val="1024"/>
        </w:numPr>
        <w:pStyle w:val="Compact"/>
      </w:pPr>
      <m:oMath>
        <m:r>
          <m:t>B</m:t>
        </m:r>
        <m:r>
          <m:t>E</m:t>
        </m:r>
        <m:r>
          <m:t>G</m:t>
        </m:r>
        <m:r>
          <m:t>P</m:t>
        </m:r>
      </m:oMath>
      <w:r>
        <w:t xml:space="preserve"> </w:t>
      </w:r>
      <w:r>
        <w:t xml:space="preserve">: la meilleure estimation des garanties probabilisées.</w:t>
      </w:r>
    </w:p>
    <w:p>
      <w:pPr>
        <w:pStyle w:val="FirstParagraph"/>
      </w:pPr>
      <w:r>
        <w:t xml:space="preserve">La meilleure estimation des frais de gestion, pour les rentes découlant des opérations d’assurance non vie est déterminée de la meme façon comme avant.</w:t>
      </w:r>
    </w:p>
    <w:bookmarkEnd w:id="113"/>
    <w:bookmarkStart w:id="160" w:name="X95164bc6af2e862e4c417e49c6d46de2a1b5d80"/>
    <w:p>
      <w:pPr>
        <w:pStyle w:val="Heading2"/>
      </w:pPr>
      <w:r>
        <w:t xml:space="preserve">4.4 Opérations d’assurance non vie hors rentes</w:t>
      </w:r>
    </w:p>
    <w:p>
      <w:pPr>
        <w:pStyle w:val="FirstParagraph"/>
      </w:pPr>
      <w:r>
        <w:t xml:space="preserve">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pPr>
        <w:pStyle w:val="BodyText"/>
      </w:pPr>
      <w:r>
        <w:t xml:space="preserve">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pPr>
        <w:pStyle w:val="BodyText"/>
      </w:pPr>
      <w:r>
        <w:t xml:space="preserve">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bookmarkStart w:id="154" w:name="la-meilleure-estimation-des-engagements"/>
    <w:p>
      <w:pPr>
        <w:pStyle w:val="Heading3"/>
      </w:pPr>
      <w:r>
        <w:t xml:space="preserve">La meilleure estimation des engagements</w:t>
      </w:r>
    </w:p>
    <w:p>
      <w:pPr>
        <w:pStyle w:val="FirstParagraph"/>
      </w:pPr>
      <w:r>
        <w:t xml:space="preserve">la meilleure estimation des engagements comprend la meilleure estimation des engagements pour sinistres nets de recours et la meilleure estimation des engagements pour primes.</w:t>
      </w:r>
    </w:p>
    <w:p>
      <w:pPr>
        <w:pStyle w:val="BodyText"/>
      </w:pPr>
      <w:bookmarkStart w:id="114" w:name="eq-gbmp"/>
      <m:oMathPara>
        <m:oMathParaPr>
          <m:jc m:val="center"/>
        </m:oMathParaPr>
        <m:oMath>
          <m:r>
            <m:t>B</m:t>
          </m:r>
          <m:sSub>
            <m:e>
              <m:r>
                <m:t>E</m:t>
              </m:r>
            </m:e>
            <m:sub>
              <m:r>
                <m:t>e</m:t>
              </m:r>
              <m:r>
                <m:t>n</m:t>
              </m:r>
              <m:r>
                <m:t>g</m:t>
              </m:r>
            </m:sub>
          </m:sSub>
          <m:r>
            <m:rPr>
              <m:sty m:val="p"/>
            </m:rPr>
            <m:t>=</m:t>
          </m:r>
          <m:r>
            <m:t>B</m:t>
          </m:r>
          <m:r>
            <m:t>E</m:t>
          </m:r>
          <m:r>
            <m:t>S</m:t>
          </m:r>
          <m:r>
            <m:rPr>
              <m:sty m:val="p"/>
            </m:rPr>
            <m:t>+</m:t>
          </m:r>
          <m:r>
            <m:t>B</m:t>
          </m:r>
          <m:r>
            <m:t>E</m:t>
          </m:r>
          <m:r>
            <m:t>P</m:t>
          </m:r>
          <m:r>
            <m:t>  </m:t>
          </m:r>
          <m:d>
            <m:dPr>
              <m:begChr m:val="("/>
              <m:endChr m:val=")"/>
              <m:sepChr m:val=""/>
              <m:grow/>
            </m:dPr>
            <m:e>
              <m:r>
                <m:t>20</m:t>
              </m:r>
            </m:e>
          </m:d>
        </m:oMath>
      </m:oMathPara>
      <w:bookmarkEnd w:id="114"/>
    </w:p>
    <w:bookmarkStart w:id="119" w:name="X9db0096445a49d940cc69c0286ca1bcb6499e49"/>
    <w:p>
      <w:pPr>
        <w:pStyle w:val="Heading4"/>
      </w:pPr>
      <w:r>
        <w:t xml:space="preserve">La meilleure estimation des engagements pour primes(</w:t>
      </w:r>
      <m:oMath>
        <m:r>
          <m:t>B</m:t>
        </m:r>
        <m:r>
          <m:t>E</m:t>
        </m:r>
        <m:r>
          <m:t>P</m:t>
        </m:r>
      </m:oMath>
      <w:r>
        <w:t xml:space="preserve">)</w:t>
      </w:r>
    </w:p>
    <w:p>
      <w:pPr>
        <w:pStyle w:val="FirstParagraph"/>
      </w:pPr>
      <w:r>
        <w:t xml:space="preserve">La meilleure estimation des engagements pour primes correspond à la différence entre :</w:t>
      </w:r>
    </w:p>
    <w:p>
      <w:pPr>
        <w:numPr>
          <w:ilvl w:val="0"/>
          <w:numId w:val="1025"/>
        </w:numPr>
        <w:pStyle w:val="Compact"/>
      </w:pPr>
      <w:r>
        <w:t xml:space="preserve">La somme actualisée des flux de règlements futurs probabilisés nets de recours relatifs aux</w:t>
      </w:r>
      <w:r>
        <w:t xml:space="preserve"> </w:t>
      </w:r>
      <w:r>
        <w:rPr>
          <w:iCs/>
          <w:i/>
        </w:rPr>
        <w:t xml:space="preserve">sinistres non encore survenus</w:t>
      </w:r>
      <w:r>
        <w:t xml:space="preserve"> </w:t>
      </w:r>
      <w:r>
        <w:t xml:space="preserve">afférents aux contrats.</w:t>
      </w:r>
    </w:p>
    <w:p>
      <w:pPr>
        <w:numPr>
          <w:ilvl w:val="0"/>
          <w:numId w:val="1025"/>
        </w:numPr>
        <w:pStyle w:val="Compact"/>
      </w:pPr>
      <w:r>
        <w:t xml:space="preserve">Le montant des primes futures probabilisé et actualisé à la date d’inventaire, net des frais d’acquisition, afférentes aux contrats.</w:t>
      </w:r>
    </w:p>
    <w:p>
      <w:pPr>
        <w:pStyle w:val="FirstParagraph"/>
      </w:pPr>
      <w:bookmarkStart w:id="115" w:name="eq-gbmp"/>
      <m:oMathPara>
        <m:oMathParaPr>
          <m:jc m:val="center"/>
        </m:oMathParaPr>
        <m:oMath>
          <m:r>
            <m:t>B</m:t>
          </m:r>
          <m:r>
            <m:t>E</m:t>
          </m:r>
          <m:r>
            <m:t>P</m:t>
          </m:r>
          <m:r>
            <m:rPr>
              <m:sty m:val="p"/>
            </m:rPr>
            <m:t>=</m:t>
          </m:r>
          <m:nary>
            <m:naryPr>
              <m:chr m:val="∑"/>
              <m:limLoc m:val="undOvr"/>
              <m:subHide m:val="0"/>
              <m:supHide m:val="1"/>
            </m:naryPr>
            <m:sub>
              <m:r>
                <m:t>t</m:t>
              </m:r>
              <m:r>
                <m:rPr>
                  <m:sty m:val="p"/>
                </m:rPr>
                <m:t>≥</m:t>
              </m:r>
              <m:r>
                <m:t>1</m:t>
              </m:r>
            </m:sub>
            <m:sup>
              <m:r>
                <m:t>​</m:t>
              </m:r>
            </m:sup>
            <m:e>
              <m:f>
                <m:fPr>
                  <m:type m:val="bar"/>
                </m:fPr>
                <m:num>
                  <m:bar>
                    <m:barPr>
                      <m:pos m:val="top"/>
                    </m:barPr>
                    <m:e>
                      <m:r>
                        <m:t>F</m:t>
                      </m:r>
                      <m:r>
                        <m:t>R</m:t>
                      </m:r>
                      <m:r>
                        <m:t>F</m:t>
                      </m:r>
                      <m:sSub>
                        <m:e>
                          <m:r>
                            <m:t>P</m:t>
                          </m:r>
                        </m:e>
                        <m:sub>
                          <m:r>
                            <m:t>t</m:t>
                          </m:r>
                        </m:sub>
                      </m:sSub>
                    </m:e>
                  </m:bar>
                </m:num>
                <m:den>
                  <m:sSup>
                    <m:e>
                      <m:d>
                        <m:dPr>
                          <m:begChr m:val="("/>
                          <m:endChr m:val=")"/>
                          <m:sepChr m:val=""/>
                          <m:grow/>
                        </m:dPr>
                        <m:e>
                          <m:r>
                            <m:t>1</m:t>
                          </m:r>
                          <m:r>
                            <m:rPr>
                              <m:sty m:val="p"/>
                            </m:rPr>
                            <m:t>+</m:t>
                          </m:r>
                          <m:sSub>
                            <m:e>
                              <m:r>
                                <m:t>r</m:t>
                              </m:r>
                            </m:e>
                            <m:sub>
                              <m:r>
                                <m:t>t</m:t>
                              </m:r>
                            </m:sub>
                          </m:sSub>
                        </m:e>
                      </m:d>
                    </m:e>
                    <m:sup>
                      <m:r>
                        <m:t>t</m:t>
                      </m:r>
                    </m:sup>
                  </m:sSup>
                </m:den>
              </m:f>
            </m:e>
          </m:nary>
          <m:r>
            <m:rPr>
              <m:sty m:val="p"/>
            </m:rPr>
            <m:t>−</m:t>
          </m:r>
          <m:r>
            <m:t>P</m:t>
          </m:r>
          <m:r>
            <m:t>F</m:t>
          </m:r>
          <m:r>
            <m:t>P</m:t>
          </m:r>
          <m:r>
            <m:t>A</m:t>
          </m:r>
          <m:r>
            <m:t> </m:t>
          </m:r>
          <m:r>
            <m:rPr>
              <m:sty m:val="p"/>
            </m:rPr>
            <m:t>,</m:t>
          </m:r>
          <m:r>
            <m:t>  </m:t>
          </m:r>
          <m:d>
            <m:dPr>
              <m:begChr m:val="("/>
              <m:endChr m:val=")"/>
              <m:sepChr m:val=""/>
              <m:grow/>
            </m:dPr>
            <m:e>
              <m:r>
                <m:t>21</m:t>
              </m:r>
            </m:e>
          </m:d>
        </m:oMath>
      </m:oMathPara>
      <w:bookmarkEnd w:id="115"/>
    </w:p>
    <w:p>
      <w:pPr>
        <w:pStyle w:val="FirstParagraph"/>
      </w:pPr>
      <w:r>
        <w:t xml:space="preserve">avec:</w:t>
      </w:r>
    </w:p>
    <w:p>
      <w:pPr>
        <w:numPr>
          <w:ilvl w:val="0"/>
          <w:numId w:val="1026"/>
        </w:numPr>
        <w:pStyle w:val="Compact"/>
      </w:pPr>
      <m:oMath>
        <m:r>
          <m:t>P</m:t>
        </m:r>
        <m:r>
          <m:t>F</m:t>
        </m:r>
        <m:r>
          <m:t>P</m:t>
        </m:r>
        <m:r>
          <m:t>A</m:t>
        </m:r>
      </m:oMath>
      <w:r>
        <w:t xml:space="preserve"> </w:t>
      </w:r>
      <w:r>
        <w:t xml:space="preserve">:Le montant des primes futures probabilisé et actualisé à la date d’inventaire, net des frais d’acquisition, afférentes aux contrats à tacite reconduction</w:t>
      </w:r>
    </w:p>
    <w:p>
      <w:pPr>
        <w:numPr>
          <w:ilvl w:val="0"/>
          <w:numId w:val="1026"/>
        </w:numPr>
        <w:pStyle w:val="Compact"/>
      </w:pPr>
      <m:oMath>
        <m:r>
          <m:t>P</m:t>
        </m:r>
        <m:r>
          <m:t>F</m:t>
        </m:r>
        <m:r>
          <m:t>P</m:t>
        </m:r>
      </m:oMath>
      <w:r>
        <w:t xml:space="preserve">: Le montant des primes futures probabilisé.</w:t>
      </w:r>
    </w:p>
    <w:p>
      <w:pPr>
        <w:numPr>
          <w:ilvl w:val="0"/>
          <w:numId w:val="1026"/>
        </w:numPr>
        <w:pStyle w:val="Compact"/>
      </w:pPr>
      <m:oMath>
        <m:bar>
          <m:barPr>
            <m:pos m:val="top"/>
          </m:barPr>
          <m:e>
            <m:r>
              <m:t>F</m:t>
            </m:r>
            <m:r>
              <m:t>R</m:t>
            </m:r>
            <m:r>
              <m:t>F</m:t>
            </m:r>
            <m:sSub>
              <m:e>
                <m:r>
                  <m:t>P</m:t>
                </m:r>
              </m:e>
              <m:sub>
                <m:r>
                  <m:t>t</m:t>
                </m:r>
              </m:sub>
            </m:sSub>
          </m:e>
        </m:bar>
      </m:oMath>
      <w:r>
        <w:t xml:space="preserve">: La somme actualisée des flux de règlements futurs probabilisés nets de recours relatifs aux sinistres non encore survenus,telle que pour une année de projection donnée:</w:t>
      </w:r>
    </w:p>
    <w:p>
      <w:pPr>
        <w:pStyle w:val="FirstParagraph"/>
      </w:pPr>
      <w:bookmarkStart w:id="116" w:name="eq-gbmp"/>
      <m:oMathPara>
        <m:oMathParaPr>
          <m:jc m:val="center"/>
        </m:oMathParaPr>
        <m:oMath>
          <m:bar>
            <m:barPr>
              <m:pos m:val="top"/>
            </m:barPr>
            <m:e>
              <m:r>
                <m:t>F</m:t>
              </m:r>
              <m:r>
                <m:t>R</m:t>
              </m:r>
              <m:r>
                <m:t>F</m:t>
              </m:r>
              <m:sSub>
                <m:e>
                  <m:r>
                    <m:t>P</m:t>
                  </m:r>
                </m:e>
                <m:sub>
                  <m:r>
                    <m:t>t</m:t>
                  </m:r>
                </m:sub>
              </m:sSub>
            </m:e>
          </m:bar>
          <m:r>
            <m:rPr>
              <m:sty m:val="p"/>
            </m:rPr>
            <m:t>=</m:t>
          </m:r>
          <m:r>
            <m:t>T</m:t>
          </m:r>
          <m:r>
            <m:t>L</m:t>
          </m:r>
          <m:r>
            <m:rPr>
              <m:sty m:val="p"/>
            </m:rPr>
            <m:t>*</m:t>
          </m:r>
          <m:bar>
            <m:barPr>
              <m:pos m:val="top"/>
            </m:barPr>
            <m:e>
              <m:r>
                <m:t>R</m:t>
              </m:r>
              <m:r>
                <m:t>S</m:t>
              </m:r>
            </m:e>
          </m:bar>
          <m:r>
            <m:rPr>
              <m:sty m:val="p"/>
            </m:rPr>
            <m:t>*</m:t>
          </m:r>
          <m:d>
            <m:dPr>
              <m:begChr m:val="("/>
              <m:endChr m:val=")"/>
              <m:sepChr m:val=""/>
              <m:grow/>
            </m:dPr>
            <m:e>
              <m:r>
                <m:t>P</m:t>
              </m:r>
              <m:r>
                <m:t>P</m:t>
              </m:r>
              <m:r>
                <m:t>N</m:t>
              </m:r>
              <m:r>
                <m:t>A</m:t>
              </m:r>
              <m:r>
                <m:rPr>
                  <m:sty m:val="p"/>
                </m:rPr>
                <m:t>+</m:t>
              </m:r>
              <m:r>
                <m:t>P</m:t>
              </m:r>
              <m:r>
                <m:t>F</m:t>
              </m:r>
              <m:r>
                <m:t>P</m:t>
              </m:r>
            </m:e>
          </m:d>
          <m:r>
            <m:rPr>
              <m:sty m:val="p"/>
            </m:rPr>
            <m:t>,</m:t>
          </m:r>
          <m:r>
            <m:t>  </m:t>
          </m:r>
          <m:d>
            <m:dPr>
              <m:begChr m:val="("/>
              <m:endChr m:val=")"/>
              <m:sepChr m:val=""/>
              <m:grow/>
            </m:dPr>
            <m:e>
              <m:r>
                <m:t>22</m:t>
              </m:r>
            </m:e>
          </m:d>
        </m:oMath>
      </m:oMathPara>
      <w:bookmarkEnd w:id="116"/>
    </w:p>
    <w:p>
      <w:pPr>
        <w:pStyle w:val="FirstParagraph"/>
      </w:pPr>
      <w:r>
        <w:t xml:space="preserve">où:</w:t>
      </w:r>
    </w:p>
    <w:p>
      <w:pPr>
        <w:numPr>
          <w:ilvl w:val="0"/>
          <w:numId w:val="1027"/>
        </w:numPr>
        <w:pStyle w:val="Compact"/>
      </w:pPr>
      <m:oMath>
        <m:r>
          <m:t>T</m:t>
        </m:r>
        <m:r>
          <m:t>L</m:t>
        </m:r>
      </m:oMath>
      <w:r>
        <w:t xml:space="preserve">: le taux de liquidation, il est estimé en fonction de la cadence de liquidation des engagements pour sinistres survenus.</w:t>
      </w:r>
    </w:p>
    <w:p>
      <w:pPr>
        <w:numPr>
          <w:ilvl w:val="0"/>
          <w:numId w:val="1027"/>
        </w:numPr>
        <w:pStyle w:val="Compact"/>
      </w:pPr>
      <m:oMath>
        <m:bar>
          <m:barPr>
            <m:pos m:val="top"/>
          </m:barPr>
          <m:e>
            <m:r>
              <m:t>R</m:t>
            </m:r>
            <m:r>
              <m:t>S</m:t>
            </m:r>
          </m:e>
        </m:bar>
      </m:oMath>
      <w:r>
        <w:t xml:space="preserve">: le ratio de sinistralité moyen telle que:</w:t>
      </w:r>
    </w:p>
    <w:p>
      <w:pPr>
        <w:pStyle w:val="Compact"/>
      </w:pPr>
      <w:bookmarkStart w:id="117" w:name="eq-gbmp"/>
      <m:oMathPara>
        <m:oMathParaPr>
          <m:jc m:val="center"/>
        </m:oMathParaPr>
        <m:oMath>
          <m:sSub>
            <m:e>
              <m:bar>
                <m:barPr>
                  <m:pos m:val="top"/>
                </m:barPr>
                <m:e>
                  <m:r>
                    <m:t>R</m:t>
                  </m:r>
                  <m:r>
                    <m:t>S</m:t>
                  </m:r>
                </m:e>
              </m:bar>
            </m:e>
            <m:sub>
              <m:r>
                <m:t>t</m:t>
              </m:r>
            </m:sub>
          </m:sSub>
          <m:r>
            <m:rPr>
              <m:sty m:val="p"/>
            </m:rPr>
            <m:t>=</m:t>
          </m:r>
          <m:f>
            <m:fPr>
              <m:type m:val="bar"/>
            </m:fPr>
            <m:num>
              <m:r>
                <m:t>C</m:t>
              </m:r>
              <m:sSub>
                <m:e>
                  <m:r>
                    <m:t>U</m:t>
                  </m:r>
                </m:e>
                <m:sub>
                  <m:r>
                    <m:t>t</m:t>
                  </m:r>
                </m:sub>
              </m:sSub>
              <m:r>
                <m:rPr>
                  <m:sty m:val="p"/>
                </m:rPr>
                <m:t>+</m:t>
              </m:r>
              <m:r>
                <m:t>C</m:t>
              </m:r>
              <m:sSub>
                <m:e>
                  <m:r>
                    <m:t>U</m:t>
                  </m:r>
                </m:e>
                <m:sub>
                  <m:r>
                    <m:t>t</m:t>
                  </m:r>
                  <m:r>
                    <m:rPr>
                      <m:sty m:val="p"/>
                    </m:rPr>
                    <m:t>−</m:t>
                  </m:r>
                  <m:r>
                    <m:t>1</m:t>
                  </m:r>
                </m:sub>
              </m:sSub>
              <m:r>
                <m:rPr>
                  <m:sty m:val="p"/>
                </m:rPr>
                <m:t>+</m:t>
              </m:r>
              <m:r>
                <m:t>C</m:t>
              </m:r>
              <m:sSub>
                <m:e>
                  <m:r>
                    <m:t>U</m:t>
                  </m:r>
                </m:e>
                <m:sub>
                  <m:r>
                    <m:t>t</m:t>
                  </m:r>
                  <m:r>
                    <m:rPr>
                      <m:sty m:val="p"/>
                    </m:rPr>
                    <m:t>−</m:t>
                  </m:r>
                  <m:r>
                    <m:t>2</m:t>
                  </m:r>
                </m:sub>
              </m:sSub>
            </m:num>
            <m:den>
              <m:r>
                <m:t>P</m:t>
              </m:r>
              <m:sSub>
                <m:e>
                  <m:r>
                    <m:t>A</m:t>
                  </m:r>
                </m:e>
                <m:sub>
                  <m:r>
                    <m:t>t</m:t>
                  </m:r>
                </m:sub>
              </m:sSub>
              <m:r>
                <m:rPr>
                  <m:sty m:val="p"/>
                </m:rPr>
                <m:t>+</m:t>
              </m:r>
              <m:r>
                <m:t>P</m:t>
              </m:r>
              <m:sSub>
                <m:e>
                  <m:r>
                    <m:t>A</m:t>
                  </m:r>
                </m:e>
                <m:sub>
                  <m:r>
                    <m:t>t</m:t>
                  </m:r>
                  <m:r>
                    <m:rPr>
                      <m:sty m:val="p"/>
                    </m:rPr>
                    <m:t>−</m:t>
                  </m:r>
                  <m:r>
                    <m:t>1</m:t>
                  </m:r>
                </m:sub>
              </m:sSub>
              <m:r>
                <m:rPr>
                  <m:sty m:val="p"/>
                </m:rPr>
                <m:t>+</m:t>
              </m:r>
              <m:r>
                <m:t>P</m:t>
              </m:r>
              <m:sSub>
                <m:e>
                  <m:r>
                    <m:t>A</m:t>
                  </m:r>
                </m:e>
                <m:sub>
                  <m:r>
                    <m:t>t</m:t>
                  </m:r>
                  <m:r>
                    <m:rPr>
                      <m:sty m:val="p"/>
                    </m:rPr>
                    <m:t>−</m:t>
                  </m:r>
                  <m:r>
                    <m:t>2</m:t>
                  </m:r>
                </m:sub>
              </m:sSub>
            </m:den>
          </m:f>
          <m:r>
            <m:rPr>
              <m:sty m:val="p"/>
            </m:rPr>
            <m:t>,</m:t>
          </m:r>
          <m:r>
            <m:t>  </m:t>
          </m:r>
          <m:d>
            <m:dPr>
              <m:begChr m:val="("/>
              <m:endChr m:val=")"/>
              <m:sepChr m:val=""/>
              <m:grow/>
            </m:dPr>
            <m:e>
              <m:r>
                <m:t>23</m:t>
              </m:r>
            </m:e>
          </m:d>
        </m:oMath>
      </m:oMathPara>
      <w:bookmarkEnd w:id="117"/>
    </w:p>
    <w:p>
      <w:pPr>
        <w:pStyle w:val="FirstParagraph"/>
      </w:pPr>
      <w:r>
        <w:t xml:space="preserve">avec :</w:t>
      </w:r>
    </w:p>
    <w:p>
      <w:pPr>
        <w:numPr>
          <w:ilvl w:val="0"/>
          <w:numId w:val="1028"/>
        </w:numPr>
        <w:pStyle w:val="Compact"/>
      </w:pPr>
      <m:oMath>
        <m:r>
          <m:t>C</m:t>
        </m:r>
        <m:r>
          <m:t>U</m:t>
        </m:r>
      </m:oMath>
      <w:r>
        <w:t xml:space="preserve">: La charge ultime visée correspond, par exercice de survenance, à la somme des règlements cumulés et des règlements futurs au titre de l’année de survenance considérée.</w:t>
      </w:r>
    </w:p>
    <w:p>
      <w:pPr>
        <w:numPr>
          <w:ilvl w:val="0"/>
          <w:numId w:val="1028"/>
        </w:numPr>
        <w:pStyle w:val="Compact"/>
      </w:pPr>
      <m:oMath>
        <m:r>
          <m:t>P</m:t>
        </m:r>
        <m:r>
          <m:t>A</m:t>
        </m:r>
      </m:oMath>
      <w:r>
        <w:t xml:space="preserve"> </w:t>
      </w:r>
      <w:r>
        <w:t xml:space="preserve">les primes acquises.</w:t>
      </w:r>
    </w:p>
    <w:p>
      <w:pPr>
        <w:pStyle w:val="FirstParagraph"/>
      </w:pPr>
      <w:r>
        <w:t xml:space="preserve">Tell que :</w:t>
      </w:r>
    </w:p>
    <w:p>
      <w:pPr>
        <w:pStyle w:val="BodyText"/>
      </w:pPr>
      <w:bookmarkStart w:id="118" w:name="eq-gbmp"/>
      <m:oMathPara>
        <m:oMathParaPr>
          <m:jc m:val="center"/>
        </m:oMathParaPr>
        <m:oMath>
          <m:r>
            <m:t>C</m:t>
          </m:r>
          <m:sSub>
            <m:e>
              <m:r>
                <m:t>U</m:t>
              </m:r>
            </m:e>
            <m:sub>
              <m:r>
                <m:t>t</m:t>
              </m:r>
            </m:sub>
          </m:sSub>
          <m:r>
            <m:rPr>
              <m:sty m:val="p"/>
            </m:rPr>
            <m:t>=</m:t>
          </m:r>
          <m:r>
            <m:t>R</m:t>
          </m:r>
          <m:r>
            <m:t>è</m:t>
          </m:r>
          <m:r>
            <m:t>g</m:t>
          </m:r>
          <m:sSub>
            <m:e>
              <m:r>
                <m:t>C</m:t>
              </m:r>
            </m:e>
            <m:sub>
              <m:r>
                <m:t>t</m:t>
              </m:r>
            </m:sub>
          </m:sSub>
          <m:r>
            <m:rPr>
              <m:sty m:val="p"/>
            </m:rPr>
            <m:t>+</m:t>
          </m:r>
          <m:r>
            <m:t>R</m:t>
          </m:r>
          <m:r>
            <m:t>è</m:t>
          </m:r>
          <m:r>
            <m:t>g</m:t>
          </m:r>
          <m:sSub>
            <m:e>
              <m:r>
                <m:t>F</m:t>
              </m:r>
            </m:e>
            <m:sub>
              <m:r>
                <m:t>t</m:t>
              </m:r>
            </m:sub>
          </m:sSub>
          <m:r>
            <m:t> </m:t>
          </m:r>
          <m:r>
            <m:rPr>
              <m:sty m:val="p"/>
            </m:rPr>
            <m:t>,</m:t>
          </m:r>
          <m:r>
            <m:t>  </m:t>
          </m:r>
          <m:d>
            <m:dPr>
              <m:begChr m:val="("/>
              <m:endChr m:val=")"/>
              <m:sepChr m:val=""/>
              <m:grow/>
            </m:dPr>
            <m:e>
              <m:r>
                <m:t>24</m:t>
              </m:r>
            </m:e>
          </m:d>
        </m:oMath>
      </m:oMathPara>
      <w:bookmarkEnd w:id="118"/>
    </w:p>
    <w:p>
      <w:pPr>
        <w:pStyle w:val="FirstParagraph"/>
      </w:pPr>
      <w:r>
        <w:t xml:space="preserve">avec :</w:t>
      </w:r>
    </w:p>
    <w:p>
      <w:pPr>
        <w:numPr>
          <w:ilvl w:val="0"/>
          <w:numId w:val="1029"/>
        </w:numPr>
        <w:pStyle w:val="Compact"/>
      </w:pPr>
      <m:oMath>
        <m:r>
          <m:t>R</m:t>
        </m:r>
        <m:r>
          <m:t>è</m:t>
        </m:r>
        <m:r>
          <m:t>g</m:t>
        </m:r>
        <m:sSub>
          <m:e>
            <m:r>
              <m:t>C</m:t>
            </m:r>
          </m:e>
          <m:sub>
            <m:r>
              <m:t>t</m:t>
            </m:r>
          </m:sub>
        </m:sSub>
      </m:oMath>
      <w:r>
        <w:t xml:space="preserve"> </w:t>
      </w:r>
      <w:r>
        <w:t xml:space="preserve">: les règlements cumulés.</w:t>
      </w:r>
    </w:p>
    <w:p>
      <w:pPr>
        <w:numPr>
          <w:ilvl w:val="0"/>
          <w:numId w:val="1029"/>
        </w:numPr>
        <w:pStyle w:val="Compact"/>
      </w:pPr>
      <m:oMath>
        <m:r>
          <m:t>R</m:t>
        </m:r>
        <m:r>
          <m:t>è</m:t>
        </m:r>
        <m:r>
          <m:t>g</m:t>
        </m:r>
        <m:sSub>
          <m:e>
            <m:r>
              <m:t>F</m:t>
            </m:r>
          </m:e>
          <m:sub>
            <m:r>
              <m:t>t</m:t>
            </m:r>
          </m:sub>
        </m:sSub>
      </m:oMath>
      <w:r>
        <w:t xml:space="preserve">: les règlements futurs.</w:t>
      </w:r>
    </w:p>
    <w:p>
      <w:pPr>
        <w:numPr>
          <w:ilvl w:val="0"/>
          <w:numId w:val="1029"/>
        </w:numPr>
        <w:pStyle w:val="Compact"/>
      </w:pPr>
      <m:oMath>
        <m:r>
          <m:t>P</m:t>
        </m:r>
        <m:r>
          <m:t>P</m:t>
        </m:r>
        <m:r>
          <m:t>N</m:t>
        </m:r>
        <m:r>
          <m:t>A</m:t>
        </m:r>
      </m:oMath>
      <w:r>
        <w:t xml:space="preserve">: La provision pour primes non acquises.</w:t>
      </w:r>
    </w:p>
    <w:p>
      <w:pPr>
        <w:numPr>
          <w:ilvl w:val="0"/>
          <w:numId w:val="1029"/>
        </w:numPr>
        <w:pStyle w:val="Compact"/>
      </w:pPr>
      <m:oMath>
        <m:r>
          <m:t>P</m:t>
        </m:r>
        <m:r>
          <m:t>F</m:t>
        </m:r>
        <m:r>
          <m:t>P</m:t>
        </m:r>
      </m:oMath>
      <w:r>
        <w:t xml:space="preserve">: Le montant des primes futures probabilisé.</w:t>
      </w:r>
    </w:p>
    <w:bookmarkEnd w:id="119"/>
    <w:bookmarkStart w:id="121" w:name="Xb466634c561e035f1de049d287c041259c7ccc5"/>
    <w:p>
      <w:pPr>
        <w:pStyle w:val="Heading4"/>
      </w:pPr>
      <w:r>
        <w:t xml:space="preserve">La meilleure estimation des engagements pour sinistres nets (</w:t>
      </w:r>
      <m:oMath>
        <m:r>
          <m:t>B</m:t>
        </m:r>
        <m:r>
          <m:t>E</m:t>
        </m:r>
        <m:r>
          <m:t>S</m:t>
        </m:r>
      </m:oMath>
      <w:r>
        <w:t xml:space="preserve">):</w:t>
      </w:r>
    </w:p>
    <w:p>
      <w:pPr>
        <w:pStyle w:val="FirstParagraph"/>
      </w:pPr>
      <w:r>
        <w:t xml:space="preserve">La meilleure estimation des engagements pour sinistres nets de recours est déterminée en actualisant, les flux de règlements futurs probabilisés nets de recours relatifs aux sinistres survenus afférents aux contrats.</w:t>
      </w:r>
    </w:p>
    <w:p>
      <w:pPr>
        <w:pStyle w:val="BodyText"/>
      </w:pPr>
      <w:bookmarkStart w:id="120" w:name="eq-gbmp"/>
      <m:oMathPara>
        <m:oMathParaPr>
          <m:jc m:val="center"/>
        </m:oMathParaPr>
        <m:oMath>
          <m:r>
            <m:t>B</m:t>
          </m:r>
          <m:r>
            <m:t>E</m:t>
          </m:r>
          <m:r>
            <m:t>S</m:t>
          </m:r>
          <m:r>
            <m:rPr>
              <m:sty m:val="p"/>
            </m:rPr>
            <m:t>=</m:t>
          </m:r>
          <m:nary>
            <m:naryPr>
              <m:chr m:val="∑"/>
              <m:limLoc m:val="undOvr"/>
              <m:subHide m:val="0"/>
              <m:supHide m:val="1"/>
            </m:naryPr>
            <m:sub>
              <m:r>
                <m:t>t</m:t>
              </m:r>
              <m:r>
                <m:rPr>
                  <m:sty m:val="p"/>
                </m:rPr>
                <m:t>≥</m:t>
              </m:r>
              <m:r>
                <m:t>1</m:t>
              </m:r>
            </m:sub>
            <m:sup>
              <m:r>
                <m:t>​</m:t>
              </m:r>
            </m:sup>
            <m:e>
              <m:f>
                <m:fPr>
                  <m:type m:val="bar"/>
                </m:fPr>
                <m:num>
                  <m:r>
                    <m:t>F</m:t>
                  </m:r>
                  <m:r>
                    <m:t>R</m:t>
                  </m:r>
                  <m:r>
                    <m:t>F</m:t>
                  </m:r>
                  <m:sSub>
                    <m:e>
                      <m:r>
                        <m:t>P</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25</m:t>
              </m:r>
            </m:e>
          </m:d>
        </m:oMath>
      </m:oMathPara>
      <w:bookmarkEnd w:id="120"/>
    </w:p>
    <w:p>
      <w:pPr>
        <w:pStyle w:val="FirstParagraph"/>
      </w:pPr>
      <w:r>
        <w:t xml:space="preserve">avec:</w:t>
      </w:r>
    </w:p>
    <w:p>
      <w:pPr>
        <w:numPr>
          <w:ilvl w:val="0"/>
          <w:numId w:val="1030"/>
        </w:numPr>
        <w:pStyle w:val="Compact"/>
      </w:pPr>
      <m:oMath>
        <m:r>
          <m:t>F</m:t>
        </m:r>
        <m:r>
          <m:t>R</m:t>
        </m:r>
        <m:r>
          <m:t>F</m:t>
        </m:r>
        <m:sSub>
          <m:e>
            <m:r>
              <m:t>P</m:t>
            </m:r>
          </m:e>
          <m:sub>
            <m:r>
              <m:t>t</m:t>
            </m:r>
          </m:sub>
        </m:sSub>
      </m:oMath>
      <w:r>
        <w:t xml:space="preserve"> </w:t>
      </w:r>
      <w:r>
        <w:t xml:space="preserve">: les flux de règlements futurs probabilisés nets de recours relatifs aux</w:t>
      </w:r>
      <w:r>
        <w:t xml:space="preserve"> </w:t>
      </w:r>
      <w:r>
        <w:rPr>
          <w:iCs/>
          <w:i/>
        </w:rPr>
        <w:t xml:space="preserve">sinistres survenus</w:t>
      </w:r>
      <w:r>
        <w:t xml:space="preserve">, sont estimés sur la base d’un triangle de règlements par année de survenance net de recours conformément à la méthode exigée parl’ACAPS.</w:t>
      </w:r>
    </w:p>
    <w:bookmarkEnd w:id="121"/>
    <w:bookmarkStart w:id="122" w:name="X574a46407ada84d5774a3057497baf873ebb70b"/>
    <w:p>
      <w:pPr>
        <w:pStyle w:val="Heading4"/>
      </w:pPr>
      <w:r>
        <w:t xml:space="preserve">Méthode de calcul des flux de réglements futurs probabilisés pour les opérations non-vie hors rentes</w:t>
      </w:r>
    </w:p>
    <w:bookmarkEnd w:id="122"/>
    <w:bookmarkStart w:id="144" w:name="sec-ladder"/>
    <w:p>
      <w:pPr>
        <w:pStyle w:val="Heading4"/>
      </w:pPr>
      <w:r>
        <w:t xml:space="preserve">Méthode des cadences – Chain Ladder</w:t>
      </w:r>
    </w:p>
    <w:p>
      <w:pPr>
        <w:pStyle w:val="FirstParagraph"/>
      </w:pPr>
      <w:r>
        <w:t xml:space="preserve">La méthode de Chain Ladder est celle spécifiée dans l’</w:t>
      </w:r>
      <w:r>
        <w:rPr>
          <w:iCs/>
          <w:i/>
        </w:rPr>
        <w:t xml:space="preserve">annexe 5</w:t>
      </w:r>
      <w:r>
        <w:t xml:space="preserve"> </w:t>
      </w:r>
      <w:r>
        <w:t xml:space="preserve">de la circulaire de l’</w:t>
      </w:r>
      <m:oMath>
        <m:r>
          <m:t>A</m:t>
        </m:r>
        <m:r>
          <m:t>C</m:t>
        </m:r>
        <m:r>
          <m:t>A</m:t>
        </m:r>
        <m:r>
          <m:t>P</m:t>
        </m:r>
        <m:r>
          <m:t>S</m:t>
        </m:r>
      </m:oMath>
      <w:r>
        <w:t xml:space="preserve"> </w:t>
      </w:r>
      <w:r>
        <w:t xml:space="preserve">sur la</w:t>
      </w:r>
      <w:r>
        <w:t xml:space="preserve"> </w:t>
      </w:r>
      <m:oMath>
        <m:r>
          <m:t>S</m:t>
        </m:r>
        <m:r>
          <m:t>B</m:t>
        </m:r>
        <m:r>
          <m:t>R</m:t>
        </m:r>
      </m:oMath>
      <w:r>
        <w:t xml:space="preserve">.</w:t>
      </w:r>
      <w:r>
        <w:t xml:space="preserve"> </w:t>
      </w:r>
      <w:r>
        <w:t xml:space="preserve">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w:t>
      </w:r>
      <w:r>
        <w:t xml:space="preserve"> </w:t>
      </w:r>
      <w:r>
        <w:t xml:space="preserve">Cette méthode est l’une des plus utilisée sur le marché. Elle tient cette célébrité de sa simplicité de calcul ainsi que de son ancienneté. Cette méthode est généralement utilisée pour les paiements cumulés, notés</w:t>
      </w:r>
      <w:r>
        <w:t xml:space="preserve"> </w:t>
      </w:r>
      <m:oMath>
        <m:sSub>
          <m:e>
            <m:r>
              <m:t>C</m:t>
            </m:r>
          </m:e>
          <m:sub>
            <m:r>
              <m:t>i</m:t>
            </m:r>
            <m:r>
              <m:rPr>
                <m:sty m:val="p"/>
              </m:rPr>
              <m:t>,</m:t>
            </m:r>
            <m:r>
              <m:t>j</m:t>
            </m:r>
          </m:sub>
        </m:sSub>
      </m:oMath>
      <w:r>
        <w:t xml:space="preserve">, où</w:t>
      </w:r>
      <w:r>
        <w:t xml:space="preserve"> </w:t>
      </w:r>
      <m:oMath>
        <m:r>
          <m:t>i</m:t>
        </m:r>
      </m:oMath>
      <w:r>
        <w:t xml:space="preserve"> </w:t>
      </w:r>
      <w:r>
        <w:t xml:space="preserve">représente l’exercice de survenance et</w:t>
      </w:r>
      <w:r>
        <w:t xml:space="preserve"> </w:t>
      </w:r>
      <m:oMath>
        <m:r>
          <m:t>j</m:t>
        </m:r>
      </m:oMath>
      <w:r>
        <w:t xml:space="preserve"> </w:t>
      </w:r>
      <w:r>
        <w:t xml:space="preserve">représente la période de développement.</w:t>
      </w:r>
    </w:p>
    <w:tbl>
      <w:tblPr>
        <w:tblStyle w:val="Table"/>
        <w:tblW w:type="pct" w:w="5000"/>
        <w:tblLook w:firstRow="1" w:lastRow="0" w:firstColumn="0" w:lastColumn="0" w:noHBand="0" w:noVBand="0" w:val="0020"/>
        <w:jc w:val="start"/>
      </w:tblPr>
      <w:tblGrid>
        <w:gridCol w:w="2869"/>
        <w:gridCol w:w="1262"/>
        <w:gridCol w:w="1262"/>
        <w:gridCol w:w="1262"/>
        <w:gridCol w:w="1262"/>
      </w:tblGrid>
      <w:tr>
        <w:trPr>
          <w:tblHeader w:val="true"/>
        </w:trPr>
        <w:tc>
          <w:tcPr/>
          <w:p>
            <w:pPr>
              <w:pStyle w:val="Compact"/>
              <w:jc w:val="center"/>
            </w:pPr>
            <w:r>
              <w:t xml:space="preserve">Exercice de survenance</w:t>
            </w:r>
          </w:p>
        </w:tc>
        <w:tc>
          <w:tcPr/>
          <w:p>
            <w:pPr>
              <w:pStyle w:val="Compact"/>
              <w:jc w:val="center"/>
            </w:pPr>
            <w:r>
              <w:t xml:space="preserve">1er bilan</w:t>
            </w:r>
          </w:p>
        </w:tc>
        <w:tc>
          <w:tcPr/>
          <w:p>
            <w:pPr>
              <w:pStyle w:val="Compact"/>
              <w:jc w:val="center"/>
            </w:pPr>
            <w:r>
              <w:t xml:space="preserve">2ème bilan</w:t>
            </w:r>
          </w:p>
        </w:tc>
        <w:tc>
          <w:tcPr/>
          <w:p>
            <w:pPr>
              <w:pStyle w:val="Compact"/>
              <w:jc w:val="center"/>
            </w:pPr>
            <w:r>
              <w:t xml:space="preserve">3ème bilan</w:t>
            </w:r>
          </w:p>
        </w:tc>
        <w:tc>
          <w:tcPr/>
          <w:p>
            <w:pPr>
              <w:pStyle w:val="Compact"/>
              <w:jc w:val="center"/>
            </w:pPr>
            <w:r>
              <w:t xml:space="preserve">4ème bilan</w:t>
            </w:r>
          </w:p>
        </w:tc>
      </w:tr>
      <w:tr>
        <w:tc>
          <w:tcPr/>
          <w:p>
            <w:pPr>
              <w:pStyle w:val="Compact"/>
              <w:jc w:val="center"/>
            </w:pPr>
            <w:r>
              <w:t xml:space="preserve">1</w:t>
            </w:r>
          </w:p>
        </w:tc>
        <w:tc>
          <w:tcPr/>
          <w:p>
            <w:pPr>
              <w:pStyle w:val="Compact"/>
              <w:jc w:val="center"/>
            </w:pPr>
            <m:oMath>
              <m:sSub>
                <m:e>
                  <m:r>
                    <m:t>C</m:t>
                  </m:r>
                </m:e>
                <m:sub>
                  <m:r>
                    <m:t>1</m:t>
                  </m:r>
                  <m:r>
                    <m:rPr>
                      <m:sty m:val="p"/>
                    </m:rPr>
                    <m:t>,</m:t>
                  </m:r>
                  <m:r>
                    <m:t>1</m:t>
                  </m:r>
                </m:sub>
              </m:sSub>
            </m:oMath>
          </w:p>
        </w:tc>
        <w:tc>
          <w:tcPr/>
          <w:p>
            <w:pPr>
              <w:pStyle w:val="Compact"/>
              <w:jc w:val="center"/>
            </w:pPr>
            <m:oMath>
              <m:sSub>
                <m:e>
                  <m:r>
                    <m:t>C</m:t>
                  </m:r>
                </m:e>
                <m:sub>
                  <m:r>
                    <m:t>1</m:t>
                  </m:r>
                  <m:r>
                    <m:rPr>
                      <m:sty m:val="p"/>
                    </m:rPr>
                    <m:t>,</m:t>
                  </m:r>
                  <m:r>
                    <m:t>2</m:t>
                  </m:r>
                </m:sub>
              </m:sSub>
            </m:oMath>
          </w:p>
        </w:tc>
        <w:tc>
          <w:tcPr/>
          <w:p>
            <w:pPr>
              <w:pStyle w:val="Compact"/>
              <w:jc w:val="center"/>
            </w:pPr>
            <m:oMath>
              <m:sSub>
                <m:e>
                  <m:r>
                    <m:t>C</m:t>
                  </m:r>
                </m:e>
                <m:sub>
                  <m:r>
                    <m:t>1</m:t>
                  </m:r>
                  <m:r>
                    <m:rPr>
                      <m:sty m:val="p"/>
                    </m:rPr>
                    <m:t>,</m:t>
                  </m:r>
                  <m:r>
                    <m:t>3</m:t>
                  </m:r>
                </m:sub>
              </m:sSub>
            </m:oMath>
          </w:p>
        </w:tc>
        <w:tc>
          <w:tcPr/>
          <w:p>
            <w:pPr>
              <w:pStyle w:val="Compact"/>
              <w:jc w:val="center"/>
            </w:pPr>
            <m:oMath>
              <m:sSub>
                <m:e>
                  <m:r>
                    <m:t>C</m:t>
                  </m:r>
                </m:e>
                <m:sub>
                  <m:r>
                    <m:t>1</m:t>
                  </m:r>
                  <m:r>
                    <m:rPr>
                      <m:sty m:val="p"/>
                    </m:rPr>
                    <m:t>,</m:t>
                  </m:r>
                  <m:r>
                    <m:t>4</m:t>
                  </m:r>
                </m:sub>
              </m:sSub>
            </m:oMath>
          </w:p>
        </w:tc>
      </w:tr>
      <w:tr>
        <w:tc>
          <w:tcPr/>
          <w:p>
            <w:pPr>
              <w:pStyle w:val="Compact"/>
              <w:jc w:val="center"/>
            </w:pPr>
            <w:r>
              <w:t xml:space="preserve">2</w:t>
            </w:r>
          </w:p>
        </w:tc>
        <w:tc>
          <w:tcPr/>
          <w:p>
            <w:pPr>
              <w:pStyle w:val="Compact"/>
              <w:jc w:val="center"/>
            </w:pPr>
            <m:oMath>
              <m:sSub>
                <m:e>
                  <m:r>
                    <m:t>C</m:t>
                  </m:r>
                </m:e>
                <m:sub>
                  <m:r>
                    <m:t>2</m:t>
                  </m:r>
                  <m:r>
                    <m:rPr>
                      <m:sty m:val="p"/>
                    </m:rPr>
                    <m:t>,</m:t>
                  </m:r>
                  <m:r>
                    <m:t>1</m:t>
                  </m:r>
                </m:sub>
              </m:sSub>
            </m:oMath>
          </w:p>
        </w:tc>
        <w:tc>
          <w:tcPr/>
          <w:p>
            <w:pPr>
              <w:pStyle w:val="Compact"/>
              <w:jc w:val="center"/>
            </w:pPr>
            <m:oMath>
              <m:sSub>
                <m:e>
                  <m:r>
                    <m:t>C</m:t>
                  </m:r>
                </m:e>
                <m:sub>
                  <m:r>
                    <m:t>2</m:t>
                  </m:r>
                  <m:r>
                    <m:rPr>
                      <m:sty m:val="p"/>
                    </m:rPr>
                    <m:t>,</m:t>
                  </m:r>
                  <m:r>
                    <m:t>2</m:t>
                  </m:r>
                </m:sub>
              </m:sSub>
            </m:oMath>
          </w:p>
        </w:tc>
        <w:tc>
          <w:tcPr/>
          <w:p>
            <w:pPr>
              <w:pStyle w:val="Compact"/>
              <w:jc w:val="center"/>
            </w:pPr>
            <m:oMath>
              <m:sSub>
                <m:e>
                  <m:r>
                    <m:t>C</m:t>
                  </m:r>
                </m:e>
                <m:sub>
                  <m:r>
                    <m:t>2</m:t>
                  </m:r>
                  <m:r>
                    <m:rPr>
                      <m:sty m:val="p"/>
                    </m:rPr>
                    <m:t>,</m:t>
                  </m:r>
                  <m:r>
                    <m:t>3</m:t>
                  </m:r>
                </m:sub>
              </m:sSub>
            </m:oMath>
          </w:p>
        </w:tc>
        <w:tc>
          <w:tcPr/>
          <w:p>
            <w:pPr>
              <w:pStyle w:val="Compact"/>
            </w:pPr>
          </w:p>
        </w:tc>
      </w:tr>
      <w:tr>
        <w:tc>
          <w:tcPr/>
          <w:p>
            <w:pPr>
              <w:pStyle w:val="Compact"/>
              <w:jc w:val="center"/>
            </w:pPr>
            <w:r>
              <w:t xml:space="preserve">3</w:t>
            </w:r>
          </w:p>
        </w:tc>
        <w:tc>
          <w:tcPr/>
          <w:p>
            <w:pPr>
              <w:pStyle w:val="Compact"/>
              <w:jc w:val="center"/>
            </w:pPr>
            <m:oMath>
              <m:sSub>
                <m:e>
                  <m:r>
                    <m:t>C</m:t>
                  </m:r>
                </m:e>
                <m:sub>
                  <m:r>
                    <m:t>3</m:t>
                  </m:r>
                  <m:r>
                    <m:rPr>
                      <m:sty m:val="p"/>
                    </m:rPr>
                    <m:t>,</m:t>
                  </m:r>
                  <m:r>
                    <m:t>1</m:t>
                  </m:r>
                </m:sub>
              </m:sSub>
            </m:oMath>
          </w:p>
        </w:tc>
        <w:tc>
          <w:tcPr/>
          <w:p>
            <w:pPr>
              <w:pStyle w:val="Compact"/>
              <w:jc w:val="center"/>
            </w:pPr>
            <m:oMath>
              <m:sSub>
                <m:e>
                  <m:r>
                    <m:t>C</m:t>
                  </m:r>
                </m:e>
                <m:sub>
                  <m:r>
                    <m:t>3</m:t>
                  </m:r>
                  <m:r>
                    <m:rPr>
                      <m:sty m:val="p"/>
                    </m:rPr>
                    <m:t>,</m:t>
                  </m:r>
                  <m:r>
                    <m:t>2</m:t>
                  </m:r>
                </m:sub>
              </m:sSub>
            </m:oMath>
          </w:p>
        </w:tc>
        <w:tc>
          <w:tcPr/>
          <w:p>
            <w:pPr>
              <w:pStyle w:val="Compact"/>
            </w:pPr>
          </w:p>
        </w:tc>
        <w:tc>
          <w:tcPr/>
          <w:p>
            <w:pPr>
              <w:pStyle w:val="Compact"/>
            </w:pPr>
          </w:p>
        </w:tc>
      </w:tr>
      <w:tr>
        <w:tc>
          <w:tcPr/>
          <w:p>
            <w:pPr>
              <w:pStyle w:val="Compact"/>
              <w:jc w:val="center"/>
            </w:pPr>
            <w:r>
              <w:t xml:space="preserve">4</w:t>
            </w:r>
          </w:p>
        </w:tc>
        <w:tc>
          <w:tcPr/>
          <w:p>
            <w:pPr>
              <w:pStyle w:val="Compact"/>
              <w:jc w:val="center"/>
            </w:pPr>
            <m:oMath>
              <m:sSub>
                <m:e>
                  <m:r>
                    <m:t>C</m:t>
                  </m:r>
                </m:e>
                <m:sub>
                  <m:r>
                    <m:t>4</m:t>
                  </m:r>
                  <m:r>
                    <m:rPr>
                      <m:sty m:val="p"/>
                    </m:rPr>
                    <m:t>,</m:t>
                  </m:r>
                  <m:r>
                    <m:t>1</m:t>
                  </m:r>
                </m:sub>
              </m:sSub>
            </m:oMath>
          </w:p>
        </w:tc>
        <w:tc>
          <w:tcPr/>
          <w:p>
            <w:pPr>
              <w:pStyle w:val="Compact"/>
            </w:pPr>
          </w:p>
        </w:tc>
        <w:tc>
          <w:tcPr/>
          <w:p>
            <w:pPr>
              <w:pStyle w:val="Compact"/>
            </w:pPr>
          </w:p>
        </w:tc>
        <w:tc>
          <w:tcPr/>
          <w:p>
            <w:pPr>
              <w:pStyle w:val="Compact"/>
            </w:pPr>
          </w:p>
        </w:tc>
      </w:tr>
    </w:tbl>
    <w:p>
      <w:pPr>
        <w:pStyle w:val="BodyText"/>
      </w:pPr>
      <w:r>
        <w:t xml:space="preserve">Conformément à la spécification technique de l’ACAPS, l’estimation des flux de règlements futurs probabilisés nets de recours relatifs aux sinistres survenus (</w:t>
      </w:r>
      <m:oMath>
        <m:r>
          <m:t>F</m:t>
        </m:r>
        <m:r>
          <m:t>R</m:t>
        </m:r>
        <m:r>
          <m:t>F</m:t>
        </m:r>
        <m:r>
          <m:t>P</m:t>
        </m:r>
      </m:oMath>
      <w:r>
        <w:t xml:space="preserve">) passe par les étapes citées ci-aprés.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4" name="Picture"/>
                  <a:graphic>
                    <a:graphicData uri="http://schemas.openxmlformats.org/drawingml/2006/picture">
                      <pic:pic>
                        <pic:nvPicPr>
                          <pic:cNvPr descr="/Applications/quarto/share/formats/docx/note.png" id="125"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1 : Constitution du triangle des règlements cumulés net de recours :</w:t>
            </w:r>
          </w:p>
        </w:tc>
      </w:tr>
      <w:tr>
        <w:trPr>
          <w:cantSplit/>
        </w:trPr>
        <w:tc>
          <w:tcPr>
            <w:tcMar>
              <w:top w:w="108" w:type="dxa"/>
              <w:bottom w:w="108" w:type="dxa"/>
            </w:tcMar>
          </w:tcPr>
          <w:p>
            <w:pPr>
              <w:pStyle w:val="BodyText"/>
            </w:pPr>
            <w:pPr>
              <w:spacing w:before="16" w:after="16"/>
            </w:pPr>
            <w:r>
              <w:t xml:space="preserve">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6" name="Picture"/>
                  <a:graphic>
                    <a:graphicData uri="http://schemas.openxmlformats.org/drawingml/2006/picture">
                      <pic:pic>
                        <pic:nvPicPr>
                          <pic:cNvPr descr="/Applications/quarto/share/formats/docx/note.png" id="127"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2 : Calcul des facteurs de développement individuels :</w:t>
            </w:r>
          </w:p>
        </w:tc>
      </w:tr>
      <w:tr>
        <w:trPr>
          <w:cantSplit/>
        </w:trPr>
        <w:tc>
          <w:tcPr>
            <w:tcMar>
              <w:top w:w="108" w:type="dxa"/>
              <w:bottom w:w="108" w:type="dxa"/>
            </w:tcMar>
          </w:tcPr>
          <w:p>
            <w:pPr>
              <w:pStyle w:val="BodyText"/>
            </w:pPr>
            <w:pPr>
              <w:spacing w:before="16"/>
            </w:pPr>
            <w:r>
              <w:t xml:space="preserve">Ils sont déterminés à partir du ttirangle de réglement cumulé par la formule suivante :</w:t>
            </w:r>
          </w:p>
          <w:p>
            <w:pPr>
              <w:pStyle w:val="BodyText"/>
            </w:pPr>
            <w:pPr>
              <w:spacing w:after="16"/>
            </w:pPr>
          </w:p>
          <w:p>
            <w:pPr>
              <w:pStyle w:val="BodyText"/>
            </w:pPr>
            <w:bookmarkStart w:id="128" w:name="eq-gbmp"/>
            <m:oMathPara>
              <m:oMathParaPr>
                <m:jc m:val="center"/>
              </m:oMathParaPr>
              <m:oMath>
                <m:sSub>
                  <m:e>
                    <m:r>
                      <m:t>f</m:t>
                    </m:r>
                  </m:e>
                  <m:sub>
                    <m:r>
                      <m:t>i</m:t>
                    </m:r>
                    <m:r>
                      <m:rPr>
                        <m:sty m:val="p"/>
                      </m:rPr>
                      <m:t>,</m:t>
                    </m:r>
                    <m:r>
                      <m:t>j</m:t>
                    </m:r>
                  </m:sub>
                </m:sSub>
                <m:r>
                  <m:rPr>
                    <m:sty m:val="p"/>
                  </m:rPr>
                  <m:t>=</m:t>
                </m:r>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r>
                  <m:rPr>
                    <m:sty m:val="p"/>
                  </m:rPr>
                  <m:t>,</m:t>
                </m:r>
                <m:r>
                  <m:t>  </m:t>
                </m:r>
                <m:r>
                  <m:rPr>
                    <m:nor/>
                    <m:sty m:val="p"/>
                  </m:rPr>
                  <m:t>pour</m:t>
                </m:r>
                <m:r>
                  <m:t> </m:t>
                </m:r>
                <m:r>
                  <m:t>i</m:t>
                </m:r>
                <m:r>
                  <m:rPr>
                    <m:sty m:val="p"/>
                  </m:rPr>
                  <m:t>×</m:t>
                </m:r>
                <m:r>
                  <m:t>j</m:t>
                </m:r>
                <m:r>
                  <m:rPr>
                    <m:sty m:val="p"/>
                  </m:rPr>
                  <m:t>∈</m:t>
                </m:r>
                <m:r>
                  <m:rPr>
                    <m:sty m:val="p"/>
                  </m:rPr>
                  <m:t>{</m:t>
                </m:r>
                <m:r>
                  <m:t>1</m:t>
                </m:r>
                <m:r>
                  <m:rPr>
                    <m:sty m:val="p"/>
                  </m:rPr>
                  <m:t>,</m:t>
                </m:r>
                <m:r>
                  <m:rPr>
                    <m:sty m:val="p"/>
                  </m:rPr>
                  <m:t>…</m:t>
                </m:r>
                <m:r>
                  <m:rPr>
                    <m:sty m:val="p"/>
                  </m:rPr>
                  <m:t>,</m:t>
                </m:r>
                <m:r>
                  <m:t>n</m:t>
                </m:r>
                <m:r>
                  <m:rPr>
                    <m:sty m:val="p"/>
                  </m:rPr>
                  <m:t>}</m:t>
                </m:r>
                <m:r>
                  <m:rPr>
                    <m:sty m:val="p"/>
                  </m:rPr>
                  <m:t>×</m:t>
                </m:r>
                <m:r>
                  <m:rPr>
                    <m:sty m:val="p"/>
                  </m:rPr>
                  <m:t>{</m:t>
                </m:r>
                <m:r>
                  <m:t>1</m:t>
                </m:r>
                <m:r>
                  <m:rPr>
                    <m:sty m:val="p"/>
                  </m:rPr>
                  <m:t>,</m:t>
                </m:r>
                <m:r>
                  <m:rPr>
                    <m:sty m:val="p"/>
                  </m:rPr>
                  <m:t>…</m:t>
                </m:r>
                <m:r>
                  <m:rPr>
                    <m:sty m:val="p"/>
                  </m:rPr>
                  <m:t>,</m:t>
                </m:r>
                <m:r>
                  <m:t>n</m:t>
                </m:r>
                <m:r>
                  <m:rPr>
                    <m:sty m:val="p"/>
                  </m:rPr>
                  <m:t>}</m:t>
                </m:r>
                <m:r>
                  <m:t>  </m:t>
                </m:r>
                <m:d>
                  <m:dPr>
                    <m:begChr m:val="("/>
                    <m:endChr m:val=")"/>
                    <m:sepChr m:val=""/>
                    <m:grow/>
                  </m:dPr>
                  <m:e>
                    <m:r>
                      <m:t>26</m:t>
                    </m:r>
                  </m:e>
                </m:d>
              </m:oMath>
            </m:oMathPara>
            <w:bookmarkEnd w:id="128"/>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Applications/quarto/share/formats/docx/note.png" id="130"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3 : Vérification des hypothèses :</w:t>
            </w:r>
          </w:p>
        </w:tc>
      </w:tr>
      <w:tr>
        <w:trPr>
          <w:cantSplit/>
        </w:trPr>
        <w:tc>
          <w:tcPr>
            <w:tcMar>
              <w:top w:w="108" w:type="dxa"/>
              <w:bottom w:w="108" w:type="dxa"/>
            </w:tcMar>
          </w:tcPr>
          <w:p>
            <w:pPr>
              <w:pStyle w:val="BodyText"/>
            </w:pPr>
            <w:pPr>
              <w:spacing w:before="16"/>
            </w:pPr>
            <w:r>
              <w:t xml:space="preserve">Cette méthode reposes sur certaines hypothèses qui faudrait vérifier avant de poursuivre les calculs.</w:t>
            </w:r>
          </w:p>
          <w:p>
            <w:pPr>
              <w:numPr>
                <w:ilvl w:val="0"/>
                <w:numId w:val="1031"/>
              </w:numPr>
              <w:pStyle w:val="Compact"/>
            </w:pPr>
            <w:r>
              <w:rPr>
                <w:iCs/>
                <w:i/>
              </w:rPr>
              <w:t xml:space="preserve">Hypothèse Nº1</w:t>
            </w:r>
            <w:r>
              <w:t xml:space="preserve"> </w:t>
            </w:r>
            <w:r>
              <w:t xml:space="preserve">: Pour</w:t>
            </w:r>
            <w:r>
              <w:t xml:space="preserve"> </w:t>
            </w:r>
            <m:oMath>
              <m:r>
                <m:t>j</m:t>
              </m:r>
            </m:oMath>
            <w:r>
              <w:t xml:space="preserve"> </w:t>
            </w:r>
            <w:r>
              <w:t xml:space="preserve">allant de</w:t>
            </w:r>
            <w:r>
              <w:t xml:space="preserve"> </w:t>
            </w:r>
            <m:oMath>
              <m:r>
                <m:t>1</m:t>
              </m:r>
            </m:oMath>
            <w:r>
              <w:t xml:space="preserve"> </w:t>
            </w:r>
            <w:r>
              <w:t xml:space="preserve">à</w:t>
            </w:r>
            <w:r>
              <w:t xml:space="preserve"> </w:t>
            </w:r>
            <m:oMath>
              <m:r>
                <m:t>n</m:t>
              </m:r>
            </m:oMath>
            <w:r>
              <w:t xml:space="preserve"> </w:t>
            </w:r>
            <w:r>
              <w:t xml:space="preserve">, les facteurs de développement</w:t>
            </w:r>
            <w:r>
              <w:t xml:space="preserve"> </w:t>
            </w:r>
            <m:oMath>
              <m:sSub>
                <m:e>
                  <m:r>
                    <m:t>f</m:t>
                  </m:r>
                </m:e>
                <m:sub>
                  <m:r>
                    <m:t>i</m:t>
                  </m:r>
                  <m:r>
                    <m:rPr>
                      <m:sty m:val="p"/>
                    </m:rPr>
                    <m:t>,</m:t>
                  </m:r>
                  <m:r>
                    <m:t>j</m:t>
                  </m:r>
                </m:sub>
              </m:sSub>
            </m:oMath>
            <w:r>
              <w:t xml:space="preserve"> </w:t>
            </w:r>
            <w:r>
              <w:t xml:space="preserve">sont indépendants de l’année desurvenance.</w:t>
            </w:r>
          </w:p>
          <w:p>
            <w:pPr>
              <w:pStyle w:val="FirstParagraph"/>
            </w:pPr>
            <w:r>
              <w:t xml:space="preserve">Les facteurs de développement individuels pour une année de développement j ne doivent pas s’écarter significativement de la moyenne des facteurs de développement individuels pour cette même année.</w:t>
            </w:r>
          </w:p>
          <w:p>
            <w:pPr>
              <w:numPr>
                <w:ilvl w:val="0"/>
                <w:numId w:val="1032"/>
              </w:numPr>
              <w:pStyle w:val="Compact"/>
            </w:pPr>
            <w:r>
              <w:rPr>
                <w:iCs/>
                <w:i/>
              </w:rPr>
              <w:t xml:space="preserve">Hypothèse Nº2</w:t>
            </w:r>
            <w:r>
              <w:t xml:space="preserve"> </w:t>
            </w:r>
            <w:r>
              <w:t xml:space="preserve">:</w:t>
            </w:r>
            <w:r>
              <w:t xml:space="preserve"> </w:t>
            </w:r>
            <w:r>
              <w:t xml:space="preserve">L’hypothèse centrale de cette méthode est celle de la stabilité des cadences de paiements.</w:t>
            </w:r>
            <w:r>
              <w:t xml:space="preserve"> </w:t>
            </w:r>
            <w:r>
              <w:t xml:space="preserve">Il existe des facteurs de développements</w:t>
            </w:r>
            <w:r>
              <w:t xml:space="preserve"> </w:t>
            </w:r>
            <m:oMath>
              <m:sSub>
                <m:e>
                  <m:r>
                    <m:t>f</m:t>
                  </m:r>
                </m:e>
                <m:sub>
                  <m:r>
                    <m:t>0</m:t>
                  </m:r>
                </m:sub>
              </m:sSub>
              <m:r>
                <m:rPr>
                  <m:sty m:val="p"/>
                </m:rPr>
                <m:t>,</m:t>
              </m:r>
              <m:r>
                <m:rPr>
                  <m:sty m:val="p"/>
                </m:rPr>
                <m:t>…</m:t>
              </m:r>
              <m:r>
                <m:rPr>
                  <m:sty m:val="p"/>
                </m:rPr>
                <m:t>,</m:t>
              </m:r>
              <m:sSub>
                <m:e>
                  <m:r>
                    <m:t>f</m:t>
                  </m:r>
                </m:e>
                <m:sub>
                  <m:r>
                    <m:t>n</m:t>
                  </m:r>
                  <m:r>
                    <m:rPr>
                      <m:sty m:val="p"/>
                    </m:rPr>
                    <m:t>−</m:t>
                  </m:r>
                  <m:r>
                    <m:t>1</m:t>
                  </m:r>
                </m:sub>
              </m:sSub>
              <m:r>
                <m:rPr>
                  <m:sty m:val="p"/>
                </m:rPr>
                <m:t>&gt;</m:t>
              </m:r>
              <m:r>
                <m:t>0</m:t>
              </m:r>
            </m:oMath>
            <w:r>
              <w:t xml:space="preserve"> </w:t>
            </w:r>
            <w:r>
              <w:t xml:space="preserve">tels que</w:t>
            </w:r>
            <w:r>
              <w:t xml:space="preserve"> </w:t>
            </w:r>
            <m:oMath>
              <m:r>
                <m:rPr>
                  <m:sty m:val="p"/>
                </m:rPr>
                <m:t>∀</m:t>
              </m:r>
              <m:r>
                <m:t>0</m:t>
              </m:r>
              <m:r>
                <m:rPr>
                  <m:sty m:val="p"/>
                </m:rPr>
                <m:t>≤</m:t>
              </m:r>
              <m:r>
                <m:t>i</m:t>
              </m:r>
              <m:r>
                <m:rPr>
                  <m:sty m:val="p"/>
                </m:rPr>
                <m:t>≤</m:t>
              </m:r>
              <m:r>
                <m:t>n</m:t>
              </m:r>
            </m:oMath>
            <w:r>
              <w:t xml:space="preserve"> </w:t>
            </w:r>
            <w:r>
              <w:t xml:space="preserve">et</w:t>
            </w:r>
            <w:r>
              <w:t xml:space="preserve"> </w:t>
            </w:r>
            <m:oMath>
              <m:r>
                <m:rPr>
                  <m:sty m:val="p"/>
                </m:rPr>
                <m:t>∀</m:t>
              </m:r>
              <m:r>
                <m:t>0</m:t>
              </m:r>
              <m:r>
                <m:rPr>
                  <m:sty m:val="p"/>
                </m:rPr>
                <m:t>≤</m:t>
              </m:r>
              <m:r>
                <m:t>j</m:t>
              </m:r>
              <m:r>
                <m:rPr>
                  <m:sty m:val="p"/>
                </m:rPr>
                <m:t>≤</m:t>
              </m:r>
              <m:r>
                <m:t>n</m:t>
              </m:r>
            </m:oMath>
            <w:r>
              <w:t xml:space="preserve">, on a :</w:t>
            </w:r>
            <w:r>
              <w:t xml:space="preserve"> </w:t>
            </w:r>
            <m:oMath>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0</m:t>
                      </m:r>
                    </m:sub>
                  </m:sSub>
                  <m:r>
                    <m:rPr>
                      <m:sty m:val="p"/>
                    </m:rPr>
                    <m:t>,</m:t>
                  </m:r>
                  <m:r>
                    <m:rPr>
                      <m:sty m:val="p"/>
                    </m:rPr>
                    <m:t>…</m:t>
                  </m:r>
                  <m:r>
                    <m:rPr>
                      <m:sty m:val="p"/>
                    </m:rPr>
                    <m:t>,</m:t>
                  </m:r>
                  <m:sSub>
                    <m:e>
                      <m:r>
                        <m:t>C</m:t>
                      </m:r>
                    </m:e>
                    <m:sub>
                      <m:r>
                        <m:t>i</m:t>
                      </m:r>
                      <m:r>
                        <m:rPr>
                          <m:sty m:val="p"/>
                        </m:rPr>
                        <m:t>,</m:t>
                      </m:r>
                      <m:r>
                        <m:t>j</m:t>
                      </m:r>
                      <m:r>
                        <m:rPr>
                          <m:sty m:val="p"/>
                        </m:rPr>
                        <m:t>−</m:t>
                      </m:r>
                      <m:r>
                        <m:t>1</m:t>
                      </m:r>
                    </m:sub>
                  </m:sSub>
                </m:e>
              </m:d>
              <m:r>
                <m:rPr>
                  <m:sty m:val="p"/>
                </m:rPr>
                <m:t>=</m:t>
              </m:r>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j</m:t>
                      </m:r>
                      <m:r>
                        <m:rPr>
                          <m:sty m:val="p"/>
                        </m:rPr>
                        <m:t>−</m:t>
                      </m:r>
                      <m:r>
                        <m:t>1</m:t>
                      </m:r>
                    </m:sub>
                  </m:sSub>
                </m:e>
              </m:d>
              <m:r>
                <m:rPr>
                  <m:sty m:val="p"/>
                </m:rPr>
                <m:t>=</m:t>
              </m:r>
              <m:sSub>
                <m:e>
                  <m:r>
                    <m:t>f</m:t>
                  </m:r>
                </m:e>
                <m:sub>
                  <m:r>
                    <m:t>j</m:t>
                  </m:r>
                  <m:r>
                    <m:rPr>
                      <m:sty m:val="p"/>
                    </m:rPr>
                    <m:t>−</m:t>
                  </m:r>
                  <m:r>
                    <m:t>1</m:t>
                  </m:r>
                </m:sub>
              </m:sSub>
              <m:sSub>
                <m:e>
                  <m:r>
                    <m:t>C</m:t>
                  </m:r>
                </m:e>
                <m:sub>
                  <m:r>
                    <m:t>i</m:t>
                  </m:r>
                  <m:r>
                    <m:rPr>
                      <m:sty m:val="p"/>
                    </m:rPr>
                    <m:t>,</m:t>
                  </m:r>
                  <m:r>
                    <m:t>j</m:t>
                  </m:r>
                  <m:r>
                    <m:rPr>
                      <m:sty m:val="p"/>
                    </m:rPr>
                    <m:t>−</m:t>
                  </m:r>
                  <m:r>
                    <m:t>1</m:t>
                  </m:r>
                </m:sub>
              </m:sSub>
            </m:oMath>
            <w:r>
              <w:t xml:space="preserve">.</w:t>
            </w:r>
          </w:p>
          <w:p>
            <w:pPr>
              <w:pStyle w:val="FirstParagraph"/>
            </w:pPr>
            <w:pPr>
              <w:spacing w:after="16"/>
            </w:pPr>
            <w:r>
              <w:t xml:space="preserve">Pour chaque année de développement</w:t>
            </w:r>
            <w:r>
              <w:t xml:space="preserve"> </w:t>
            </w:r>
            <m:oMath>
              <m:r>
                <m:t>j</m:t>
              </m:r>
            </m:oMath>
            <w:r>
              <w:t xml:space="preserve">, le nuage de points représentant les règlements cumulés de d’une année</w:t>
            </w:r>
            <w:r>
              <w:t xml:space="preserve"> </w:t>
            </w:r>
            <m:oMath>
              <m:r>
                <m:t>j</m:t>
              </m:r>
              <m:r>
                <m:rPr>
                  <m:sty m:val="p"/>
                </m:rPr>
                <m:t>+</m:t>
              </m:r>
              <m:r>
                <m:t>1</m:t>
              </m:r>
            </m:oMath>
            <w:r>
              <w:t xml:space="preserve"> </w:t>
            </w:r>
            <w:r>
              <w:t xml:space="preserve">par rapport aux règlements cumulés de l’année j doit être approché significativement par une droite.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1" name="Picture"/>
                  <a:graphic>
                    <a:graphicData uri="http://schemas.openxmlformats.org/drawingml/2006/picture">
                      <pic:pic>
                        <pic:nvPicPr>
                          <pic:cNvPr descr="/Applications/quarto/share/formats/docx/note.png" id="132"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4 : Calcul des facteurs de développement communs :</w:t>
            </w:r>
          </w:p>
        </w:tc>
      </w:tr>
      <w:tr>
        <w:trPr>
          <w:cantSplit/>
        </w:trPr>
        <w:tc>
          <w:tcPr>
            <w:tcMar>
              <w:top w:w="108" w:type="dxa"/>
              <w:bottom w:w="108" w:type="dxa"/>
            </w:tcMar>
          </w:tcPr>
          <w:p>
            <w:pPr>
              <w:pStyle w:val="BodyText"/>
            </w:pPr>
            <w:pPr>
              <w:spacing w:before="16"/>
            </w:pPr>
            <w:r>
              <w:t xml:space="preserve">Un facteur de développement commun est un coefficient qui permet de prédire les données futures manquantes à partir des données observées. La formule pour calculer les facteurs de développement communs est la suivante :</w:t>
            </w:r>
          </w:p>
          <w:p>
            <w:pPr>
              <w:pStyle w:val="BodyText"/>
            </w:pPr>
            <w:bookmarkStart w:id="133" w:name="eq-gbmp"/>
            <m:oMathPara>
              <m:oMathParaPr>
                <m:jc m:val="center"/>
              </m:oMathParaPr>
              <m:oMath>
                <m:sSub>
                  <m:e>
                    <m:acc>
                      <m:accPr>
                        <m:chr m:val="̂"/>
                      </m:accPr>
                      <m:e>
                        <m:r>
                          <m:t>f</m:t>
                        </m:r>
                      </m:e>
                    </m:acc>
                  </m:e>
                  <m:sub>
                    <m:r>
                      <m:t>j</m:t>
                    </m:r>
                  </m:sub>
                </m:sSub>
                <m:r>
                  <m:rPr>
                    <m:sty m:val="p"/>
                  </m:rPr>
                  <m:t>=</m:t>
                </m:r>
                <m:f>
                  <m:fPr>
                    <m:type m:val="bar"/>
                  </m:fPr>
                  <m:num>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r>
                              <m:rPr>
                                <m:sty m:val="p"/>
                              </m:rPr>
                              <m:t>+</m:t>
                            </m:r>
                            <m:r>
                              <m:t>1</m:t>
                            </m:r>
                          </m:sub>
                        </m:sSub>
                      </m:e>
                    </m:nary>
                  </m:num>
                  <m:den>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sub>
                        </m:sSub>
                      </m:e>
                    </m:nary>
                  </m:den>
                </m:f>
                <m:r>
                  <m:t> </m:t>
                </m:r>
                <m:r>
                  <m:rPr>
                    <m:sty m:val="p"/>
                  </m:rPr>
                  <m:t>,</m:t>
                </m:r>
                <m:r>
                  <m:t>  </m:t>
                </m:r>
                <m:d>
                  <m:dPr>
                    <m:begChr m:val="("/>
                    <m:endChr m:val=")"/>
                    <m:sepChr m:val=""/>
                    <m:grow/>
                  </m:dPr>
                  <m:e>
                    <m:r>
                      <m:t>27</m:t>
                    </m:r>
                  </m:e>
                </m:d>
              </m:oMath>
            </m:oMathPara>
            <w:bookmarkEnd w:id="133"/>
          </w:p>
          <w:p>
            <w:pPr>
              <w:pStyle w:val="FirstParagraph"/>
            </w:pPr>
            <w:pPr>
              <w:spacing w:after="16"/>
            </w:pPr>
            <w:r>
              <w:t xml:space="preserve">où</w:t>
            </w:r>
            <w:r>
              <w:t xml:space="preserve"> </w:t>
            </w:r>
            <m:oMath>
              <m:sSub>
                <m:e>
                  <m:r>
                    <m:t>f</m:t>
                  </m:r>
                </m:e>
                <m:sub>
                  <m:r>
                    <m:t>j</m:t>
                  </m:r>
                </m:sub>
              </m:sSub>
            </m:oMath>
            <w:r>
              <w:t xml:space="preserve"> </w:t>
            </w:r>
            <w:r>
              <w:t xml:space="preserve">est le facteur de développement commun de l’année de développement</w:t>
            </w:r>
            <w:r>
              <w:t xml:space="preserve"> </w:t>
            </w:r>
            <m:oMath>
              <m:r>
                <m:t>j</m:t>
              </m:r>
            </m:oMath>
            <w:r>
              <w:t xml:space="preserve"> </w:t>
            </w:r>
            <w:r>
              <w:t xml:space="preserve">à</w:t>
            </w:r>
            <w:r>
              <w:t xml:space="preserve"> </w:t>
            </w:r>
            <m:oMath>
              <m:r>
                <m:t>j</m:t>
              </m:r>
              <m:r>
                <m:rPr>
                  <m:sty m:val="p"/>
                </m:rPr>
                <m:t>+</m:t>
              </m:r>
              <m:r>
                <m:t>1</m:t>
              </m:r>
            </m:oMath>
            <w:r>
              <w:t xml:space="preserve">,</w:t>
            </w:r>
            <w:r>
              <w:t xml:space="preserve"> </w:t>
            </w:r>
            <m:oMath>
              <m:sSub>
                <m:e>
                  <m:r>
                    <m:t>C</m:t>
                  </m:r>
                </m:e>
                <m:sub>
                  <m:r>
                    <m:t>i</m:t>
                  </m:r>
                  <m:r>
                    <m:rPr>
                      <m:sty m:val="p"/>
                    </m:rPr>
                    <m:t>,</m:t>
                  </m:r>
                  <m:r>
                    <m:t>j</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j</m:t>
              </m:r>
            </m:oMath>
            <w:r>
              <w:t xml:space="preserve">, et</w:t>
            </w:r>
            <w:r>
              <w:t xml:space="preserve"> </w:t>
            </w:r>
            <m:oMath>
              <m:r>
                <m:t>n</m:t>
              </m:r>
            </m:oMath>
            <w:r>
              <w:t xml:space="preserve"> </w:t>
            </w:r>
            <w:r>
              <w:t xml:space="preserve">est le nombre d’années de survenance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Applications/quarto/share/formats/docx/note.png" id="135"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5 :Calcul des règlements cumulés futurs par année de survenance :</w:t>
            </w:r>
          </w:p>
        </w:tc>
      </w:tr>
      <w:tr>
        <w:trPr>
          <w:cantSplit/>
        </w:trPr>
        <w:tc>
          <w:tcPr>
            <w:tcMar>
              <w:top w:w="108" w:type="dxa"/>
              <w:bottom w:w="108" w:type="dxa"/>
            </w:tcMar>
          </w:tcPr>
          <w:p>
            <w:pPr>
              <w:pStyle w:val="BodyText"/>
            </w:pPr>
            <w:pPr>
              <w:spacing w:before="16"/>
            </w:pPr>
            <w:r>
              <w:t xml:space="preserve">Les règlements cumulés futurs sont estimés sur la base du triangle cumulé comme suit :</w:t>
            </w:r>
          </w:p>
          <w:p>
            <w:pPr>
              <w:pStyle w:val="BodyText"/>
            </w:pPr>
            <w:bookmarkStart w:id="136" w:name="eq-gbmp"/>
            <m:oMathPara>
              <m:oMathParaPr>
                <m:jc m:val="center"/>
              </m:oMathParaPr>
              <m:oMath>
                <m:sSub>
                  <m:e>
                    <m:acc>
                      <m:accPr>
                        <m:chr m:val="̂"/>
                      </m:accPr>
                      <m:e>
                        <m:r>
                          <m:t>C</m:t>
                        </m:r>
                      </m:e>
                    </m:acc>
                  </m:e>
                  <m:sub>
                    <m:r>
                      <m:t>i</m:t>
                    </m:r>
                    <m:r>
                      <m:rPr>
                        <m:sty m:val="p"/>
                      </m:rPr>
                      <m:t>,</m:t>
                    </m:r>
                    <m:r>
                      <m:t>j</m:t>
                    </m:r>
                    <m:r>
                      <m:rPr>
                        <m:sty m:val="p"/>
                      </m:rPr>
                      <m:t>+</m:t>
                    </m:r>
                    <m:r>
                      <m:t>1</m:t>
                    </m:r>
                  </m:sub>
                </m:sSub>
                <m:r>
                  <m:rPr>
                    <m:sty m:val="p"/>
                  </m:rPr>
                  <m:t>=</m:t>
                </m:r>
                <m:sSub>
                  <m:e>
                    <m:r>
                      <m:t>C</m:t>
                    </m:r>
                  </m:e>
                  <m:sub>
                    <m:r>
                      <m:t>i</m:t>
                    </m:r>
                    <m:r>
                      <m:rPr>
                        <m:sty m:val="p"/>
                      </m:rPr>
                      <m:t>,</m:t>
                    </m:r>
                    <m:r>
                      <m:t>n</m:t>
                    </m:r>
                    <m:r>
                      <m:rPr>
                        <m:sty m:val="p"/>
                      </m:rPr>
                      <m:t>−</m:t>
                    </m:r>
                    <m:r>
                      <m:t>i</m:t>
                    </m:r>
                  </m:sub>
                </m:sSub>
                <m:r>
                  <m:rPr>
                    <m:sty m:val="p"/>
                  </m:rPr>
                  <m:t>×</m:t>
                </m:r>
                <m:nary>
                  <m:naryPr>
                    <m:chr m:val="∏"/>
                    <m:limLoc m:val="undOvr"/>
                    <m:subHide m:val="0"/>
                    <m:supHide m:val="0"/>
                  </m:naryPr>
                  <m:sub>
                    <m:r>
                      <m:t>k</m:t>
                    </m:r>
                    <m:r>
                      <m:rPr>
                        <m:sty m:val="p"/>
                      </m:rPr>
                      <m:t>=</m:t>
                    </m:r>
                    <m:r>
                      <m:t>n</m:t>
                    </m:r>
                    <m:r>
                      <m:rPr>
                        <m:sty m:val="p"/>
                      </m:rPr>
                      <m:t>−</m:t>
                    </m:r>
                    <m:r>
                      <m:t>i</m:t>
                    </m:r>
                  </m:sub>
                  <m:sup>
                    <m:r>
                      <m:t>j</m:t>
                    </m:r>
                  </m:sup>
                  <m:e>
                    <m:sSub>
                      <m:e>
                        <m:acc>
                          <m:accPr>
                            <m:chr m:val="̂"/>
                          </m:accPr>
                          <m:e>
                            <m:r>
                              <m:t>f</m:t>
                            </m:r>
                          </m:e>
                        </m:acc>
                      </m:e>
                      <m:sub>
                        <m:r>
                          <m:t>k</m:t>
                        </m:r>
                      </m:sub>
                    </m:sSub>
                  </m:e>
                </m:nary>
                <m:r>
                  <m:t> </m:t>
                </m:r>
                <m:r>
                  <m:rPr>
                    <m:sty m:val="p"/>
                  </m:rPr>
                  <m:t>,</m:t>
                </m:r>
                <m:r>
                  <m:t>  </m:t>
                </m:r>
                <m:d>
                  <m:dPr>
                    <m:begChr m:val="("/>
                    <m:endChr m:val=")"/>
                    <m:sepChr m:val=""/>
                    <m:grow/>
                  </m:dPr>
                  <m:e>
                    <m:r>
                      <m:t>28</m:t>
                    </m:r>
                  </m:e>
                </m:d>
              </m:oMath>
            </m:oMathPara>
            <w:bookmarkEnd w:id="136"/>
          </w:p>
          <w:p>
            <w:pPr>
              <w:pStyle w:val="FirstParagraph"/>
            </w:pPr>
            <w:r>
              <w:t xml:space="preserve">où</w:t>
            </w:r>
            <w:r>
              <w:t xml:space="preserve"> </w:t>
            </w:r>
            <m:oMath>
              <m:sSub>
                <m:e>
                  <m:acc>
                    <m:accPr>
                      <m:chr m:val="̂"/>
                    </m:accPr>
                    <m:e>
                      <m:r>
                        <m:t>C</m:t>
                      </m:r>
                    </m:e>
                  </m:acc>
                </m:e>
                <m:sub>
                  <m:r>
                    <m:t>i</m:t>
                  </m:r>
                  <m:r>
                    <m:rPr>
                      <m:sty m:val="p"/>
                    </m:rPr>
                    <m:t>,</m:t>
                  </m:r>
                  <m:r>
                    <m:t>j</m:t>
                  </m:r>
                  <m:r>
                    <m:rPr>
                      <m:sty m:val="p"/>
                    </m:rPr>
                    <m:t>+</m:t>
                  </m:r>
                  <m:r>
                    <m:t>1</m:t>
                  </m:r>
                </m:sub>
              </m:sSub>
            </m:oMath>
            <w:r>
              <w:t xml:space="preserve"> </w:t>
            </w:r>
            <w:r>
              <w:t xml:space="preserve">est le règlement cumulé futur de l’année de survenance</w:t>
            </w:r>
            <w:r>
              <w:t xml:space="preserve"> </w:t>
            </w:r>
            <m:oMath>
              <m:r>
                <m:t>i</m:t>
              </m:r>
            </m:oMath>
            <w:r>
              <w:t xml:space="preserve">,</w:t>
            </w:r>
            <w:r>
              <w:t xml:space="preserve"> </w:t>
            </w:r>
            <m:oMath>
              <m:sSub>
                <m:e>
                  <m:r>
                    <m:t>C</m:t>
                  </m:r>
                </m:e>
                <m:sub>
                  <m:r>
                    <m:t>i</m:t>
                  </m:r>
                  <m:r>
                    <m:rPr>
                      <m:sty m:val="p"/>
                    </m:rPr>
                    <m:t>,</m:t>
                  </m:r>
                  <m:r>
                    <m:t>n</m:t>
                  </m:r>
                  <m:r>
                    <m:rPr>
                      <m:sty m:val="p"/>
                    </m:rPr>
                    <m:t>−</m:t>
                  </m:r>
                  <m:r>
                    <m:t>i</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n</m:t>
              </m:r>
              <m:r>
                <m:rPr>
                  <m:sty m:val="p"/>
                </m:rPr>
                <m:t>−</m:t>
              </m:r>
              <m:r>
                <m:t>i</m:t>
              </m:r>
            </m:oMath>
            <w:r>
              <w:t xml:space="preserve">,</w:t>
            </w:r>
            <w:r>
              <w:t xml:space="preserve"> </w:t>
            </w:r>
            <m:oMath>
              <m:sSub>
                <m:e>
                  <m:acc>
                    <m:accPr>
                      <m:chr m:val="̂"/>
                    </m:accPr>
                    <m:e>
                      <m:r>
                        <m:t>f</m:t>
                      </m:r>
                    </m:e>
                  </m:acc>
                </m:e>
                <m:sub>
                  <m:r>
                    <m:t>k</m:t>
                  </m:r>
                </m:sub>
              </m:sSub>
            </m:oMath>
            <w:r>
              <w:t xml:space="preserve"> </w:t>
            </w:r>
            <w:r>
              <w:t xml:space="preserve">est le facteur de développement commun de l’année de développement</w:t>
            </w:r>
            <w:r>
              <w:t xml:space="preserve"> </w:t>
            </w:r>
            <m:oMath>
              <m:r>
                <m:t>k</m:t>
              </m:r>
            </m:oMath>
            <w:r>
              <w:t xml:space="preserve"> </w:t>
            </w:r>
            <w:r>
              <w:t xml:space="preserve">à</w:t>
            </w:r>
            <w:r>
              <w:t xml:space="preserve"> </w:t>
            </w:r>
            <m:oMath>
              <m:r>
                <m:t>k</m:t>
              </m:r>
              <m:r>
                <m:rPr>
                  <m:sty m:val="p"/>
                </m:rPr>
                <m:t>+</m:t>
              </m:r>
              <m:r>
                <m:t>1</m:t>
              </m:r>
            </m:oMath>
            <w:r>
              <w:t xml:space="preserve">, et</w:t>
            </w:r>
            <w:r>
              <w:t xml:space="preserve"> </w:t>
            </w:r>
            <m:oMath>
              <m:r>
                <m:t>n</m:t>
              </m:r>
            </m:oMath>
            <w:r>
              <w:t xml:space="preserve"> </w:t>
            </w:r>
            <w:r>
              <w:t xml:space="preserve">est le nombre d’années de survenance.</w:t>
            </w:r>
          </w:p>
          <w:p>
            <w:pPr>
              <w:pStyle w:val="BodyText"/>
            </w:pPr>
            <w:r>
              <w:t xml:space="preserve">La Provision pour Sinistre à Payer (</w:t>
            </w:r>
            <m:oMath>
              <m:r>
                <m:t>P</m:t>
              </m:r>
              <m:r>
                <m:t>S</m:t>
              </m:r>
              <m:r>
                <m:t>A</m:t>
              </m:r>
              <m:r>
                <m:t>P</m:t>
              </m:r>
            </m:oMath>
            <w:r>
              <w:t xml:space="preserve">) est déduite des</w:t>
            </w:r>
            <w:r>
              <w:t xml:space="preserve"> </w:t>
            </w:r>
            <m:oMath>
              <m:sSub>
                <m:e>
                  <m:acc>
                    <m:accPr>
                      <m:chr m:val="̂"/>
                    </m:accPr>
                    <m:e>
                      <m:r>
                        <m:t>C</m:t>
                      </m:r>
                    </m:e>
                  </m:acc>
                </m:e>
                <m:sub>
                  <m:r>
                    <m:t>i</m:t>
                  </m:r>
                  <m:r>
                    <m:rPr>
                      <m:sty m:val="p"/>
                    </m:rPr>
                    <m:t>,</m:t>
                  </m:r>
                  <m:r>
                    <m:t>j</m:t>
                  </m:r>
                </m:sub>
              </m:sSub>
            </m:oMath>
            <w:r>
              <w:t xml:space="preserve"> </w:t>
            </w:r>
            <w:r>
              <w:t xml:space="preserve">et des</w:t>
            </w:r>
            <w:r>
              <w:t xml:space="preserve"> </w:t>
            </w:r>
            <m:oMath>
              <m:sSub>
                <m:e>
                  <m:r>
                    <m:t>C</m:t>
                  </m:r>
                </m:e>
                <m:sub>
                  <m:r>
                    <m:t>i</m:t>
                  </m:r>
                  <m:r>
                    <m:rPr>
                      <m:sty m:val="p"/>
                    </m:rPr>
                    <m:t>,</m:t>
                  </m:r>
                  <m:r>
                    <m:t>j</m:t>
                  </m:r>
                </m:sub>
              </m:sSub>
            </m:oMath>
            <w:r>
              <w:t xml:space="preserve"> </w:t>
            </w:r>
            <w:r>
              <w:t xml:space="preserve">par la formule :</w:t>
            </w:r>
          </w:p>
          <w:p>
            <w:pPr>
              <w:pStyle w:val="BodyText"/>
            </w:pPr>
            <w:pPr>
              <w:spacing w:after="16"/>
            </w:pPr>
          </w:p>
          <w:p>
            <w:pPr>
              <w:pStyle w:val="BodyText"/>
            </w:pPr>
            <w:bookmarkStart w:id="137" w:name="eq-gbmp"/>
            <m:oMathPara>
              <m:oMathParaPr>
                <m:jc m:val="center"/>
              </m:oMathParaPr>
              <m:oMath>
                <m:r>
                  <m:t>P</m:t>
                </m:r>
                <m:r>
                  <m:t>S</m:t>
                </m:r>
                <m:r>
                  <m:t>A</m:t>
                </m:r>
                <m:r>
                  <m:t>P</m:t>
                </m:r>
                <m:r>
                  <m:rPr>
                    <m:sty m:val="p"/>
                  </m:rPr>
                  <m:t>=</m:t>
                </m:r>
                <m:nary>
                  <m:naryPr>
                    <m:chr m:val="∑"/>
                    <m:limLoc m:val="undOvr"/>
                    <m:subHide m:val="0"/>
                    <m:supHide m:val="0"/>
                  </m:naryPr>
                  <m:sub>
                    <m:r>
                      <m:t>i</m:t>
                    </m:r>
                    <m:r>
                      <m:rPr>
                        <m:sty m:val="p"/>
                      </m:rPr>
                      <m:t>=</m:t>
                    </m:r>
                    <m:r>
                      <m:t>0</m:t>
                    </m:r>
                  </m:sub>
                  <m:sup>
                    <m:r>
                      <m:t>n</m:t>
                    </m:r>
                    <m:r>
                      <m:rPr>
                        <m:sty m:val="p"/>
                      </m:rPr>
                      <m:t>−</m:t>
                    </m:r>
                    <m:r>
                      <m:t>1</m:t>
                    </m:r>
                  </m:sup>
                  <m:e>
                    <m:d>
                      <m:dPr>
                        <m:begChr m:val="("/>
                        <m:endChr m:val=")"/>
                        <m:sepChr m:val=""/>
                        <m:grow/>
                      </m:dPr>
                      <m:e>
                        <m:sSub>
                          <m:e>
                            <m:acc>
                              <m:accPr>
                                <m:chr m:val="̂"/>
                              </m:accPr>
                              <m:e>
                                <m:r>
                                  <m:t>C</m:t>
                                </m:r>
                              </m:e>
                            </m:acc>
                          </m:e>
                          <m:sub>
                            <m:r>
                              <m:t>i</m:t>
                            </m:r>
                            <m:r>
                              <m:rPr>
                                <m:sty m:val="p"/>
                              </m:rPr>
                              <m:t>,</m:t>
                            </m:r>
                            <m:r>
                              <m:t>n</m:t>
                            </m:r>
                          </m:sub>
                        </m:sSub>
                        <m:r>
                          <m:rPr>
                            <m:sty m:val="p"/>
                          </m:rPr>
                          <m:t>−</m:t>
                        </m:r>
                        <m:sSub>
                          <m:e>
                            <m:r>
                              <m:t>C</m:t>
                            </m:r>
                          </m:e>
                          <m:sub>
                            <m:r>
                              <m:t>i</m:t>
                            </m:r>
                            <m:r>
                              <m:rPr>
                                <m:sty m:val="p"/>
                              </m:rPr>
                              <m:t>,</m:t>
                            </m:r>
                            <m:r>
                              <m:t>n</m:t>
                            </m:r>
                            <m:r>
                              <m:rPr>
                                <m:sty m:val="p"/>
                              </m:rPr>
                              <m:t>−</m:t>
                            </m:r>
                            <m:r>
                              <m:t>i</m:t>
                            </m:r>
                          </m:sub>
                        </m:sSub>
                      </m:e>
                    </m:d>
                  </m:e>
                </m:nary>
                <m:r>
                  <m:t>  </m:t>
                </m:r>
                <m:d>
                  <m:dPr>
                    <m:begChr m:val="("/>
                    <m:endChr m:val=")"/>
                    <m:sepChr m:val=""/>
                    <m:grow/>
                  </m:dPr>
                  <m:e>
                    <m:r>
                      <m:t>29</m:t>
                    </m:r>
                  </m:e>
                </m:d>
              </m:oMath>
            </m:oMathPara>
            <w:bookmarkEnd w:id="137"/>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Applications/quarto/share/formats/docx/note.png" id="139"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6 : Constitution du triangle des règlements décumulés futurs par année de survenance :</w:t>
            </w:r>
          </w:p>
        </w:tc>
      </w:tr>
      <w:tr>
        <w:trPr>
          <w:cantSplit/>
        </w:trPr>
        <w:tc>
          <w:tcPr>
            <w:tcMar>
              <w:top w:w="108" w:type="dxa"/>
              <w:bottom w:w="108" w:type="dxa"/>
            </w:tcMar>
          </w:tcPr>
          <w:p>
            <w:pPr>
              <w:pStyle w:val="BodyText"/>
            </w:pPr>
            <w:pPr>
              <w:spacing w:before="16"/>
            </w:pPr>
            <w:r>
              <w:t xml:space="preserve">A la sortie de l’étape 5, nous diposerons d’une matrice de règlements cumulés. Cette étape consiste à la décumuler en utilisant la formule suivante :</w:t>
            </w:r>
          </w:p>
          <w:p>
            <w:pPr>
              <w:pStyle w:val="BodyText"/>
            </w:pPr>
            <w:pPr>
              <w:spacing w:after="16"/>
            </w:pPr>
          </w:p>
          <w:p>
            <w:pPr>
              <w:pStyle w:val="BodyText"/>
            </w:pPr>
            <w:bookmarkStart w:id="140" w:name="eq-gbmp"/>
            <m:oMathPara>
              <m:oMathParaPr>
                <m:jc m:val="center"/>
              </m:oMathParaPr>
              <m:oMath>
                <m:sSub>
                  <m:e>
                    <m:acc>
                      <m:accPr>
                        <m:chr m:val="̂"/>
                      </m:accPr>
                      <m:e>
                        <m:r>
                          <m:t>R</m:t>
                        </m:r>
                      </m:e>
                    </m:acc>
                  </m:e>
                  <m:sub>
                    <m:r>
                      <m:t>i</m:t>
                    </m:r>
                    <m:r>
                      <m:rPr>
                        <m:sty m:val="p"/>
                      </m:rPr>
                      <m:t>,</m:t>
                    </m:r>
                    <m:r>
                      <m:t>j</m:t>
                    </m:r>
                  </m:sub>
                </m:sSub>
                <m:r>
                  <m:rPr>
                    <m:sty m:val="p"/>
                  </m:rPr>
                  <m:t>=</m:t>
                </m:r>
                <m:sSub>
                  <m:e>
                    <m:acc>
                      <m:accPr>
                        <m:chr m:val="̂"/>
                      </m:accPr>
                      <m:e>
                        <m:r>
                          <m:t>C</m:t>
                        </m:r>
                      </m:e>
                    </m:acc>
                  </m:e>
                  <m:sub>
                    <m:r>
                      <m:t>i</m:t>
                    </m:r>
                    <m:r>
                      <m:rPr>
                        <m:sty m:val="p"/>
                      </m:rPr>
                      <m:t>,</m:t>
                    </m:r>
                    <m:r>
                      <m:t>j</m:t>
                    </m:r>
                  </m:sub>
                </m:sSub>
                <m:r>
                  <m:rPr>
                    <m:sty m:val="p"/>
                  </m:rPr>
                  <m:t>−</m:t>
                </m:r>
                <m:sSub>
                  <m:e>
                    <m:acc>
                      <m:accPr>
                        <m:chr m:val="̂"/>
                      </m:accPr>
                      <m:e>
                        <m:r>
                          <m:t>C</m:t>
                        </m:r>
                      </m:e>
                    </m:acc>
                  </m:e>
                  <m:sub>
                    <m:r>
                      <m:t>i</m:t>
                    </m:r>
                    <m:r>
                      <m:rPr>
                        <m:sty m:val="p"/>
                      </m:rPr>
                      <m:t>,</m:t>
                    </m:r>
                    <m:r>
                      <m:t>j</m:t>
                    </m:r>
                    <m:r>
                      <m:rPr>
                        <m:sty m:val="p"/>
                      </m:rPr>
                      <m:t>−</m:t>
                    </m:r>
                    <m:r>
                      <m:t>1</m:t>
                    </m:r>
                  </m:sub>
                </m:sSub>
                <m:r>
                  <m:t> </m:t>
                </m:r>
                <m:r>
                  <m:t> </m:t>
                </m:r>
                <m:r>
                  <m:t> </m:t>
                </m:r>
                <m:r>
                  <m:t>p</m:t>
                </m:r>
                <m:r>
                  <m:t>o</m:t>
                </m:r>
                <m:r>
                  <m:t>u</m:t>
                </m:r>
                <m:r>
                  <m:t>r</m:t>
                </m:r>
                <m:r>
                  <m:t> </m:t>
                </m:r>
                <m:r>
                  <m:t> </m:t>
                </m:r>
                <m:r>
                  <m:t>1</m:t>
                </m:r>
                <m:r>
                  <m:rPr>
                    <m:sty m:val="p"/>
                  </m:rPr>
                  <m:t>≤</m:t>
                </m:r>
                <m:r>
                  <m:t>i</m:t>
                </m:r>
                <m:r>
                  <m:rPr>
                    <m:sty m:val="p"/>
                  </m:rPr>
                  <m:t>,</m:t>
                </m:r>
                <m:r>
                  <m:t>j</m:t>
                </m:r>
                <m:r>
                  <m:rPr>
                    <m:sty m:val="p"/>
                  </m:rPr>
                  <m:t>≤</m:t>
                </m:r>
                <m:r>
                  <m:t>n</m:t>
                </m:r>
                <m:r>
                  <m:t> </m:t>
                </m:r>
                <m:r>
                  <m:rPr>
                    <m:sty m:val="p"/>
                  </m:rPr>
                  <m:t>,</m:t>
                </m:r>
                <m:r>
                  <m:t>  </m:t>
                </m:r>
                <m:d>
                  <m:dPr>
                    <m:begChr m:val="("/>
                    <m:endChr m:val=")"/>
                    <m:sepChr m:val=""/>
                    <m:grow/>
                  </m:dPr>
                  <m:e>
                    <m:r>
                      <m:t>30</m:t>
                    </m:r>
                  </m:e>
                </m:d>
              </m:oMath>
            </m:oMathPara>
            <w:bookmarkEnd w:id="140"/>
          </w:p>
          <w:p>
            <w:pPr>
              <w:pStyle w:val="FirstParagraph"/>
            </w:pPr>
            <w:r>
              <w:t xml:space="preserve">avec :</w:t>
            </w:r>
            <w:r>
              <w:t xml:space="preserve"> </w:t>
            </w:r>
            <m:oMath>
              <m:sSub>
                <m:e>
                  <m:acc>
                    <m:accPr>
                      <m:chr m:val="̂"/>
                    </m:accPr>
                    <m:e>
                      <m:r>
                        <m:t>C</m:t>
                      </m:r>
                    </m:e>
                  </m:acc>
                </m:e>
                <m:sub>
                  <m:r>
                    <m:t>i</m:t>
                  </m:r>
                  <m:r>
                    <m:rPr>
                      <m:sty m:val="p"/>
                    </m:rPr>
                    <m:t>,</m:t>
                  </m:r>
                  <m:r>
                    <m:t>j</m:t>
                  </m:r>
                </m:sub>
              </m:sSub>
              <m:r>
                <m:rPr>
                  <m:sty m:val="p"/>
                </m:rPr>
                <m:t>=</m:t>
              </m:r>
              <m:sSub>
                <m:e>
                  <m:r>
                    <m:t>C</m:t>
                  </m:r>
                </m:e>
                <m:sub>
                  <m:r>
                    <m:t>i</m:t>
                  </m:r>
                  <m:r>
                    <m:rPr>
                      <m:sty m:val="p"/>
                    </m:rPr>
                    <m:t>,</m:t>
                  </m:r>
                  <m:r>
                    <m:t>j</m:t>
                  </m:r>
                </m:sub>
              </m:sSub>
            </m:oMath>
            <w:r>
              <w:t xml:space="preserve"> </w:t>
            </w:r>
            <w:r>
              <w:t xml:space="preserve">lorsque</w:t>
            </w:r>
            <w:r>
              <w:t xml:space="preserve"> </w:t>
            </w:r>
            <m:oMath>
              <m:r>
                <m:t>i</m:t>
              </m:r>
              <m:r>
                <m:rPr>
                  <m:sty m:val="p"/>
                </m:rPr>
                <m:t>≤</m:t>
              </m:r>
              <m:r>
                <m:t>j</m:t>
              </m:r>
            </m:oMath>
            <w:r>
              <w:t xml:space="preserv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Applications/quarto/share/formats/docx/note.png" id="142"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7 : Calcul des flux de règlements futurs nets de recours (somme des diagonales) :</w:t>
            </w:r>
          </w:p>
        </w:tc>
      </w:tr>
      <w:tr>
        <w:trPr>
          <w:cantSplit/>
        </w:trPr>
        <w:tc>
          <w:tcPr>
            <w:tcMar>
              <w:top w:w="108" w:type="dxa"/>
              <w:bottom w:w="108" w:type="dxa"/>
            </w:tcMar>
          </w:tcPr>
          <w:p>
            <w:pPr>
              <w:pStyle w:val="BodyText"/>
            </w:pPr>
            <w:pPr>
              <w:spacing w:before="16" w:after="16"/>
            </w:pPr>
            <w:r>
              <w:t xml:space="preserve">Les flux de règlements futurs nets correspondent à la somme des éléments de la diagonales du triangle décumulé inférieur obtenu à l’étape 6 :</w:t>
            </w:r>
          </w:p>
          <w:p>
            <w:pPr>
              <w:pStyle w:val="BodyText"/>
            </w:pPr>
            <w:bookmarkStart w:id="143" w:name="eq-gbmp"/>
            <m:oMathPara>
              <m:oMathParaPr>
                <m:jc m:val="center"/>
              </m:oMathParaPr>
              <m:oMath>
                <m:r>
                  <m:t>F</m:t>
                </m:r>
                <m:r>
                  <m:t>R</m:t>
                </m:r>
                <m:r>
                  <m:t>F</m:t>
                </m:r>
                <m:r>
                  <m:t>P</m:t>
                </m:r>
                <m:r>
                  <m:rPr>
                    <m:sty m:val="p"/>
                  </m:rPr>
                  <m:t>=</m:t>
                </m:r>
                <m:sSub>
                  <m:e>
                    <m:acc>
                      <m:accPr>
                        <m:chr m:val="̂"/>
                      </m:accPr>
                      <m:e>
                        <m:r>
                          <m:t>R</m:t>
                        </m:r>
                      </m:e>
                    </m:acc>
                  </m:e>
                  <m:sub>
                    <m:r>
                      <m:t>p</m:t>
                    </m:r>
                  </m:sub>
                </m:sSub>
                <m:r>
                  <m:rPr>
                    <m:sty m:val="p"/>
                  </m:rPr>
                  <m:t>=</m:t>
                </m:r>
                <m:nary>
                  <m:naryPr>
                    <m:chr m:val="∑"/>
                    <m:limLoc m:val="undOvr"/>
                    <m:subHide m:val="0"/>
                    <m:supHide m:val="0"/>
                  </m:naryPr>
                  <m:sub>
                    <m:r>
                      <m:t>i</m:t>
                    </m:r>
                    <m:r>
                      <m:rPr>
                        <m:sty m:val="p"/>
                      </m:rPr>
                      <m:t>=</m:t>
                    </m:r>
                    <m:r>
                      <m:t>p</m:t>
                    </m:r>
                    <m:r>
                      <m:rPr>
                        <m:sty m:val="p"/>
                      </m:rPr>
                      <m:t>+</m:t>
                    </m:r>
                    <m:r>
                      <m:t>1</m:t>
                    </m:r>
                  </m:sub>
                  <m:sup>
                    <m:r>
                      <m:t>n</m:t>
                    </m:r>
                  </m:sup>
                  <m:e>
                    <m:sSub>
                      <m:e>
                        <m:acc>
                          <m:accPr>
                            <m:chr m:val="̂"/>
                          </m:accPr>
                          <m:e>
                            <m:r>
                              <m:t>R</m:t>
                            </m:r>
                          </m:e>
                        </m:acc>
                      </m:e>
                      <m:sub>
                        <m:r>
                          <m:t>i</m:t>
                        </m:r>
                        <m:r>
                          <m:rPr>
                            <m:sty m:val="p"/>
                          </m:rPr>
                          <m:t>,</m:t>
                        </m:r>
                        <m:r>
                          <m:t>n</m:t>
                        </m:r>
                        <m:r>
                          <m:rPr>
                            <m:sty m:val="p"/>
                          </m:rPr>
                          <m:t>−</m:t>
                        </m:r>
                        <m:r>
                          <m:t>i</m:t>
                        </m:r>
                        <m:r>
                          <m:rPr>
                            <m:sty m:val="p"/>
                          </m:rPr>
                          <m:t>+</m:t>
                        </m:r>
                        <m:r>
                          <m:t>p</m:t>
                        </m:r>
                        <m:r>
                          <m:rPr>
                            <m:sty m:val="p"/>
                          </m:rPr>
                          <m:t>+</m:t>
                        </m:r>
                        <m:r>
                          <m:t>1</m:t>
                        </m:r>
                      </m:sub>
                    </m:sSub>
                  </m:e>
                </m:nary>
                <m:r>
                  <m:t>  </m:t>
                </m:r>
                <m:r>
                  <m:t>a</m:t>
                </m:r>
                <m:r>
                  <m:t>v</m:t>
                </m:r>
                <m:r>
                  <m:t>e</m:t>
                </m:r>
                <m:r>
                  <m:t>c</m:t>
                </m:r>
                <m:r>
                  <m:t> </m:t>
                </m:r>
                <m:r>
                  <m:t> </m:t>
                </m:r>
                <m:r>
                  <m:t>1</m:t>
                </m:r>
                <m:r>
                  <m:rPr>
                    <m:sty m:val="p"/>
                  </m:rPr>
                  <m:t>≤</m:t>
                </m:r>
                <m:r>
                  <m:t>p</m:t>
                </m:r>
                <m:r>
                  <m:rPr>
                    <m:sty m:val="p"/>
                  </m:rPr>
                  <m:t>≤</m:t>
                </m:r>
                <m:r>
                  <m:t>n</m:t>
                </m:r>
                <m:r>
                  <m:t>  </m:t>
                </m:r>
                <m:d>
                  <m:dPr>
                    <m:begChr m:val="("/>
                    <m:endChr m:val=")"/>
                    <m:sepChr m:val=""/>
                    <m:grow/>
                  </m:dPr>
                  <m:e>
                    <m:r>
                      <m:t>31</m:t>
                    </m:r>
                  </m:e>
                </m:d>
              </m:oMath>
            </m:oMathPara>
            <w:bookmarkEnd w:id="143"/>
          </w:p>
        </w:tc>
      </w:tr>
    </w:tbl>
    <w:p>
      <w:pPr>
        <w:pStyle w:val="FirstParagraph"/>
      </w:pPr>
      <w:r>
        <w:t xml:space="preserve">Bien que la méthode de Chain Ladder soit celle préconisée par l’ACAPS dans le cadre de la</w:t>
      </w:r>
      <w:r>
        <w:t xml:space="preserve"> </w:t>
      </w:r>
      <m:oMath>
        <m:r>
          <m:t>S</m:t>
        </m:r>
        <m:r>
          <m:t>B</m:t>
        </m:r>
        <m:r>
          <m:t>R</m:t>
        </m:r>
      </m:oMath>
      <w:r>
        <w:t xml:space="preserve">, il existe sur marché d’autres méthodes de calcul des flux de règlements futurs.</w:t>
      </w:r>
    </w:p>
    <w:bookmarkEnd w:id="144"/>
    <w:bookmarkStart w:id="145" w:name="méthode-des-cadences-avec-inflation"/>
    <w:p>
      <w:pPr>
        <w:pStyle w:val="Heading4"/>
      </w:pPr>
      <w:r>
        <w:t xml:space="preserve">Méthode des cadences avec inflation</w:t>
      </w:r>
    </w:p>
    <w:p>
      <w:pPr>
        <w:pStyle w:val="FirstParagraph"/>
      </w:pPr>
      <w:r>
        <w:t xml:space="preserve">Cette variante de la méthode des cadences tient compte de l’inflation de façon explicite.</w:t>
      </w:r>
      <w:r>
        <w:t xml:space="preserve"> </w:t>
      </w:r>
      <w:r>
        <w:t xml:space="preserve">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w:t>
      </w:r>
      <w:r>
        <w:t xml:space="preserve"> </w:t>
      </w:r>
      <w:r>
        <w:t xml:space="preserve">On applique ensuite la méthode des cadences.</w:t>
      </w:r>
    </w:p>
    <w:bookmarkEnd w:id="145"/>
    <w:bookmarkStart w:id="147" w:name="la-méthode-du-ratio-de-paiement"/>
    <w:p>
      <w:pPr>
        <w:pStyle w:val="Heading4"/>
      </w:pPr>
      <w:r>
        <w:t xml:space="preserve">La méthode du ratio de paiement</w:t>
      </w:r>
    </w:p>
    <w:p>
      <w:pPr>
        <w:pStyle w:val="FirstParagraph"/>
      </w:pPr>
      <w:r>
        <w:t xml:space="preserve">Cette méthode a été à Sawkins 1975 est semblable à la méthode des cadences de développement avec inflation, sauf que les coefficients de passage</w:t>
      </w:r>
      <w:r>
        <w:t xml:space="preserve"> </w:t>
      </w:r>
      <m:oMath>
        <m:sSub>
          <m:e>
            <m:acc>
              <m:accPr>
                <m:chr m:val="̂"/>
              </m:accPr>
              <m:e>
                <m:r>
                  <m:t>f</m:t>
                </m:r>
              </m:e>
            </m:acc>
          </m:e>
          <m:sub>
            <m:r>
              <m:t>j</m:t>
            </m:r>
          </m:sub>
        </m:sSub>
      </m:oMath>
      <w:r>
        <w:t xml:space="preserve"> </w:t>
      </w:r>
      <w:r>
        <w:t xml:space="preserve">sont calculés comme une moyenne de ratios et non comme un ratio de moyennes :</w:t>
      </w:r>
    </w:p>
    <w:p>
      <w:pPr>
        <w:pStyle w:val="BodyText"/>
      </w:pPr>
      <w:bookmarkStart w:id="146" w:name="eq-gbmp"/>
      <m:oMathPara>
        <m:oMathParaPr>
          <m:jc m:val="center"/>
        </m:oMathParaPr>
        <m:oMath>
          <m:sSub>
            <m:e>
              <m:acc>
                <m:accPr>
                  <m:chr m:val="̂"/>
                </m:accPr>
                <m:e>
                  <m:r>
                    <m:t>f</m:t>
                  </m:r>
                </m:e>
              </m:acc>
            </m:e>
            <m:sub>
              <m:r>
                <m:t>j</m:t>
              </m:r>
            </m:sub>
          </m:sSub>
          <m:r>
            <m:rPr>
              <m:sty m:val="p"/>
            </m:rPr>
            <m:t>=</m:t>
          </m:r>
          <m:f>
            <m:fPr>
              <m:type m:val="bar"/>
            </m:fPr>
            <m:num>
              <m:r>
                <m:t>1</m:t>
              </m:r>
            </m:num>
            <m:den>
              <m:r>
                <m:t>n</m:t>
              </m:r>
              <m:r>
                <m:rPr>
                  <m:sty m:val="p"/>
                </m:rPr>
                <m:t>−</m:t>
              </m:r>
              <m:r>
                <m:t>j</m:t>
              </m:r>
              <m:r>
                <m:rPr>
                  <m:sty m:val="p"/>
                </m:rPr>
                <m:t>−</m:t>
              </m:r>
              <m:r>
                <m:t>1</m:t>
              </m:r>
            </m:den>
          </m:f>
          <m:nary>
            <m:naryPr>
              <m:chr m:val="∑"/>
              <m:limLoc m:val="undOvr"/>
              <m:subHide m:val="0"/>
              <m:supHide m:val="0"/>
            </m:naryPr>
            <m:sub>
              <m:r>
                <m:t>i</m:t>
              </m:r>
              <m:r>
                <m:rPr>
                  <m:sty m:val="p"/>
                </m:rPr>
                <m:t>=</m:t>
              </m:r>
              <m:r>
                <m:t>0</m:t>
              </m:r>
            </m:sub>
            <m:sup>
              <m:r>
                <m:t>n</m:t>
              </m:r>
              <m:r>
                <m:rPr>
                  <m:sty m:val="p"/>
                </m:rPr>
                <m:t>−</m:t>
              </m:r>
              <m:r>
                <m:t>j</m:t>
              </m:r>
              <m:r>
                <m:rPr>
                  <m:sty m:val="p"/>
                </m:rPr>
                <m:t>−</m:t>
              </m:r>
              <m:r>
                <m:t>1</m:t>
              </m:r>
            </m:sup>
            <m:e>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e>
          </m:nary>
          <m:r>
            <m:t>  </m:t>
          </m:r>
          <m:d>
            <m:dPr>
              <m:begChr m:val="("/>
              <m:endChr m:val=")"/>
              <m:sepChr m:val=""/>
              <m:grow/>
            </m:dPr>
            <m:e>
              <m:r>
                <m:t>32</m:t>
              </m:r>
            </m:e>
          </m:d>
        </m:oMath>
      </m:oMathPara>
      <w:bookmarkEnd w:id="146"/>
    </w:p>
    <w:bookmarkEnd w:id="147"/>
    <w:bookmarkStart w:id="153" w:name="la-méthode-du-ratio-de-paiement-1"/>
    <w:p>
      <w:pPr>
        <w:pStyle w:val="Heading4"/>
      </w:pPr>
      <w:r>
        <w:t xml:space="preserve">La méthode du ratio de paiement</w:t>
      </w:r>
    </w:p>
    <w:p>
      <w:pPr>
        <w:pStyle w:val="FirstParagraph"/>
      </w:pPr>
      <w:r>
        <w:t xml:space="preserve">La méthode de Bornhuetter-Ferguson</w:t>
      </w:r>
      <w:r>
        <w:rPr>
          <w:rStyle w:val="FootnoteReference"/>
        </w:rPr>
        <w:footnoteReference w:id="148"/>
      </w:r>
      <w:r>
        <w:t xml:space="preserve"> </w:t>
      </w:r>
      <w:r>
        <w:t xml:space="preserve">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pPr>
        <w:pStyle w:val="BodyText"/>
      </w:pPr>
      <w:r>
        <w:t xml:space="preserve">En résumé, elle suppose que l’on dispose d’une information externe sur la valeur probable finale du coût total des sinistres, que l’on appelle</w:t>
      </w:r>
      <w:r>
        <w:t xml:space="preserve"> </w:t>
      </w:r>
      <m:oMath>
        <m:r>
          <m:t>A</m:t>
        </m:r>
      </m:oMath>
      <w:r>
        <w:t xml:space="preserve">, et que l’on connaisse la proportion de sinistres attendus (</w:t>
      </w:r>
      <w:r>
        <w:t xml:space="preserve"> </w:t>
      </w:r>
      <w:r>
        <w:rPr>
          <w:iCs/>
          <w:i/>
        </w:rPr>
        <w:t xml:space="preserve">ref</w:t>
      </w:r>
      <w:r>
        <w:rPr>
          <w:rStyle w:val="FootnoteReference"/>
        </w:rPr>
        <w:footnoteReference w:id="149"/>
      </w:r>
      <w:r>
        <w:t xml:space="preserve"> </w:t>
      </w:r>
      <w:r>
        <w:t xml:space="preserve">).</w:t>
      </w:r>
      <w:r>
        <w:t xml:space="preserve"> </w:t>
      </w:r>
      <w:r>
        <w:t xml:space="preserve">Cette méthode se formule comme suit :</w:t>
      </w:r>
    </w:p>
    <w:p>
      <w:pPr>
        <w:pStyle w:val="BodyText"/>
      </w:pPr>
      <w:bookmarkStart w:id="150" w:name="eq-gbmp"/>
      <m:oMathPara>
        <m:oMathParaPr>
          <m:jc m:val="center"/>
        </m:oMathParaPr>
        <m:oMath>
          <m:r>
            <m:t>L</m:t>
          </m:r>
          <m:r>
            <m:rPr>
              <m:sty m:val="p"/>
            </m:rPr>
            <m:t>=</m:t>
          </m:r>
          <m:r>
            <m:t>D</m:t>
          </m:r>
          <m:r>
            <m:rPr>
              <m:sty m:val="p"/>
            </m:rPr>
            <m:t>×</m:t>
          </m:r>
          <m:f>
            <m:fPr>
              <m:type m:val="bar"/>
            </m:fPr>
            <m:num>
              <m:r>
                <m:t>1</m:t>
              </m:r>
            </m:num>
            <m:den>
              <m:r>
                <m:t>L</m:t>
              </m:r>
              <m:r>
                <m:t>D</m:t>
              </m:r>
              <m:r>
                <m:t>F</m:t>
              </m:r>
            </m:den>
          </m:f>
          <m:r>
            <m:rPr>
              <m:sty m:val="p"/>
            </m:rPr>
            <m:t>+</m:t>
          </m:r>
          <m:r>
            <m:t>A</m:t>
          </m:r>
          <m:r>
            <m:rPr>
              <m:sty m:val="p"/>
            </m:rPr>
            <m:t>×</m:t>
          </m:r>
          <m:d>
            <m:dPr>
              <m:begChr m:val="("/>
              <m:endChr m:val=")"/>
              <m:sepChr m:val=""/>
              <m:grow/>
            </m:dPr>
            <m:e>
              <m:r>
                <m:t>1</m:t>
              </m:r>
              <m:r>
                <m:rPr>
                  <m:sty m:val="p"/>
                </m:rPr>
                <m:t>−</m:t>
              </m:r>
              <m:f>
                <m:fPr>
                  <m:type m:val="bar"/>
                </m:fPr>
                <m:num>
                  <m:r>
                    <m:t>1</m:t>
                  </m:r>
                </m:num>
                <m:den>
                  <m:r>
                    <m:t>L</m:t>
                  </m:r>
                  <m:r>
                    <m:t>D</m:t>
                  </m:r>
                  <m:r>
                    <m:t>F</m:t>
                  </m:r>
                </m:den>
              </m:f>
            </m:e>
          </m:d>
          <m:r>
            <m:t> </m:t>
          </m:r>
          <m:r>
            <m:rPr>
              <m:sty m:val="p"/>
            </m:rPr>
            <m:t>,</m:t>
          </m:r>
          <m:r>
            <m:t>  </m:t>
          </m:r>
          <m:d>
            <m:dPr>
              <m:begChr m:val="("/>
              <m:endChr m:val=")"/>
              <m:sepChr m:val=""/>
              <m:grow/>
            </m:dPr>
            <m:e>
              <m:r>
                <m:t>33</m:t>
              </m:r>
            </m:e>
          </m:d>
        </m:oMath>
      </m:oMathPara>
      <w:bookmarkEnd w:id="150"/>
    </w:p>
    <w:p>
      <w:pPr>
        <w:pStyle w:val="FirstParagraph"/>
      </w:pPr>
      <w:r>
        <w:t xml:space="preserve">avec :</w:t>
      </w:r>
    </w:p>
    <w:p>
      <w:pPr>
        <w:numPr>
          <w:ilvl w:val="0"/>
          <w:numId w:val="1033"/>
        </w:numPr>
        <w:pStyle w:val="Compact"/>
      </w:pPr>
      <m:oMath>
        <m:r>
          <m:t>L</m:t>
        </m:r>
      </m:oMath>
      <w:r>
        <w:t xml:space="preserve"> </w:t>
      </w:r>
      <w:r>
        <w:t xml:space="preserve">: coût total estimé par cette méthode.</w:t>
      </w:r>
    </w:p>
    <w:p>
      <w:pPr>
        <w:numPr>
          <w:ilvl w:val="0"/>
          <w:numId w:val="1033"/>
        </w:numPr>
        <w:pStyle w:val="Compact"/>
      </w:pPr>
      <m:oMath>
        <m:r>
          <m:t>D</m:t>
        </m:r>
      </m:oMath>
      <w:r>
        <w:t xml:space="preserve"> </w:t>
      </w:r>
      <w:r>
        <w:t xml:space="preserve">: coût total estimé en fonction des sinistres connues.</w:t>
      </w:r>
    </w:p>
    <w:p>
      <w:pPr>
        <w:numPr>
          <w:ilvl w:val="0"/>
          <w:numId w:val="1033"/>
        </w:numPr>
        <w:pStyle w:val="Compact"/>
      </w:pPr>
      <m:oMath>
        <m:r>
          <m:t>A</m:t>
        </m:r>
      </m:oMath>
      <w:r>
        <w:t xml:space="preserve"> </w:t>
      </w:r>
      <w:r>
        <w:t xml:space="preserve">: coût total (connus + tardifs) attendu a priori.</w:t>
      </w:r>
    </w:p>
    <w:p>
      <w:pPr>
        <w:numPr>
          <w:ilvl w:val="0"/>
          <w:numId w:val="1033"/>
        </w:numPr>
        <w:pStyle w:val="Compact"/>
      </w:pPr>
      <m:oMath>
        <m:r>
          <m:t>L</m:t>
        </m:r>
        <m:r>
          <m:t>D</m:t>
        </m:r>
        <m:r>
          <m:t>F</m:t>
        </m:r>
      </m:oMath>
      <w:r>
        <w:t xml:space="preserve"> </w:t>
      </w:r>
      <w:r>
        <w:t xml:space="preserve">: proportion de la liquidation déjà constatée.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51" name="Picture"/>
                  <a:graphic>
                    <a:graphicData uri="http://schemas.openxmlformats.org/drawingml/2006/picture">
                      <pic:pic>
                        <pic:nvPicPr>
                          <pic:cNvPr descr="/Applications/quarto/share/formats/docx/tip.png" id="15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Exemple</w:t>
            </w:r>
          </w:p>
          <w:p>
            <w:pPr>
              <w:pStyle w:val="BodyText"/>
            </w:pPr>
            <w:pPr>
              <w:spacing w:before="16"/>
            </w:pPr>
            <w:r>
              <w:t xml:space="preserve">Imaginons que le tarif ait été fixé en prévoyant une sinistralité totale de</w:t>
            </w:r>
            <w:r>
              <w:t xml:space="preserve"> </w:t>
            </w:r>
            <m:oMath>
              <m:r>
                <m:t>90</m:t>
              </m:r>
            </m:oMath>
            <w:r>
              <w:t xml:space="preserve">, que la part des sinistres connus au premier bilan soit habituellement de</w:t>
            </w:r>
            <w:r>
              <w:t xml:space="preserve"> </w:t>
            </w:r>
            <m:oMath>
              <m:r>
                <m:t>40</m:t>
              </m:r>
              <m:r>
                <m:rPr>
                  <m:sty m:val="p"/>
                </m:rPr>
                <m:t>%</m:t>
              </m:r>
            </m:oMath>
            <w:r>
              <w:t xml:space="preserve"> </w:t>
            </w:r>
            <w:r>
              <w:t xml:space="preserve">et que la sinistralité observée au premier bilan soit de</w:t>
            </w:r>
            <w:r>
              <w:t xml:space="preserve"> </w:t>
            </w:r>
            <m:oMath>
              <m:r>
                <m:t>36</m:t>
              </m:r>
            </m:oMath>
            <w:r>
              <w:t xml:space="preserve">.</w:t>
            </w:r>
          </w:p>
          <w:p>
            <w:pPr>
              <w:pStyle w:val="BodyText"/>
            </w:pPr>
            <w:r>
              <w:t xml:space="preserve">Si l’on pense que le tarif était bien établi, il n’y a pas lieu de changer la sinistralité totale et le montant des tardifs à provisionner est de</w:t>
            </w:r>
            <w:r>
              <w:t xml:space="preserve"> </w:t>
            </w:r>
            <m:oMath>
              <m:r>
                <m:t>90</m:t>
              </m:r>
              <m:r>
                <m:rPr>
                  <m:sty m:val="p"/>
                </m:rPr>
                <m:t>−</m:t>
              </m:r>
              <m:r>
                <m:t>36</m:t>
              </m:r>
              <m:r>
                <m:rPr>
                  <m:sty m:val="p"/>
                </m:rPr>
                <m:t>=</m:t>
              </m:r>
              <m:r>
                <m:t>54</m:t>
              </m:r>
            </m:oMath>
            <w:r>
              <w:t xml:space="preserve">.</w:t>
            </w:r>
          </w:p>
          <w:p>
            <w:pPr>
              <w:pStyle w:val="BodyText"/>
            </w:pPr>
            <w:r>
              <w:t xml:space="preserve">Si l’on pense que la part des sinistres connus au premier bilan est un indicateur fiable, il y a lieu de considérer que la sinistralité totale sera de</w:t>
            </w:r>
            <w:r>
              <w:t xml:space="preserve"> </w:t>
            </w:r>
            <m:oMath>
              <m:r>
                <m:t>36</m:t>
              </m:r>
              <m:r>
                <m:rPr>
                  <m:sty m:val="p"/>
                </m:rPr>
                <m:t>/</m:t>
              </m:r>
              <m:r>
                <m:t>40</m:t>
              </m:r>
              <m:r>
                <m:rPr>
                  <m:sty m:val="p"/>
                </m:rPr>
                <m:t>%</m:t>
              </m:r>
              <m:r>
                <m:rPr>
                  <m:sty m:val="p"/>
                </m:rPr>
                <m:t>=</m:t>
              </m:r>
              <m:r>
                <m:t>90</m:t>
              </m:r>
            </m:oMath>
            <w:r>
              <w:t xml:space="preserve"> </w:t>
            </w:r>
            <w:r>
              <w:t xml:space="preserve">et de provisionner 54 de tardifs.</w:t>
            </w:r>
          </w:p>
          <w:p>
            <w:pPr>
              <w:pStyle w:val="BodyText"/>
            </w:pPr>
            <w:r>
              <w:t xml:space="preserve">L’application de la méthode Bornhuetter-Ferguson donne un résultat intermédiaire calculé ainsi :</w:t>
            </w:r>
          </w:p>
          <w:p>
            <w:pPr>
              <w:pStyle w:val="BodyText"/>
            </w:pPr>
            <w:pPr>
              <w:spacing w:after="16"/>
            </w:pPr>
            <m:oMath>
              <m:r>
                <m:t>L</m:t>
              </m:r>
              <m:r>
                <m:rPr>
                  <m:sty m:val="p"/>
                </m:rPr>
                <m:t>=</m:t>
              </m:r>
              <m:r>
                <m:t>90</m:t>
              </m:r>
              <m:r>
                <m:rPr>
                  <m:sty m:val="p"/>
                </m:rPr>
                <m:t>×</m:t>
              </m:r>
              <m:r>
                <m:t>40</m:t>
              </m:r>
              <m:r>
                <m:rPr>
                  <m:sty m:val="p"/>
                </m:rPr>
                <m:t>%</m:t>
              </m:r>
              <m:r>
                <m:rPr>
                  <m:sty m:val="p"/>
                </m:rPr>
                <m:t>+</m:t>
              </m:r>
              <m:r>
                <m:t>90</m:t>
              </m:r>
              <m:r>
                <m:rPr>
                  <m:sty m:val="p"/>
                </m:rPr>
                <m:t>×</m:t>
              </m:r>
              <m:r>
                <m:t>60</m:t>
              </m:r>
              <m:r>
                <m:rPr>
                  <m:sty m:val="p"/>
                </m:rPr>
                <m:t>%</m:t>
              </m:r>
              <m:r>
                <m:rPr>
                  <m:sty m:val="p"/>
                </m:rPr>
                <m:t>=</m:t>
              </m:r>
              <m:r>
                <m:t>90</m:t>
              </m:r>
            </m:oMath>
            <w:r>
              <w:t xml:space="preserve">, soit un volume de tardifs attendu de</w:t>
            </w:r>
            <w:r>
              <w:t xml:space="preserve"> </w:t>
            </w:r>
            <m:oMath>
              <m:r>
                <m:t>54</m:t>
              </m:r>
            </m:oMath>
            <w:r>
              <w:t xml:space="preserve">.</w:t>
            </w:r>
          </w:p>
        </w:tc>
      </w:tr>
    </w:tbl>
    <w:p>
      <w:pPr>
        <w:pStyle w:val="BodyText"/>
      </w:pPr>
      <w:r>
        <w:t xml:space="preserve">Plusieurs auteurs ont exprimé l’opinion que cette méthode est plus performante que la méthode des cadences de développement, en début de développement.</w:t>
      </w:r>
    </w:p>
    <w:bookmarkEnd w:id="153"/>
    <w:bookmarkEnd w:id="154"/>
    <w:bookmarkStart w:id="159" w:name="X7e63ab4301a770f99d7cb8d654e83cd2564e4b4"/>
    <w:p>
      <w:pPr>
        <w:pStyle w:val="Heading3"/>
      </w:pPr>
      <w:r>
        <w:t xml:space="preserve">La meilleure estimation des frais de gestion</w:t>
      </w:r>
    </w:p>
    <w:p>
      <w:pPr>
        <w:pStyle w:val="FirstParagraph"/>
      </w:pPr>
      <w:r>
        <w:t xml:space="preserve">la meilleure estimation des frais de gestion correspond à la somme actualisée des flux de frais de gestion futurs liés aux contrats.</w:t>
      </w:r>
    </w:p>
    <w:p>
      <w:pPr>
        <w:pStyle w:val="BodyText"/>
      </w:pPr>
      <w:bookmarkStart w:id="155" w:name="eq-gbmp"/>
      <m:oMathPara>
        <m:oMathParaPr>
          <m:jc m:val="center"/>
        </m:oMathParaPr>
        <m:oMath>
          <m:r>
            <m:t>B</m:t>
          </m:r>
          <m:r>
            <m:t>E</m:t>
          </m:r>
          <m:r>
            <m:t>F</m:t>
          </m:r>
          <m:r>
            <m:t>G</m:t>
          </m:r>
          <m:r>
            <m:rPr>
              <m:sty m:val="p"/>
            </m:rPr>
            <m:t>=</m:t>
          </m:r>
          <m:nary>
            <m:naryPr>
              <m:chr m:val="∑"/>
              <m:limLoc m:val="undOvr"/>
              <m:subHide m:val="0"/>
              <m:supHide m:val="1"/>
            </m:naryPr>
            <m:sub>
              <m:r>
                <m:t>t</m:t>
              </m:r>
              <m:r>
                <m:rPr>
                  <m:sty m:val="p"/>
                </m:rPr>
                <m:t>≥</m:t>
              </m:r>
              <m:r>
                <m:t>1</m:t>
              </m:r>
            </m:sub>
            <m:sup>
              <m:r>
                <m:t>​</m:t>
              </m:r>
            </m:sup>
            <m:e>
              <m:f>
                <m:fPr>
                  <m:type m:val="bar"/>
                </m:fPr>
                <m:num>
                  <m:r>
                    <m:t>F</m:t>
                  </m:r>
                  <m:r>
                    <m:t>F</m:t>
                  </m:r>
                  <m:r>
                    <m:t>G</m:t>
                  </m:r>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34</m:t>
              </m:r>
            </m:e>
          </m:d>
        </m:oMath>
      </m:oMathPara>
      <w:bookmarkEnd w:id="155"/>
    </w:p>
    <w:p>
      <w:pPr>
        <w:pStyle w:val="FirstParagraph"/>
      </w:pPr>
      <w:r>
        <w:t xml:space="preserve">avec:</w:t>
      </w:r>
    </w:p>
    <w:p>
      <w:pPr>
        <w:numPr>
          <w:ilvl w:val="0"/>
          <w:numId w:val="1034"/>
        </w:numPr>
        <w:pStyle w:val="Compact"/>
      </w:pPr>
      <m:oMath>
        <m:r>
          <m:t>F</m:t>
        </m:r>
        <m:r>
          <m:t>F</m:t>
        </m:r>
        <m:r>
          <m:t>G</m:t>
        </m:r>
        <m:r>
          <m:t>F</m:t>
        </m:r>
      </m:oMath>
      <w:r>
        <w:t xml:space="preserve">: les flux de frais de gestion futurs. telle que:</w:t>
      </w:r>
    </w:p>
    <w:p>
      <w:pPr>
        <w:pStyle w:val="Compact"/>
      </w:pPr>
      <w:bookmarkStart w:id="156" w:name="eq-gbmp"/>
      <m:oMathPara>
        <m:oMathParaPr>
          <m:jc m:val="center"/>
        </m:oMathParaPr>
        <m:oMath>
          <m:r>
            <m:t>F</m:t>
          </m:r>
          <m:r>
            <m:t>F</m:t>
          </m:r>
          <m:r>
            <m:t>G</m:t>
          </m:r>
          <m:r>
            <m:t>F</m:t>
          </m:r>
          <m:r>
            <m:rPr>
              <m:sty m:val="p"/>
            </m:rPr>
            <m:t>=</m:t>
          </m:r>
          <m:bar>
            <m:barPr>
              <m:pos m:val="top"/>
            </m:barPr>
            <m:e>
              <m:r>
                <m:t>T</m:t>
              </m:r>
              <m:r>
                <m:t>F</m:t>
              </m:r>
              <m:r>
                <m:t>G</m:t>
              </m:r>
            </m:e>
          </m:bar>
          <m:r>
            <m:rPr>
              <m:sty m:val="p"/>
            </m:rPr>
            <m:t>×</m:t>
          </m:r>
          <m:d>
            <m:dPr>
              <m:begChr m:val="("/>
              <m:endChr m:val=")"/>
              <m:sepChr m:val=""/>
              <m:grow/>
            </m:dPr>
            <m:e>
              <m:r>
                <m:t>B</m:t>
              </m:r>
              <m:r>
                <m:t>E</m:t>
              </m:r>
              <m:r>
                <m:t>S</m:t>
              </m:r>
              <m:r>
                <m:rPr>
                  <m:sty m:val="p"/>
                </m:rPr>
                <m:t>+</m:t>
              </m:r>
              <m:r>
                <m:t>B</m:t>
              </m:r>
              <m:r>
                <m:t>E</m:t>
              </m:r>
              <m:r>
                <m:t>P</m:t>
              </m:r>
            </m:e>
          </m:d>
          <m:r>
            <m:t> </m:t>
          </m:r>
          <m:r>
            <m:rPr>
              <m:sty m:val="p"/>
            </m:rPr>
            <m:t>,</m:t>
          </m:r>
          <m:r>
            <m:t>  </m:t>
          </m:r>
          <m:d>
            <m:dPr>
              <m:begChr m:val="("/>
              <m:endChr m:val=")"/>
              <m:sepChr m:val=""/>
              <m:grow/>
            </m:dPr>
            <m:e>
              <m:r>
                <m:t>35</m:t>
              </m:r>
            </m:e>
          </m:d>
        </m:oMath>
      </m:oMathPara>
      <w:bookmarkEnd w:id="156"/>
    </w:p>
    <w:p>
      <w:pPr>
        <w:pStyle w:val="FirstParagraph"/>
      </w:pPr>
      <w:r>
        <w:t xml:space="preserve">et:</w:t>
      </w:r>
    </w:p>
    <w:p>
      <w:pPr>
        <w:numPr>
          <w:ilvl w:val="0"/>
          <w:numId w:val="1035"/>
        </w:numPr>
        <w:pStyle w:val="Compact"/>
      </w:pPr>
      <m:oMath>
        <m:r>
          <m:t>T</m:t>
        </m:r>
        <m:r>
          <m:t>F</m:t>
        </m:r>
        <m:r>
          <m:t>G</m:t>
        </m:r>
        <m:r>
          <m:t>M</m:t>
        </m:r>
      </m:oMath>
      <w:r>
        <w:t xml:space="preserve"> </w:t>
      </w:r>
      <w:r>
        <w:t xml:space="preserve">: Le taux de frais de gestion moyen,il est estimé, par sous-catégories d’opérations d’assurance, en considérant la moyenne sur les trois derniers exercices clos des taux de frais de gestion.</w:t>
      </w:r>
    </w:p>
    <w:p>
      <w:pPr>
        <w:pStyle w:val="FirstParagraph"/>
      </w:pPr>
      <w:r>
        <w:t xml:space="preserve">Donc:</w:t>
      </w:r>
    </w:p>
    <w:p>
      <w:pPr>
        <w:pStyle w:val="BodyText"/>
      </w:pPr>
      <w:bookmarkStart w:id="157" w:name="eq-gbmp"/>
      <m:oMathPara>
        <m:oMathParaPr>
          <m:jc m:val="center"/>
        </m:oMathParaPr>
        <m:oMath>
          <m:bar>
            <m:barPr>
              <m:pos m:val="top"/>
            </m:barPr>
            <m:e>
              <m:r>
                <m:t>T</m:t>
              </m:r>
              <m:r>
                <m:t>F</m:t>
              </m:r>
              <m:r>
                <m:t>G</m:t>
              </m:r>
            </m:e>
          </m:bar>
          <m:r>
            <m:rPr>
              <m:sty m:val="p"/>
            </m:rPr>
            <m:t>=</m:t>
          </m:r>
          <m:f>
            <m:fPr>
              <m:type m:val="bar"/>
            </m:fPr>
            <m:num>
              <m:r>
                <m:t>T</m:t>
              </m:r>
              <m:r>
                <m:t>F</m:t>
              </m:r>
              <m:sSub>
                <m:e>
                  <m:r>
                    <m:t>G</m:t>
                  </m:r>
                </m:e>
                <m:sub>
                  <m:r>
                    <m:t>t</m:t>
                  </m:r>
                </m:sub>
              </m:sSub>
              <m:r>
                <m:rPr>
                  <m:sty m:val="p"/>
                </m:rPr>
                <m:t>+</m:t>
              </m:r>
              <m:r>
                <m:t>T</m:t>
              </m:r>
              <m:r>
                <m:t>F</m:t>
              </m:r>
              <m:sSub>
                <m:e>
                  <m:r>
                    <m:t>G</m:t>
                  </m:r>
                </m:e>
                <m:sub>
                  <m:r>
                    <m:t>t</m:t>
                  </m:r>
                  <m:r>
                    <m:rPr>
                      <m:sty m:val="p"/>
                    </m:rPr>
                    <m:t>−</m:t>
                  </m:r>
                  <m:r>
                    <m:t>1</m:t>
                  </m:r>
                </m:sub>
              </m:sSub>
              <m:r>
                <m:rPr>
                  <m:sty m:val="p"/>
                </m:rPr>
                <m:t>+</m:t>
              </m:r>
              <m:r>
                <m:t>T</m:t>
              </m:r>
              <m:r>
                <m:t>F</m:t>
              </m:r>
              <m:sSub>
                <m:e>
                  <m:r>
                    <m:t>G</m:t>
                  </m:r>
                </m:e>
                <m:sub>
                  <m:r>
                    <m:t>t</m:t>
                  </m:r>
                  <m:r>
                    <m:rPr>
                      <m:sty m:val="p"/>
                    </m:rPr>
                    <m:t>−</m:t>
                  </m:r>
                  <m:r>
                    <m:t>2</m:t>
                  </m:r>
                </m:sub>
              </m:sSub>
            </m:num>
            <m:den>
              <m:r>
                <m:t>3</m:t>
              </m:r>
            </m:den>
          </m:f>
          <m:r>
            <m:t> </m:t>
          </m:r>
          <m:r>
            <m:rPr>
              <m:sty m:val="p"/>
            </m:rPr>
            <m:t>,</m:t>
          </m:r>
          <m:r>
            <m:t>  </m:t>
          </m:r>
          <m:d>
            <m:dPr>
              <m:begChr m:val="("/>
              <m:endChr m:val=")"/>
              <m:sepChr m:val=""/>
              <m:grow/>
            </m:dPr>
            <m:e>
              <m:r>
                <m:t>36</m:t>
              </m:r>
            </m:e>
          </m:d>
        </m:oMath>
      </m:oMathPara>
      <w:bookmarkEnd w:id="157"/>
    </w:p>
    <w:p>
      <w:pPr>
        <w:pStyle w:val="FirstParagraph"/>
      </w:pPr>
      <w:r>
        <w:t xml:space="preserve">ainsi que :</w:t>
      </w:r>
    </w:p>
    <w:p>
      <w:pPr>
        <w:pStyle w:val="BodyText"/>
      </w:pPr>
      <w:bookmarkStart w:id="158" w:name="eq-gbmp"/>
      <m:oMathPara>
        <m:oMathParaPr>
          <m:jc m:val="center"/>
        </m:oMathParaPr>
        <m:oMath>
          <m:r>
            <m:t>T</m:t>
          </m:r>
          <m:r>
            <m:t>F</m:t>
          </m:r>
          <m:sSub>
            <m:e>
              <m:r>
                <m:t>G</m:t>
              </m:r>
            </m:e>
            <m:sub>
              <m:r>
                <m:t>t</m:t>
              </m:r>
            </m:sub>
          </m:sSub>
          <m:r>
            <m:rPr>
              <m:sty m:val="p"/>
            </m:rPr>
            <m:t>=</m:t>
          </m:r>
          <m:f>
            <m:fPr>
              <m:type m:val="bar"/>
            </m:fPr>
            <m:num>
              <m:r>
                <m:t>F</m:t>
              </m:r>
              <m:r>
                <m:t>G</m:t>
              </m:r>
            </m:num>
            <m:den>
              <m:r>
                <m:t>B</m:t>
              </m:r>
              <m:r>
                <m:t>E</m:t>
              </m:r>
              <m:r>
                <m:t>S</m:t>
              </m:r>
              <m:r>
                <m:rPr>
                  <m:sty m:val="p"/>
                </m:rPr>
                <m:t>+</m:t>
              </m:r>
              <m:r>
                <m:t>R</m:t>
              </m:r>
              <m:r>
                <m:t>E</m:t>
              </m:r>
              <m:r>
                <m:t>C</m:t>
              </m:r>
            </m:den>
          </m:f>
          <m:r>
            <m:t> </m:t>
          </m:r>
          <m:r>
            <m:rPr>
              <m:sty m:val="p"/>
            </m:rPr>
            <m:t>,</m:t>
          </m:r>
          <m:r>
            <m:t>  </m:t>
          </m:r>
          <m:d>
            <m:dPr>
              <m:begChr m:val="("/>
              <m:endChr m:val=")"/>
              <m:sepChr m:val=""/>
              <m:grow/>
            </m:dPr>
            <m:e>
              <m:r>
                <m:t>37</m:t>
              </m:r>
            </m:e>
          </m:d>
        </m:oMath>
      </m:oMathPara>
      <w:bookmarkEnd w:id="158"/>
    </w:p>
    <w:p>
      <w:pPr>
        <w:pStyle w:val="FirstParagraph"/>
      </w:pPr>
      <w:r>
        <w:t xml:space="preserve">avec :</w:t>
      </w:r>
    </w:p>
    <w:p>
      <w:pPr>
        <w:numPr>
          <w:ilvl w:val="0"/>
          <w:numId w:val="1036"/>
        </w:numPr>
        <w:pStyle w:val="Compact"/>
      </w:pPr>
      <m:oMath>
        <m:r>
          <m:t>F</m:t>
        </m:r>
        <m:r>
          <m:t>G</m:t>
        </m:r>
      </m:oMath>
      <w:r>
        <w:t xml:space="preserve">: le montant frais de gestion.</w:t>
      </w:r>
    </w:p>
    <w:p>
      <w:pPr>
        <w:numPr>
          <w:ilvl w:val="0"/>
          <w:numId w:val="1036"/>
        </w:numPr>
        <w:pStyle w:val="Compact"/>
      </w:pPr>
      <m:oMath>
        <m:r>
          <m:t>R</m:t>
        </m:r>
        <m:r>
          <m:t>E</m:t>
        </m:r>
        <m:r>
          <m:t>C</m:t>
        </m:r>
      </m:oMath>
      <w:r>
        <w:t xml:space="preserve"> </w:t>
      </w:r>
      <w:r>
        <w:t xml:space="preserve">: les règlements au titre de l’exercice clos.</w:t>
      </w:r>
    </w:p>
    <w:bookmarkEnd w:id="159"/>
    <w:bookmarkEnd w:id="160"/>
    <w:bookmarkEnd w:id="161"/>
    <w:bookmarkStart w:id="181" w:name="chapitre-v-part-des-cessionnaires"/>
    <w:p>
      <w:pPr>
        <w:pStyle w:val="Heading1"/>
      </w:pPr>
      <w:r>
        <w:t xml:space="preserve">5. CHAPITRE V : Part des cessionnaires</w:t>
      </w:r>
    </w:p>
    <w:p>
      <w:pPr>
        <w:pStyle w:val="FirstParagraph"/>
      </w:pPr>
      <w:r>
        <w:t xml:space="preserve">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bookmarkStart w:id="163" w:name="Xf3f8abd7a5710234231d4d992dd0ccf8ee2969b"/>
    <w:p>
      <w:pPr>
        <w:pStyle w:val="Heading2"/>
      </w:pPr>
      <w:r>
        <w:t xml:space="preserve">5.1 Part des cessionnaires dans les provisions techniques prudentielles</w:t>
      </w:r>
    </w:p>
    <w:p>
      <w:pPr>
        <w:pStyle w:val="FirstParagraph"/>
      </w:pPr>
      <w:r>
        <w:t xml:space="preserve">La part des cessionnaires dans les provisions techniques prudentielles est évaluée en considérant la différence entre d’une part, la meilleure estimation des engagements cédés et d’autre part, l’ajustement pour défaut de contrepartie.</w:t>
      </w:r>
    </w:p>
    <w:p>
      <w:pPr>
        <w:pStyle w:val="BodyText"/>
      </w:pPr>
      <w:bookmarkStart w:id="162" w:name="eq-gbmp"/>
      <m:oMathPara>
        <m:oMathParaPr>
          <m:jc m:val="center"/>
        </m:oMathParaPr>
        <m:oMath>
          <m:r>
            <m:t>P</m:t>
          </m:r>
          <m:r>
            <m:t>C</m:t>
          </m:r>
          <m:r>
            <m:rPr>
              <m:sty m:val="p"/>
            </m:rPr>
            <m:t>=</m:t>
          </m:r>
          <m:r>
            <m:t>B</m:t>
          </m:r>
          <m:r>
            <m:t>E</m:t>
          </m:r>
          <m:r>
            <m:t>C</m:t>
          </m:r>
          <m:r>
            <m:rPr>
              <m:sty m:val="p"/>
            </m:rPr>
            <m:t>−</m:t>
          </m:r>
          <m:r>
            <m:t>A</m:t>
          </m:r>
          <m:r>
            <m:t>d</m:t>
          </m:r>
          <m:r>
            <m:t>j</m:t>
          </m:r>
          <m:r>
            <m:t>  </m:t>
          </m:r>
          <m:d>
            <m:dPr>
              <m:begChr m:val="("/>
              <m:endChr m:val=")"/>
              <m:sepChr m:val=""/>
              <m:grow/>
            </m:dPr>
            <m:e>
              <m:r>
                <m:t>38</m:t>
              </m:r>
            </m:e>
          </m:d>
        </m:oMath>
      </m:oMathPara>
      <w:bookmarkEnd w:id="162"/>
    </w:p>
    <w:bookmarkEnd w:id="163"/>
    <w:bookmarkStart w:id="168" w:name="Xa95ba47c318081750f82f16389a34a7647ac1fa"/>
    <w:p>
      <w:pPr>
        <w:pStyle w:val="Heading2"/>
      </w:pPr>
      <w:r>
        <w:t xml:space="preserve">5.2 La meilleure estimation des engagements cédés (</w:t>
      </w:r>
      <m:oMath>
        <m:r>
          <m:t>B</m:t>
        </m:r>
        <m:r>
          <m:t>E</m:t>
        </m:r>
        <m:r>
          <m:t>C</m:t>
        </m:r>
      </m:oMath>
      <w:r>
        <w:t xml:space="preserve">)</w:t>
      </w:r>
    </w:p>
    <w:bookmarkStart w:id="165" w:name="X0f00ae71319169104bfd1725b5f02737fc4d35e"/>
    <w:p>
      <w:pPr>
        <w:pStyle w:val="Heading3"/>
      </w:pPr>
      <w:r>
        <w:t xml:space="preserve">Les opérations d’assurance vie, décès ou de capitalisation</w:t>
      </w:r>
    </w:p>
    <w:p>
      <w:pPr>
        <w:pStyle w:val="FirstParagraph"/>
      </w:pPr>
      <w:r>
        <w:t xml:space="preserve">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pPr>
        <w:pStyle w:val="BodyText"/>
      </w:pPr>
      <w:bookmarkStart w:id="164" w:name="eq-gbmp"/>
      <m:oMathPara>
        <m:oMathParaPr>
          <m:jc m:val="center"/>
        </m:oMathParaPr>
        <m:oMath>
          <m:r>
            <m:t>B</m:t>
          </m:r>
          <m:r>
            <m:t>E</m:t>
          </m:r>
          <m:r>
            <m:t>C</m:t>
          </m:r>
          <m:r>
            <m:rPr>
              <m:sty m:val="p"/>
            </m:rPr>
            <m:t>=</m:t>
          </m:r>
          <m:r>
            <m:t>T</m:t>
          </m:r>
          <m:r>
            <m:t>C</m:t>
          </m:r>
          <m:r>
            <m:rPr>
              <m:sty m:val="p"/>
            </m:rPr>
            <m:t>×</m:t>
          </m:r>
          <m:r>
            <m:t>B</m:t>
          </m:r>
          <m:sSub>
            <m:e>
              <m:r>
                <m:t>E</m:t>
              </m:r>
            </m:e>
            <m:sub>
              <m:r>
                <m:t>e</m:t>
              </m:r>
              <m:r>
                <m:t>n</m:t>
              </m:r>
              <m:r>
                <m:t>g</m:t>
              </m:r>
            </m:sub>
          </m:sSub>
          <m:r>
            <m:t> </m:t>
          </m:r>
          <m:r>
            <m:rPr>
              <m:sty m:val="p"/>
            </m:rPr>
            <m:t>,</m:t>
          </m:r>
          <m:r>
            <m:t>  </m:t>
          </m:r>
          <m:d>
            <m:dPr>
              <m:begChr m:val="("/>
              <m:endChr m:val=")"/>
              <m:sepChr m:val=""/>
              <m:grow/>
            </m:dPr>
            <m:e>
              <m:r>
                <m:t>39</m:t>
              </m:r>
            </m:e>
          </m:d>
        </m:oMath>
      </m:oMathPara>
      <w:bookmarkEnd w:id="164"/>
    </w:p>
    <w:p>
      <w:pPr>
        <w:pStyle w:val="FirstParagraph"/>
      </w:pPr>
      <w:r>
        <w:t xml:space="preserve">avec :</w:t>
      </w:r>
    </w:p>
    <w:p>
      <w:pPr>
        <w:numPr>
          <w:ilvl w:val="0"/>
          <w:numId w:val="1037"/>
        </w:numPr>
        <w:pStyle w:val="Compact"/>
      </w:pPr>
      <m:oMath>
        <m:r>
          <m:t>T</m:t>
        </m:r>
        <m:r>
          <m:t>C</m:t>
        </m:r>
      </m:oMath>
      <w:r>
        <w:t xml:space="preserve"> </w:t>
      </w:r>
      <w:r>
        <w:t xml:space="preserve">(taux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bookmarkEnd w:id="165"/>
    <w:bookmarkStart w:id="167" w:name="les-opérations-non-vie"/>
    <w:p>
      <w:pPr>
        <w:pStyle w:val="Heading3"/>
      </w:pPr>
      <w:r>
        <w:t xml:space="preserve">Les opérations non-vie</w:t>
      </w:r>
    </w:p>
    <w:p>
      <w:pPr>
        <w:pStyle w:val="FirstParagraph"/>
      </w:pPr>
      <w:r>
        <w:t xml:space="preserve">Pour les opérations non vie, la meilleure estimation des engagements cédés correspond à la somme de la meilleure estimation des engagements pour sinistres cédés et de la meilleure estimation des engagements pour primes cédés.</w:t>
      </w:r>
    </w:p>
    <w:p>
      <w:pPr>
        <w:pStyle w:val="BodyText"/>
      </w:pPr>
      <w:bookmarkStart w:id="166" w:name="eq-gbmp"/>
      <m:oMathPara>
        <m:oMathParaPr>
          <m:jc m:val="center"/>
        </m:oMathParaPr>
        <m:oMath>
          <m:r>
            <m:t>B</m:t>
          </m:r>
          <m:r>
            <m:t>E</m:t>
          </m:r>
          <m:r>
            <m:t>C</m:t>
          </m:r>
          <m:r>
            <m:rPr>
              <m:sty m:val="p"/>
            </m:rPr>
            <m:t>=</m:t>
          </m:r>
          <m:r>
            <m:t> </m:t>
          </m:r>
          <m:r>
            <m:t>B</m:t>
          </m:r>
          <m:r>
            <m:t>E</m:t>
          </m:r>
          <m:r>
            <m:t>S</m:t>
          </m:r>
          <m:r>
            <m:t>C</m:t>
          </m:r>
          <m:r>
            <m:rPr>
              <m:sty m:val="p"/>
            </m:rPr>
            <m:t>+</m:t>
          </m:r>
          <m:r>
            <m:t> </m:t>
          </m:r>
          <m:r>
            <m:t>B</m:t>
          </m:r>
          <m:r>
            <m:t>E</m:t>
          </m:r>
          <m:r>
            <m:t>P</m:t>
          </m:r>
          <m:r>
            <m:t>C</m:t>
          </m:r>
          <m:r>
            <m:t> </m:t>
          </m:r>
          <m:r>
            <m:rPr>
              <m:sty m:val="p"/>
            </m:rPr>
            <m:t>,</m:t>
          </m:r>
          <m:r>
            <m:t>  </m:t>
          </m:r>
          <m:d>
            <m:dPr>
              <m:begChr m:val="("/>
              <m:endChr m:val=")"/>
              <m:sepChr m:val=""/>
              <m:grow/>
            </m:dPr>
            <m:e>
              <m:r>
                <m:t>40</m:t>
              </m:r>
            </m:e>
          </m:d>
        </m:oMath>
      </m:oMathPara>
      <w:bookmarkEnd w:id="166"/>
    </w:p>
    <w:p>
      <w:pPr>
        <w:pStyle w:val="FirstParagraph"/>
      </w:pPr>
      <w:r>
        <w:t xml:space="preserve">avec :</w:t>
      </w:r>
    </w:p>
    <w:p>
      <w:pPr>
        <w:numPr>
          <w:ilvl w:val="0"/>
          <w:numId w:val="1038"/>
        </w:numPr>
      </w:pPr>
      <m:oMath>
        <m:r>
          <m:t>B</m:t>
        </m:r>
        <m:r>
          <m:t>E</m:t>
        </m:r>
        <m:r>
          <m:t>S</m:t>
        </m:r>
        <m:r>
          <m:t>C</m:t>
        </m:r>
        <m:r>
          <m:rPr>
            <m:sty m:val="p"/>
          </m:rPr>
          <m:t>=</m:t>
        </m:r>
        <m:r>
          <m:t>T</m:t>
        </m:r>
        <m:r>
          <m:t>C</m:t>
        </m:r>
        <m:r>
          <m:t>S</m:t>
        </m:r>
        <m:r>
          <m:rPr>
            <m:sty m:val="p"/>
          </m:rPr>
          <m:t>×</m:t>
        </m:r>
        <m:r>
          <m:t>B</m:t>
        </m:r>
        <m:r>
          <m:t>E</m:t>
        </m:r>
        <m:r>
          <m:t>S</m:t>
        </m:r>
      </m:oMath>
      <w:r>
        <w:t xml:space="preserve"> </w:t>
      </w:r>
      <w:r>
        <w:t xml:space="preserve">: La meilleure estimation des engagements pour sinistres cédés est évaluée en multipliant la meilleure estimation des engagements pour sinistres nets de recours par (</w:t>
      </w:r>
      <w:r>
        <w:t xml:space="preserve">$TCS}$</w:t>
      </w:r>
      <w:r>
        <w:t xml:space="preserve">), le rapport entre la part des cessionnaires dans les provisions pour sinistres à payer et la provision pour sinistres à payer brute de réassurance.</w:t>
      </w:r>
    </w:p>
    <w:p>
      <w:pPr>
        <w:numPr>
          <w:ilvl w:val="0"/>
          <w:numId w:val="1038"/>
        </w:numPr>
      </w:pPr>
      <m:oMath>
        <m:r>
          <m:t>B</m:t>
        </m:r>
        <m:r>
          <m:t>E</m:t>
        </m:r>
        <m:r>
          <m:t>P</m:t>
        </m:r>
        <m:r>
          <m:t>C</m:t>
        </m:r>
        <m:r>
          <m:rPr>
            <m:sty m:val="p"/>
          </m:rPr>
          <m:t>=</m:t>
        </m:r>
        <m:r>
          <m:t>T</m:t>
        </m:r>
        <m:r>
          <m:t>C</m:t>
        </m:r>
        <m:r>
          <m:t>P</m:t>
        </m:r>
        <m:r>
          <m:rPr>
            <m:sty m:val="p"/>
          </m:rPr>
          <m:t>×</m:t>
        </m:r>
        <m:r>
          <m:t>B</m:t>
        </m:r>
        <m:r>
          <m:t>E</m:t>
        </m:r>
        <m:r>
          <m:t>P</m:t>
        </m:r>
      </m:oMath>
      <w:r>
        <w:t xml:space="preserve"> </w:t>
      </w:r>
      <w:r>
        <w:t xml:space="preserve">: La meilleure estimation des engagements pour primes cédés est évaluée en multipliant la meilleure estimation des engagements pour primes par le taux de cession de primes. Le taux de cession (</w:t>
      </w:r>
      <m:oMath>
        <m:r>
          <m:t>T</m:t>
        </m:r>
        <m:r>
          <m:t>C</m:t>
        </m:r>
        <m:r>
          <m:t>P</m:t>
        </m:r>
      </m:oMath>
      <w:r>
        <w:t xml:space="preserve">) de primes précité correspond au rapport entre les primes brutes non vie (cessions) et les primes émises de l’exercice.</w:t>
      </w:r>
    </w:p>
    <w:bookmarkEnd w:id="167"/>
    <w:bookmarkEnd w:id="168"/>
    <w:bookmarkStart w:id="180" w:name="lajustement-pour-défaut-de-contrepartie"/>
    <w:p>
      <w:pPr>
        <w:pStyle w:val="Heading2"/>
      </w:pPr>
      <w:r>
        <w:t xml:space="preserve">5.3 L’ajustement pour défaut de contrepartie</w:t>
      </w:r>
    </w:p>
    <w:p>
      <w:pPr>
        <w:pStyle w:val="FirstParagraph"/>
      </w:pPr>
      <w:r>
        <w:t xml:space="preserve">En cas de réassuarance,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w:t>
      </w:r>
      <w:r>
        <w:t xml:space="preserve"> </w:t>
      </w:r>
      <w:r>
        <w:t xml:space="preserve">L’ajustement pour défaut de contrepartie est déterminé en actualisant les flux d’ajustement futurs sur la base de la courbe des taux fixée par l’Autorité. Il correspond à la perte anticipée résultant de la défaillance probable du cessionnaire.</w:t>
      </w:r>
    </w:p>
    <w:p>
      <w:pPr>
        <w:pStyle w:val="BodyText"/>
      </w:pPr>
      <w:r>
        <w:t xml:space="preserve">L’</w:t>
      </w:r>
      <w:r>
        <w:rPr>
          <w:iCs/>
          <w:i/>
        </w:rPr>
        <w:t xml:space="preserve">ACAPS</w:t>
      </w:r>
      <w:r>
        <w:t xml:space="preserve"> </w:t>
      </w:r>
      <w:r>
        <w:t xml:space="preserve">propose une méthode de détermination des flux d’ajustement futurs décrite à</w:t>
      </w:r>
      <w:r>
        <w:t xml:space="preserve"> </w:t>
      </w:r>
      <w:r>
        <w:rPr>
          <w:bCs/>
          <w:b/>
        </w:rPr>
        <w:t xml:space="preserve">l’annexe N°6</w:t>
      </w:r>
      <w:r>
        <w:t xml:space="preserve"> </w:t>
      </w:r>
      <w:r>
        <w:t xml:space="preserve">de la circulaire. Cette méthode suit un certain nombre d’étapes que nous décrivons ci-après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Applications/quarto/share/formats/docx/note.png" id="170"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Nº1: Calcul des meilleures estimations cédées projetées</w:t>
            </w:r>
          </w:p>
        </w:tc>
      </w:tr>
      <w:tr>
        <w:trPr>
          <w:cantSplit/>
        </w:trPr>
        <w:tc>
          <w:tcPr>
            <w:tcMar>
              <w:top w:w="108" w:type="dxa"/>
              <w:bottom w:w="108" w:type="dxa"/>
            </w:tcMar>
          </w:tcPr>
          <w:p>
            <w:pPr>
              <w:pStyle w:val="BlockText"/>
            </w:pPr>
            <w:r>
              <w:t xml:space="preserve">Pour les opérations d’assurance non-vie hors rentes:</w:t>
            </w:r>
          </w:p>
          <w:p>
            <w:pPr>
              <w:pStyle w:val="FirstParagraph"/>
            </w:pPr>
            <w:r>
              <w:t xml:space="preserve">Posons</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étant les flux de règlements futurs probabilisés. La meilleure estimation des engagements cédés au titre de l’année de projection</w:t>
            </w:r>
            <w:r>
              <w:t xml:space="preserve"> </w:t>
            </w:r>
            <m:oMath>
              <m:r>
                <m:t>B</m:t>
              </m:r>
              <m:r>
                <m:t>E</m:t>
              </m:r>
              <m:sSub>
                <m:e>
                  <m:r>
                    <m:t>C</m:t>
                  </m:r>
                </m:e>
                <m:sub>
                  <m:r>
                    <m:t>i</m:t>
                  </m:r>
                </m:sub>
              </m:sSub>
            </m:oMath>
            <w:r>
              <w:t xml:space="preserve"> </w:t>
            </w:r>
            <w:r>
              <w:t xml:space="preserve">est calculée comme suit :</w:t>
            </w:r>
          </w:p>
          <w:p>
            <w:pPr>
              <w:pStyle w:val="BodyText"/>
            </w:pPr>
            <w:bookmarkStart w:id="171" w:name="eq-gbmp"/>
            <m:oMathPara>
              <m:oMathParaPr>
                <m:jc m:val="center"/>
              </m:oMathParaPr>
              <m:oMath>
                <m:r>
                  <m:t>B</m:t>
                </m:r>
                <m:r>
                  <m:t>E</m:t>
                </m:r>
                <m:sSub>
                  <m:e>
                    <m:r>
                      <m:t>C</m:t>
                    </m:r>
                  </m:e>
                  <m:sub>
                    <m:r>
                      <m:t>i</m:t>
                    </m:r>
                  </m:sub>
                </m:sSub>
                <m:r>
                  <m:rPr>
                    <m:sty m:val="p"/>
                  </m:rPr>
                  <m:t>=</m:t>
                </m:r>
                <m:d>
                  <m:dPr>
                    <m:begChr m:val="("/>
                    <m:endChr m:val=")"/>
                    <m:sepChr m:val=""/>
                    <m:grow/>
                  </m:dPr>
                  <m:e>
                    <m:r>
                      <m:t>B</m:t>
                    </m:r>
                    <m:r>
                      <m:t>E</m:t>
                    </m:r>
                    <m:sSub>
                      <m:e>
                        <m:r>
                          <m:t>S</m:t>
                        </m:r>
                      </m:e>
                      <m:sub>
                        <m:r>
                          <m:t>i</m:t>
                        </m:r>
                      </m:sub>
                    </m:sSub>
                    <m:r>
                      <m:rPr>
                        <m:sty m:val="p"/>
                      </m:rPr>
                      <m:t>×</m:t>
                    </m:r>
                    <m:r>
                      <m:t>R</m:t>
                    </m:r>
                    <m:sSub>
                      <m:e>
                        <m:r>
                          <m:t>S</m:t>
                        </m:r>
                      </m:e>
                      <m:sub>
                        <m:r>
                          <m:t>0</m:t>
                        </m:r>
                      </m:sub>
                    </m:sSub>
                    <m:r>
                      <m:rPr>
                        <m:sty m:val="p"/>
                      </m:rPr>
                      <m:t>+</m:t>
                    </m:r>
                    <m:r>
                      <m:t>B</m:t>
                    </m:r>
                    <m:r>
                      <m:t>E</m:t>
                    </m:r>
                    <m:sSub>
                      <m:e>
                        <m:r>
                          <m:t>P</m:t>
                        </m:r>
                      </m:e>
                      <m:sub>
                        <m:r>
                          <m:t>i</m:t>
                        </m:r>
                      </m:sub>
                    </m:sSub>
                    <m:r>
                      <m:rPr>
                        <m:sty m:val="p"/>
                      </m:rPr>
                      <m:t>×</m:t>
                    </m:r>
                    <m:r>
                      <m:t>R</m:t>
                    </m:r>
                    <m:sSub>
                      <m:e>
                        <m:r>
                          <m:t>P</m:t>
                        </m:r>
                      </m:e>
                      <m:sub>
                        <m:r>
                          <m:t>0</m:t>
                        </m:r>
                      </m:sub>
                    </m:sSub>
                  </m:e>
                </m:d>
                <m:r>
                  <m:t> </m:t>
                </m:r>
                <m:r>
                  <m:rPr>
                    <m:sty m:val="p"/>
                  </m:rPr>
                  <m:t>,</m:t>
                </m:r>
                <m:r>
                  <m:t>  </m:t>
                </m:r>
                <m:d>
                  <m:dPr>
                    <m:begChr m:val="("/>
                    <m:endChr m:val=")"/>
                    <m:sepChr m:val=""/>
                    <m:grow/>
                  </m:dPr>
                  <m:e>
                    <m:r>
                      <m:t>41</m:t>
                    </m:r>
                  </m:e>
                </m:d>
              </m:oMath>
            </m:oMathPara>
            <w:bookmarkEnd w:id="171"/>
          </w:p>
          <w:p>
            <w:pPr>
              <w:pStyle w:val="FirstParagraph"/>
            </w:pPr>
            <w:r>
              <w:t xml:space="preserve">où:</w:t>
            </w:r>
          </w:p>
          <w:p>
            <w:pPr>
              <w:numPr>
                <w:ilvl w:val="0"/>
                <w:numId w:val="1039"/>
              </w:numPr>
              <w:pStyle w:val="Compact"/>
            </w:pPr>
            <m:oMath>
              <m:r>
                <m:t>B</m:t>
              </m:r>
              <m:r>
                <m:t>E</m:t>
              </m:r>
              <m:sSub>
                <m:e>
                  <m:r>
                    <m:t>S</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p>
          <w:p>
            <w:pPr>
              <w:numPr>
                <w:ilvl w:val="0"/>
                <w:numId w:val="1039"/>
              </w:numPr>
              <w:pStyle w:val="Compact"/>
            </w:pPr>
            <m:oMath>
              <m:r>
                <m:t>B</m:t>
              </m:r>
              <m:r>
                <m:t>E</m:t>
              </m:r>
              <m:sSub>
                <m:e>
                  <m:r>
                    <m:t>P</m:t>
                  </m:r>
                </m:e>
                <m:sub>
                  <m:r>
                    <m:t>i</m:t>
                  </m:r>
                </m:sub>
              </m:sSub>
            </m:oMath>
            <w:r>
              <w:t xml:space="preserve">: correspond à la meilleure estimation des engagements pour primes projetée à la date i.</w:t>
            </w:r>
          </w:p>
          <w:p>
            <w:pPr>
              <w:numPr>
                <w:ilvl w:val="0"/>
                <w:numId w:val="1039"/>
              </w:numPr>
              <w:pStyle w:val="Compact"/>
            </w:pPr>
            <w:r>
              <w:t xml:space="preserve">Les termes</w:t>
            </w:r>
            <w:r>
              <w:t xml:space="preserve"> </w:t>
            </w:r>
            <m:oMath>
              <m:r>
                <m:t>R</m:t>
              </m:r>
              <m:sSub>
                <m:e>
                  <m:r>
                    <m:t>S</m:t>
                  </m:r>
                </m:e>
                <m:sub>
                  <m:r>
                    <m:t>0</m:t>
                  </m:r>
                </m:sub>
              </m:sSub>
            </m:oMath>
            <w:r>
              <w:t xml:space="preserve"> </w:t>
            </w:r>
            <w:r>
              <w:t xml:space="preserve">et</w:t>
            </w:r>
            <w:r>
              <w:t xml:space="preserve"> </w:t>
            </w:r>
            <m:oMath>
              <m:r>
                <m:t>R</m:t>
              </m:r>
              <m:sSub>
                <m:e>
                  <m:r>
                    <m:t>P</m:t>
                  </m:r>
                </m:e>
                <m:sub>
                  <m:r>
                    <m:t>0</m:t>
                  </m:r>
                </m:sub>
              </m:sSub>
            </m:oMath>
            <w:r>
              <w:t xml:space="preserve"> </w:t>
            </w:r>
            <w:r>
              <w:t xml:space="preserve">correspondent aux ratios de passage utilisés pour le calcul de la meilleure estimation des engagements pour sinistres cédés et pour primes cédés respectivement à la date d’inventaire.</w:t>
            </w:r>
          </w:p>
          <w:p>
            <w:pPr>
              <w:pStyle w:val="BlockText"/>
            </w:pPr>
            <w:r>
              <w:t xml:space="preserve">Pour les opérations d’assurance vie, décès ou de capitalisation:</w:t>
            </w:r>
          </w:p>
          <w:p>
            <w:pPr>
              <w:pStyle w:val="FirstParagraph"/>
            </w:pPr>
            <w:r>
              <w:t xml:space="preserve">La meilleure estimation des engagements cédès est déterminée par la formule suivante :</w:t>
            </w:r>
          </w:p>
          <w:p>
            <w:pPr>
              <w:pStyle w:val="BodyText"/>
            </w:pPr>
            <w:bookmarkStart w:id="172" w:name="eq-gbmp"/>
            <m:oMathPara>
              <m:oMathParaPr>
                <m:jc m:val="center"/>
              </m:oMathParaPr>
              <m:oMath>
                <m:r>
                  <m:t>B</m:t>
                </m:r>
                <m:r>
                  <m:t>E</m:t>
                </m:r>
                <m:sSub>
                  <m:e>
                    <m:r>
                      <m:t>C</m:t>
                    </m:r>
                  </m:e>
                  <m:sub>
                    <m:r>
                      <m:t>i</m:t>
                    </m:r>
                  </m:sub>
                </m:sSub>
                <m:r>
                  <m:rPr>
                    <m:sty m:val="p"/>
                  </m:rPr>
                  <m:t>=</m:t>
                </m:r>
                <m:d>
                  <m:dPr>
                    <m:begChr m:val="("/>
                    <m:endChr m:val=")"/>
                    <m:sepChr m:val=""/>
                    <m:grow/>
                  </m:dPr>
                  <m:e>
                    <m:r>
                      <m:t>B</m:t>
                    </m:r>
                    <m:r>
                      <m:t>E</m:t>
                    </m:r>
                    <m:r>
                      <m:t>G</m:t>
                    </m:r>
                    <m:sSub>
                      <m:e>
                        <m:r>
                          <m:t>P</m:t>
                        </m:r>
                      </m:e>
                      <m:sub>
                        <m:r>
                          <m:t>i</m:t>
                        </m:r>
                      </m:sub>
                    </m:sSub>
                    <m:r>
                      <m:rPr>
                        <m:sty m:val="p"/>
                      </m:rPr>
                      <m:t>+</m:t>
                    </m:r>
                    <m:r>
                      <m:t>B</m:t>
                    </m:r>
                    <m:r>
                      <m:t>D</m:t>
                    </m:r>
                    <m:sSub>
                      <m:e>
                        <m:r>
                          <m:t>F</m:t>
                        </m:r>
                      </m:e>
                      <m:sub>
                        <m:r>
                          <m:t>i</m:t>
                        </m:r>
                      </m:sub>
                    </m:sSub>
                  </m:e>
                </m:d>
                <m:r>
                  <m:rPr>
                    <m:sty m:val="p"/>
                  </m:rPr>
                  <m:t>×</m:t>
                </m:r>
                <m:sSub>
                  <m:e>
                    <m:r>
                      <m:t>R</m:t>
                    </m:r>
                  </m:e>
                  <m:sub>
                    <m:r>
                      <m:t>0</m:t>
                    </m:r>
                  </m:sub>
                </m:sSub>
                <m:r>
                  <m:t> </m:t>
                </m:r>
                <m:r>
                  <m:rPr>
                    <m:sty m:val="p"/>
                  </m:rPr>
                  <m:t>,</m:t>
                </m:r>
                <m:r>
                  <m:t>  </m:t>
                </m:r>
                <m:d>
                  <m:dPr>
                    <m:begChr m:val="("/>
                    <m:endChr m:val=")"/>
                    <m:sepChr m:val=""/>
                    <m:grow/>
                  </m:dPr>
                  <m:e>
                    <m:r>
                      <m:t>42</m:t>
                    </m:r>
                  </m:e>
                </m:d>
              </m:oMath>
            </m:oMathPara>
            <w:bookmarkEnd w:id="172"/>
          </w:p>
          <w:p>
            <w:pPr>
              <w:pStyle w:val="FirstParagraph"/>
            </w:pPr>
            <w:r>
              <w:t xml:space="preserve">où :</w:t>
            </w:r>
            <w:r>
              <w:t xml:space="preserve"> </w:t>
            </w:r>
            <w:r>
              <w:t xml:space="preserve">-</w:t>
            </w:r>
            <w:r>
              <w:t xml:space="preserve"> </w:t>
            </w: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r>
              <w:t xml:space="preserve"> </w:t>
            </w:r>
            <w:r>
              <w:t xml:space="preserve">-</w:t>
            </w:r>
            <w:r>
              <w:t xml:space="preserve"> </w:t>
            </w:r>
            <m:oMath>
              <m:r>
                <m:t>B</m:t>
              </m:r>
              <m:r>
                <m:t>D</m:t>
              </m:r>
              <m:sSub>
                <m:e>
                  <m:r>
                    <m:t>F</m:t>
                  </m:r>
                </m:e>
                <m:sub>
                  <m:r>
                    <m:t>i</m:t>
                  </m:r>
                </m:sub>
              </m:sSub>
              <m:r>
                <m:rPr>
                  <m:sty m:val="p"/>
                </m:rPr>
                <m:t>=</m:t>
              </m:r>
              <m:f>
                <m:fPr>
                  <m:type m:val="bar"/>
                </m:fPr>
                <m:num>
                  <m:r>
                    <m:t>M</m:t>
                  </m:r>
                  <m:r>
                    <m:t>E</m:t>
                  </m:r>
                  <m:r>
                    <m:t>G</m:t>
                  </m:r>
                  <m:sSub>
                    <m:e>
                      <m:r>
                        <m:t>P</m:t>
                      </m:r>
                    </m:e>
                    <m:sub>
                      <m:r>
                        <m:t>i</m:t>
                      </m:r>
                    </m:sub>
                  </m:sSub>
                </m:num>
                <m:den>
                  <m:r>
                    <m:t>M</m:t>
                  </m:r>
                  <m:r>
                    <m:t>E</m:t>
                  </m:r>
                  <m:r>
                    <m:t>G</m:t>
                  </m:r>
                  <m:sSub>
                    <m:e>
                      <m:r>
                        <m:t>P</m:t>
                      </m:r>
                    </m:e>
                    <m:sub>
                      <m:r>
                        <m:t>0</m:t>
                      </m:r>
                    </m:sub>
                  </m:sSub>
                </m:den>
              </m:f>
              <m:r>
                <m:rPr>
                  <m:sty m:val="p"/>
                </m:rPr>
                <m:t>×</m:t>
              </m:r>
              <m:r>
                <m:t>B</m:t>
              </m:r>
              <m:r>
                <m:t>D</m:t>
              </m:r>
              <m:sSub>
                <m:e>
                  <m:r>
                    <m:t>F</m:t>
                  </m:r>
                </m:e>
                <m:sub>
                  <m:r>
                    <m:t>0</m:t>
                  </m:r>
                </m:sub>
              </m:sSub>
              <m:r>
                <m:rPr>
                  <m:sty m:val="p"/>
                </m:rPr>
                <m:t>×</m:t>
              </m:r>
              <m:sSup>
                <m:e>
                  <m:d>
                    <m:dPr>
                      <m:begChr m:val="("/>
                      <m:endChr m:val=")"/>
                      <m:sepChr m:val=""/>
                      <m:grow/>
                    </m:dPr>
                    <m:e>
                      <m:r>
                        <m:t>1</m:t>
                      </m:r>
                      <m:r>
                        <m:rPr>
                          <m:sty m:val="p"/>
                        </m:rPr>
                        <m:t>+</m:t>
                      </m:r>
                      <m:sSub>
                        <m:e>
                          <m:r>
                            <m:t>r</m:t>
                          </m:r>
                        </m:e>
                        <m:sub>
                          <m:r>
                            <m:t>i</m:t>
                          </m:r>
                        </m:sub>
                      </m:sSub>
                    </m:e>
                  </m:d>
                </m:e>
                <m:sup>
                  <m:r>
                    <m:t>i</m:t>
                  </m:r>
                </m:sup>
              </m:sSup>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r>
              <w:t xml:space="preserve"> </w:t>
            </w:r>
            <w:r>
              <w:t xml:space="preserve">-</w:t>
            </w:r>
            <w:r>
              <w:t xml:space="preserve"> </w:t>
            </w:r>
            <m:oMath>
              <m:r>
                <m:t>B</m:t>
              </m:r>
              <m:r>
                <m:t>D</m:t>
              </m:r>
              <m:sSub>
                <m:e>
                  <m:r>
                    <m:t>F</m:t>
                  </m:r>
                </m:e>
                <m:sub>
                  <m:r>
                    <m:t>0</m:t>
                  </m:r>
                </m:sub>
              </m:sSub>
            </m:oMath>
            <w:r>
              <w:t xml:space="preserve"> </w:t>
            </w:r>
            <w:r>
              <w:t xml:space="preserve">correspond aux bénéfices discrétionnaires futurs à la date d’inventaire.</w:t>
            </w:r>
            <w:r>
              <w:t xml:space="preserve"> </w:t>
            </w:r>
            <w:r>
              <w:t xml:space="preserve">- 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p>
            <w:pPr>
              <w:pStyle w:val="BlockText"/>
            </w:pPr>
            <w:r>
              <w:t xml:space="preserve">Pour les rentes découlant des opérations non-vie:</w:t>
            </w:r>
          </w:p>
          <w:p>
            <w:pPr>
              <w:pStyle w:val="FirstParagraph"/>
            </w:pPr>
            <w:r>
              <w:t xml:space="preserve">La meilleure estimation des engagements cédès au titre de l’année de projection correspond à :</w:t>
            </w:r>
          </w:p>
          <w:p>
            <w:pPr>
              <w:pStyle w:val="BodyText"/>
            </w:pPr>
            <w:bookmarkStart w:id="173" w:name="eq-gbmp"/>
            <m:oMathPara>
              <m:oMathParaPr>
                <m:jc m:val="center"/>
              </m:oMathParaPr>
              <m:oMath>
                <m:r>
                  <m:t>B</m:t>
                </m:r>
                <m:r>
                  <m:t>E</m:t>
                </m:r>
                <m:r>
                  <m:t>C</m:t>
                </m:r>
                <m:r>
                  <m:rPr>
                    <m:sty m:val="p"/>
                  </m:rPr>
                  <m:t>=</m:t>
                </m:r>
                <m:r>
                  <m:t>B</m:t>
                </m:r>
                <m:r>
                  <m:t>E</m:t>
                </m:r>
                <m:r>
                  <m:t>G</m:t>
                </m:r>
                <m:sSub>
                  <m:e>
                    <m:r>
                      <m:t>P</m:t>
                    </m:r>
                  </m:e>
                  <m:sub>
                    <m:r>
                      <m:t>i</m:t>
                    </m:r>
                  </m:sub>
                </m:sSub>
                <m:r>
                  <m:rPr>
                    <m:sty m:val="p"/>
                  </m:rPr>
                  <m:t>×</m:t>
                </m:r>
                <m:sSub>
                  <m:e>
                    <m:r>
                      <m:t>R</m:t>
                    </m:r>
                  </m:e>
                  <m:sub>
                    <m:r>
                      <m:t>0</m:t>
                    </m:r>
                  </m:sub>
                </m:sSub>
                <m:r>
                  <m:t> </m:t>
                </m:r>
                <m:r>
                  <m:rPr>
                    <m:sty m:val="p"/>
                  </m:rPr>
                  <m:t>,</m:t>
                </m:r>
                <m:r>
                  <m:t>  </m:t>
                </m:r>
                <m:d>
                  <m:dPr>
                    <m:begChr m:val="("/>
                    <m:endChr m:val=")"/>
                    <m:sepChr m:val=""/>
                    <m:grow/>
                  </m:dPr>
                  <m:e>
                    <m:r>
                      <m:t>43</m:t>
                    </m:r>
                  </m:e>
                </m:d>
              </m:oMath>
            </m:oMathPara>
            <w:bookmarkEnd w:id="173"/>
          </w:p>
          <w:p>
            <w:pPr>
              <w:pStyle w:val="FirstParagraph"/>
            </w:pPr>
            <w:r>
              <w:t xml:space="preserve">où :</w:t>
            </w:r>
          </w:p>
          <w:p>
            <w:pPr>
              <w:numPr>
                <w:ilvl w:val="0"/>
                <w:numId w:val="1040"/>
              </w:numPr>
            </w:pP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p>
          <w:p>
            <w:pPr>
              <w:numPr>
                <w:ilvl w:val="0"/>
                <w:numId w:val="1040"/>
              </w:numPr>
            </w:pPr>
            <w:r>
              <w:t xml:space="preserve">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Applications/quarto/share/formats/docx/note.png" id="175"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Nº2: Calcul des flux d’ajustement projetés</w:t>
            </w:r>
          </w:p>
        </w:tc>
      </w:tr>
      <w:tr>
        <w:trPr>
          <w:cantSplit/>
        </w:trPr>
        <w:tc>
          <w:tcPr>
            <w:tcMar>
              <w:top w:w="108" w:type="dxa"/>
              <w:bottom w:w="108" w:type="dxa"/>
            </w:tcMar>
          </w:tcPr>
          <w:p>
            <w:pPr>
              <w:pStyle w:val="BodyText"/>
            </w:pPr>
            <w:pPr>
              <w:spacing w:before="16"/>
            </w:pPr>
            <w:r>
              <w:t xml:space="preserve">Au titre de l’année de projection</w:t>
            </w:r>
            <w:r>
              <w:t xml:space="preserve"> </w:t>
            </w:r>
            <m:oMath>
              <m:r>
                <m:t>i</m:t>
              </m:r>
            </m:oMath>
            <w:r>
              <w:t xml:space="preserve">, le flux d’ajustement est calculé ainsi :</w:t>
            </w:r>
          </w:p>
          <w:p>
            <w:pPr>
              <w:pStyle w:val="BodyText"/>
            </w:pPr>
            <w:bookmarkStart w:id="176" w:name="eq-gbmp"/>
            <m:oMathPara>
              <m:oMathParaPr>
                <m:jc m:val="center"/>
              </m:oMathParaPr>
              <m:oMath>
                <m:r>
                  <m:t>A</m:t>
                </m:r>
                <m:r>
                  <m:t>d</m:t>
                </m:r>
                <m:sSub>
                  <m:e>
                    <m:r>
                      <m:t>j</m:t>
                    </m:r>
                  </m:e>
                  <m:sub>
                    <m:r>
                      <m:t>i</m:t>
                    </m:r>
                  </m:sub>
                </m:sSub>
                <m:r>
                  <m:rPr>
                    <m:sty m:val="p"/>
                  </m:rPr>
                  <m:t>=</m:t>
                </m:r>
                <m:f>
                  <m:fPr>
                    <m:type m:val="bar"/>
                  </m:fPr>
                  <m:num>
                    <m:r>
                      <m:t>1</m:t>
                    </m:r>
                  </m:num>
                  <m:den>
                    <m:r>
                      <m:t>2</m:t>
                    </m:r>
                  </m:den>
                </m:f>
                <m:r>
                  <m:rPr>
                    <m:sty m:val="p"/>
                  </m:rPr>
                  <m:t>×</m:t>
                </m:r>
                <m:r>
                  <m:rPr>
                    <m:sty m:val="p"/>
                  </m:rPr>
                  <m:t>max</m:t>
                </m:r>
                <m:d>
                  <m:dPr>
                    <m:begChr m:val="("/>
                    <m:endChr m:val=")"/>
                    <m:sepChr m:val=""/>
                    <m:grow/>
                  </m:dPr>
                  <m:e>
                    <m:r>
                      <m:t>B</m:t>
                    </m:r>
                    <m:r>
                      <m:t>E</m:t>
                    </m:r>
                    <m:r>
                      <m:t>C</m:t>
                    </m:r>
                    <m:r>
                      <m:rPr>
                        <m:sty m:val="p"/>
                      </m:rPr>
                      <m:t>−</m:t>
                    </m:r>
                    <m:r>
                      <m:t>D</m:t>
                    </m:r>
                    <m:r>
                      <m:t>E</m:t>
                    </m:r>
                    <m:r>
                      <m:t>V</m:t>
                    </m:r>
                    <m:r>
                      <m:rPr>
                        <m:sty m:val="p"/>
                      </m:rPr>
                      <m:t>+</m:t>
                    </m:r>
                    <m:r>
                      <m:t>S</m:t>
                    </m:r>
                    <m:r>
                      <m:t>D</m:t>
                    </m:r>
                    <m:r>
                      <m:t>R</m:t>
                    </m:r>
                    <m:r>
                      <m:rPr>
                        <m:sty m:val="p"/>
                      </m:rPr>
                      <m:t>;</m:t>
                    </m:r>
                    <m:r>
                      <m:t>0</m:t>
                    </m:r>
                  </m:e>
                </m:d>
                <m:r>
                  <m:rPr>
                    <m:sty m:val="p"/>
                  </m:rPr>
                  <m:t>×</m:t>
                </m:r>
                <m:r>
                  <m:t>P</m:t>
                </m:r>
                <m:r>
                  <m:t>D</m:t>
                </m:r>
                <m:r>
                  <m:rPr>
                    <m:sty m:val="p"/>
                  </m:rPr>
                  <m:t>×</m:t>
                </m:r>
                <m:sSup>
                  <m:e>
                    <m:d>
                      <m:dPr>
                        <m:begChr m:val="("/>
                        <m:endChr m:val=")"/>
                        <m:sepChr m:val=""/>
                        <m:grow/>
                      </m:dPr>
                      <m:e>
                        <m:r>
                          <m:t>1</m:t>
                        </m:r>
                        <m:r>
                          <m:rPr>
                            <m:sty m:val="p"/>
                          </m:rPr>
                          <m:t>−</m:t>
                        </m:r>
                        <m:r>
                          <m:t>P</m:t>
                        </m:r>
                        <m:r>
                          <m:t>D</m:t>
                        </m:r>
                      </m:e>
                    </m:d>
                  </m:e>
                  <m:sup>
                    <m:r>
                      <m:t>i</m:t>
                    </m:r>
                    <m:r>
                      <m:rPr>
                        <m:sty m:val="p"/>
                      </m:rPr>
                      <m:t>−</m:t>
                    </m:r>
                    <m:r>
                      <m:t>1</m:t>
                    </m:r>
                  </m:sup>
                </m:sSup>
                <m:r>
                  <m:t> </m:t>
                </m:r>
                <m:r>
                  <m:rPr>
                    <m:sty m:val="p"/>
                  </m:rPr>
                  <m:t>,</m:t>
                </m:r>
                <m:r>
                  <m:t>  </m:t>
                </m:r>
                <m:d>
                  <m:dPr>
                    <m:begChr m:val="("/>
                    <m:endChr m:val=")"/>
                    <m:sepChr m:val=""/>
                    <m:grow/>
                  </m:dPr>
                  <m:e>
                    <m:r>
                      <m:t>44</m:t>
                    </m:r>
                  </m:e>
                </m:d>
              </m:oMath>
            </m:oMathPara>
            <w:bookmarkEnd w:id="176"/>
          </w:p>
          <w:p>
            <w:pPr>
              <w:pStyle w:val="FirstParagraph"/>
            </w:pPr>
            <w:r>
              <w:t xml:space="preserve">avec:</w:t>
            </w:r>
          </w:p>
          <w:p>
            <w:pPr>
              <w:numPr>
                <w:ilvl w:val="0"/>
                <w:numId w:val="1041"/>
              </w:numPr>
              <w:pStyle w:val="Compact"/>
            </w:pPr>
            <m:oMath>
              <m:r>
                <m:t>D</m:t>
              </m:r>
              <m:r>
                <m:t>E</m:t>
              </m:r>
              <m:r>
                <m:t>V</m:t>
              </m:r>
            </m:oMath>
            <w:r>
              <w:t xml:space="preserve"> </w:t>
            </w:r>
            <w:r>
              <w:t xml:space="preserve">:dépôtven espèces et en valeurs.</w:t>
            </w:r>
          </w:p>
          <w:p>
            <w:pPr>
              <w:numPr>
                <w:ilvl w:val="0"/>
                <w:numId w:val="1041"/>
              </w:numPr>
              <w:pStyle w:val="Compact"/>
            </w:pPr>
            <m:oMath>
              <m:r>
                <m:t>S</m:t>
              </m:r>
              <m:r>
                <m:t>D</m:t>
              </m:r>
              <m:r>
                <m:t>R</m:t>
              </m:r>
            </m:oMath>
            <w:r>
              <w:t xml:space="preserve"> </w:t>
            </w:r>
            <w:r>
              <w:t xml:space="preserve">:solde de réassurance</w:t>
            </w:r>
          </w:p>
          <w:p>
            <w:pPr>
              <w:pStyle w:val="FirstParagraph"/>
            </w:pPr>
            <w:pPr>
              <w:spacing w:after="16"/>
            </w:pPr>
            <w:r>
              <w:t xml:space="preserve">La probabilité de défaut annuelle</w:t>
            </w:r>
            <w:r>
              <w:t xml:space="preserve"> </w:t>
            </w:r>
            <m:oMath>
              <m:r>
                <m:t>P</m:t>
              </m:r>
              <m:r>
                <m:t>D</m:t>
              </m:r>
            </m:oMath>
            <w:r>
              <w:t xml:space="preserve"> </w:t>
            </w:r>
            <w:r>
              <w:t xml:space="preserve">du cessionnaire est établie conformément au tableau prévu en</w:t>
            </w:r>
            <w:r>
              <w:t xml:space="preserve"> </w:t>
            </w:r>
            <w:r>
              <w:rPr>
                <w:iCs/>
                <w:i/>
              </w:rPr>
              <w:t xml:space="preserve">ANNEXE N°2</w:t>
            </w:r>
            <w:r>
              <w:t xml:space="preserve"> </w:t>
            </w:r>
            <w:r>
              <w:t xml:space="preserve">de ce rapport .</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Applications/quarto/share/formats/docx/note.png" id="178" name="Picture"/>
                          <pic:cNvPicPr>
                            <a:picLocks noChangeArrowheads="1" noChangeAspect="1"/>
                          </pic:cNvPicPr>
                        </pic:nvPicPr>
                        <pic:blipFill>
                          <a:blip r:embed="rId1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Nº3: Calcul de l’ajustement pour défaut de contrepartie</w:t>
            </w:r>
          </w:p>
        </w:tc>
      </w:tr>
      <w:tr>
        <w:trPr>
          <w:cantSplit/>
        </w:trPr>
        <w:tc>
          <w:tcPr>
            <w:tcMar>
              <w:top w:w="108" w:type="dxa"/>
              <w:bottom w:w="108" w:type="dxa"/>
            </w:tcMar>
          </w:tcPr>
          <w:p>
            <w:pPr>
              <w:pStyle w:val="BodyText"/>
            </w:pPr>
            <w:pPr>
              <w:spacing w:before="16" w:after="16"/>
            </w:pPr>
          </w:p>
          <w:p>
            <w:pPr>
              <w:pStyle w:val="BodyText"/>
            </w:pPr>
            <w:bookmarkStart w:id="179" w:name="eq-gbmp"/>
            <m:oMathPara>
              <m:oMathParaPr>
                <m:jc m:val="center"/>
              </m:oMathParaPr>
              <m:oMath>
                <m:r>
                  <m:t>A</m:t>
                </m:r>
                <m:r>
                  <m:t>d</m:t>
                </m:r>
                <m:r>
                  <m:t>j</m:t>
                </m:r>
                <m:r>
                  <m:rPr>
                    <m:sty m:val="p"/>
                  </m:rPr>
                  <m:t>=</m:t>
                </m:r>
                <m:nary>
                  <m:naryPr>
                    <m:chr m:val="∑"/>
                    <m:limLoc m:val="undOvr"/>
                    <m:subHide m:val="0"/>
                    <m:supHide m:val="1"/>
                  </m:naryPr>
                  <m:sub>
                    <m:r>
                      <m:t>i</m:t>
                    </m:r>
                    <m:r>
                      <m:rPr>
                        <m:sty m:val="p"/>
                      </m:rPr>
                      <m:t>&gt;</m:t>
                    </m:r>
                    <m:r>
                      <m:t>0</m:t>
                    </m:r>
                  </m:sub>
                  <m:sup>
                    <m:r>
                      <m:t>​</m:t>
                    </m:r>
                  </m:sup>
                  <m:e>
                    <m:f>
                      <m:fPr>
                        <m:type m:val="bar"/>
                      </m:fPr>
                      <m:num>
                        <m:r>
                          <m:t>A</m:t>
                        </m:r>
                        <m:r>
                          <m:t>d</m:t>
                        </m:r>
                        <m:sSub>
                          <m:e>
                            <m:r>
                              <m:t>j</m:t>
                            </m:r>
                          </m:e>
                          <m:sub>
                            <m:r>
                              <m:t>i</m:t>
                            </m:r>
                          </m:sub>
                        </m:sSub>
                      </m:num>
                      <m:den>
                        <m:sSup>
                          <m:e>
                            <m:d>
                              <m:dPr>
                                <m:begChr m:val="("/>
                                <m:endChr m:val=")"/>
                                <m:sepChr m:val=""/>
                                <m:grow/>
                              </m:dPr>
                              <m:e>
                                <m:r>
                                  <m:t>1</m:t>
                                </m:r>
                                <m:r>
                                  <m:rPr>
                                    <m:sty m:val="p"/>
                                  </m:rPr>
                                  <m:t>+</m:t>
                                </m:r>
                                <m:sSub>
                                  <m:e>
                                    <m:r>
                                      <m:t>r</m:t>
                                    </m:r>
                                  </m:e>
                                  <m:sub>
                                    <m:r>
                                      <m:t>i</m:t>
                                    </m:r>
                                  </m:sub>
                                </m:sSub>
                              </m:e>
                            </m:d>
                          </m:e>
                          <m:sup>
                            <m:r>
                              <m:t>i</m:t>
                            </m:r>
                          </m:sup>
                        </m:sSup>
                      </m:den>
                    </m:f>
                  </m:e>
                </m:nary>
                <m:r>
                  <m:t> </m:t>
                </m:r>
                <m:r>
                  <m:rPr>
                    <m:sty m:val="p"/>
                  </m:rPr>
                  <m:t>,</m:t>
                </m:r>
                <m:r>
                  <m:t>  </m:t>
                </m:r>
                <m:d>
                  <m:dPr>
                    <m:begChr m:val="("/>
                    <m:endChr m:val=")"/>
                    <m:sepChr m:val=""/>
                    <m:grow/>
                  </m:dPr>
                  <m:e>
                    <m:r>
                      <m:t>45</m:t>
                    </m:r>
                  </m:e>
                </m:d>
              </m:oMath>
            </m:oMathPara>
            <w:bookmarkEnd w:id="179"/>
          </w:p>
          <w:p>
            <w:pPr>
              <w:pStyle w:val="FirstParagraph"/>
            </w:pPr>
            <w:r>
              <w:t xml:space="preserve">avec</w:t>
            </w:r>
            <w:r>
              <w:t xml:space="preserve"> </w:t>
            </w:r>
            <m:oMath>
              <m:d>
                <m:dPr>
                  <m:begChr m:val="("/>
                  <m:endChr m:val=")"/>
                  <m:sepChr m:val=""/>
                  <m:grow/>
                </m:dPr>
                <m:e>
                  <m:sSub>
                    <m:e>
                      <m:r>
                        <m:t>r</m:t>
                      </m:r>
                    </m:e>
                    <m:sub>
                      <m:r>
                        <m:t>i</m:t>
                      </m:r>
                    </m:sub>
                  </m:sSub>
                </m:e>
              </m:d>
            </m:oMath>
            <w:r>
              <w:t xml:space="preserve"> </w:t>
            </w:r>
            <w:r>
              <w:t xml:space="preserve">calculés à partir de la courbe des taux fixée par l’Autorité.</w:t>
            </w:r>
          </w:p>
        </w:tc>
      </w:tr>
    </w:tbl>
    <w:bookmarkEnd w:id="180"/>
    <w:bookmarkEnd w:id="181"/>
    <w:bookmarkStart w:id="245" w:name="X996f6371680290ab18e96c29df36c0fb21384d3"/>
    <w:p>
      <w:pPr>
        <w:pStyle w:val="Heading1"/>
      </w:pPr>
      <w:r>
        <w:t xml:space="preserve">6. CHAPITRE VI : Capital de Solvabilité Requis</w:t>
      </w:r>
    </w:p>
    <w:bookmarkStart w:id="187" w:name="définition-générale"/>
    <w:p>
      <w:pPr>
        <w:pStyle w:val="Heading2"/>
      </w:pPr>
      <w:r>
        <w:t xml:space="preserve">6.1 Définition générale</w:t>
      </w:r>
    </w:p>
    <w:p>
      <w:pPr>
        <w:pStyle w:val="FirstParagraph"/>
      </w:pPr>
      <w:r>
        <w:t xml:space="preserve">Au cours de son existence, la compagnie d’assurance ou de réassurance fait face à plusieurs engagements dont la plus part sont risqués. Ce tas de risques encourus demande donc des préventions afin d’éviter ou de supporter leur avènement. Subséquemment, il est normal de se demandait quel montant la compagnie devrait avoir à l’instant</w:t>
      </w:r>
      <w:r>
        <w:t xml:space="preserve"> </w:t>
      </w:r>
      <m:oMath>
        <m:r>
          <m:t>t</m:t>
        </m:r>
      </m:oMath>
      <w:r>
        <w:t xml:space="preserve"> </w:t>
      </w:r>
      <w:r>
        <w:t xml:space="preserve">pour se couvrir des risques éventuels d’où l’introduction de la notion de</w:t>
      </w:r>
      <w:r>
        <w:t xml:space="preserve"> </w:t>
      </w:r>
      <w:r>
        <w:rPr>
          <w:iCs/>
          <w:i/>
        </w:rPr>
        <w:t xml:space="preserve">Capital de Solvabilité Requis</w:t>
      </w:r>
      <w:r>
        <w:t xml:space="preserve"> </w:t>
      </w:r>
      <w:r>
        <w:t xml:space="preserve">(</w:t>
      </w:r>
      <m:oMath>
        <m:r>
          <m:t>C</m:t>
        </m:r>
        <m:r>
          <m:t>S</m:t>
        </m:r>
        <m:r>
          <m:t>R</m:t>
        </m:r>
      </m:oMath>
      <w:r>
        <w:t xml:space="preserve">).</w:t>
      </w:r>
    </w:p>
    <w:p>
      <w:pPr>
        <w:pStyle w:val="BodyText"/>
      </w:pPr>
      <w:r>
        <w:t xml:space="preserve">Comme son nom l’indique, le CSR correspond au capital dont a besoin une entreprise d’assurance ou de réassurance pour faire face à tous les risques qui peuvent survenir dans le futur et limiter la probabilité de ruine.</w:t>
      </w:r>
    </w:p>
    <w:p>
      <w:pPr>
        <w:pStyle w:val="BodyText"/>
      </w:pPr>
      <w:r>
        <w:t xml:space="preserve">Commençons d’abord par la définition des différents risques dans les secteurs d’assurance et de réassurance pris en compte dans le projet</w:t>
      </w:r>
      <w:r>
        <w:t xml:space="preserve"> </w:t>
      </w:r>
      <w:r>
        <w:rPr>
          <w:iCs/>
          <w:i/>
        </w:rPr>
        <w:t xml:space="preserve">SBR</w:t>
      </w:r>
      <w:r>
        <w:t xml:space="preserve"> </w:t>
      </w:r>
      <w:r>
        <w:t xml:space="preserve">:</w:t>
      </w:r>
    </w:p>
    <w:p>
      <w:pPr>
        <w:numPr>
          <w:ilvl w:val="0"/>
          <w:numId w:val="1042"/>
        </w:numPr>
      </w:pPr>
      <w:r>
        <w:rPr>
          <w:bCs/>
          <w:b/>
        </w:rPr>
        <w:t xml:space="preserve">Risque de souscription</w:t>
      </w:r>
      <w:r>
        <w:t xml:space="preserve"> </w:t>
      </w:r>
      <w:r>
        <w:t xml:space="preserve">: le risque de perte ou de changement défavorable de la situation financière, en</w:t>
      </w:r>
      <w:r>
        <w:t xml:space="preserve"> </w:t>
      </w:r>
      <w:r>
        <w:t xml:space="preserve">raison d’hypothèses inadéquates en matière de sinistralité, de tarification et de provisionnement.</w:t>
      </w:r>
    </w:p>
    <w:p>
      <w:pPr>
        <w:numPr>
          <w:ilvl w:val="0"/>
          <w:numId w:val="1042"/>
        </w:numPr>
      </w:pPr>
      <w:r>
        <w:rPr>
          <w:bCs/>
          <w:b/>
        </w:rPr>
        <w:t xml:space="preserve">Risque de marché</w:t>
      </w:r>
      <w:r>
        <w:t xml:space="preserve"> </w:t>
      </w:r>
      <w:r>
        <w:t xml:space="preserve">: le risque de perte ou de changement défavorable de la situation financière</w:t>
      </w:r>
      <w:r>
        <w:t xml:space="preserve"> </w:t>
      </w:r>
      <w:r>
        <w:t xml:space="preserve">résultant, directement ou indirectement, de fluctuations affectant le niveau de la valeur des actifs, des</w:t>
      </w:r>
      <w:r>
        <w:t xml:space="preserve"> </w:t>
      </w:r>
      <w:r>
        <w:t xml:space="preserve">passifs et des instruments financiers.</w:t>
      </w:r>
    </w:p>
    <w:p>
      <w:pPr>
        <w:numPr>
          <w:ilvl w:val="0"/>
          <w:numId w:val="1042"/>
        </w:numPr>
      </w:pPr>
      <w:r>
        <w:rPr>
          <w:bCs/>
          <w:b/>
        </w:rPr>
        <w:t xml:space="preserve">Risque de spread</w:t>
      </w:r>
      <w:r>
        <w:t xml:space="preserve"> </w:t>
      </w:r>
      <w:r>
        <w:t xml:space="preserve">(marge de crédit) : le risque de perte ou de changement défavorable de la situation</w:t>
      </w:r>
      <w:r>
        <w:t xml:space="preserve"> </w:t>
      </w:r>
      <w:r>
        <w:t xml:space="preserve">financière résultant des changements touchant les marges additionnelles par rapport aux taux de</w:t>
      </w:r>
      <w:r>
        <w:t xml:space="preserve"> </w:t>
      </w:r>
      <w:r>
        <w:t xml:space="preserve">référence exigée par les investisseurs sur les emprunts émis par des entités autres que l’Etat.</w:t>
      </w:r>
    </w:p>
    <w:p>
      <w:pPr>
        <w:numPr>
          <w:ilvl w:val="0"/>
          <w:numId w:val="1042"/>
        </w:numPr>
      </w:pPr>
      <w:r>
        <w:rPr>
          <w:bCs/>
          <w:b/>
        </w:rPr>
        <w:t xml:space="preserve">Risque de contrepartie</w:t>
      </w:r>
      <w:r>
        <w:t xml:space="preserve"> </w:t>
      </w:r>
      <w:r>
        <w:t xml:space="preserve">: le risque de perte ou de changement défavorable de la situation financière</w:t>
      </w:r>
      <w:r>
        <w:t xml:space="preserve"> </w:t>
      </w:r>
      <w:r>
        <w:t xml:space="preserve">résultant d’un défaut de paiement d’une contrepartie ou d’une dégradation de sa qualité de crédit.</w:t>
      </w:r>
    </w:p>
    <w:p>
      <w:pPr>
        <w:numPr>
          <w:ilvl w:val="0"/>
          <w:numId w:val="1042"/>
        </w:numPr>
      </w:pPr>
      <w:r>
        <w:rPr>
          <w:bCs/>
          <w:b/>
        </w:rPr>
        <w:t xml:space="preserve">Risque opérationnel</w:t>
      </w:r>
      <w:r>
        <w:t xml:space="preserve"> </w:t>
      </w:r>
      <w:r>
        <w:t xml:space="preserve">: le risque de perte ou de changement défavorable de la situation financière</w:t>
      </w:r>
      <w:r>
        <w:t xml:space="preserve"> </w:t>
      </w:r>
      <w:r>
        <w:t xml:space="preserve">résultant de procédures internes, de membres du personnel, de systèmes inadéquats ou défaillants,</w:t>
      </w:r>
      <w:r>
        <w:t xml:space="preserve"> </w:t>
      </w:r>
      <w:r>
        <w:t xml:space="preserve">ou d’événements extérieurs.</w:t>
      </w:r>
    </w:p>
    <w:p>
      <w:pPr>
        <w:numPr>
          <w:ilvl w:val="0"/>
          <w:numId w:val="1042"/>
        </w:numPr>
      </w:pPr>
      <w:r>
        <w:rPr>
          <w:bCs/>
          <w:b/>
        </w:rPr>
        <w:t xml:space="preserve">Risque de concentration</w:t>
      </w:r>
      <w:r>
        <w:t xml:space="preserve"> </w:t>
      </w:r>
      <w:r>
        <w:t xml:space="preserve">: le risque de perte ou de changement défavorable de la situation financière</w:t>
      </w:r>
      <w:r>
        <w:t xml:space="preserve"> </w:t>
      </w:r>
      <w:r>
        <w:t xml:space="preserve">résultant d’un manque de diversité des émetteurs auxquels l’entreprise d’assurances et de</w:t>
      </w:r>
      <w:r>
        <w:t xml:space="preserve"> </w:t>
      </w:r>
      <w:r>
        <w:t xml:space="preserve">réassurance est exposée.</w:t>
      </w:r>
    </w:p>
    <w:p>
      <w:pPr>
        <w:pStyle w:val="FirstParagraph"/>
      </w:pPr>
      <w:r>
        <w:t xml:space="preserve">Tous les risques supportés par le capital de solvabilité requis sont répertoriés dans le schéma suivant :</w:t>
      </w:r>
    </w:p>
    <w:tbl>
      <w:tblPr>
        <w:tblStyle w:val="Table"/>
        <w:tblW w:type="pct" w:w="5000"/>
        <w:tblLook w:firstRow="0" w:lastRow="0" w:firstColumn="0" w:lastColumn="0" w:noHBand="0" w:noVBand="0" w:val="0000"/>
        <w:jc w:val="start"/>
      </w:tblPr>
      <w:tblGrid>
        <w:gridCol w:w="7920"/>
      </w:tblGrid>
      <w:tr>
        <w:tc>
          <w:tcPr/>
          <w:bookmarkStart w:id="185" w:name="fig-piliers"/>
          <w:p>
            <w:pPr>
              <w:jc w:val="center"/>
            </w:pPr>
            <w:r>
              <w:drawing>
                <wp:inline>
                  <wp:extent cx="5334000" cy="3015219"/>
                  <wp:effectExtent b="0" l="0" r="0" t="0"/>
                  <wp:docPr descr="" title="" id="183" name="Picture"/>
                  <a:graphic>
                    <a:graphicData uri="http://schemas.openxmlformats.org/drawingml/2006/picture">
                      <pic:pic>
                        <pic:nvPicPr>
                          <pic:cNvPr descr="Rapport-PFE_files/figure-html/Risques.png" id="184" name="Picture"/>
                          <pic:cNvPicPr>
                            <a:picLocks noChangeArrowheads="1" noChangeAspect="1"/>
                          </pic:cNvPicPr>
                        </pic:nvPicPr>
                        <pic:blipFill>
                          <a:blip r:embed="rId182"/>
                          <a:stretch>
                            <a:fillRect/>
                          </a:stretch>
                        </pic:blipFill>
                        <pic:spPr bwMode="auto">
                          <a:xfrm>
                            <a:off x="0" y="0"/>
                            <a:ext cx="5334000" cy="3015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Présentation des risques</w:t>
            </w:r>
          </w:p>
          <w:bookmarkEnd w:id="185"/>
        </w:tc>
      </w:tr>
    </w:tbl>
    <w:p>
      <w:pPr>
        <w:pStyle w:val="BodyText"/>
      </w:pPr>
      <w:r>
        <w:t xml:space="preserve">Selon le circulaire de l’autorité de Contrôle des assurances et de la Prévoyance Sociale (ACAPS) le capital de solvabilité requis est constitué de la somme des éléments suivants :</w:t>
      </w:r>
    </w:p>
    <w:p>
      <w:pPr>
        <w:numPr>
          <w:ilvl w:val="0"/>
          <w:numId w:val="1043"/>
        </w:numPr>
      </w:pPr>
      <w:r>
        <w:t xml:space="preserve">Le capital de solvabilité requis de base.</w:t>
      </w:r>
    </w:p>
    <w:p>
      <w:pPr>
        <w:numPr>
          <w:ilvl w:val="0"/>
          <w:numId w:val="1043"/>
        </w:numPr>
      </w:pPr>
      <w:r>
        <w:t xml:space="preserve">L’exigence de capital relative au risque opérationnel.</w:t>
      </w:r>
    </w:p>
    <w:p>
      <w:pPr>
        <w:numPr>
          <w:ilvl w:val="0"/>
          <w:numId w:val="1043"/>
        </w:numPr>
      </w:pPr>
      <w:r>
        <w:t xml:space="preserve">L’ajustement visant à tenir compte de la capacité d’absorption des pertes par les assurés.</w:t>
      </w:r>
    </w:p>
    <w:p>
      <w:pPr>
        <w:numPr>
          <w:ilvl w:val="0"/>
          <w:numId w:val="1043"/>
        </w:numPr>
      </w:pPr>
      <w:r>
        <w:t xml:space="preserve">L’ajustement visant à tenir compte de la capacité d’absorption des pertes par les impôts différés.</w:t>
      </w:r>
    </w:p>
    <w:p>
      <w:pPr>
        <w:pStyle w:val="FirstParagraph"/>
      </w:pPr>
      <w:bookmarkStart w:id="186" w:name="eq-gbmp"/>
      <m:oMathPara>
        <m:oMathParaPr>
          <m:jc m:val="center"/>
        </m:oMathParaPr>
        <m:oMath>
          <m:r>
            <m:t>C</m:t>
          </m:r>
          <m:r>
            <m:t>S</m:t>
          </m:r>
          <m:r>
            <m:t>R</m:t>
          </m:r>
          <m:r>
            <m:rPr>
              <m:sty m:val="p"/>
            </m:rPr>
            <m:t>=</m:t>
          </m:r>
          <m:r>
            <m:t>C</m:t>
          </m:r>
          <m:r>
            <m:t>S</m:t>
          </m:r>
          <m:r>
            <m:t>R</m:t>
          </m:r>
          <m:r>
            <m:t>B</m:t>
          </m:r>
          <m:r>
            <m:rPr>
              <m:sty m:val="p"/>
            </m:rPr>
            <m:t>+</m:t>
          </m:r>
          <m:r>
            <m:t>C</m:t>
          </m:r>
          <m:r>
            <m:t>S</m:t>
          </m:r>
          <m:r>
            <m:t>R</m:t>
          </m:r>
          <m:r>
            <m:t>O</m:t>
          </m:r>
          <m:r>
            <m:rPr>
              <m:sty m:val="p"/>
            </m:rPr>
            <m:t>−</m:t>
          </m:r>
          <m:r>
            <m:t>m</m:t>
          </m:r>
          <m:r>
            <m:t>a</m:t>
          </m:r>
          <m:r>
            <m:t>x</m:t>
          </m:r>
          <m:d>
            <m:dPr>
              <m:begChr m:val="("/>
              <m:endChr m:val=")"/>
              <m:sepChr m:val=""/>
              <m:grow/>
            </m:dPr>
            <m:e>
              <m:r>
                <m:t>A</m:t>
              </m:r>
              <m:r>
                <m:t>d</m:t>
              </m:r>
              <m:r>
                <m:t>j</m:t>
              </m:r>
              <m:r>
                <m:rPr>
                  <m:sty m:val="p"/>
                </m:rPr>
                <m:t>,</m:t>
              </m:r>
              <m:r>
                <m:t>0</m:t>
              </m:r>
            </m:e>
          </m:d>
          <m:r>
            <m:t>  </m:t>
          </m:r>
          <m:d>
            <m:dPr>
              <m:begChr m:val="("/>
              <m:endChr m:val=")"/>
              <m:sepChr m:val=""/>
              <m:grow/>
            </m:dPr>
            <m:e>
              <m:r>
                <m:t>46</m:t>
              </m:r>
            </m:e>
          </m:d>
        </m:oMath>
      </m:oMathPara>
      <w:bookmarkEnd w:id="186"/>
    </w:p>
    <w:bookmarkEnd w:id="187"/>
    <w:bookmarkStart w:id="244" w:name="X0beb716fe9114a411569a04c6802232189d90bd"/>
    <w:p>
      <w:pPr>
        <w:pStyle w:val="Heading2"/>
      </w:pPr>
      <w:r>
        <w:t xml:space="preserve">6.2 Le capital de solvabilité requis de base (</w:t>
      </w:r>
      <m:oMath>
        <m:r>
          <m:t>C</m:t>
        </m:r>
        <m:r>
          <m:t>S</m:t>
        </m:r>
        <m:r>
          <m:t>R</m:t>
        </m:r>
        <m:r>
          <m:t>B</m:t>
        </m:r>
      </m:oMath>
      <w:r>
        <w:t xml:space="preserve">)</w:t>
      </w:r>
    </w:p>
    <w:p>
      <w:pPr>
        <w:pStyle w:val="FirstParagraph"/>
      </w:pPr>
      <w:r>
        <w:t xml:space="preserve">Le capital de solvabilité requis de base est le montant total des exigences de capitaux liées aux risques de</w:t>
      </w:r>
      <w:r>
        <w:t xml:space="preserve"> </w:t>
      </w:r>
      <w:r>
        <w:rPr>
          <w:bCs/>
          <w:b/>
        </w:rPr>
        <w:t xml:space="preserve">marché</w:t>
      </w:r>
      <w:r>
        <w:t xml:space="preserve">, de</w:t>
      </w:r>
      <w:r>
        <w:t xml:space="preserve"> </w:t>
      </w:r>
      <w:r>
        <w:rPr>
          <w:bCs/>
          <w:b/>
        </w:rPr>
        <w:t xml:space="preserve">concentration</w:t>
      </w:r>
      <w:r>
        <w:t xml:space="preserve">, de</w:t>
      </w:r>
      <w:r>
        <w:t xml:space="preserve"> </w:t>
      </w:r>
      <w:r>
        <w:rPr>
          <w:bCs/>
          <w:b/>
        </w:rPr>
        <w:t xml:space="preserve">contrepartie</w:t>
      </w:r>
      <w:r>
        <w:t xml:space="preserve">, de</w:t>
      </w:r>
      <w:r>
        <w:t xml:space="preserve"> </w:t>
      </w:r>
      <w:r>
        <w:rPr>
          <w:bCs/>
          <w:b/>
        </w:rPr>
        <w:t xml:space="preserve">souscription vie</w:t>
      </w:r>
      <w:r>
        <w:t xml:space="preserve"> </w:t>
      </w:r>
      <w:r>
        <w:t xml:space="preserve">et de</w:t>
      </w:r>
      <w:r>
        <w:t xml:space="preserve"> </w:t>
      </w:r>
      <w:r>
        <w:rPr>
          <w:bCs/>
          <w:b/>
        </w:rPr>
        <w:t xml:space="preserve">souscription non-vie</w:t>
      </w:r>
      <w:r>
        <w:t xml:space="preserve"> </w:t>
      </w:r>
      <w:r>
        <w:t xml:space="preserve">et ce, après application des coefficients de corrélations.</w:t>
      </w:r>
    </w:p>
    <w:p>
      <w:pPr>
        <w:pStyle w:val="BodyText"/>
      </w:pPr>
      <w:r>
        <w:t xml:space="preserve">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pPr>
        <w:pStyle w:val="BodyText"/>
      </w:pPr>
      <w:r>
        <w:t xml:space="preserve">Le capital de solvabilité requis de base s’écrit mathématiquement comme suit:</w:t>
      </w:r>
    </w:p>
    <w:p>
      <w:pPr>
        <w:pStyle w:val="BodyText"/>
      </w:pPr>
      <w:bookmarkStart w:id="188" w:name="eq-gbmp"/>
      <m:oMathPara>
        <m:oMathParaPr>
          <m:jc m:val="center"/>
        </m:oMathParaPr>
        <m:oMath>
          <m:r>
            <m:t>C</m:t>
          </m:r>
          <m:r>
            <m:t>S</m:t>
          </m:r>
          <m:r>
            <m:t>R</m:t>
          </m:r>
          <m:r>
            <m:t>B</m:t>
          </m:r>
          <m:r>
            <m:rPr>
              <m:sty m:val="p"/>
            </m:rPr>
            <m:t>=</m:t>
          </m:r>
          <m:rad>
            <m:radPr>
              <m:degHide m:val="1"/>
            </m:radPr>
            <m:deg/>
            <m:e>
              <m:nary>
                <m:naryPr>
                  <m:chr m:val="∑"/>
                  <m:limLoc m:val="undOvr"/>
                  <m:subHide m:val="0"/>
                  <m:supHide m:val="1"/>
                </m:naryPr>
                <m:sub>
                  <m:r>
                    <m:t>i</m:t>
                  </m:r>
                  <m:r>
                    <m:rPr>
                      <m:sty m:val="p"/>
                    </m:rPr>
                    <m:t>,</m:t>
                  </m:r>
                  <m:r>
                    <m:t>j</m:t>
                  </m:r>
                  <m:r>
                    <m:rPr>
                      <m:sty m:val="p"/>
                    </m:rPr>
                    <m:t>∈</m:t>
                  </m:r>
                  <m:r>
                    <m:t>R</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47</m:t>
              </m:r>
            </m:e>
          </m:d>
        </m:oMath>
      </m:oMathPara>
      <w:bookmarkEnd w:id="188"/>
    </w:p>
    <w:p>
      <w:pPr>
        <w:pStyle w:val="FirstParagraph"/>
      </w:pPr>
      <w:r>
        <w:t xml:space="preserve">avec :</w:t>
      </w:r>
    </w:p>
    <w:p>
      <w:pPr>
        <w:numPr>
          <w:ilvl w:val="0"/>
          <w:numId w:val="1044"/>
        </w:numPr>
      </w:pPr>
      <w:r>
        <w:t xml:space="preserve">R</w:t>
      </w:r>
      <w:r>
        <w:t xml:space="preserve"> </w:t>
      </w:r>
      <m:oMath>
        <m:r>
          <m:rPr>
            <m:sty m:val="p"/>
          </m:rPr>
          <m:t>=</m:t>
        </m:r>
      </m:oMath>
      <w:r>
        <w:t xml:space="preserve"> </w:t>
      </w:r>
      <w:r>
        <w:t xml:space="preserve">{Marché, Concentration, Contrepartie, Souscription Vie, Souscription Non - Vie}</w:t>
      </w:r>
    </w:p>
    <w:p>
      <w:pPr>
        <w:numPr>
          <w:ilvl w:val="0"/>
          <w:numId w:val="1044"/>
        </w:numPr>
      </w:pPr>
      <m:oMath>
        <m:r>
          <m:t>ρ</m:t>
        </m:r>
      </m:oMath>
      <w:r>
        <w:t xml:space="preserve"> </w:t>
      </w:r>
      <w:r>
        <w:t xml:space="preserve">: Coefficients de corrélations.</w:t>
      </w:r>
    </w:p>
    <w:p>
      <w:pPr>
        <w:pStyle w:val="FirstParagraph"/>
      </w:pPr>
      <w:r>
        <w:t xml:space="preserve">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
        <w:tblW w:type="pct" w:w="5000"/>
        <w:tblLook w:firstRow="1" w:lastRow="0" w:firstColumn="0" w:lastColumn="0" w:noHBand="0" w:noVBand="0" w:val="0020"/>
        <w:jc w:val="start"/>
      </w:tblPr>
      <w:tblGrid>
        <w:gridCol w:w="1673"/>
        <w:gridCol w:w="780"/>
        <w:gridCol w:w="1450"/>
        <w:gridCol w:w="1338"/>
        <w:gridCol w:w="1115"/>
        <w:gridCol w:w="1561"/>
      </w:tblGrid>
      <w:tr>
        <w:trPr>
          <w:tblHeader w:val="true"/>
        </w:trPr>
        <w:tc>
          <w:tcPr/>
          <w:p>
            <w:pPr>
              <w:pStyle w:val="Compact"/>
            </w:pPr>
          </w:p>
        </w:tc>
        <w:tc>
          <w:tcPr/>
          <w:p>
            <w:pPr>
              <w:pStyle w:val="Compact"/>
              <w:jc w:val="left"/>
            </w:pPr>
            <w:r>
              <w:t xml:space="preserve">Marché</w:t>
            </w:r>
          </w:p>
        </w:tc>
        <w:tc>
          <w:tcPr/>
          <w:p>
            <w:pPr>
              <w:pStyle w:val="Compact"/>
              <w:jc w:val="left"/>
            </w:pPr>
            <w:r>
              <w:t xml:space="preserve">Concentration</w:t>
            </w:r>
          </w:p>
        </w:tc>
        <w:tc>
          <w:tcPr/>
          <w:p>
            <w:pPr>
              <w:pStyle w:val="Compact"/>
              <w:jc w:val="left"/>
            </w:pPr>
            <w:r>
              <w:t xml:space="preserve">Contrepartie</w:t>
            </w:r>
          </w:p>
        </w:tc>
        <w:tc>
          <w:tcPr/>
          <w:p>
            <w:pPr>
              <w:pStyle w:val="Compact"/>
              <w:jc w:val="left"/>
            </w:pPr>
            <w:r>
              <w:t xml:space="preserve">Sousc. vie</w:t>
            </w:r>
          </w:p>
        </w:tc>
        <w:tc>
          <w:tcPr/>
          <w:p>
            <w:pPr>
              <w:pStyle w:val="Compact"/>
              <w:jc w:val="left"/>
            </w:pPr>
            <w:r>
              <w:t xml:space="preserve">Sousc. non-vie</w:t>
            </w:r>
          </w:p>
        </w:tc>
      </w:tr>
      <w:tr>
        <w:tc>
          <w:tcPr/>
          <w:p>
            <w:pPr>
              <w:pStyle w:val="Compact"/>
              <w:jc w:val="left"/>
            </w:pPr>
            <w:r>
              <w:t xml:space="preserve">Marché</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Concentration</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Contrepartie</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Sousc. 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Sousc. non-vie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bl>
    <w:bookmarkStart w:id="200" w:name="Xcf8d4b28673d83fe23ce8914cf9f40e13d85b14"/>
    <w:p>
      <w:pPr>
        <w:pStyle w:val="Heading3"/>
      </w:pPr>
      <w:r>
        <w:t xml:space="preserve">Exigence de caiptal relative au risque de marché (</w:t>
      </w:r>
      <m:oMath>
        <m:r>
          <m:t>C</m:t>
        </m:r>
        <m:r>
          <m:t>S</m:t>
        </m:r>
        <m:sSub>
          <m:e>
            <m:r>
              <m:t>R</m:t>
            </m:r>
          </m:e>
          <m:sub>
            <m:r>
              <m:t>M</m:t>
            </m:r>
          </m:sub>
        </m:sSub>
      </m:oMath>
      <w:r>
        <w:t xml:space="preserve">)</w:t>
      </w:r>
    </w:p>
    <w:p>
      <w:pPr>
        <w:pStyle w:val="FirstParagraph"/>
      </w:pPr>
      <w:r>
        <w:t xml:space="preserve">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pPr>
        <w:pStyle w:val="BodyText"/>
      </w:pPr>
      <w:r>
        <w:t xml:space="preserve">L’exigence de capital relative au risque de marché peut être représentée comme suit :</w:t>
      </w:r>
    </w:p>
    <w:p>
      <w:pPr>
        <w:pStyle w:val="BodyText"/>
      </w:pPr>
      <w:bookmarkStart w:id="189" w:name="eq-gbmp"/>
      <m:oMathPara>
        <m:oMathParaPr>
          <m:jc m:val="center"/>
        </m:oMathParaPr>
        <m:oMath>
          <m:r>
            <m:t>C</m:t>
          </m:r>
          <m:r>
            <m:t>S</m:t>
          </m:r>
          <m:sSub>
            <m:e>
              <m:r>
                <m:t>R</m:t>
              </m:r>
            </m:e>
            <m:sub>
              <m:r>
                <m:t>M</m:t>
              </m:r>
            </m:sub>
          </m:sSub>
          <m:r>
            <m:rPr>
              <m:sty m:val="p"/>
            </m:rPr>
            <m:t>=</m:t>
          </m:r>
          <m:rad>
            <m:radPr>
              <m:degHide m:val="1"/>
            </m:radPr>
            <m:deg/>
            <m:e>
              <m:nary>
                <m:naryPr>
                  <m:chr m:val="∑"/>
                  <m:limLoc m:val="undOvr"/>
                  <m:subHide m:val="0"/>
                  <m:supHide m:val="1"/>
                </m:naryPr>
                <m:sub>
                  <m:r>
                    <m:t>i</m:t>
                  </m:r>
                  <m:r>
                    <m:rPr>
                      <m:sty m:val="p"/>
                    </m:rPr>
                    <m:t>,</m:t>
                  </m:r>
                  <m:r>
                    <m:t>j</m:t>
                  </m:r>
                  <m:r>
                    <m:rPr>
                      <m:sty m:val="p"/>
                    </m:rPr>
                    <m:t>∈</m:t>
                  </m:r>
                  <m:r>
                    <m:t>R</m:t>
                  </m:r>
                  <m:r>
                    <m:t>M</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48</m:t>
              </m:r>
            </m:e>
          </m:d>
        </m:oMath>
      </m:oMathPara>
      <w:bookmarkEnd w:id="189"/>
    </w:p>
    <w:p>
      <w:pPr>
        <w:pStyle w:val="FirstParagraph"/>
      </w:pPr>
      <w:r>
        <w:t xml:space="preserve">avec :</w:t>
      </w:r>
    </w:p>
    <w:p>
      <w:pPr>
        <w:numPr>
          <w:ilvl w:val="0"/>
          <w:numId w:val="1045"/>
        </w:numPr>
      </w:pPr>
      <w:r>
        <w:t xml:space="preserve">RM</w:t>
      </w:r>
      <w:r>
        <w:t xml:space="preserve"> </w:t>
      </w:r>
      <m:oMath>
        <m:r>
          <m:rPr>
            <m:sty m:val="p"/>
          </m:rPr>
          <m:t>∈</m:t>
        </m:r>
      </m:oMath>
      <w:r>
        <w:t xml:space="preserve"> </w:t>
      </w:r>
      <w:r>
        <w:t xml:space="preserve">{action, taux, immobilier, écart de taux et change}</w:t>
      </w:r>
    </w:p>
    <w:p>
      <w:pPr>
        <w:numPr>
          <w:ilvl w:val="0"/>
          <w:numId w:val="1045"/>
        </w:numPr>
      </w:pPr>
      <m:oMath>
        <m:r>
          <m:t>ρ</m:t>
        </m:r>
      </m:oMath>
      <w:r>
        <w:t xml:space="preserve"> </w:t>
      </w:r>
      <w:r>
        <w:t xml:space="preserve">: Coefficients de corrélations.</w:t>
      </w:r>
    </w:p>
    <w:bookmarkStart w:id="191" w:name="X00e0c68f46971b87c6648cfb4c5abb243b9d28f"/>
    <w:p>
      <w:pPr>
        <w:pStyle w:val="Heading4"/>
      </w:pPr>
      <w:r>
        <w:t xml:space="preserve">L’exigence de capital relative au risque action (</w:t>
      </w:r>
      <m:oMath>
        <m:r>
          <m:t>C</m:t>
        </m:r>
        <m:r>
          <m:t>S</m:t>
        </m:r>
        <m:sSub>
          <m:e>
            <m:r>
              <m:t>R</m:t>
            </m:r>
          </m:e>
          <m:sub>
            <m:r>
              <m:t>A</m:t>
            </m:r>
          </m:sub>
        </m:sSub>
      </m:oMath>
      <w:r>
        <w:t xml:space="preserve">)</w:t>
      </w:r>
    </w:p>
    <w:p>
      <w:pPr>
        <w:pStyle w:val="FirstParagraph"/>
      </w:pPr>
      <w:r>
        <w:t xml:space="preserve">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pPr>
        <w:pStyle w:val="BodyText"/>
      </w:pPr>
      <w:r>
        <w:t xml:space="preserve">Les taux de baisse à appliquer pour le calcul de l’exigence précitée sont fixés pour les catégories d’actions suivantes:</w:t>
      </w:r>
    </w:p>
    <w:p>
      <w:pPr>
        <w:numPr>
          <w:ilvl w:val="0"/>
          <w:numId w:val="1046"/>
        </w:numPr>
        <w:pStyle w:val="Compact"/>
      </w:pPr>
      <w:r>
        <w:t xml:space="preserve">Actions cotées à long terme.</w:t>
      </w:r>
    </w:p>
    <w:p>
      <w:pPr>
        <w:numPr>
          <w:ilvl w:val="0"/>
          <w:numId w:val="1046"/>
        </w:numPr>
        <w:pStyle w:val="Compact"/>
      </w:pPr>
      <w:r>
        <w:t xml:space="preserve">Autres actions cotées.</w:t>
      </w:r>
    </w:p>
    <w:p>
      <w:pPr>
        <w:numPr>
          <w:ilvl w:val="0"/>
          <w:numId w:val="1046"/>
        </w:numPr>
        <w:pStyle w:val="Compact"/>
      </w:pPr>
      <w:r>
        <w:t xml:space="preserve">Actions non cotées à long terme.</w:t>
      </w:r>
    </w:p>
    <w:p>
      <w:pPr>
        <w:numPr>
          <w:ilvl w:val="0"/>
          <w:numId w:val="1046"/>
        </w:numPr>
        <w:pStyle w:val="Compact"/>
      </w:pPr>
      <w:r>
        <w:t xml:space="preserve">Autres actions non cotées.</w:t>
      </w:r>
    </w:p>
    <w:p>
      <w:pPr>
        <w:numPr>
          <w:ilvl w:val="0"/>
          <w:numId w:val="1046"/>
        </w:numPr>
        <w:pStyle w:val="Compact"/>
      </w:pPr>
      <w:r>
        <w:t xml:space="preserve">Entités d’infrastructures.</w:t>
      </w:r>
    </w:p>
    <w:p>
      <w:pPr>
        <w:pStyle w:val="FirstParagraph"/>
      </w:pPr>
      <w:bookmarkStart w:id="190" w:name="eq-gbmp"/>
      <m:oMathPara>
        <m:oMathParaPr>
          <m:jc m:val="center"/>
        </m:oMathParaPr>
        <m:oMath>
          <m:r>
            <m:t>C</m:t>
          </m:r>
          <m:r>
            <m:t>S</m:t>
          </m:r>
          <m:sSub>
            <m:e>
              <m:r>
                <m:t>R</m:t>
              </m:r>
            </m:e>
            <m:sub>
              <m:r>
                <m:t>A</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49</m:t>
              </m:r>
            </m:e>
          </m:d>
        </m:oMath>
      </m:oMathPara>
      <w:bookmarkEnd w:id="190"/>
    </w:p>
    <w:p>
      <w:pPr>
        <w:pStyle w:val="FirstParagraph"/>
      </w:pPr>
      <w:r>
        <w:t xml:space="preserve">avec :</w:t>
      </w:r>
    </w:p>
    <w:p>
      <w:pPr>
        <w:numPr>
          <w:ilvl w:val="0"/>
          <w:numId w:val="1047"/>
        </w:numPr>
        <w:pStyle w:val="Compact"/>
      </w:pPr>
      <m:oMath>
        <m:r>
          <m:t>B</m:t>
        </m:r>
        <m:r>
          <m:t>E</m:t>
        </m:r>
        <m:sSub>
          <m:e>
            <m:r>
              <m:t>C</m:t>
            </m:r>
          </m:e>
          <m:sub>
            <m:r>
              <m:t>e</m:t>
            </m:r>
            <m:r>
              <m:t>n</m:t>
            </m:r>
            <m:r>
              <m:t>g</m:t>
            </m:r>
          </m:sub>
        </m:sSub>
        <m:d>
          <m:dPr>
            <m:begChr m:val="("/>
            <m:endChr m:val=")"/>
            <m:sepChr m:val=""/>
            <m:grow/>
          </m:dPr>
          <m:e>
            <m:r>
              <m:t>C</m:t>
            </m:r>
            <m:r>
              <m:t>h</m:t>
            </m:r>
            <m:r>
              <m:t>o</m:t>
            </m:r>
            <m:r>
              <m:t>c</m:t>
            </m:r>
          </m:e>
        </m:d>
      </m:oMath>
      <w:r>
        <w:t xml:space="preserve"> </w:t>
      </w:r>
      <w:r>
        <w:t xml:space="preserve">: Best estimant des engagements après le choque de la valeur du marché des action.</w:t>
      </w:r>
    </w:p>
    <w:p>
      <w:pPr>
        <w:numPr>
          <w:ilvl w:val="0"/>
          <w:numId w:val="1047"/>
        </w:numPr>
        <w:pStyle w:val="Compact"/>
      </w:pPr>
      <m:oMath>
        <m:r>
          <m:t>B</m:t>
        </m:r>
        <m:sSub>
          <m:e>
            <m:r>
              <m:t>E</m:t>
            </m:r>
          </m:e>
          <m:sub>
            <m:r>
              <m:t>e</m:t>
            </m:r>
            <m:r>
              <m:t>n</m:t>
            </m:r>
            <m:r>
              <m:t>g</m:t>
            </m:r>
          </m:sub>
        </m:sSub>
      </m:oMath>
      <w:r>
        <w:t xml:space="preserve">: Best estimant des engagements.</w:t>
      </w:r>
    </w:p>
    <w:bookmarkEnd w:id="191"/>
    <w:bookmarkStart w:id="193" w:name="Xb5fc351290b7d10916dfe69a1c5c8a08a269b48"/>
    <w:p>
      <w:pPr>
        <w:pStyle w:val="Heading4"/>
      </w:pPr>
      <w:r>
        <w:t xml:space="preserve">L’exigence de capital relative au risque de taux (</w:t>
      </w:r>
      <m:oMath>
        <m:r>
          <m:t>C</m:t>
        </m:r>
        <m:r>
          <m:t>S</m:t>
        </m:r>
        <m:sSub>
          <m:e>
            <m:r>
              <m:t>R</m:t>
            </m:r>
          </m:e>
          <m:sub>
            <m:r>
              <m:t>T</m:t>
            </m:r>
          </m:sub>
        </m:sSub>
      </m:oMath>
      <w:r>
        <w:t xml:space="preserve">)</w:t>
      </w:r>
    </w:p>
    <w:p>
      <w:pPr>
        <w:pStyle w:val="FirstParagraph"/>
      </w:pPr>
      <w:r>
        <w:t xml:space="preserve">L’exigence de capital relative au risque de taux représente le montant estimé de la perte maximale en fonds propres subit en raison de la baisse ou de la hausse des taux d’intérêt appliquées à l’ensemble de ses actifs et passifs.</w:t>
      </w:r>
    </w:p>
    <w:p>
      <w:pPr>
        <w:pStyle w:val="BodyText"/>
      </w:pPr>
      <w:r>
        <w:t xml:space="preserve">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pPr>
        <w:pStyle w:val="BodyText"/>
      </w:pPr>
      <w:r>
        <w:t xml:space="preserve">La formule peut s’écrire comme suit:</w:t>
      </w:r>
    </w:p>
    <w:p>
      <w:pPr>
        <w:pStyle w:val="BodyText"/>
      </w:pPr>
      <w:bookmarkStart w:id="192" w:name="eq-gbmp"/>
      <m:oMathPara>
        <m:oMathParaPr>
          <m:jc m:val="center"/>
        </m:oMathParaPr>
        <m:oMath>
          <m:r>
            <m:t>C</m:t>
          </m:r>
          <m:r>
            <m:t>S</m:t>
          </m:r>
          <m:sSub>
            <m:e>
              <m:r>
                <m:t>R</m:t>
              </m:r>
            </m:e>
            <m:sub>
              <m:r>
                <m:t>T</m:t>
              </m:r>
            </m:sub>
          </m:sSub>
          <m:r>
            <m:rPr>
              <m:sty m:val="p"/>
            </m:rPr>
            <m:t>=</m:t>
          </m:r>
          <m:r>
            <m:t>m</m:t>
          </m:r>
          <m:r>
            <m:t>a</m:t>
          </m:r>
          <m:r>
            <m:t>x</m:t>
          </m:r>
          <m:d>
            <m:dPr>
              <m:begChr m:val="("/>
              <m:endChr m:val=")"/>
              <m:sepChr m:val=""/>
              <m:grow/>
            </m:dPr>
            <m:e>
              <m:r>
                <m:t>C</m:t>
              </m:r>
              <m:r>
                <m:t>S</m:t>
              </m:r>
              <m:sSub>
                <m:e>
                  <m:r>
                    <m:t>R</m:t>
                  </m:r>
                </m:e>
                <m:sub>
                  <m:r>
                    <m:t>T</m:t>
                  </m:r>
                  <m:r>
                    <m:t>H</m:t>
                  </m:r>
                </m:sub>
              </m:sSub>
              <m:r>
                <m:rPr>
                  <m:sty m:val="p"/>
                </m:rPr>
                <m:t>;</m:t>
              </m:r>
              <m:r>
                <m:t>C</m:t>
              </m:r>
              <m:r>
                <m:t>S</m:t>
              </m:r>
              <m:sSub>
                <m:e>
                  <m:r>
                    <m:t>R</m:t>
                  </m:r>
                </m:e>
                <m:sub>
                  <m:r>
                    <m:t>T</m:t>
                  </m:r>
                  <m:r>
                    <m:t>B</m:t>
                  </m:r>
                </m:sub>
              </m:sSub>
            </m:e>
          </m:d>
          <m:r>
            <m:t> </m:t>
          </m:r>
          <m:r>
            <m:rPr>
              <m:sty m:val="p"/>
            </m:rPr>
            <m:t>,</m:t>
          </m:r>
          <m:r>
            <m:t>  </m:t>
          </m:r>
          <m:d>
            <m:dPr>
              <m:begChr m:val="("/>
              <m:endChr m:val=")"/>
              <m:sepChr m:val=""/>
              <m:grow/>
            </m:dPr>
            <m:e>
              <m:r>
                <m:t>50</m:t>
              </m:r>
            </m:e>
          </m:d>
        </m:oMath>
      </m:oMathPara>
      <w:bookmarkEnd w:id="192"/>
    </w:p>
    <w:p>
      <w:pPr>
        <w:pStyle w:val="FirstParagraph"/>
      </w:pPr>
      <w:r>
        <w:t xml:space="preserve">avec :</w:t>
      </w:r>
    </w:p>
    <w:p>
      <w:pPr>
        <w:numPr>
          <w:ilvl w:val="0"/>
          <w:numId w:val="1048"/>
        </w:numPr>
        <w:pStyle w:val="Compact"/>
      </w:pPr>
      <m:oMath>
        <m:r>
          <m:t>C</m:t>
        </m:r>
        <m:r>
          <m:t>S</m:t>
        </m:r>
        <m:sSub>
          <m:e>
            <m:r>
              <m:t>R</m:t>
            </m:r>
          </m:e>
          <m:sub>
            <m:r>
              <m:t>T</m:t>
            </m:r>
            <m:r>
              <m:t>H</m:t>
            </m:r>
          </m:sub>
        </m:sSub>
      </m:oMath>
      <w:r>
        <w:t xml:space="preserve">:Best estimate des engagements pour le scénario de hausse de taux.</w:t>
      </w:r>
    </w:p>
    <w:p>
      <w:pPr>
        <w:numPr>
          <w:ilvl w:val="0"/>
          <w:numId w:val="1048"/>
        </w:numPr>
        <w:pStyle w:val="Compact"/>
      </w:pPr>
      <m:oMath>
        <m:r>
          <m:t>C</m:t>
        </m:r>
        <m:r>
          <m:t>S</m:t>
        </m:r>
        <m:sSub>
          <m:e>
            <m:r>
              <m:t>R</m:t>
            </m:r>
          </m:e>
          <m:sub>
            <m:r>
              <m:t>T</m:t>
            </m:r>
            <m:r>
              <m:t>B</m:t>
            </m:r>
          </m:sub>
        </m:sSub>
      </m:oMath>
      <w:r>
        <w:t xml:space="preserve">:Best estimate des engagements pour le scénario baisse de taux.</w:t>
      </w:r>
    </w:p>
    <w:p>
      <w:pPr>
        <w:pStyle w:val="FirstParagraph"/>
      </w:pPr>
      <w:r>
        <w:t xml:space="preserve">telle que :</w:t>
      </w:r>
    </w:p>
    <w:p>
      <w:pPr>
        <w:pStyle w:val="BodyText"/>
      </w:pPr>
      <m:oMathPara>
        <m:oMathParaPr>
          <m:jc m:val="center"/>
        </m:oMathParaPr>
        <m:oMath>
          <m:r>
            <m:t>C</m:t>
          </m:r>
          <m:r>
            <m:t>S</m:t>
          </m:r>
          <m:sSub>
            <m:e>
              <m:r>
                <m:t>R</m:t>
              </m:r>
            </m:e>
            <m:sub>
              <m:r>
                <m:t>T</m:t>
              </m:r>
              <m:r>
                <m:t>B</m:t>
              </m:r>
            </m:sub>
          </m:sSub>
          <m:r>
            <m:rPr>
              <m:sty m:val="p"/>
            </m:rPr>
            <m:t>=</m:t>
          </m:r>
          <m:r>
            <m:t>B</m:t>
          </m:r>
          <m:sSub>
            <m:e>
              <m:r>
                <m:t>E</m:t>
              </m:r>
            </m:e>
            <m:sub>
              <m:r>
                <m:t>T</m:t>
              </m:r>
              <m:r>
                <m:t>B</m:t>
              </m:r>
            </m:sub>
          </m:sSub>
          <m:r>
            <m:rPr>
              <m:sty m:val="p"/>
            </m:rPr>
            <m:t>−</m:t>
          </m:r>
          <m:r>
            <m:t>B</m:t>
          </m:r>
          <m:r>
            <m:t>E</m:t>
          </m:r>
        </m:oMath>
      </m:oMathPara>
    </w:p>
    <w:p>
      <w:pPr>
        <w:pStyle w:val="FirstParagraph"/>
      </w:pPr>
      <w:r>
        <w:br/>
      </w:r>
    </w:p>
    <w:p>
      <w:pPr>
        <w:pStyle w:val="BodyText"/>
      </w:pPr>
      <m:oMathPara>
        <m:oMathParaPr>
          <m:jc m:val="center"/>
        </m:oMathParaPr>
        <m:oMath>
          <m:r>
            <m:t>C</m:t>
          </m:r>
          <m:r>
            <m:t>S</m:t>
          </m:r>
          <m:sSub>
            <m:e>
              <m:r>
                <m:t>R</m:t>
              </m:r>
            </m:e>
            <m:sub>
              <m:r>
                <m:t>T</m:t>
              </m:r>
              <m:r>
                <m:t>H</m:t>
              </m:r>
            </m:sub>
          </m:sSub>
          <m:r>
            <m:rPr>
              <m:sty m:val="p"/>
            </m:rPr>
            <m:t>=</m:t>
          </m:r>
          <m:r>
            <m:t>B</m:t>
          </m:r>
          <m:sSub>
            <m:e>
              <m:r>
                <m:t>E</m:t>
              </m:r>
            </m:e>
            <m:sub>
              <m:r>
                <m:t>T</m:t>
              </m:r>
              <m:r>
                <m:t>H</m:t>
              </m:r>
            </m:sub>
          </m:sSub>
          <m:r>
            <m:rPr>
              <m:sty m:val="p"/>
            </m:rPr>
            <m:t>−</m:t>
          </m:r>
          <m:r>
            <m:t>B</m:t>
          </m:r>
          <m:r>
            <m:t>E</m:t>
          </m:r>
        </m:oMath>
      </m:oMathPara>
    </w:p>
    <w:bookmarkEnd w:id="193"/>
    <w:bookmarkStart w:id="195" w:name="Xeb2f88f8cd8813d75e563cba8910ca5b880a2ff"/>
    <w:p>
      <w:pPr>
        <w:pStyle w:val="Heading4"/>
      </w:pPr>
      <w:r>
        <w:t xml:space="preserve">L’exigence de capital relative au risque immobilier (</w:t>
      </w:r>
      <m:oMath>
        <m:r>
          <m:t>C</m:t>
        </m:r>
        <m:r>
          <m:t>S</m:t>
        </m:r>
        <m:sSub>
          <m:e>
            <m:r>
              <m:t>R</m:t>
            </m:r>
          </m:e>
          <m:sub>
            <m:r>
              <m:t>I</m:t>
            </m:r>
          </m:sub>
        </m:sSub>
      </m:oMath>
      <w:r>
        <w:t xml:space="preserve">)</w:t>
      </w:r>
    </w:p>
    <w:p>
      <w:pPr>
        <w:pStyle w:val="FirstParagraph"/>
      </w:pPr>
      <w:r>
        <w:t xml:space="preserve">L’exigence de capital relative au risque immobilier est la perte de fonds propres due à une baisse de la valeur des actifs immobiliers.</w:t>
      </w:r>
    </w:p>
    <w:p>
      <w:pPr>
        <w:pStyle w:val="BodyText"/>
      </w:pPr>
      <w:r>
        <w:t xml:space="preserve">Cette exigence est établie pour évaluer les réserves financières nécessaires face à une potentielle baisse de valeur des biens immobiliers pour minimiser les risques.</w:t>
      </w:r>
    </w:p>
    <w:p>
      <w:pPr>
        <w:pStyle w:val="BodyText"/>
      </w:pPr>
      <w:bookmarkStart w:id="194" w:name="eq-gbmp"/>
      <m:oMathPara>
        <m:oMathParaPr>
          <m:jc m:val="center"/>
        </m:oMathParaPr>
        <m:oMath>
          <m:r>
            <m:t>C</m:t>
          </m:r>
          <m:r>
            <m:t>S</m:t>
          </m:r>
          <m:sSub>
            <m:e>
              <m:r>
                <m:t>R</m:t>
              </m:r>
            </m:e>
            <m:sub>
              <m:r>
                <m:t>I</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51</m:t>
              </m:r>
            </m:e>
          </m:d>
        </m:oMath>
      </m:oMathPara>
      <w:bookmarkEnd w:id="194"/>
    </w:p>
    <w:p>
      <w:pPr>
        <w:pStyle w:val="FirstParagraph"/>
      </w:pPr>
      <w:r>
        <w:t xml:space="preserve">avec :</w:t>
      </w:r>
    </w:p>
    <w:p>
      <w:pPr>
        <w:numPr>
          <w:ilvl w:val="0"/>
          <w:numId w:val="1049"/>
        </w:numPr>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actifs immobiliers,</w:t>
      </w:r>
    </w:p>
    <w:p>
      <w:pPr>
        <w:numPr>
          <w:ilvl w:val="0"/>
          <w:numId w:val="1049"/>
        </w:numPr>
      </w:pPr>
      <m:oMath>
        <m:r>
          <m:t>B</m:t>
        </m:r>
        <m:sSub>
          <m:e>
            <m:r>
              <m:t>E</m:t>
            </m:r>
          </m:e>
          <m:sub>
            <m:r>
              <m:t>e</m:t>
            </m:r>
            <m:r>
              <m:t>n</m:t>
            </m:r>
            <m:r>
              <m:t>g</m:t>
            </m:r>
          </m:sub>
        </m:sSub>
      </m:oMath>
      <w:r>
        <w:t xml:space="preserve"> </w:t>
      </w:r>
      <w:r>
        <w:t xml:space="preserve">: La meilleure estimation des engagements avant choque.</w:t>
      </w:r>
    </w:p>
    <w:bookmarkEnd w:id="195"/>
    <w:bookmarkStart w:id="197" w:name="X26a52ae9805b11f9d1baa2a487f517d03749fc0"/>
    <w:p>
      <w:pPr>
        <w:pStyle w:val="Heading4"/>
      </w:pPr>
      <w:r>
        <w:t xml:space="preserve">L’exigence de capital relative au risque d’écart de taux (</w:t>
      </w:r>
      <m:oMath>
        <m:r>
          <m:t>C</m:t>
        </m:r>
        <m:r>
          <m:t>S</m:t>
        </m:r>
        <m:sSub>
          <m:e>
            <m:r>
              <m:t>R</m:t>
            </m:r>
          </m:e>
          <m:sub>
            <m:r>
              <m:t>E</m:t>
            </m:r>
            <m:r>
              <m:t>T</m:t>
            </m:r>
          </m:sub>
        </m:sSub>
      </m:oMath>
      <w:r>
        <w:t xml:space="preserve">)</w:t>
      </w:r>
    </w:p>
    <w:p>
      <w:pPr>
        <w:pStyle w:val="FirstParagraph"/>
      </w:pPr>
      <w:r>
        <w:t xml:space="preserve">L’exigence de capital relative au risque d’écart de taux est la perte de fonds propres due à l’application des taux de baisse à la valeur des titres de créances non émis ou non garantis par l’Etat.</w:t>
      </w:r>
    </w:p>
    <w:p>
      <w:pPr>
        <w:pStyle w:val="BodyText"/>
      </w:pPr>
      <w:bookmarkStart w:id="196" w:name="eq-gbmp"/>
      <m:oMathPara>
        <m:oMathParaPr>
          <m:jc m:val="center"/>
        </m:oMathParaPr>
        <m:oMath>
          <m:r>
            <m:t>C</m:t>
          </m:r>
          <m:r>
            <m:t>S</m:t>
          </m:r>
          <m:sSub>
            <m:e>
              <m:r>
                <m:t>R</m:t>
              </m:r>
            </m:e>
            <m:sub>
              <m:r>
                <m:t>E</m:t>
              </m:r>
              <m:r>
                <m:t>T</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52</m:t>
              </m:r>
            </m:e>
          </m:d>
        </m:oMath>
      </m:oMathPara>
      <w:bookmarkEnd w:id="196"/>
    </w:p>
    <w:p>
      <w:pPr>
        <w:numPr>
          <w:ilvl w:val="0"/>
          <w:numId w:val="1050"/>
        </w:numPr>
        <w:pStyle w:val="Compact"/>
      </w:pPr>
      <m:oMath>
        <m:r>
          <m:t>B</m:t>
        </m:r>
        <m:sSub>
          <m:e>
            <m:r>
              <m:t>E</m:t>
            </m:r>
          </m:e>
          <m:sub>
            <m:r>
              <m:t>e</m:t>
            </m:r>
            <m:r>
              <m:t>n</m:t>
            </m:r>
            <m:r>
              <m:t>g</m:t>
            </m:r>
          </m:sub>
        </m:sSub>
      </m:oMath>
      <w:r>
        <w:t xml:space="preserve"> </w:t>
      </w:r>
      <w:r>
        <w:t xml:space="preserve">: La meilleure estimation des engagements avant choque,</w:t>
      </w:r>
    </w:p>
    <w:p>
      <w:pPr>
        <w:numPr>
          <w:ilvl w:val="0"/>
          <w:numId w:val="1050"/>
        </w:numPr>
        <w:pStyle w:val="Compact"/>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titres de créances non émis ou non garantis par l’Etat.</w:t>
      </w:r>
    </w:p>
    <w:p>
      <w:pPr>
        <w:pStyle w:val="FirstParagraph"/>
      </w:pPr>
      <w:r>
        <w:t xml:space="preserve">Les taux de baisse à appliquer sont calculés en fonction de la duration et de la prime de risque à l’émission.</w:t>
      </w:r>
    </w:p>
    <w:bookmarkEnd w:id="197"/>
    <w:bookmarkStart w:id="199" w:name="X5e99c74a71772d632d6e09c172891fadaa66da1"/>
    <w:p>
      <w:pPr>
        <w:pStyle w:val="Heading4"/>
      </w:pPr>
      <w:r>
        <w:t xml:space="preserve">L’exigence de capital relative au sous-risque de change (</w:t>
      </w:r>
      <m:oMath>
        <m:r>
          <m:t>C</m:t>
        </m:r>
        <m:r>
          <m:t>S</m:t>
        </m:r>
        <m:sSub>
          <m:e>
            <m:r>
              <m:t>R</m:t>
            </m:r>
          </m:e>
          <m:sub>
            <m:r>
              <m:t>C</m:t>
            </m:r>
            <m:r>
              <m:t>h</m:t>
            </m:r>
          </m:sub>
        </m:sSub>
      </m:oMath>
      <w:r>
        <w:t xml:space="preserve">)</w:t>
      </w:r>
    </w:p>
    <w:p>
      <w:pPr>
        <w:pStyle w:val="FirstParagraph"/>
      </w:pPr>
      <w:r>
        <w:t xml:space="preserve">L’exigence de capital relative au sous-risque de change correspond à la somme des exigences de capitaux pour risque de change pour chaque devise étrangère.</w:t>
      </w:r>
    </w:p>
    <w:p>
      <w:pPr>
        <w:pStyle w:val="BodyText"/>
      </w:pPr>
      <w:r>
        <w:t xml:space="preserve">L’exigence de capital pour risque de change pour chaque devise étrangère correspond à la plus élevée des exigences de capitaux suivantes:</w:t>
      </w:r>
    </w:p>
    <w:p>
      <w:pPr>
        <w:numPr>
          <w:ilvl w:val="0"/>
          <w:numId w:val="1051"/>
        </w:numPr>
        <w:pStyle w:val="Compact"/>
      </w:pPr>
      <w:r>
        <w:t xml:space="preserve">l’exigence de capital pour risque d’augmentation de la valeur de la devise étrangère par rapport au dirham.</w:t>
      </w:r>
    </w:p>
    <w:p>
      <w:pPr>
        <w:numPr>
          <w:ilvl w:val="0"/>
          <w:numId w:val="1051"/>
        </w:numPr>
        <w:pStyle w:val="Compact"/>
      </w:pPr>
      <w:r>
        <w:t xml:space="preserve">l’exigence de capital pour risque de diminution de la valeur de la devise étrangère par rapport au dirham.</w:t>
      </w:r>
    </w:p>
    <w:p>
      <w:pPr>
        <w:pStyle w:val="FirstParagraph"/>
      </w:pPr>
      <w:r>
        <w:t xml:space="preserve">L’exigence de capital pour risques d’augmentation ou de diminution de la valeur de la devise étrangère par rapport au dirham est égale à la perte de fonds propres qui résulterait des scénarios d’augmentation ou de diminution, respectivement de</w:t>
      </w:r>
      <w:r>
        <w:t xml:space="preserve"> </w:t>
      </w:r>
      <m:oMath>
        <m:r>
          <m:t>X</m:t>
        </m:r>
        <m:r>
          <m:rPr>
            <m:sty m:val="p"/>
          </m:rPr>
          <m:t>%</m:t>
        </m:r>
      </m:oMath>
      <w:r>
        <w:t xml:space="preserve"> </w:t>
      </w:r>
      <w:r>
        <w:t xml:space="preserve">et</w:t>
      </w:r>
      <w:r>
        <w:t xml:space="preserve"> </w:t>
      </w:r>
      <m:oMath>
        <m:r>
          <m:t>X</m:t>
        </m:r>
        <m:r>
          <m:rPr>
            <m:sty m:val="p"/>
          </m:rPr>
          <m:t>%</m:t>
        </m:r>
      </m:oMath>
      <w:r>
        <w:t xml:space="preserve">, de la valeur de la devise étrangère par rapport au dirham.</w:t>
      </w:r>
    </w:p>
    <w:p>
      <w:pPr>
        <w:pStyle w:val="BodyText"/>
      </w:pPr>
      <w:bookmarkStart w:id="198" w:name="eq-gbmp"/>
      <m:oMathPara>
        <m:oMathParaPr>
          <m:jc m:val="center"/>
        </m:oMathParaPr>
        <m:oMath>
          <m:r>
            <m:t>C</m:t>
          </m:r>
          <m:r>
            <m:t>S</m:t>
          </m:r>
          <m:sSub>
            <m:e>
              <m:r>
                <m:t>R</m:t>
              </m:r>
            </m:e>
            <m:sub>
              <m:r>
                <m:t>C</m:t>
              </m:r>
              <m:r>
                <m:t>h</m:t>
              </m:r>
            </m:sub>
          </m:sSub>
          <m:r>
            <m:rPr>
              <m:sty m:val="p"/>
            </m:rPr>
            <m:t>=</m:t>
          </m:r>
          <m:nary>
            <m:naryPr>
              <m:chr m:val="∑"/>
              <m:limLoc m:val="undOvr"/>
              <m:subHide m:val="0"/>
              <m:supHide m:val="1"/>
            </m:naryPr>
            <m:sub>
              <m:r>
                <m:t>i</m:t>
              </m:r>
              <m:r>
                <m:rPr>
                  <m:sty m:val="p"/>
                </m:rPr>
                <m:t>∈</m:t>
              </m:r>
              <m:r>
                <m:t>R</m:t>
              </m:r>
              <m:r>
                <m:t>C</m:t>
              </m:r>
            </m:sub>
            <m:sup>
              <m:r>
                <m:t>​</m:t>
              </m:r>
            </m:sup>
            <m:e>
              <m:r>
                <m:t>C</m:t>
              </m:r>
            </m:e>
          </m:nary>
          <m:r>
            <m:t>S</m:t>
          </m:r>
          <m:sSub>
            <m:e>
              <m:r>
                <m:t>R</m:t>
              </m:r>
            </m:e>
            <m:sub>
              <m:r>
                <m:t>C</m:t>
              </m:r>
              <m:sSub>
                <m:e>
                  <m:r>
                    <m:t>h</m:t>
                  </m:r>
                </m:e>
                <m:sub>
                  <m:r>
                    <m:t>i</m:t>
                  </m:r>
                </m:sub>
              </m:sSub>
            </m:sub>
          </m:sSub>
          <m:r>
            <m:t> </m:t>
          </m:r>
          <m:r>
            <m:rPr>
              <m:sty m:val="p"/>
            </m:rPr>
            <m:t>,</m:t>
          </m:r>
          <m:r>
            <m:t>  </m:t>
          </m:r>
          <m:d>
            <m:dPr>
              <m:begChr m:val="("/>
              <m:endChr m:val=")"/>
              <m:sepChr m:val=""/>
              <m:grow/>
            </m:dPr>
            <m:e>
              <m:r>
                <m:t>53</m:t>
              </m:r>
            </m:e>
          </m:d>
        </m:oMath>
      </m:oMathPara>
      <w:bookmarkEnd w:id="198"/>
    </w:p>
    <w:p>
      <w:pPr>
        <w:pStyle w:val="FirstParagraph"/>
      </w:pPr>
      <w:r>
        <w:t xml:space="preserve">avec :</w:t>
      </w:r>
    </w:p>
    <w:p>
      <w:pPr>
        <w:pStyle w:val="BodyText"/>
      </w:pPr>
      <m:oMath>
        <m:r>
          <m:t>R</m:t>
        </m:r>
        <m:r>
          <m:t>C</m:t>
        </m:r>
      </m:oMath>
      <w:r>
        <w:t xml:space="preserve"> </w:t>
      </w:r>
      <w:r>
        <w:t xml:space="preserve">= {risque de change pour chaque devise étrangère }</w:t>
      </w:r>
    </w:p>
    <w:p>
      <w:pPr>
        <w:pStyle w:val="BodyText"/>
      </w:pPr>
      <w:r>
        <w:t xml:space="preserve">et,</w:t>
      </w:r>
    </w:p>
    <w:p>
      <w:pPr>
        <w:pStyle w:val="BodyText"/>
      </w:pPr>
      <m:oMathPara>
        <m:oMathParaPr>
          <m:jc m:val="center"/>
        </m:oMathParaPr>
        <m:oMath>
          <m:r>
            <m:t>C</m:t>
          </m:r>
          <m:r>
            <m:t>S</m:t>
          </m:r>
          <m:sSub>
            <m:e>
              <m:r>
                <m:t>R</m:t>
              </m:r>
            </m:e>
            <m:sub>
              <m:r>
                <m:t>C</m:t>
              </m:r>
              <m:sSub>
                <m:e>
                  <m:r>
                    <m:t>h</m:t>
                  </m:r>
                </m:e>
                <m:sub>
                  <m:r>
                    <m:t>i</m:t>
                  </m:r>
                </m:sub>
              </m:sSub>
            </m:sub>
          </m:sSub>
          <m:r>
            <m:rPr>
              <m:sty m:val="p"/>
            </m:rPr>
            <m:t>=</m:t>
          </m:r>
          <m:r>
            <m:t>m</m:t>
          </m:r>
          <m:r>
            <m:t>a</m:t>
          </m:r>
          <m:r>
            <m:t>x</m:t>
          </m:r>
          <m:d>
            <m:dPr>
              <m:begChr m:val="("/>
              <m:endChr m:val=")"/>
              <m:sepChr m:val=""/>
              <m:grow/>
            </m:dPr>
            <m:e>
              <m:r>
                <m:t>C</m:t>
              </m:r>
              <m:r>
                <m:t>S</m:t>
              </m:r>
              <m:sSub>
                <m:e>
                  <m:r>
                    <m:t>R</m:t>
                  </m:r>
                </m:e>
                <m:sub>
                  <m:r>
                    <m:t>i</m:t>
                  </m:r>
                </m:sub>
              </m:sSub>
              <m:d>
                <m:dPr>
                  <m:begChr m:val="("/>
                  <m:endChr m:val=")"/>
                  <m:sepChr m:val=""/>
                  <m:grow/>
                </m:dPr>
                <m:e>
                  <m:r>
                    <m:t>A</m:t>
                  </m:r>
                  <m:r>
                    <m:t>u</m:t>
                  </m:r>
                  <m:r>
                    <m:t>g</m:t>
                  </m:r>
                </m:e>
              </m:d>
              <m:r>
                <m:t> </m:t>
              </m:r>
              <m:r>
                <m:rPr>
                  <m:sty m:val="p"/>
                </m:rPr>
                <m:t>;</m:t>
              </m:r>
              <m:r>
                <m:t> </m:t>
              </m:r>
              <m:r>
                <m:t>C</m:t>
              </m:r>
              <m:r>
                <m:t>S</m:t>
              </m:r>
              <m:sSub>
                <m:e>
                  <m:r>
                    <m:t>R</m:t>
                  </m:r>
                </m:e>
                <m:sub>
                  <m:r>
                    <m:t>i</m:t>
                  </m:r>
                </m:sub>
              </m:sSub>
              <m:d>
                <m:dPr>
                  <m:begChr m:val="("/>
                  <m:endChr m:val=")"/>
                  <m:sepChr m:val=""/>
                  <m:grow/>
                </m:dPr>
                <m:e>
                  <m:r>
                    <m:t>D</m:t>
                  </m:r>
                  <m:r>
                    <m:t>i</m:t>
                  </m:r>
                  <m:r>
                    <m:t>m</m:t>
                  </m:r>
                </m:e>
              </m:d>
            </m:e>
          </m:d>
        </m:oMath>
      </m:oMathPara>
    </w:p>
    <w:p>
      <w:pPr>
        <w:pStyle w:val="FirstParagraph"/>
      </w:pPr>
      <w:r>
        <w:t xml:space="preserve">où :</w:t>
      </w:r>
    </w:p>
    <w:p>
      <w:pPr>
        <w:numPr>
          <w:ilvl w:val="0"/>
          <w:numId w:val="1052"/>
        </w:numPr>
        <w:pStyle w:val="Compact"/>
      </w:pPr>
      <m:oMath>
        <m:r>
          <m:t>C</m:t>
        </m:r>
        <m:r>
          <m:t>S</m:t>
        </m:r>
        <m:sSub>
          <m:e>
            <m:r>
              <m:t>R</m:t>
            </m:r>
          </m:e>
          <m:sub>
            <m:r>
              <m:t>i</m:t>
            </m:r>
          </m:sub>
        </m:sSub>
        <m:d>
          <m:dPr>
            <m:begChr m:val="("/>
            <m:endChr m:val=")"/>
            <m:sepChr m:val=""/>
            <m:grow/>
          </m:dPr>
          <m:e>
            <m:r>
              <m:t>A</m:t>
            </m:r>
            <m:r>
              <m:t>u</m:t>
            </m:r>
            <m:r>
              <m:t>g</m:t>
            </m:r>
          </m:e>
        </m:d>
      </m:oMath>
      <w:r>
        <w:t xml:space="preserve"> </w:t>
      </w:r>
      <w:r>
        <w:t xml:space="preserve">: L’exigence de capital pour risque d’augmentation de la valeur de la devise étrangère par rapport au dirham,</w:t>
      </w:r>
    </w:p>
    <w:p>
      <w:pPr>
        <w:numPr>
          <w:ilvl w:val="0"/>
          <w:numId w:val="1052"/>
        </w:numPr>
        <w:pStyle w:val="Compact"/>
      </w:pPr>
      <m:oMath>
        <m:r>
          <m:t>C</m:t>
        </m:r>
        <m:r>
          <m:t>S</m:t>
        </m:r>
        <m:sSub>
          <m:e>
            <m:r>
              <m:t>R</m:t>
            </m:r>
          </m:e>
          <m:sub>
            <m:r>
              <m:t>i</m:t>
            </m:r>
          </m:sub>
        </m:sSub>
        <m:d>
          <m:dPr>
            <m:begChr m:val="("/>
            <m:endChr m:val=")"/>
            <m:sepChr m:val=""/>
            <m:grow/>
          </m:dPr>
          <m:e>
            <m:r>
              <m:t>D</m:t>
            </m:r>
            <m:r>
              <m:t>i</m:t>
            </m:r>
            <m:r>
              <m:t>m</m:t>
            </m:r>
          </m:e>
        </m:d>
      </m:oMath>
      <w:r>
        <w:t xml:space="preserve"> </w:t>
      </w:r>
      <w:r>
        <w:t xml:space="preserve">: L’exigence de capital pour risque de diminution de la valeur de la devise étrangère par rapport au dirham,</w:t>
      </w:r>
    </w:p>
    <w:p>
      <w:pPr>
        <w:pStyle w:val="FirstParagraph"/>
      </w:pPr>
      <w:r>
        <w:t xml:space="preserve">tell que:</w:t>
      </w:r>
    </w:p>
    <w:p>
      <w:pPr>
        <w:pStyle w:val="BodyText"/>
      </w:pPr>
      <m:oMathPara>
        <m:oMathParaPr>
          <m:jc m:val="center"/>
        </m:oMathParaPr>
        <m:oMath>
          <m:r>
            <m:t>C</m:t>
          </m:r>
          <m:r>
            <m:t>S</m:t>
          </m:r>
          <m:sSub>
            <m:e>
              <m:r>
                <m:t>R</m:t>
              </m:r>
            </m:e>
            <m:sub>
              <m:r>
                <m:t>i</m:t>
              </m:r>
            </m:sub>
          </m:sSub>
          <m:d>
            <m:dPr>
              <m:begChr m:val="("/>
              <m:endChr m:val=")"/>
              <m:sepChr m:val=""/>
              <m:grow/>
            </m:dPr>
            <m:e>
              <m:r>
                <m:t>A</m:t>
              </m:r>
              <m:r>
                <m:t>u</m:t>
              </m:r>
              <m:r>
                <m:t>g</m:t>
              </m:r>
            </m:e>
          </m:d>
          <m:r>
            <m:rPr>
              <m:sty m:val="p"/>
            </m:rPr>
            <m:t>=</m:t>
          </m:r>
          <m:r>
            <m:t>B</m:t>
          </m:r>
          <m:r>
            <m:t>E</m:t>
          </m:r>
          <m:d>
            <m:dPr>
              <m:begChr m:val="("/>
              <m:endChr m:val=")"/>
              <m:sepChr m:val=""/>
              <m:grow/>
            </m:dPr>
            <m:e>
              <m:r>
                <m:t>A</m:t>
              </m:r>
              <m:r>
                <m:t>u</m:t>
              </m:r>
              <m:r>
                <m:t>g</m:t>
              </m:r>
            </m:e>
          </m:d>
          <m:r>
            <m:rPr>
              <m:sty m:val="p"/>
            </m:rPr>
            <m:t>−</m:t>
          </m:r>
          <m:r>
            <m:t>B</m:t>
          </m:r>
          <m:r>
            <m:t>E</m:t>
          </m:r>
          <m:r>
            <m:t> </m:t>
          </m:r>
          <m:r>
            <m:rPr>
              <m:sty m:val="p"/>
            </m:rPr>
            <m:t>;</m:t>
          </m:r>
        </m:oMath>
      </m:oMathPara>
    </w:p>
    <w:p>
      <w:pPr>
        <w:pStyle w:val="FirstParagraph"/>
      </w:pPr>
      <m:oMathPara>
        <m:oMathParaPr>
          <m:jc m:val="center"/>
        </m:oMathParaPr>
        <m:oMath>
          <m:r>
            <m:t>C</m:t>
          </m:r>
          <m:r>
            <m:t>S</m:t>
          </m:r>
          <m:sSub>
            <m:e>
              <m:r>
                <m:t>R</m:t>
              </m:r>
            </m:e>
            <m:sub>
              <m:r>
                <m:t>i</m:t>
              </m:r>
            </m:sub>
          </m:sSub>
          <m:d>
            <m:dPr>
              <m:begChr m:val="("/>
              <m:endChr m:val=")"/>
              <m:sepChr m:val=""/>
              <m:grow/>
            </m:dPr>
            <m:e>
              <m:r>
                <m:t>D</m:t>
              </m:r>
              <m:r>
                <m:t>i</m:t>
              </m:r>
              <m:r>
                <m:t>m</m:t>
              </m:r>
            </m:e>
          </m:d>
          <m:r>
            <m:rPr>
              <m:sty m:val="p"/>
            </m:rPr>
            <m:t>=</m:t>
          </m:r>
          <m:r>
            <m:t>B</m:t>
          </m:r>
          <m:r>
            <m:t>E</m:t>
          </m:r>
          <m:d>
            <m:dPr>
              <m:begChr m:val="("/>
              <m:endChr m:val=")"/>
              <m:sepChr m:val=""/>
              <m:grow/>
            </m:dPr>
            <m:e>
              <m:r>
                <m:t>D</m:t>
              </m:r>
              <m:r>
                <m:t>i</m:t>
              </m:r>
              <m:r>
                <m:t>m</m:t>
              </m:r>
            </m:e>
          </m:d>
          <m:r>
            <m:rPr>
              <m:sty m:val="p"/>
            </m:rPr>
            <m:t>−</m:t>
          </m:r>
          <m:r>
            <m:t>B</m:t>
          </m:r>
          <m:r>
            <m:t>E</m:t>
          </m:r>
          <m:r>
            <m:t> </m:t>
          </m:r>
          <m:r>
            <m:rPr>
              <m:sty m:val="p"/>
            </m:rPr>
            <m:t>;</m:t>
          </m:r>
        </m:oMath>
      </m:oMathPara>
    </w:p>
    <w:p>
      <w:pPr>
        <w:pStyle w:val="FirstParagraph"/>
      </w:pPr>
      <w:r>
        <w:t xml:space="preserve">en considérant :</w:t>
      </w:r>
    </w:p>
    <w:p>
      <w:pPr>
        <w:pStyle w:val="BodyText"/>
      </w:pPr>
      <m:oMath>
        <m:r>
          <m:t>B</m:t>
        </m:r>
        <m:r>
          <m:t>E</m:t>
        </m:r>
        <m:d>
          <m:dPr>
            <m:begChr m:val="("/>
            <m:endChr m:val=")"/>
            <m:sepChr m:val=""/>
            <m:grow/>
          </m:dPr>
          <m:e>
            <m:r>
              <m:t>A</m:t>
            </m:r>
            <m:r>
              <m:t>u</m:t>
            </m:r>
            <m:r>
              <m:t>g</m:t>
            </m:r>
          </m:e>
        </m:d>
      </m:oMath>
      <w:r>
        <w:t xml:space="preserve"> </w:t>
      </w:r>
      <w:r>
        <w:t xml:space="preserve">: Meilleur estimation des engagement pour le scénario d’augmentation de la valeur de la devise étrangère par rapport au dirham.</w:t>
      </w:r>
    </w:p>
    <w:p>
      <w:pPr>
        <w:pStyle w:val="BodyText"/>
      </w:pPr>
      <m:oMath>
        <m:r>
          <m:t>B</m:t>
        </m:r>
        <m:r>
          <m:t>E</m:t>
        </m:r>
        <m:d>
          <m:dPr>
            <m:begChr m:val="("/>
            <m:endChr m:val=")"/>
            <m:sepChr m:val=""/>
            <m:grow/>
          </m:dPr>
          <m:e>
            <m:r>
              <m:t>D</m:t>
            </m:r>
            <m:r>
              <m:t>i</m:t>
            </m:r>
            <m:r>
              <m:t>m</m:t>
            </m:r>
          </m:e>
        </m:d>
      </m:oMath>
      <w:r>
        <w:t xml:space="preserve"> </w:t>
      </w:r>
      <w:r>
        <w:t xml:space="preserve">: Meilleur estimation des engagement pour le scénario de diminution de la valeur de la devise étrangère par rapport au dirham.</w:t>
      </w:r>
    </w:p>
    <w:bookmarkEnd w:id="199"/>
    <w:bookmarkEnd w:id="200"/>
    <w:bookmarkStart w:id="212" w:name="Xd0f4af3e42e2da5a32c41da94ab3029f0007a55"/>
    <w:p>
      <w:pPr>
        <w:pStyle w:val="Heading3"/>
      </w:pPr>
      <w:r>
        <w:t xml:space="preserve">Exigence de capital relative au risque de contrepartie (</w:t>
      </w:r>
      <m:oMath>
        <m:r>
          <m:t>C</m:t>
        </m:r>
        <m:r>
          <m:t>S</m:t>
        </m:r>
        <m:sSub>
          <m:e>
            <m:r>
              <m:t>R</m:t>
            </m:r>
          </m:e>
          <m:sub>
            <m:r>
              <m:t>C</m:t>
            </m:r>
            <m:r>
              <m:t>p</m:t>
            </m:r>
          </m:sub>
        </m:sSub>
      </m:oMath>
      <w:r>
        <w:t xml:space="preserve">)</w:t>
      </w:r>
    </w:p>
    <w:p>
      <w:pPr>
        <w:pStyle w:val="FirstParagraph"/>
      </w:pPr>
      <w:r>
        <w:t xml:space="preserve">L’exigence de capital relative au risque de contrepartie est le montant total des exigences de capitaux relatives aux sous-risques de contrepartie de</w:t>
      </w:r>
      <w:r>
        <w:t xml:space="preserve"> </w:t>
      </w:r>
      <w:r>
        <w:rPr>
          <w:iCs/>
          <w:i/>
        </w:rPr>
        <w:t xml:space="preserve">type 1</w:t>
      </w:r>
      <w:r>
        <w:t xml:space="preserve"> </w:t>
      </w:r>
      <w:r>
        <w:t xml:space="preserve">et de</w:t>
      </w:r>
      <w:r>
        <w:t xml:space="preserve"> </w:t>
      </w:r>
      <w:r>
        <w:rPr>
          <w:iCs/>
          <w:i/>
        </w:rPr>
        <w:t xml:space="preserve">type 2</w:t>
      </w:r>
      <w:r>
        <w:t xml:space="preserve"> </w:t>
      </w:r>
      <w:r>
        <w:t xml:space="preserve">, une fois les coefficients de corrélation appliqués.</w:t>
      </w:r>
    </w:p>
    <w:p>
      <w:pPr>
        <w:pStyle w:val="BodyText"/>
      </w:pPr>
      <w:bookmarkStart w:id="201" w:name="eq-gbmp"/>
      <m:oMathPara>
        <m:oMathParaPr>
          <m:jc m:val="center"/>
        </m:oMathParaPr>
        <m:oMath>
          <m:r>
            <m:t>C</m:t>
          </m:r>
          <m:r>
            <m:t>S</m:t>
          </m:r>
          <m:sSub>
            <m:e>
              <m:r>
                <m:t>R</m:t>
              </m:r>
            </m:e>
            <m:sub>
              <m:r>
                <m:t>C</m:t>
              </m:r>
              <m:r>
                <m:t>p</m:t>
              </m:r>
            </m:sub>
          </m:sSub>
          <m:r>
            <m:rPr>
              <m:sty m:val="p"/>
            </m:rPr>
            <m:t>=</m:t>
          </m:r>
          <m:rad>
            <m:radPr>
              <m:degHide m:val="1"/>
            </m:radPr>
            <m:deg/>
            <m:e>
              <m:nary>
                <m:naryPr>
                  <m:chr m:val="∑"/>
                  <m:limLoc m:val="undOvr"/>
                  <m:subHide m:val="0"/>
                  <m:supHide m:val="1"/>
                </m:naryPr>
                <m:sub>
                  <m:r>
                    <m:t>i</m:t>
                  </m:r>
                  <m:r>
                    <m:rPr>
                      <m:sty m:val="p"/>
                    </m:rPr>
                    <m:t>,</m:t>
                  </m:r>
                  <m:r>
                    <m:t>j</m:t>
                  </m:r>
                  <m:r>
                    <m:rPr>
                      <m:sty m:val="p"/>
                    </m:rPr>
                    <m:t>∈</m:t>
                  </m:r>
                  <m:r>
                    <m:t>T</m:t>
                  </m:r>
                  <m:r>
                    <m:t>y</m:t>
                  </m:r>
                  <m:r>
                    <m:t>p</m:t>
                  </m:r>
                  <m:r>
                    <m:t>e</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C</m:t>
                          </m:r>
                          <m:sSub>
                            <m:e>
                              <m:r>
                                <m:t>p</m:t>
                              </m:r>
                            </m:e>
                            <m:sub>
                              <m:r>
                                <m:t>i</m:t>
                              </m:r>
                            </m:sub>
                          </m:sSub>
                        </m:sub>
                      </m:sSub>
                      <m:r>
                        <m:rPr>
                          <m:sty m:val="p"/>
                        </m:rPr>
                        <m:t>×</m:t>
                      </m:r>
                      <m:r>
                        <m:t>C</m:t>
                      </m:r>
                      <m:r>
                        <m:t>S</m:t>
                      </m:r>
                      <m:sSub>
                        <m:e>
                          <m:r>
                            <m:t>R</m:t>
                          </m:r>
                        </m:e>
                        <m:sub>
                          <m:r>
                            <m:t>C</m:t>
                          </m:r>
                          <m:sSub>
                            <m:e>
                              <m:r>
                                <m:t>p</m:t>
                              </m:r>
                            </m:e>
                            <m:sub>
                              <m:r>
                                <m:t>j</m:t>
                              </m:r>
                            </m:sub>
                          </m:sSub>
                        </m:sub>
                      </m:sSub>
                    </m:e>
                  </m:d>
                </m:e>
              </m:nary>
            </m:e>
          </m:rad>
          <m:r>
            <m:t> </m:t>
          </m:r>
          <m:r>
            <m:rPr>
              <m:sty m:val="p"/>
            </m:rPr>
            <m:t>,</m:t>
          </m:r>
          <m:r>
            <m:t>  </m:t>
          </m:r>
          <m:d>
            <m:dPr>
              <m:begChr m:val="("/>
              <m:endChr m:val=")"/>
              <m:sepChr m:val=""/>
              <m:grow/>
            </m:dPr>
            <m:e>
              <m:r>
                <m:t>54</m:t>
              </m:r>
            </m:e>
          </m:d>
        </m:oMath>
      </m:oMathPara>
      <w:bookmarkEnd w:id="201"/>
    </w:p>
    <w:p>
      <w:pPr>
        <w:pStyle w:val="FirstParagraph"/>
      </w:pPr>
      <w:r>
        <w:t xml:space="preserve">avec : $</w:t>
      </w:r>
      <w:r>
        <w:t xml:space="preserve"> </w:t>
      </w:r>
      <w:r>
        <w:t xml:space="preserve">Type = {</w:t>
      </w:r>
      <w:r>
        <w:t xml:space="preserve"> </w:t>
      </w:r>
      <w:r>
        <w:t xml:space="preserve"> </w:t>
      </w:r>
      <w:r>
        <w:t xml:space="preserve">;</w:t>
      </w:r>
      <w:r>
        <w:t xml:space="preserve"> </w:t>
      </w:r>
      <w:r>
        <w:t xml:space="preserve"> </w:t>
      </w:r>
      <w:r>
        <w:t xml:space="preserve">}$</w:t>
      </w:r>
    </w:p>
    <w:bookmarkStart w:id="209" w:name="X303ad4190ba297cc4664f228835544b0eb3361f"/>
    <w:p>
      <w:pPr>
        <w:pStyle w:val="Heading4"/>
      </w:pPr>
      <w:r>
        <w:t xml:space="preserve">Exigence de capital relative au risque de contrepartie de type 1</w:t>
      </w:r>
    </w:p>
    <w:p>
      <w:pPr>
        <w:pStyle w:val="FirstParagraph"/>
      </w:pPr>
      <w:r>
        <w:t xml:space="preserve">L’exigence de capital relative au risque de contrepartie de type 1 est calculé en fonction des montants</w:t>
      </w:r>
      <w:r>
        <w:t xml:space="preserve"> </w:t>
      </w:r>
      <w:r>
        <w:t xml:space="preserve">de pertes en cas de défaut des cessionnaires, des cédantes et des organismes dépositaires, selon la méthode décrite dans</w:t>
      </w:r>
      <w:r>
        <w:t xml:space="preserve"> </w:t>
      </w:r>
      <w:r>
        <w:rPr>
          <w:bCs/>
          <w:b/>
        </w:rPr>
        <w:t xml:space="preserve">l’annexe 9</w:t>
      </w:r>
      <w:r>
        <w:t xml:space="preserve"> </w:t>
      </w:r>
      <w:r>
        <w:t xml:space="preserve">du circulaire de l’ACAPS. Cette méthode est la suivante :</w:t>
      </w:r>
    </w:p>
    <w:p>
      <w:pPr>
        <w:pStyle w:val="BodyText"/>
      </w:pPr>
      <w:r>
        <w:rPr>
          <w:bCs/>
          <w:b/>
        </w:rPr>
        <w:t xml:space="preserve">1ère étape:</w:t>
      </w:r>
      <w:r>
        <w:t xml:space="preserve"> </w:t>
      </w:r>
      <w:r>
        <w:t xml:space="preserve">Calcul des pertes en cas de défaut des différentes contreparties</w:t>
      </w:r>
      <w:r>
        <w:t xml:space="preserve"> </w:t>
      </w:r>
      <m:oMath>
        <m:r>
          <m:t>i</m:t>
        </m:r>
      </m:oMath>
      <w:r>
        <w:t xml:space="preserve">.</w:t>
      </w:r>
    </w:p>
    <w:p>
      <w:pPr>
        <w:numPr>
          <w:ilvl w:val="0"/>
          <w:numId w:val="1053"/>
        </w:numPr>
        <w:pStyle w:val="Compact"/>
      </w:pPr>
      <w:r>
        <w:t xml:space="preserve">Pour un contrat de réassurance:</w:t>
      </w:r>
    </w:p>
    <w:p>
      <w:pPr>
        <w:pStyle w:val="FirstParagraph"/>
      </w:pPr>
      <w:bookmarkStart w:id="202"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X</m:t>
              </m:r>
              <m:r>
                <m:rPr>
                  <m:sty m:val="p"/>
                </m:rPr>
                <m:t>*</m:t>
              </m:r>
              <m:d>
                <m:dPr>
                  <m:begChr m:val="("/>
                  <m:endChr m:val=")"/>
                  <m:sepChr m:val=""/>
                  <m:grow/>
                </m:dPr>
                <m:e>
                  <m:r>
                    <m:t>B</m:t>
                  </m:r>
                  <m:sSub>
                    <m:e>
                      <m:r>
                        <m:t>E</m:t>
                      </m:r>
                    </m:e>
                    <m:sub>
                      <m:r>
                        <m:t>c</m:t>
                      </m:r>
                      <m:r>
                        <m:t>é</m:t>
                      </m:r>
                      <m:r>
                        <m:t>d</m:t>
                      </m:r>
                      <m:r>
                        <m:t>é</m:t>
                      </m:r>
                      <m:sSub>
                        <m:e>
                          <m:r>
                            <m:t>e</m:t>
                          </m:r>
                        </m:e>
                        <m:sub>
                          <m:r>
                            <m:t>i</m:t>
                          </m:r>
                        </m:sub>
                      </m:sSub>
                    </m:sub>
                  </m:sSub>
                  <m:r>
                    <m:rPr>
                      <m:sty m:val="p"/>
                    </m:rPr>
                    <m:t>+</m:t>
                  </m:r>
                  <m:r>
                    <m:t>C</m:t>
                  </m:r>
                  <m:r>
                    <m:t>r</m:t>
                  </m:r>
                  <m:r>
                    <m:t>C</m:t>
                  </m:r>
                  <m:r>
                    <m:rPr>
                      <m:sty m:val="p"/>
                    </m:rPr>
                    <m:t>+</m:t>
                  </m:r>
                  <m:r>
                    <m:t>A</m:t>
                  </m:r>
                  <m:sSub>
                    <m:e>
                      <m:r>
                        <m:t>R</m:t>
                      </m:r>
                    </m:e>
                    <m:sub>
                      <m:r>
                        <m:t>i</m:t>
                      </m:r>
                    </m:sub>
                  </m:sSub>
                </m:e>
              </m:d>
              <m:r>
                <m:rPr>
                  <m:sty m:val="p"/>
                </m:rPr>
                <m:t>−</m:t>
              </m:r>
              <m:r>
                <m:rPr>
                  <m:nor/>
                  <m:sty m:val="p"/>
                </m:rPr>
                <m:t>DEV</m:t>
              </m:r>
              <m:r>
                <m:rPr>
                  <m:sty m:val="p"/>
                </m:rPr>
                <m:t>;</m:t>
              </m:r>
              <m:r>
                <m:t>0</m:t>
              </m:r>
            </m:e>
          </m:d>
          <m:r>
            <m:t>  </m:t>
          </m:r>
          <m:d>
            <m:dPr>
              <m:begChr m:val="("/>
              <m:endChr m:val=")"/>
              <m:sepChr m:val=""/>
              <m:grow/>
            </m:dPr>
            <m:e>
              <m:r>
                <m:t>55</m:t>
              </m:r>
            </m:e>
          </m:d>
        </m:oMath>
      </m:oMathPara>
      <w:bookmarkEnd w:id="202"/>
    </w:p>
    <w:p>
      <w:pPr>
        <w:pStyle w:val="FirstParagraph"/>
      </w:pPr>
      <w:r>
        <w:t xml:space="preserve">Où :</w:t>
      </w:r>
    </w:p>
    <w:p>
      <w:pPr>
        <w:numPr>
          <w:ilvl w:val="0"/>
          <w:numId w:val="1054"/>
        </w:numPr>
        <w:pStyle w:val="Compact"/>
      </w:pPr>
      <m:oMath>
        <m:r>
          <m:t>B</m:t>
        </m:r>
        <m:r>
          <m:t>E</m:t>
        </m:r>
        <m:sSub>
          <m:e>
            <m:r>
              <m:t>C</m:t>
            </m:r>
          </m:e>
          <m:sub>
            <m:r>
              <m:t>i</m:t>
            </m:r>
          </m:sub>
        </m:sSub>
      </m:oMath>
      <w:r>
        <w:t xml:space="preserve"> </w:t>
      </w:r>
      <w:r>
        <w:t xml:space="preserve">: La meilleure estimation des engagements cédés au cessionnaire ;</w:t>
      </w:r>
    </w:p>
    <w:p>
      <w:pPr>
        <w:numPr>
          <w:ilvl w:val="0"/>
          <w:numId w:val="1054"/>
        </w:numPr>
        <w:pStyle w:val="Compact"/>
      </w:pPr>
      <m:oMath>
        <m:r>
          <m:t>L</m:t>
        </m:r>
        <m:r>
          <m:t>G</m:t>
        </m:r>
        <m:sSub>
          <m:e>
            <m:r>
              <m:t>D</m:t>
            </m:r>
          </m:e>
          <m:sub>
            <m:r>
              <m:t>i</m:t>
            </m:r>
          </m:sub>
        </m:sSub>
      </m:oMath>
      <w:r>
        <w:t xml:space="preserve"> </w:t>
      </w:r>
      <w:r>
        <w:t xml:space="preserve">: la perte en cas de défaut du cessionnaire i ;</w:t>
      </w:r>
    </w:p>
    <w:p>
      <w:pPr>
        <w:numPr>
          <w:ilvl w:val="0"/>
          <w:numId w:val="1054"/>
        </w:numPr>
        <w:pStyle w:val="Compact"/>
      </w:pPr>
      <m:oMath>
        <m:r>
          <m:t>D</m:t>
        </m:r>
        <m:r>
          <m:t>E</m:t>
        </m:r>
        <m:r>
          <m:t>V</m:t>
        </m:r>
      </m:oMath>
      <w:r>
        <w:t xml:space="preserve"> </w:t>
      </w:r>
      <w:r>
        <w:t xml:space="preserve">: le montant des dépôts en espèces ou en valeurs du cessionnaire i ;</w:t>
      </w:r>
    </w:p>
    <w:p>
      <w:pPr>
        <w:numPr>
          <w:ilvl w:val="0"/>
          <w:numId w:val="1054"/>
        </w:numPr>
        <w:pStyle w:val="Compact"/>
      </w:pPr>
      <m:oMath>
        <m:r>
          <m:t>C</m:t>
        </m:r>
        <m:r>
          <m:t>r</m:t>
        </m:r>
        <m:r>
          <m:t>C</m:t>
        </m:r>
      </m:oMath>
      <w:r>
        <w:t xml:space="preserve"> </w:t>
      </w:r>
      <w:r>
        <w:t xml:space="preserve">: les créances sur les cessionaires</w:t>
      </w:r>
    </w:p>
    <w:p>
      <w:pPr>
        <w:numPr>
          <w:ilvl w:val="0"/>
          <w:numId w:val="1054"/>
        </w:numPr>
        <w:pStyle w:val="Compact"/>
      </w:pPr>
      <m:oMath>
        <m:r>
          <m:t>A</m:t>
        </m:r>
        <m:sSub>
          <m:e>
            <m:r>
              <m:t>R</m:t>
            </m:r>
          </m:e>
          <m:sub>
            <m:r>
              <m:t>i</m:t>
            </m:r>
          </m:sub>
        </m:sSub>
      </m:oMath>
      <w:r>
        <w:t xml:space="preserve"> </w:t>
      </w:r>
      <w:r>
        <w:t xml:space="preserve">: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208" w:name="pour-un-contrat-dacceptation"/>
    <w:p>
      <w:pPr>
        <w:pStyle w:val="Heading6"/>
      </w:pPr>
      <w:r>
        <w:t xml:space="preserve">Pour un contrat d’acceptation :</w:t>
      </w:r>
    </w:p>
    <w:p>
      <w:pPr>
        <w:pStyle w:val="FirstParagraph"/>
      </w:pPr>
      <w:bookmarkStart w:id="203"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D</m:t>
              </m:r>
              <m:r>
                <m:t>E</m:t>
              </m:r>
              <m:sSub>
                <m:e>
                  <m:r>
                    <m:t>C</m:t>
                  </m:r>
                </m:e>
                <m:sub>
                  <m:r>
                    <m:t>i</m:t>
                  </m:r>
                </m:sub>
              </m:sSub>
              <m:r>
                <m:rPr>
                  <m:sty m:val="p"/>
                </m:rPr>
                <m:t>+</m:t>
              </m:r>
              <m:r>
                <m:t>C</m:t>
              </m:r>
              <m:r>
                <m:t>r</m:t>
              </m:r>
              <m:r>
                <m:t>C</m:t>
              </m:r>
              <m:sSub>
                <m:e>
                  <m:r>
                    <m:t>d</m:t>
                  </m:r>
                </m:e>
                <m:sub>
                  <m:r>
                    <m:t>i</m:t>
                  </m:r>
                </m:sub>
              </m:sSub>
              <m:r>
                <m:rPr>
                  <m:sty m:val="p"/>
                </m:rPr>
                <m:t>−</m:t>
              </m:r>
              <m:r>
                <m:t>P</m:t>
              </m:r>
              <m:sSub>
                <m:e>
                  <m:r>
                    <m:t>T</m:t>
                  </m:r>
                </m:e>
                <m:sub>
                  <m:r>
                    <m:t>i</m:t>
                  </m:r>
                </m:sub>
              </m:sSub>
              <m:r>
                <m:t> </m:t>
              </m:r>
              <m:r>
                <m:rPr>
                  <m:sty m:val="p"/>
                </m:rPr>
                <m:t>;</m:t>
              </m:r>
              <m:r>
                <m:t> </m:t>
              </m:r>
              <m:r>
                <m:t>0</m:t>
              </m:r>
            </m:e>
          </m:d>
          <m:r>
            <m:t> </m:t>
          </m:r>
          <m:r>
            <m:rPr>
              <m:sty m:val="p"/>
            </m:rPr>
            <m:t>,</m:t>
          </m:r>
          <m:r>
            <m:t>  </m:t>
          </m:r>
          <m:d>
            <m:dPr>
              <m:begChr m:val="("/>
              <m:endChr m:val=")"/>
              <m:sepChr m:val=""/>
              <m:grow/>
            </m:dPr>
            <m:e>
              <m:r>
                <m:t>56</m:t>
              </m:r>
            </m:e>
          </m:d>
        </m:oMath>
      </m:oMathPara>
      <w:bookmarkEnd w:id="203"/>
    </w:p>
    <w:p>
      <w:pPr>
        <w:pStyle w:val="FirstParagraph"/>
      </w:pPr>
      <w:r>
        <w:t xml:space="preserve">où :</w:t>
      </w:r>
    </w:p>
    <w:p>
      <w:pPr>
        <w:numPr>
          <w:ilvl w:val="0"/>
          <w:numId w:val="1055"/>
        </w:numPr>
        <w:pStyle w:val="Compact"/>
      </w:pPr>
      <m:oMath>
        <m:r>
          <m:t>L</m:t>
        </m:r>
        <m:r>
          <m:t>G</m:t>
        </m:r>
        <m:sSub>
          <m:e>
            <m:r>
              <m:t>D</m:t>
            </m:r>
          </m:e>
          <m:sub>
            <m:r>
              <m:t>i</m:t>
            </m:r>
          </m:sub>
        </m:sSub>
      </m:oMath>
      <w:r>
        <w:t xml:space="preserve">: la perte en cas de défaut de la cédante i ;</w:t>
      </w:r>
    </w:p>
    <w:p>
      <w:pPr>
        <w:numPr>
          <w:ilvl w:val="0"/>
          <w:numId w:val="1055"/>
        </w:numPr>
        <w:pStyle w:val="Compact"/>
      </w:pPr>
      <w:r>
        <w:t xml:space="preserve">$ DEC_i$ : le montant des dépôts en espèces déposés chez la cédante i ;</w:t>
      </w:r>
    </w:p>
    <w:p>
      <w:pPr>
        <w:numPr>
          <w:ilvl w:val="0"/>
          <w:numId w:val="1055"/>
        </w:numPr>
        <w:pStyle w:val="Compact"/>
      </w:pPr>
      <w:r>
        <w:t xml:space="preserve">$ CrCd$ : la Créance sur la cédante ;</w:t>
      </w:r>
    </w:p>
    <w:p>
      <w:pPr>
        <w:numPr>
          <w:ilvl w:val="0"/>
          <w:numId w:val="1055"/>
        </w:numPr>
        <w:pStyle w:val="Compact"/>
      </w:pPr>
      <m:oMath>
        <m:r>
          <m:t>P</m:t>
        </m:r>
        <m:sSub>
          <m:e>
            <m:r>
              <m:t>T</m:t>
            </m:r>
          </m:e>
          <m:sub>
            <m:r>
              <m:t>i</m:t>
            </m:r>
          </m:sub>
        </m:sSub>
      </m:oMath>
      <w:r>
        <w:t xml:space="preserve"> </w:t>
      </w:r>
      <w:r>
        <w:t xml:space="preserve">: le montant des provisions techniques acceptées avec la cédante i ;</w:t>
      </w:r>
    </w:p>
    <w:p>
      <w:pPr>
        <w:pStyle w:val="FirstParagraph"/>
      </w:pPr>
      <w:r>
        <w:rPr>
          <w:bCs/>
          <w:b/>
        </w:rPr>
        <w:t xml:space="preserve">Pour un avoir auprès d’un organisme dépositaire</w:t>
      </w:r>
      <w:r>
        <w:t xml:space="preserve"> </w:t>
      </w:r>
      <w:r>
        <w:t xml:space="preserve">:{-}</w:t>
      </w:r>
    </w:p>
    <w:p>
      <w:pPr>
        <w:pStyle w:val="BodyText"/>
      </w:pPr>
      <w:bookmarkStart w:id="204"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A</m:t>
              </m:r>
              <m:sSub>
                <m:e>
                  <m:r>
                    <m:t>B</m:t>
                  </m:r>
                </m:e>
                <m:sub>
                  <m:r>
                    <m:t>i</m:t>
                  </m:r>
                </m:sub>
              </m:sSub>
              <m:r>
                <m:rPr>
                  <m:sty m:val="p"/>
                </m:rPr>
                <m:t>;</m:t>
              </m:r>
              <m:r>
                <m:t>0</m:t>
              </m:r>
            </m:e>
          </m:d>
          <m:r>
            <m:t>  </m:t>
          </m:r>
          <m:d>
            <m:dPr>
              <m:begChr m:val="("/>
              <m:endChr m:val=")"/>
              <m:sepChr m:val=""/>
              <m:grow/>
            </m:dPr>
            <m:e>
              <m:r>
                <m:t>57</m:t>
              </m:r>
            </m:e>
          </m:d>
        </m:oMath>
      </m:oMathPara>
      <w:bookmarkEnd w:id="204"/>
    </w:p>
    <w:p>
      <w:pPr>
        <w:pStyle w:val="FirstParagraph"/>
      </w:pPr>
      <w:r>
        <w:t xml:space="preserve">où :</w:t>
      </w:r>
    </w:p>
    <w:p>
      <w:pPr>
        <w:pStyle w:val="BodyText"/>
      </w:pPr>
      <w:r>
        <w:t xml:space="preserve">-</w:t>
      </w:r>
      <m:oMath>
        <m:r>
          <m:t>L</m:t>
        </m:r>
        <m:r>
          <m:t>G</m:t>
        </m:r>
        <m:sSub>
          <m:e>
            <m:r>
              <m:t>D</m:t>
            </m:r>
          </m:e>
          <m:sub>
            <m:r>
              <m:t>i</m:t>
            </m:r>
          </m:sub>
        </m:sSub>
      </m:oMath>
      <w:r>
        <w:t xml:space="preserve"> </w:t>
      </w:r>
      <w:r>
        <w:t xml:space="preserve">: la perte en cas de défaut de la banque i ;</w:t>
      </w:r>
      <w:r>
        <w:t xml:space="preserve"> </w:t>
      </w:r>
      <w:r>
        <w:t xml:space="preserve">-</w:t>
      </w:r>
      <m:oMath>
        <m:r>
          <m:t>A</m:t>
        </m:r>
        <m:r>
          <m:t>B</m:t>
        </m:r>
      </m:oMath>
      <w:r>
        <w:t xml:space="preserve"> </w:t>
      </w:r>
      <w:r>
        <w:t xml:space="preserve">: L’Avoir en banque.</w:t>
      </w:r>
    </w:p>
    <w:p>
      <w:pPr>
        <w:pStyle w:val="BodyText"/>
      </w:pPr>
      <w:r>
        <w:rPr>
          <w:bCs/>
          <w:b/>
        </w:rPr>
        <w:t xml:space="preserve">2ème étape:</w:t>
      </w:r>
      <w:r>
        <w:t xml:space="preserve"> </w:t>
      </w:r>
      <w:r>
        <w:t xml:space="preserve">Sommation des LGD par échelle de notation :</w:t>
      </w:r>
    </w:p>
    <w:p>
      <w:pPr>
        <w:pStyle w:val="BodyText"/>
      </w:pPr>
      <w:r>
        <w:rPr>
          <w:bCs/>
          <w:b/>
        </w:rPr>
        <w:t xml:space="preserve">Pour chaque échelle de notation</w:t>
      </w:r>
      <w:r>
        <w:t xml:space="preserve"> </w:t>
      </w:r>
      <m:oMath>
        <m:r>
          <m:t>k</m:t>
        </m:r>
      </m:oMath>
      <w:r>
        <w:t xml:space="preserve"> </w:t>
      </w:r>
      <w:r>
        <w:t xml:space="preserve">:</w:t>
      </w:r>
    </w:p>
    <w:p>
      <w:pPr>
        <w:pStyle w:val="BodyText"/>
      </w:pPr>
      <w:bookmarkStart w:id="205" w:name="eq-gbmp"/>
      <m:oMathPara>
        <m:oMathParaPr>
          <m:jc m:val="center"/>
        </m:oMathParaPr>
        <m:oMath>
          <m:r>
            <m:t>T</m:t>
          </m:r>
          <m:r>
            <m:t>L</m:t>
          </m:r>
          <m:r>
            <m:t>G</m:t>
          </m:r>
          <m:sSub>
            <m:e>
              <m:r>
                <m:t>D</m:t>
              </m:r>
            </m:e>
            <m:sub>
              <m:r>
                <m:t>K</m:t>
              </m:r>
            </m:sub>
          </m:sSub>
          <m:r>
            <m:rPr>
              <m:sty m:val="p"/>
            </m:rPr>
            <m:t>=</m:t>
          </m:r>
          <m:nary>
            <m:naryPr>
              <m:chr m:val="∑"/>
              <m:limLoc m:val="undOvr"/>
              <m:subHide m:val="0"/>
              <m:supHide m:val="1"/>
            </m:naryPr>
            <m:sub>
              <m:r>
                <m:t>i</m:t>
              </m:r>
            </m:sub>
            <m:sup>
              <m:r>
                <m:t>​</m:t>
              </m:r>
            </m:sup>
            <m:e>
              <m:r>
                <m:t>L</m:t>
              </m:r>
            </m:e>
          </m:nary>
          <m:r>
            <m:t>G</m:t>
          </m:r>
          <m:sSub>
            <m:e>
              <m:r>
                <m:t>D</m:t>
              </m:r>
            </m:e>
            <m:sub>
              <m:r>
                <m:t>k</m:t>
              </m:r>
            </m:sub>
          </m:sSub>
          <m:r>
            <m:t> </m:t>
          </m:r>
          <m:r>
            <m:rPr>
              <m:sty m:val="p"/>
            </m:rPr>
            <m:t>,</m:t>
          </m:r>
          <m:r>
            <m:t>  </m:t>
          </m:r>
          <m:d>
            <m:dPr>
              <m:begChr m:val="("/>
              <m:endChr m:val=")"/>
              <m:sepChr m:val=""/>
              <m:grow/>
            </m:dPr>
            <m:e>
              <m:r>
                <m:t>58</m:t>
              </m:r>
            </m:e>
          </m:d>
        </m:oMath>
      </m:oMathPara>
      <w:bookmarkEnd w:id="205"/>
    </w:p>
    <w:p>
      <w:pPr>
        <w:pStyle w:val="FirstParagraph"/>
      </w:pPr>
      <w:r>
        <w:t xml:space="preserve">avec :</w:t>
      </w:r>
    </w:p>
    <w:p>
      <w:pPr>
        <w:pStyle w:val="BodyText"/>
      </w:pPr>
      <m:oMath>
        <m:r>
          <m:t>i</m:t>
        </m:r>
        <m:r>
          <m:rPr>
            <m:sty m:val="p"/>
          </m:rPr>
          <m:t>=</m:t>
        </m:r>
        <m:r>
          <m:rPr>
            <m:sty m:val="p"/>
          </m:rPr>
          <m:t>{</m:t>
        </m:r>
        <m:r>
          <m:rPr>
            <m:nor/>
            <m:sty m:val="p"/>
          </m:rPr>
          <m:t>Contrepartie faisant partie de la même échels de notation k</m:t>
        </m:r>
        <m:r>
          <m:rPr>
            <m:sty m:val="p"/>
          </m:rPr>
          <m:t>}</m:t>
        </m:r>
      </m:oMath>
    </w:p>
    <w:p>
      <w:pPr>
        <w:pStyle w:val="BodyText"/>
      </w:pPr>
      <w:r>
        <w:rPr>
          <w:bCs/>
          <w:b/>
        </w:rPr>
        <w:t xml:space="preserve">3ème étape:</w:t>
      </w:r>
      <w:r>
        <w:t xml:space="preserve"> </w:t>
      </w:r>
      <w:r>
        <w:t xml:space="preserve">Calcul des volumes suivants :</w:t>
      </w:r>
    </w:p>
    <w:p>
      <w:pPr>
        <w:pStyle w:val="BodyText"/>
      </w:pPr>
      <w:bookmarkStart w:id="206" w:name="eq-gbmp"/>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r>
                <m:rPr>
                  <m:sty m:val="p"/>
                </m:rPr>
                <m:t>,</m:t>
              </m:r>
              <m:r>
                <m:t>k</m:t>
              </m:r>
            </m:sub>
            <m:sup>
              <m:r>
                <m:t>​</m:t>
              </m:r>
            </m:sup>
            <m:e>
              <m:f>
                <m:fPr>
                  <m:type m:val="bar"/>
                </m:fPr>
                <m:num>
                  <m:r>
                    <m:t>P</m:t>
                  </m:r>
                  <m:sSub>
                    <m:e>
                      <m:r>
                        <m:t>D</m:t>
                      </m:r>
                    </m:e>
                    <m:sub>
                      <m:r>
                        <m:t>k</m:t>
                      </m:r>
                    </m:sub>
                  </m:sSub>
                  <m:r>
                    <m:rPr>
                      <m:sty m:val="p"/>
                    </m:rPr>
                    <m:t>×</m:t>
                  </m:r>
                  <m:d>
                    <m:dPr>
                      <m:begChr m:val="("/>
                      <m:endChr m:val=")"/>
                      <m:sepChr m:val=""/>
                      <m:grow/>
                    </m:dPr>
                    <m:e>
                      <m:r>
                        <m:t>1</m:t>
                      </m:r>
                      <m:r>
                        <m:rPr>
                          <m:sty m:val="p"/>
                        </m:rPr>
                        <m:t>−</m:t>
                      </m:r>
                      <m:r>
                        <m:t>P</m:t>
                      </m:r>
                      <m:sSub>
                        <m:e>
                          <m:r>
                            <m:t>D</m:t>
                          </m:r>
                        </m:e>
                        <m:sub>
                          <m:r>
                            <m:t>k</m:t>
                          </m:r>
                        </m:sub>
                      </m:sSub>
                    </m:e>
                  </m:d>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d>
                    <m:dPr>
                      <m:begChr m:val="("/>
                      <m:endChr m:val=")"/>
                      <m:sepChr m:val=""/>
                      <m:grow/>
                    </m:dPr>
                    <m:e>
                      <m:r>
                        <m:t>P</m:t>
                      </m:r>
                      <m:sSub>
                        <m:e>
                          <m:r>
                            <m:t>D</m:t>
                          </m:r>
                        </m:e>
                        <m:sub>
                          <m:r>
                            <m:t>j</m:t>
                          </m:r>
                        </m:sub>
                      </m:sSub>
                      <m:r>
                        <m:rPr>
                          <m:sty m:val="p"/>
                        </m:rPr>
                        <m:t>+</m:t>
                      </m:r>
                      <m:r>
                        <m:t>P</m:t>
                      </m:r>
                      <m:sSub>
                        <m:e>
                          <m:r>
                            <m:t>D</m:t>
                          </m:r>
                        </m:e>
                        <m:sub>
                          <m:r>
                            <m:t>k</m:t>
                          </m:r>
                        </m:sub>
                      </m:sSub>
                    </m:e>
                  </m:d>
                  <m:r>
                    <m:rPr>
                      <m:sty m:val="p"/>
                    </m:rPr>
                    <m:t>−</m:t>
                  </m:r>
                  <m:r>
                    <m:t>P</m:t>
                  </m:r>
                  <m:sSub>
                    <m:e>
                      <m:r>
                        <m:t>D</m:t>
                      </m:r>
                    </m:e>
                    <m:sub>
                      <m:r>
                        <m:t>j</m:t>
                      </m:r>
                    </m:sub>
                  </m:sSub>
                  <m:r>
                    <m:rPr>
                      <m:sty m:val="p"/>
                    </m:rPr>
                    <m:t>×</m:t>
                  </m:r>
                  <m:r>
                    <m:t>P</m:t>
                  </m:r>
                  <m:sSub>
                    <m:e>
                      <m:r>
                        <m:t>D</m:t>
                      </m:r>
                    </m:e>
                    <m:sub>
                      <m:r>
                        <m:t>k</m:t>
                      </m:r>
                    </m:sub>
                  </m:sSub>
                </m:den>
              </m:f>
            </m:e>
          </m:nary>
          <m:r>
            <m:rPr>
              <m:sty m:val="p"/>
            </m:rPr>
            <m:t>×</m:t>
          </m:r>
          <m:r>
            <m:t>T</m:t>
          </m:r>
          <m:r>
            <m:t>L</m:t>
          </m:r>
          <m:r>
            <m:t>G</m:t>
          </m:r>
          <m:sSub>
            <m:e>
              <m:r>
                <m:t>D</m:t>
              </m:r>
            </m:e>
            <m:sub>
              <m:r>
                <m:t>j</m:t>
              </m:r>
            </m:sub>
          </m:sSub>
          <m:r>
            <m:rPr>
              <m:sty m:val="p"/>
            </m:rPr>
            <m:t>×</m:t>
          </m:r>
          <m:r>
            <m:t>T</m:t>
          </m:r>
          <m:r>
            <m:t>L</m:t>
          </m:r>
          <m:r>
            <m:t>G</m:t>
          </m:r>
          <m:sSub>
            <m:e>
              <m:r>
                <m:t>D</m:t>
              </m:r>
            </m:e>
            <m:sub>
              <m:r>
                <m:t>k</m:t>
              </m:r>
            </m:sub>
          </m:sSub>
          <m:r>
            <m:t>  </m:t>
          </m:r>
          <m:d>
            <m:dPr>
              <m:begChr m:val="("/>
              <m:endChr m:val=")"/>
              <m:sepChr m:val=""/>
              <m:grow/>
            </m:dPr>
            <m:e>
              <m:r>
                <m:t>59</m:t>
              </m:r>
            </m:e>
          </m:d>
        </m:oMath>
      </m:oMathPara>
      <w:bookmarkEnd w:id="206"/>
    </w:p>
    <w:p>
      <w:pPr>
        <w:pStyle w:val="FirstParagraph"/>
      </w:pPr>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sub>
            <m:sup>
              <m:r>
                <m:t>​</m:t>
              </m:r>
            </m:sup>
            <m:e>
              <m:f>
                <m:fPr>
                  <m:type m:val="bar"/>
                </m:fPr>
                <m:num>
                  <m:r>
                    <m:t>X</m:t>
                  </m:r>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r>
                    <m:t>P</m:t>
                  </m:r>
                  <m:sSub>
                    <m:e>
                      <m:r>
                        <m:t>D</m:t>
                      </m:r>
                    </m:e>
                    <m:sub>
                      <m:r>
                        <m:t>j</m:t>
                      </m:r>
                    </m:sub>
                  </m:sSub>
                </m:den>
              </m:f>
            </m:e>
          </m:nary>
          <m:r>
            <m:rPr>
              <m:sty m:val="p"/>
            </m:rPr>
            <m:t>×</m:t>
          </m:r>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m:oMathPara>
    </w:p>
    <w:p>
      <w:pPr>
        <w:pStyle w:val="FirstParagraph"/>
      </w:pPr>
      <w:r>
        <w:t xml:space="preserve">Où :</w:t>
      </w:r>
    </w:p>
    <w:p>
      <w:pPr>
        <w:numPr>
          <w:ilvl w:val="0"/>
          <w:numId w:val="1056"/>
        </w:numPr>
        <w:pStyle w:val="Compact"/>
      </w:pPr>
      <m:oMath>
        <m:r>
          <m:t>P</m:t>
        </m:r>
        <m:sSub>
          <m:e>
            <m:r>
              <m:t>D</m:t>
            </m:r>
          </m:e>
          <m:sub>
            <m:r>
              <m:t>j</m:t>
            </m:r>
          </m:sub>
        </m:sSub>
      </m:oMath>
      <w:r>
        <w:t xml:space="preserve"> </w:t>
      </w:r>
      <w:r>
        <w:t xml:space="preserve">et</w:t>
      </w:r>
      <m:oMath>
        <m:r>
          <m:t>P</m:t>
        </m:r>
        <m:sSub>
          <m:e>
            <m:r>
              <m:t>D</m:t>
            </m:r>
          </m:e>
          <m:sub>
            <m:r>
              <m:t>k</m:t>
            </m:r>
          </m:sub>
        </m:sSub>
      </m:oMath>
      <w:r>
        <w:t xml:space="preserve">: probabilités de défaut des contreparties j et k, établies conformément aux tableaux de l’</w:t>
      </w:r>
      <w:r>
        <w:t xml:space="preserve"> </w:t>
      </w:r>
      <w:r>
        <w:rPr>
          <w:iCs/>
          <w:i/>
        </w:rPr>
        <w:t xml:space="preserve">ANNEXE N°2</w:t>
      </w:r>
      <w:r>
        <w:t xml:space="preserve"> </w:t>
      </w:r>
      <w:r>
        <w:t xml:space="preserve">.</w:t>
      </w:r>
    </w:p>
    <w:p>
      <w:pPr>
        <w:numPr>
          <w:ilvl w:val="0"/>
          <w:numId w:val="1056"/>
        </w:numPr>
        <w:pStyle w:val="Compact"/>
      </w:pPr>
      <m:oMath>
        <m:r>
          <m:t>T</m:t>
        </m:r>
        <m:r>
          <m:t>L</m:t>
        </m:r>
        <m:r>
          <m:t>G</m:t>
        </m:r>
        <m:sSub>
          <m:e>
            <m:r>
              <m:t>D</m:t>
            </m:r>
          </m:e>
          <m:sub>
            <m:r>
              <m:t>j</m:t>
            </m:r>
          </m:sub>
        </m:sSub>
      </m:oMath>
      <w:r>
        <w:t xml:space="preserve"> </w:t>
      </w:r>
      <w:r>
        <w:t xml:space="preserve">et</w:t>
      </w:r>
      <w:r>
        <w:t xml:space="preserve"> </w:t>
      </w:r>
      <m:oMath>
        <m:r>
          <m:t>T</m:t>
        </m:r>
        <m:r>
          <m:t>L</m:t>
        </m:r>
        <m:r>
          <m:t>G</m:t>
        </m:r>
        <m:sSub>
          <m:e>
            <m:r>
              <m:t>D</m:t>
            </m:r>
          </m:e>
          <m:sub>
            <m:r>
              <m:t>k</m:t>
            </m:r>
          </m:sub>
        </m:sSub>
      </m:oMath>
      <w:r>
        <w:t xml:space="preserve"> </w:t>
      </w:r>
      <w:r>
        <w:t xml:space="preserve">: somme des pertes en cas de défaut pour les contreparties dont la probabilité de défaut est, respectivement, de</w:t>
      </w:r>
      <w:r>
        <w:t xml:space="preserve"> </w:t>
      </w:r>
      <m:oMath>
        <m:r>
          <m:t>P</m:t>
        </m:r>
        <m:sSub>
          <m:e>
            <m:r>
              <m:t>D</m:t>
            </m:r>
          </m:e>
          <m:sub>
            <m:r>
              <m:t>j</m:t>
            </m:r>
          </m:sub>
        </m:sSub>
      </m:oMath>
      <w:r>
        <w:t xml:space="preserve"> </w:t>
      </w:r>
      <w:r>
        <w:t xml:space="preserve">et</w:t>
      </w:r>
      <m:oMath>
        <m:r>
          <m:t>P</m:t>
        </m:r>
        <m:sSub>
          <m:e>
            <m:r>
              <m:t>D</m:t>
            </m:r>
          </m:e>
          <m:sub>
            <m:r>
              <m:t>k</m:t>
            </m:r>
          </m:sub>
        </m:sSub>
      </m:oMath>
      <w:r>
        <w:t xml:space="preserve">.</w:t>
      </w:r>
    </w:p>
    <w:p>
      <w:pPr>
        <w:numPr>
          <w:ilvl w:val="0"/>
          <w:numId w:val="1056"/>
        </w:numPr>
        <w:pStyle w:val="Compact"/>
      </w:pPr>
      <m:oMath>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w:r>
        <w:t xml:space="preserve"> </w:t>
      </w:r>
      <w:r>
        <w:t xml:space="preserve">: somme couvrant toutes les expositions dont la probabilité de défaut est de</w:t>
      </w:r>
      <w:r>
        <w:t xml:space="preserve"> </w:t>
      </w:r>
      <m:oMath>
        <m:r>
          <m:t>P</m:t>
        </m:r>
        <m:sSub>
          <m:e>
            <m:r>
              <m:t>D</m:t>
            </m:r>
          </m:e>
          <m:sub>
            <m:r>
              <m:t>j</m:t>
            </m:r>
          </m:sub>
        </m:sSub>
      </m:oMath>
      <w:r>
        <w:t xml:space="preserve">.</w:t>
      </w:r>
    </w:p>
    <w:p>
      <w:pPr>
        <w:pStyle w:val="FirstParagraph"/>
      </w:pPr>
      <w:r>
        <w:rPr>
          <w:bCs/>
          <w:b/>
        </w:rPr>
        <w:t xml:space="preserve">4ème étape:</w:t>
      </w:r>
      <w:r>
        <w:t xml:space="preserve"> </w:t>
      </w:r>
      <w:r>
        <w:t xml:space="preserve">Calcul du de la façon suivante :</w:t>
      </w:r>
    </w:p>
    <w:p>
      <w:pPr>
        <w:pStyle w:val="BodyText"/>
      </w:pPr>
      <w:bookmarkStart w:id="207" w:name="eq-gbmp"/>
      <m:oMathPara>
        <m:oMathParaPr>
          <m:jc m:val="center"/>
        </m:oMathParaPr>
        <m:oMath>
          <m:r>
            <m:t>C</m:t>
          </m:r>
          <m:r>
            <m:t>S</m:t>
          </m:r>
          <m:sSub>
            <m:e>
              <m:r>
                <m:t>R</m:t>
              </m:r>
            </m:e>
            <m:sub>
              <m:r>
                <m:t>C</m:t>
              </m:r>
              <m:r>
                <m:t>r</m:t>
              </m:r>
              <m:r>
                <m:t>1</m:t>
              </m:r>
            </m:sub>
          </m:sSub>
          <m:r>
            <m:rPr>
              <m:sty m:val="p"/>
            </m:rPr>
            <m:t>=</m:t>
          </m:r>
          <m:d>
            <m:dPr>
              <m:begChr m:val="{"/>
              <m:endChr m:val=""/>
              <m:sepChr m:val=""/>
              <m:grow/>
            </m:dPr>
            <m:e>
              <m:m>
                <m:mPr>
                  <m:baseJc m:val="center"/>
                  <m:plcHide m:val="1"/>
                  <m:mcs>
                    <m:mc>
                      <m:mcPr>
                        <m:mcJc m:val="left"/>
                        <m:count m:val="1"/>
                      </m:mcPr>
                    </m:mc>
                    <m:mc>
                      <m:mcPr>
                        <m:mcJc m:val="left"/>
                        <m:count m:val="1"/>
                      </m:mcPr>
                    </m:mc>
                  </m:mcs>
                </m:mP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Q</m:t>
                    </m:r>
                    <m:r>
                      <m:rPr>
                        <m:sty m:val="p"/>
                      </m:rPr>
                      <m:t>≤</m:t>
                    </m:r>
                    <m:r>
                      <m:t>x</m:t>
                    </m:r>
                    <m:r>
                      <m:t>1</m:t>
                    </m:r>
                  </m:e>
                </m:m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x</m:t>
                    </m:r>
                    <m:r>
                      <m:t>1</m:t>
                    </m:r>
                    <m:r>
                      <m:rPr>
                        <m:sty m:val="p"/>
                      </m:rPr>
                      <m:t>≤</m:t>
                    </m:r>
                    <m:r>
                      <m:t>Q</m:t>
                    </m:r>
                    <m:r>
                      <m:rPr>
                        <m:sty m:val="p"/>
                      </m:rPr>
                      <m:t>≤</m:t>
                    </m:r>
                    <m:r>
                      <m:t>x</m:t>
                    </m:r>
                    <m:r>
                      <m:t>2</m:t>
                    </m:r>
                  </m:e>
                </m:mr>
                <m:mr>
                  <m:e>
                    <m:nary>
                      <m:naryPr>
                        <m:chr m:val="∑"/>
                        <m:limLoc m:val="undOvr"/>
                        <m:subHide m:val="0"/>
                        <m:supHide m:val="1"/>
                      </m:naryPr>
                      <m:sub>
                        <m:r>
                          <m:t>i</m:t>
                        </m:r>
                      </m:sub>
                      <m:sup>
                        <m:r>
                          <m:t>​</m:t>
                        </m:r>
                      </m:sup>
                      <m:e>
                        <m:r>
                          <m:t>L</m:t>
                        </m:r>
                      </m:e>
                    </m:nary>
                    <m:r>
                      <m:t>G</m:t>
                    </m:r>
                    <m:sSub>
                      <m:e>
                        <m:r>
                          <m:t>D</m:t>
                        </m:r>
                      </m:e>
                      <m:sub>
                        <m:r>
                          <m:t>i</m:t>
                        </m:r>
                      </m:sub>
                    </m:sSub>
                  </m:e>
                  <m:e>
                    <m:r>
                      <m:rPr>
                        <m:nor/>
                        <m:sty m:val="p"/>
                      </m:rPr>
                      <m:t>si</m:t>
                    </m:r>
                    <m:r>
                      <m:t> </m:t>
                    </m:r>
                    <m:r>
                      <m:t>Q</m:t>
                    </m:r>
                    <m:r>
                      <m:rPr>
                        <m:sty m:val="p"/>
                      </m:rPr>
                      <m:t>≥</m:t>
                    </m:r>
                    <m:r>
                      <m:t>x</m:t>
                    </m:r>
                    <m:r>
                      <m:t>2</m:t>
                    </m:r>
                  </m:e>
                </m:mr>
              </m:m>
            </m:e>
          </m:d>
          <m:r>
            <m:t>  </m:t>
          </m:r>
          <m:d>
            <m:dPr>
              <m:begChr m:val="("/>
              <m:endChr m:val=")"/>
              <m:sepChr m:val=""/>
              <m:grow/>
            </m:dPr>
            <m:e>
              <m:r>
                <m:t>60</m:t>
              </m:r>
            </m:e>
          </m:d>
        </m:oMath>
      </m:oMathPara>
      <w:bookmarkEnd w:id="207"/>
    </w:p>
    <w:p>
      <w:pPr>
        <w:pStyle w:val="FirstParagraph"/>
      </w:pPr>
      <w:r>
        <w:t xml:space="preserve">avec :</w:t>
      </w:r>
    </w:p>
    <w:p>
      <w:pPr>
        <w:numPr>
          <w:ilvl w:val="0"/>
          <w:numId w:val="1057"/>
        </w:numPr>
        <w:pStyle w:val="Compact"/>
      </w:pPr>
      <m:oMath>
        <m:r>
          <m:t>C</m:t>
        </m:r>
        <m:r>
          <m:t>S</m:t>
        </m:r>
        <m:sSub>
          <m:e>
            <m:r>
              <m:t>R</m:t>
            </m:r>
          </m:e>
          <m:sub>
            <m:r>
              <m:t>C</m:t>
            </m:r>
            <m:r>
              <m:t>r</m:t>
            </m:r>
            <m:r>
              <m:t>1</m:t>
            </m:r>
          </m:sub>
        </m:sSub>
      </m:oMath>
      <w:r>
        <w:t xml:space="preserve"> </w:t>
      </w:r>
      <w:r>
        <w:t xml:space="preserve">: Exigence de capital relative au risque de contrepartie de type 1,</w:t>
      </w:r>
    </w:p>
    <w:p>
      <w:pPr>
        <w:pStyle w:val="FirstParagraph"/>
      </w:pPr>
      <w:r>
        <w:t xml:space="preserve">et,</w:t>
      </w:r>
    </w:p>
    <w:p>
      <w:pPr>
        <w:pStyle w:val="BodyText"/>
      </w:pPr>
      <m:oMathPara>
        <m:oMathParaPr>
          <m:jc m:val="center"/>
        </m:oMathParaPr>
        <m:oMath>
          <m:r>
            <m:t>Q</m:t>
          </m:r>
          <m:r>
            <m:rPr>
              <m:sty m:val="p"/>
            </m:rPr>
            <m:t>=</m:t>
          </m:r>
          <m:f>
            <m:fPr>
              <m:type m:val="bar"/>
            </m:fPr>
            <m:num>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num>
            <m:den>
              <m:nary>
                <m:naryPr>
                  <m:chr m:val="∑"/>
                  <m:limLoc m:val="undOvr"/>
                  <m:subHide m:val="0"/>
                  <m:supHide m:val="1"/>
                </m:naryPr>
                <m:sub>
                  <m:r>
                    <m:t>i</m:t>
                  </m:r>
                </m:sub>
                <m:sup>
                  <m:r>
                    <m:t>​</m:t>
                  </m:r>
                </m:sup>
                <m:e>
                  <m:r>
                    <m:t>L</m:t>
                  </m:r>
                </m:e>
              </m:nary>
              <m:r>
                <m:t>G</m:t>
              </m:r>
              <m:sSub>
                <m:e>
                  <m:r>
                    <m:t>D</m:t>
                  </m:r>
                </m:e>
                <m:sub>
                  <m:r>
                    <m:t>i</m:t>
                  </m:r>
                </m:sub>
              </m:sSub>
            </m:den>
          </m:f>
          <m:r>
            <m:t> </m:t>
          </m:r>
          <m:r>
            <m:rPr>
              <m:sty m:val="p"/>
            </m:rPr>
            <m:t>.</m:t>
          </m:r>
        </m:oMath>
      </m:oMathPara>
    </w:p>
    <w:p>
      <w:pPr>
        <w:pStyle w:val="FirstParagraph"/>
      </w:pPr>
      <w:r>
        <w:t xml:space="preserve">Les valeurs de x1, x2 et x3 ne sont pas encore publiées par l’ACAPS.</w:t>
      </w:r>
    </w:p>
    <w:bookmarkEnd w:id="208"/>
    <w:bookmarkEnd w:id="209"/>
    <w:bookmarkStart w:id="211" w:name="Xde70ab66fad04d143ab07d5ec8525e6812bbe93"/>
    <w:p>
      <w:pPr>
        <w:pStyle w:val="Heading4"/>
      </w:pPr>
      <w:r>
        <w:t xml:space="preserve">Exigence de capital relative au risque de contrepartie de type 2</w:t>
      </w:r>
    </w:p>
    <w:p>
      <w:pPr>
        <w:pStyle w:val="FirstParagraph"/>
      </w:pPr>
      <w:r>
        <w:t xml:space="preserve">L’exigence de capital relative au risque de contrepartie de type 2 est le montant total des</w:t>
      </w:r>
      <w:r>
        <w:t xml:space="preserve"> </w:t>
      </w:r>
      <w:r>
        <w:t xml:space="preserve">exigences de capitaux relatives aux risque de contrepartie des assurés, des intermédiaires et des</w:t>
      </w:r>
      <w:r>
        <w:t xml:space="preserve"> </w:t>
      </w:r>
      <w:r>
        <w:t xml:space="preserve">autres contreparties :</w:t>
      </w:r>
    </w:p>
    <w:p>
      <w:pPr>
        <w:pStyle w:val="BodyText"/>
      </w:pPr>
      <w:bookmarkStart w:id="210" w:name="eq-gbmp"/>
      <m:oMathPara>
        <m:oMathParaPr>
          <m:jc m:val="center"/>
        </m:oMathParaPr>
        <m:oMath>
          <m:r>
            <m:t>C</m:t>
          </m:r>
          <m:r>
            <m:t>S</m:t>
          </m:r>
          <m:sSub>
            <m:e>
              <m:r>
                <m:t>R</m:t>
              </m:r>
            </m:e>
            <m:sub>
              <m:r>
                <m:t>C</m:t>
              </m:r>
              <m:r>
                <m:t>r</m:t>
              </m:r>
              <m:r>
                <m:t>2</m:t>
              </m:r>
            </m:sub>
          </m:sSub>
          <m:r>
            <m:rPr>
              <m:sty m:val="p"/>
            </m:rPr>
            <m:t>=</m:t>
          </m:r>
          <m:r>
            <m:t>C</m:t>
          </m:r>
          <m:r>
            <m:t>S</m:t>
          </m:r>
          <m:sSub>
            <m:e>
              <m:r>
                <m:t>R</m:t>
              </m:r>
            </m:e>
            <m:sub>
              <m:r>
                <m:t>C</m:t>
              </m:r>
              <m:r>
                <m:t>r</m:t>
              </m:r>
              <m:r>
                <m:t>A</m:t>
              </m:r>
              <m:r>
                <m:t>s</m:t>
              </m:r>
            </m:sub>
          </m:sSub>
          <m:r>
            <m:rPr>
              <m:sty m:val="p"/>
            </m:rPr>
            <m:t>+</m:t>
          </m:r>
          <m:r>
            <m:t>C</m:t>
          </m:r>
          <m:r>
            <m:t>S</m:t>
          </m:r>
          <m:sSub>
            <m:e>
              <m:r>
                <m:t>R</m:t>
              </m:r>
            </m:e>
            <m:sub>
              <m:r>
                <m:t>C</m:t>
              </m:r>
              <m:r>
                <m:t>r</m:t>
              </m:r>
              <m:r>
                <m:t>I</m:t>
              </m:r>
            </m:sub>
          </m:sSub>
          <m:r>
            <m:rPr>
              <m:sty m:val="p"/>
            </m:rPr>
            <m:t>+</m:t>
          </m:r>
          <m:r>
            <m:t>C</m:t>
          </m:r>
          <m:r>
            <m:t>S</m:t>
          </m:r>
          <m:sSub>
            <m:e>
              <m:r>
                <m:t>R</m:t>
              </m:r>
            </m:e>
            <m:sub>
              <m:r>
                <m:t>A</m:t>
              </m:r>
              <m:r>
                <m:t>C</m:t>
              </m:r>
              <m:r>
                <m:t>r</m:t>
              </m:r>
            </m:sub>
          </m:sSub>
          <m:r>
            <m:t> </m:t>
          </m:r>
          <m:r>
            <m:rPr>
              <m:sty m:val="p"/>
            </m:rPr>
            <m:t>,</m:t>
          </m:r>
          <m:r>
            <m:t>  </m:t>
          </m:r>
          <m:d>
            <m:dPr>
              <m:begChr m:val="("/>
              <m:endChr m:val=")"/>
              <m:sepChr m:val=""/>
              <m:grow/>
            </m:dPr>
            <m:e>
              <m:r>
                <m:t>61</m:t>
              </m:r>
            </m:e>
          </m:d>
        </m:oMath>
      </m:oMathPara>
      <w:bookmarkEnd w:id="210"/>
    </w:p>
    <w:p>
      <w:pPr>
        <w:pStyle w:val="FirstParagraph"/>
      </w:pPr>
      <w:r>
        <w:t xml:space="preserve">avec :</w:t>
      </w:r>
    </w:p>
    <w:p>
      <w:pPr>
        <w:numPr>
          <w:ilvl w:val="0"/>
          <w:numId w:val="1058"/>
        </w:numPr>
      </w:pPr>
      <w:r>
        <w:t xml:space="preserve">$CSR_{CrAs} $ : L’exigence de capital relative au risque de contrepartie des assurés correspond à</w:t>
      </w:r>
      <w:r>
        <w:t xml:space="preserve"> </w:t>
      </w:r>
      <m:oMath>
        <m:r>
          <m:t>X</m:t>
        </m:r>
        <m:r>
          <m:rPr>
            <m:sty m:val="p"/>
          </m:rPr>
          <m:t>%</m:t>
        </m:r>
      </m:oMath>
      <w:r>
        <w:t xml:space="preserve"> </w:t>
      </w:r>
      <w:r>
        <w:t xml:space="preserve">des créances relatives aux primes ou cotisations qui demeurent impayées six (06) mois après la date de leur émission. Les créances précitées s’entendent nettes de provisions.</w:t>
      </w:r>
    </w:p>
    <w:p>
      <w:pPr>
        <w:numPr>
          <w:ilvl w:val="0"/>
          <w:numId w:val="1058"/>
        </w:numPr>
      </w:pPr>
      <w:r>
        <w:t xml:space="preserve">$CSR_{CrI} $ : L’exigence de capital relative au risque de contrepartie des intermédiaires correspond à</w:t>
      </w:r>
      <w:r>
        <w:t xml:space="preserve"> </w:t>
      </w:r>
      <m:oMath>
        <m:r>
          <m:t>X</m:t>
        </m:r>
        <m:r>
          <m:rPr>
            <m:sty m:val="p"/>
          </m:rPr>
          <m:t>%</m:t>
        </m:r>
      </m:oMath>
      <w:r>
        <w:t xml:space="preserve"> </w:t>
      </w:r>
      <w:r>
        <w:t xml:space="preserve">des créances sur les intermédiaires d’assurances nettes de provisions.</w:t>
      </w:r>
    </w:p>
    <w:p>
      <w:pPr>
        <w:numPr>
          <w:ilvl w:val="0"/>
          <w:numId w:val="1058"/>
        </w:numPr>
      </w:pPr>
      <m:oMath>
        <m:r>
          <m:t>C</m:t>
        </m:r>
        <m:r>
          <m:t>S</m:t>
        </m:r>
        <m:sSub>
          <m:e>
            <m:r>
              <m:t>R</m:t>
            </m:r>
          </m:e>
          <m:sub>
            <m:r>
              <m:t>A</m:t>
            </m:r>
            <m:r>
              <m:t>C</m:t>
            </m:r>
            <m:r>
              <m:t>r</m:t>
            </m:r>
          </m:sub>
        </m:sSub>
      </m:oMath>
      <w:r>
        <w:t xml:space="preserve"> </w:t>
      </w:r>
      <w:r>
        <w:t xml:space="preserve">: L’exigence de capital relative au risque lié aux autres contreparties correspond à</w:t>
      </w:r>
      <w:r>
        <w:t xml:space="preserve"> </w:t>
      </w:r>
      <m:oMath>
        <m:r>
          <m:t>X</m:t>
        </m:r>
        <m:r>
          <m:rPr>
            <m:sty m:val="p"/>
          </m:rPr>
          <m:t>%</m:t>
        </m:r>
      </m:oMath>
      <w:r>
        <w:t xml:space="preserve"> </w:t>
      </w:r>
      <w:r>
        <w:t xml:space="preserve">de la somme des créances de l’actif circulant, autres que les créances vis-à-vis de l’Etat des contreparties visées aux 1) et 2) ci-dessus et les montants des chèques et valeurs à encaisser, nettes de provisions et qui demeurent impayées pendant une période supérieure à six (06) mois.</w:t>
      </w:r>
    </w:p>
    <w:p>
      <w:pPr>
        <w:pStyle w:val="FirstParagraph"/>
      </w:pPr>
      <m:oMath>
        <m:r>
          <m:t>X</m:t>
        </m:r>
        <m:r>
          <m:rPr>
            <m:sty m:val="p"/>
          </m:rPr>
          <m:t>%</m:t>
        </m:r>
      </m:oMath>
      <w:r>
        <w:t xml:space="preserve"> </w:t>
      </w:r>
      <w:r>
        <w:t xml:space="preserve">est un taux devant être communiqué par l’ACAPS.</w:t>
      </w:r>
    </w:p>
    <w:bookmarkEnd w:id="211"/>
    <w:bookmarkEnd w:id="212"/>
    <w:bookmarkStart w:id="214" w:name="X15a1da03d8684dc8ce6b1dc35f3172f6a170f16"/>
    <w:p>
      <w:pPr>
        <w:pStyle w:val="Heading3"/>
      </w:pPr>
      <w:r>
        <w:t xml:space="preserve">Exigence de capital relative au risque de concentration (</w:t>
      </w:r>
      <m:oMath>
        <m:r>
          <m:t>C</m:t>
        </m:r>
        <m:r>
          <m:t>S</m:t>
        </m:r>
        <m:sSub>
          <m:e>
            <m:r>
              <m:t>R</m:t>
            </m:r>
          </m:e>
          <m:sub>
            <m:r>
              <m:t>C</m:t>
            </m:r>
            <m:r>
              <m:t>t</m:t>
            </m:r>
          </m:sub>
        </m:sSub>
      </m:oMath>
      <w:r>
        <w:t xml:space="preserve">)</w:t>
      </w:r>
    </w:p>
    <w:p>
      <w:pPr>
        <w:pStyle w:val="FirstParagraph"/>
      </w:pPr>
      <w:r>
        <w:t xml:space="preserve">L’exigence de capital relative au risque de concentration correspond à la perte des fonds propres due à la baisse des actifs associés aux ensembles d’émetteurs appartenant aux mêmes groupes.</w:t>
      </w:r>
    </w:p>
    <w:p>
      <w:pPr>
        <w:pStyle w:val="BodyText"/>
      </w:pPr>
      <w:r>
        <w:t xml:space="preserve">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pPr>
        <w:pStyle w:val="BodyText"/>
      </w:pPr>
      <w:r>
        <w:t xml:space="preserve">Mathématiquement l’exigence de capital relative au risque de concentration correspond à la racine carrée de la somme des carrés des exigences de capitaux relatives au sous-risque de concentration relatifs aux différents groupes d’émetteurs.</w:t>
      </w:r>
    </w:p>
    <w:p>
      <w:pPr>
        <w:pStyle w:val="BodyText"/>
      </w:pPr>
      <w:bookmarkStart w:id="213" w:name="eq-gbmp"/>
      <m:oMathPara>
        <m:oMathParaPr>
          <m:jc m:val="center"/>
        </m:oMathParaPr>
        <m:oMath>
          <m:r>
            <m:t>C</m:t>
          </m:r>
          <m:r>
            <m:t>S</m:t>
          </m:r>
          <m:sSub>
            <m:e>
              <m:r>
                <m:t>R</m:t>
              </m:r>
            </m:e>
            <m:sub>
              <m:r>
                <m:t>C</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62</m:t>
              </m:r>
            </m:e>
          </m:d>
        </m:oMath>
      </m:oMathPara>
      <w:bookmarkEnd w:id="213"/>
    </w:p>
    <w:p>
      <w:pPr>
        <w:pStyle w:val="FirstParagraph"/>
      </w:pPr>
      <w:r>
        <w:t xml:space="preserve">avec</w:t>
      </w:r>
      <w:r>
        <w:t xml:space="preserve"> </w:t>
      </w:r>
      <m:oMath>
        <m:r>
          <m:t>i</m:t>
        </m:r>
        <m:r>
          <m:rPr>
            <m:sty m:val="p"/>
          </m:rPr>
          <m:t>=</m:t>
        </m:r>
        <m:r>
          <m:rPr>
            <m:sty m:val="p"/>
          </m:rPr>
          <m:t>{</m:t>
        </m:r>
        <m:r>
          <m:rPr>
            <m:nor/>
            <m:sty m:val="p"/>
          </m:rPr>
          <m:t>Les sous-risques de concentration relatifs aux differents groupes d’emetteurs.</m:t>
        </m:r>
        <m:r>
          <m:rPr>
            <m:sty m:val="p"/>
          </m:rPr>
          <m:t>}</m:t>
        </m:r>
      </m:oMath>
    </w:p>
    <w:p>
      <w:pPr>
        <w:pStyle w:val="BodyText"/>
      </w:pPr>
      <w:r>
        <w:t xml:space="preserve">Pour chaque groupe d’émetteurs, l’exigence de capital relative au risque de concentration égale à</w:t>
      </w:r>
      <w:r>
        <w:t xml:space="preserve"> </w:t>
      </w:r>
      <m:oMath>
        <m:r>
          <m:t>X</m:t>
        </m:r>
        <m:r>
          <m:rPr>
            <m:sty m:val="p"/>
          </m:rPr>
          <m:t>%</m:t>
        </m:r>
      </m:oMath>
      <w:r>
        <w:t xml:space="preserve"> </w:t>
      </w:r>
      <w:r>
        <w:t xml:space="preserve">de l’écart positif constaté entre le montant des placements de l’entreprise d’assurances et de réassurance, autres que les valeurs de l’Etat ou celles jouissant de sa garantie, relatifs à l’ensemble d’émetteurs appartenant au groupe précité et</w:t>
      </w:r>
      <w:r>
        <w:t xml:space="preserve"> </w:t>
      </w:r>
      <m:oMath>
        <m:r>
          <m:t>X</m:t>
        </m:r>
        <m:r>
          <m:rPr>
            <m:sty m:val="p"/>
          </m:rPr>
          <m:t>%</m:t>
        </m:r>
      </m:oMath>
      <w:r>
        <w:t xml:space="preserve"> </w:t>
      </w:r>
      <w:r>
        <w:t xml:space="preserve">du total de ses placements. Les pourcentages cités précédemment (</w:t>
      </w:r>
      <m:oMath>
        <m:r>
          <m:t>X</m:t>
        </m:r>
        <m:r>
          <m:rPr>
            <m:sty m:val="p"/>
          </m:rPr>
          <m:t>%</m:t>
        </m:r>
      </m:oMath>
      <w:r>
        <w:t xml:space="preserve">) ne sont pas encore publiés par l’ACAPS.</w:t>
      </w:r>
    </w:p>
    <w:bookmarkEnd w:id="214"/>
    <w:bookmarkStart w:id="226" w:name="X2470a9544a3a84f77916bd2af990c87d4d406ea"/>
    <w:p>
      <w:pPr>
        <w:pStyle w:val="Heading3"/>
      </w:pPr>
      <w:r>
        <w:t xml:space="preserve">Exigence de capital relative au risque de souscription vie (</w:t>
      </w:r>
      <m:oMath>
        <m:r>
          <m:t>C</m:t>
        </m:r>
        <m:r>
          <m:t>S</m:t>
        </m:r>
        <m:sSub>
          <m:e>
            <m:r>
              <m:t>R</m:t>
            </m:r>
          </m:e>
          <m:sub>
            <m:r>
              <m:t>S</m:t>
            </m:r>
            <m:r>
              <m:t>V</m:t>
            </m:r>
          </m:sub>
        </m:sSub>
      </m:oMath>
      <w:r>
        <w:t xml:space="preserve">)</w:t>
      </w:r>
    </w:p>
    <w:p>
      <w:pPr>
        <w:pStyle w:val="FirstParagraph"/>
      </w:pPr>
      <w:r>
        <w:t xml:space="preserve">L’exigence de capital relative au risque de souscription vie est la somme des exigences de capitaux relatives aux sous-risques de mortalité, de longévité, de rachat, de frais et de catastrophe, on appliquant les coefficients de corrélations entre ces sous-risques.</w:t>
      </w:r>
    </w:p>
    <w:p>
      <w:pPr>
        <w:pStyle w:val="BodyText"/>
      </w:pPr>
      <w:r>
        <w:t xml:space="preserve">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pPr>
        <w:pStyle w:val="BodyText"/>
      </w:pPr>
      <w:r>
        <w:t xml:space="preserve">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pPr>
        <w:pStyle w:val="BodyText"/>
      </w:pPr>
      <w:bookmarkStart w:id="215" w:name="eq-gbmp"/>
      <m:oMathPara>
        <m:oMathParaPr>
          <m:jc m:val="center"/>
        </m:oMathParaPr>
        <m:oMath>
          <m:r>
            <m:t>C</m:t>
          </m:r>
          <m:r>
            <m:t>S</m:t>
          </m:r>
          <m:sSub>
            <m:e>
              <m:r>
                <m:t>R</m:t>
              </m:r>
            </m:e>
            <m:sub>
              <m:r>
                <m:t>S</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63</m:t>
              </m:r>
            </m:e>
          </m:d>
        </m:oMath>
      </m:oMathPara>
      <w:bookmarkEnd w:id="215"/>
    </w:p>
    <w:p>
      <w:pPr>
        <w:pStyle w:val="FirstParagraph"/>
      </w:pPr>
      <w:r>
        <w:t xml:space="preserve">avec :</w:t>
      </w:r>
      <w:r>
        <w:t xml:space="preserve"> </w:t>
      </w:r>
      <m:oMath>
        <m:r>
          <m:t>i</m:t>
        </m:r>
        <m:r>
          <m:rPr>
            <m:sty m:val="p"/>
          </m:rPr>
          <m:t>,</m:t>
        </m:r>
        <m:r>
          <m:t>j</m:t>
        </m:r>
        <m:r>
          <m:rPr>
            <m:sty m:val="p"/>
          </m:rPr>
          <m:t>∈</m:t>
        </m:r>
        <m:r>
          <m:rPr>
            <m:sty m:val="p"/>
          </m:rPr>
          <m:t>{</m:t>
        </m:r>
        <m:r>
          <m:rPr>
            <m:nor/>
            <m:sty m:val="p"/>
          </m:rPr>
          <m:t>Mortalite, Longevite, Rachat, Frais, catastrophe</m:t>
        </m:r>
        <m:r>
          <m:rPr>
            <m:sty m:val="p"/>
          </m:rPr>
          <m:t>}</m:t>
        </m:r>
      </m:oMath>
    </w:p>
    <w:bookmarkStart w:id="217" w:name="X6a4c0aaf7a00518f44a130d187f964ddf1b88a9"/>
    <w:p>
      <w:pPr>
        <w:pStyle w:val="Heading4"/>
      </w:pPr>
      <w:r>
        <w:t xml:space="preserve">Exigence de capital pour risque de mortalité (</w:t>
      </w:r>
      <m:oMath>
        <m:r>
          <m:t>C</m:t>
        </m:r>
        <m:r>
          <m:t>S</m:t>
        </m:r>
        <m:sSub>
          <m:e>
            <m:r>
              <m:t>R</m:t>
            </m:r>
          </m:e>
          <m:sub>
            <m:r>
              <m:t>m</m:t>
            </m:r>
            <m:r>
              <m:t>o</m:t>
            </m:r>
            <m:r>
              <m:t>r</m:t>
            </m:r>
            <m:r>
              <m:t>t</m:t>
            </m:r>
          </m:sub>
        </m:sSub>
      </m:oMath>
      <w:r>
        <w:t xml:space="preserve">)</w:t>
      </w:r>
    </w:p>
    <w:p>
      <w:pPr>
        <w:pStyle w:val="FirstParagraph"/>
      </w:pPr>
      <w:r>
        <w:t xml:space="preserve">L’exigence de capital pour risque de mortalité correspond à la perte de fonds propres due à la hausse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hausse des taux de mortalité précitée ne s’applique qu’aux contrats d’assurance pour lesquels une</w:t>
      </w:r>
      <w:r>
        <w:t xml:space="preserve"> </w:t>
      </w:r>
      <w:r>
        <w:t xml:space="preserve">hausse des taux de mortalité entraîne une augmentation des provisions techniques prudentielles, c’est le cas du contrat de capital décès de2dégressif.</w:t>
      </w:r>
    </w:p>
    <w:p>
      <w:pPr>
        <w:pStyle w:val="BodyText"/>
      </w:pPr>
      <w:bookmarkStart w:id="216" w:name="eq-gbmp"/>
      <m:oMathPara>
        <m:oMathParaPr>
          <m:jc m:val="center"/>
        </m:oMathParaPr>
        <m:oMath>
          <m:r>
            <m:t>C</m:t>
          </m:r>
          <m:r>
            <m:t>S</m:t>
          </m:r>
          <m:sSub>
            <m:e>
              <m:r>
                <m:t>R</m:t>
              </m:r>
            </m:e>
            <m:sub>
              <m:r>
                <m:t>m</m:t>
              </m:r>
              <m:r>
                <m:t>o</m:t>
              </m:r>
              <m:r>
                <m:t>r</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64</m:t>
              </m:r>
            </m:e>
          </m:d>
        </m:oMath>
      </m:oMathPara>
      <w:bookmarkEnd w:id="216"/>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w:r>
        <w:t xml:space="preserve">telle que :</w:t>
      </w:r>
    </w:p>
    <w:p>
      <w:pPr>
        <w:pStyle w:val="BodyText"/>
      </w:pPr>
      <m:oMath>
        <m:r>
          <m:t>T</m:t>
        </m:r>
        <m:r>
          <m:t>M</m:t>
        </m:r>
      </m:oMath>
      <w:r>
        <w:t xml:space="preserve"> </w:t>
      </w:r>
      <w:r>
        <w:t xml:space="preserve">: Taux de Mortalité avant choc.</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w:t>
      </w:r>
      <w:r>
        <w:t xml:space="preserve"> </w:t>
      </w:r>
      <m:oMath>
        <m:r>
          <m:t>X</m:t>
        </m:r>
        <m:r>
          <m:rPr>
            <m:sty m:val="p"/>
          </m:rPr>
          <m:t>%</m:t>
        </m:r>
      </m:oMath>
      <w:r>
        <w:t xml:space="preserve">.</w:t>
      </w:r>
    </w:p>
    <w:p>
      <w:pPr>
        <w:pStyle w:val="BodyText"/>
      </w:pPr>
      <w:r>
        <w:t xml:space="preserve">le taux de choc pour la mortalité est estimé à</w:t>
      </w:r>
      <w:r>
        <w:t xml:space="preserve"> </w:t>
      </w:r>
      <m:oMath>
        <m:r>
          <m:t>30</m:t>
        </m:r>
        <m:r>
          <m:t> </m:t>
        </m:r>
      </m:oMath>
      <w:r>
        <w:t xml:space="preserve">.</w:t>
      </w:r>
    </w:p>
    <w:bookmarkEnd w:id="217"/>
    <w:bookmarkStart w:id="219" w:name="X8575fcc7d08a11d35988144d33aa87c665af295"/>
    <w:p>
      <w:pPr>
        <w:pStyle w:val="Heading4"/>
      </w:pPr>
      <w:r>
        <w:t xml:space="preserve">Exigence de capital pour risque de longévité (</w:t>
      </w:r>
      <m:oMath>
        <m:r>
          <m:t>C</m:t>
        </m:r>
        <m:r>
          <m:t>S</m:t>
        </m:r>
        <m:sSub>
          <m:e>
            <m:r>
              <m:t>R</m:t>
            </m:r>
          </m:e>
          <m:sub>
            <m:r>
              <m:t>L</m:t>
            </m:r>
            <m:r>
              <m:t>o</m:t>
            </m:r>
            <m:r>
              <m:t>n</m:t>
            </m:r>
          </m:sub>
        </m:sSub>
      </m:oMath>
      <w:r>
        <w:t xml:space="preserve">)</w:t>
      </w:r>
    </w:p>
    <w:p>
      <w:pPr>
        <w:pStyle w:val="FirstParagraph"/>
      </w:pPr>
      <w:r>
        <w:t xml:space="preserve">L’exigence de capital pour risque de longévité correspond à la perte de fonds propres qui résulterait de la baisse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baisse des taux de mortalité précitée ne s’applique qu’aux contrats d’assurance pour lesquels une</w:t>
      </w:r>
      <w:r>
        <w:t xml:space="preserve"> </w:t>
      </w:r>
      <w:r>
        <w:t xml:space="preserve">baisse des taux de mortalité entraîne une augmentation des provisions techniques prudentielles.</w:t>
      </w:r>
    </w:p>
    <w:p>
      <w:pPr>
        <w:pStyle w:val="BodyText"/>
      </w:pPr>
      <w:bookmarkStart w:id="218" w:name="eq-gbmp"/>
      <m:oMathPara>
        <m:oMathParaPr>
          <m:jc m:val="center"/>
        </m:oMathParaPr>
        <m:oMath>
          <m:r>
            <m:t>C</m:t>
          </m:r>
          <m:r>
            <m:t>S</m:t>
          </m:r>
          <m:sSub>
            <m:e>
              <m:r>
                <m:t>R</m:t>
              </m:r>
            </m:e>
            <m:sub>
              <m:r>
                <m:t>L</m:t>
              </m:r>
              <m:r>
                <m:t>o</m:t>
              </m:r>
              <m:r>
                <m:t>n</m:t>
              </m:r>
            </m:sub>
          </m:sSub>
          <m:r>
            <m:rPr>
              <m:sty m:val="p"/>
            </m:rPr>
            <m:t>=</m:t>
          </m:r>
          <m:r>
            <m:t>B</m:t>
          </m:r>
          <m:r>
            <m:t>E</m:t>
          </m:r>
          <m:d>
            <m:dPr>
              <m:begChr m:val="("/>
              <m:endChr m:val=")"/>
              <m:sepChr m:val=""/>
              <m:grow/>
            </m:dPr>
            <m:e>
              <m:r>
                <m:t>C</m:t>
              </m:r>
              <m:r>
                <m:t>h</m:t>
              </m:r>
              <m:r>
                <m:t>o</m:t>
              </m:r>
              <m:r>
                <m:t>c</m:t>
              </m:r>
            </m:e>
          </m:d>
          <m:r>
            <m:rPr>
              <m:sty m:val="p"/>
            </m:rPr>
            <m:t>−</m:t>
          </m:r>
          <m:r>
            <m:t>B</m:t>
          </m:r>
          <m:r>
            <m:t>E</m:t>
          </m:r>
          <m:r>
            <m:t>  </m:t>
          </m:r>
          <m:d>
            <m:dPr>
              <m:begChr m:val="("/>
              <m:endChr m:val=")"/>
              <m:sepChr m:val=""/>
              <m:grow/>
            </m:dPr>
            <m:e>
              <m:r>
                <m:t>65</m:t>
              </m:r>
            </m:e>
          </m:d>
        </m:oMath>
      </m:oMathPara>
      <w:bookmarkEnd w:id="218"/>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m:oMath>
        <m:r>
          <m:t>T</m:t>
        </m:r>
        <m:r>
          <m:t>M</m:t>
        </m:r>
      </m:oMath>
      <w:r>
        <w:t xml:space="preserve"> </w:t>
      </w:r>
      <w:r>
        <w:t xml:space="preserve">: Taux de Mortalité.</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 X%.</w:t>
      </w:r>
    </w:p>
    <w:bookmarkEnd w:id="219"/>
    <w:bookmarkStart w:id="221" w:name="Xf9593f399cde8ef9ae9c140ec93b1cb9af95941"/>
    <w:p>
      <w:pPr>
        <w:pStyle w:val="Heading4"/>
      </w:pPr>
      <w:r>
        <w:t xml:space="preserve">Exigence de capital pour risque de rachat (</w:t>
      </w:r>
      <m:oMath>
        <m:r>
          <m:t>C</m:t>
        </m:r>
        <m:r>
          <m:t>S</m:t>
        </m:r>
        <m:sSub>
          <m:e>
            <m:r>
              <m:t>R</m:t>
            </m:r>
          </m:e>
          <m:sub>
            <m:r>
              <m:t>R</m:t>
            </m:r>
          </m:sub>
        </m:sSub>
      </m:oMath>
      <w:r>
        <w:t xml:space="preserve">) :</w:t>
      </w:r>
    </w:p>
    <w:p>
      <w:pPr>
        <w:pStyle w:val="FirstParagraph"/>
      </w:pPr>
      <w:r>
        <w:t xml:space="preserve">Qu’est-ce qu’un rachat en assurance vie ?</w:t>
      </w:r>
      <w:r>
        <w:t xml:space="preserve"> </w:t>
      </w:r>
      <w:r>
        <w:t xml:space="preserve">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pPr>
        <w:pStyle w:val="BodyText"/>
      </w:pPr>
      <w:r>
        <w:t xml:space="preserve">On distingue :</w:t>
      </w:r>
    </w:p>
    <w:p>
      <w:pPr>
        <w:numPr>
          <w:ilvl w:val="0"/>
          <w:numId w:val="1059"/>
        </w:numPr>
      </w:pPr>
      <w:r>
        <w:rPr>
          <w:bCs/>
          <w:b/>
        </w:rPr>
        <w:t xml:space="preserve">Le rachat partiel</w:t>
      </w:r>
      <w:r>
        <w:t xml:space="preserve"> </w:t>
      </w:r>
      <w:r>
        <w:t xml:space="preserve">: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pPr>
        <w:numPr>
          <w:ilvl w:val="0"/>
          <w:numId w:val="1059"/>
        </w:numPr>
      </w:pPr>
      <w:r>
        <w:rPr>
          <w:bCs/>
          <w:b/>
        </w:rPr>
        <w:t xml:space="preserve">Le rachat total</w:t>
      </w:r>
      <w:r>
        <w:t xml:space="preserve"> </w:t>
      </w:r>
      <w:r>
        <w:t xml:space="preserve">: les assurés peuvent récupérer l’intégralité de la valeur de rachat de leur assurance vie, et leur contrat prend fin, entraînant la perte de l’antériorité fiscale.</w:t>
      </w:r>
    </w:p>
    <w:p>
      <w:pPr>
        <w:pStyle w:val="FirstParagraph"/>
      </w:pPr>
      <w:r>
        <w:t xml:space="preserve">L’exigence de capital pour risque de rachat est correspond au maximum entre les exigences de capitaux suivantes:</w:t>
      </w:r>
    </w:p>
    <w:p>
      <w:pPr>
        <w:numPr>
          <w:ilvl w:val="0"/>
          <w:numId w:val="1060"/>
        </w:numPr>
        <w:pStyle w:val="Compact"/>
      </w:pPr>
      <w:r>
        <w:t xml:space="preserve">L’exigence de capital pour risque de hausse des taux de rachat : cette exigence signifie la perte de fonds propre qui résulterait d’une revalorisation des provisions techniques prudentielles suite à une hausse de</w:t>
      </w:r>
      <w:r>
        <w:t xml:space="preserve"> </w:t>
      </w:r>
      <m:oMath>
        <m:r>
          <m:t>X</m:t>
        </m:r>
        <m:r>
          <m:rPr>
            <m:sty m:val="p"/>
          </m:rPr>
          <m:t>%</m:t>
        </m:r>
      </m:oMath>
      <w:r>
        <w:t xml:space="preserve"> </w:t>
      </w:r>
      <w:r>
        <w:t xml:space="preserve">des taux de rachat retenus, en montant et en nombre. Toutefois, les taux de rachat augmentés de la hausse précitée ne doivent pas dépasser</w:t>
      </w:r>
      <w:r>
        <w:t xml:space="preserve"> </w:t>
      </w:r>
      <m:oMath>
        <m:r>
          <m:t>X</m:t>
        </m:r>
        <m:r>
          <m:rPr>
            <m:sty m:val="p"/>
          </m:rPr>
          <m:t>%</m:t>
        </m:r>
      </m:oMath>
      <w:r>
        <w:t xml:space="preserve">.</w:t>
      </w:r>
    </w:p>
    <w:p>
      <w:pPr>
        <w:pStyle w:val="FirstParagraph"/>
      </w:pPr>
      <w:r>
        <w:t xml:space="preserve">La hausse des taux de rachat précitée ne s’applique qu’aux contrats d’assurance pour lesquels une hausse des taux de rachat entraîne une augmentation des provisions techniques prudentielles.</w:t>
      </w:r>
    </w:p>
    <w:p>
      <w:pPr>
        <w:numPr>
          <w:ilvl w:val="0"/>
          <w:numId w:val="1061"/>
        </w:numPr>
        <w:pStyle w:val="Compact"/>
      </w:pPr>
      <w:r>
        <w:t xml:space="preserve">L’exigence de capital pour risque de baisse des taux de rachat : cette exigence correspond à la perte de fonds propre qui résulterait d’une revalorisation des provisions technique prudentielles due à une baisse de X% des taux de rachat retenus, en montant et en nombre.</w:t>
      </w:r>
    </w:p>
    <w:p>
      <w:pPr>
        <w:pStyle w:val="FirstParagraph"/>
      </w:pPr>
      <w:r>
        <w:t xml:space="preserve">La baisse des taux de rachat précitée ne s’applique qu’aux contrats d’assurance pour lesquels une baisse des taux de rachat entraîne une augmentation des provisions techniques prudentielles.</w:t>
      </w:r>
    </w:p>
    <w:p>
      <w:pPr>
        <w:pStyle w:val="BodyText"/>
      </w:pPr>
      <w:bookmarkStart w:id="220" w:name="eq-gbmp"/>
      <m:oMathPara>
        <m:oMathParaPr>
          <m:jc m:val="center"/>
        </m:oMathParaPr>
        <m:oMath>
          <m:r>
            <m:t>C</m:t>
          </m:r>
          <m:r>
            <m:t>S</m:t>
          </m:r>
          <m:sSub>
            <m:e>
              <m:r>
                <m:t>R</m:t>
              </m:r>
            </m:e>
            <m:sub>
              <m:r>
                <m:t>R</m:t>
              </m:r>
            </m:sub>
          </m:sSub>
          <m:r>
            <m:rPr>
              <m:sty m:val="p"/>
            </m:rPr>
            <m:t>=</m:t>
          </m:r>
          <m:r>
            <m:t>m</m:t>
          </m:r>
          <m:r>
            <m:t>a</m:t>
          </m:r>
          <m:r>
            <m:t>x</m:t>
          </m:r>
          <m:d>
            <m:dPr>
              <m:begChr m:val="("/>
              <m:endChr m:val=")"/>
              <m:sepChr m:val=""/>
              <m:grow/>
            </m:dPr>
            <m:e>
              <m:r>
                <m:t>C</m:t>
              </m:r>
              <m:r>
                <m:t>S</m:t>
              </m:r>
              <m:sSub>
                <m:e>
                  <m:r>
                    <m:t>R</m:t>
                  </m:r>
                </m:e>
                <m:sub>
                  <m:r>
                    <m:t>R</m:t>
                  </m:r>
                  <m:r>
                    <m:t>H</m:t>
                  </m:r>
                  <m:r>
                    <m:t>T</m:t>
                  </m:r>
                </m:sub>
              </m:sSub>
              <m:r>
                <m:rPr>
                  <m:sty m:val="p"/>
                </m:rPr>
                <m:t>;</m:t>
              </m:r>
              <m:r>
                <m:t>C</m:t>
              </m:r>
              <m:r>
                <m:t>S</m:t>
              </m:r>
              <m:sSub>
                <m:e>
                  <m:r>
                    <m:t>R</m:t>
                  </m:r>
                </m:e>
                <m:sub>
                  <m:r>
                    <m:t>R</m:t>
                  </m:r>
                  <m:r>
                    <m:t>B</m:t>
                  </m:r>
                  <m:r>
                    <m:t>T</m:t>
                  </m:r>
                </m:sub>
              </m:sSub>
            </m:e>
          </m:d>
          <m:r>
            <m:t> </m:t>
          </m:r>
          <m:r>
            <m:rPr>
              <m:sty m:val="p"/>
            </m:rPr>
            <m:t>,</m:t>
          </m:r>
          <m:r>
            <m:t>  </m:t>
          </m:r>
          <m:d>
            <m:dPr>
              <m:begChr m:val="("/>
              <m:endChr m:val=")"/>
              <m:sepChr m:val=""/>
              <m:grow/>
            </m:dPr>
            <m:e>
              <m:r>
                <m:t>66</m:t>
              </m:r>
            </m:e>
          </m:d>
        </m:oMath>
      </m:oMathPara>
      <w:bookmarkEnd w:id="220"/>
    </w:p>
    <w:p>
      <w:pPr>
        <w:pStyle w:val="FirstParagraph"/>
      </w:pPr>
      <w:r>
        <w:t xml:space="preserve">avec :</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C</m:t>
                    </m:r>
                    <m:r>
                      <m:t>S</m:t>
                    </m:r>
                    <m:sSub>
                      <m:e>
                        <m:r>
                          <m:t>R</m:t>
                        </m:r>
                      </m:e>
                      <m:sub>
                        <m:r>
                          <m:t>R</m:t>
                        </m:r>
                        <m:r>
                          <m:t>H</m:t>
                        </m:r>
                        <m:r>
                          <m:t>T</m:t>
                        </m:r>
                      </m:sub>
                    </m:sSub>
                    <m:r>
                      <m:rPr>
                        <m:sty m:val="p"/>
                      </m:rPr>
                      <m:t>=</m:t>
                    </m:r>
                    <m:r>
                      <m:t>B</m:t>
                    </m:r>
                    <m:sSub>
                      <m:e>
                        <m:r>
                          <m:t>E</m:t>
                        </m:r>
                      </m:e>
                      <m:sub>
                        <m:r>
                          <m:t>R</m:t>
                        </m:r>
                        <m:r>
                          <m:t>H</m:t>
                        </m:r>
                        <m:r>
                          <m:t>T</m:t>
                        </m:r>
                      </m:sub>
                    </m:sSub>
                    <m:r>
                      <m:rPr>
                        <m:sty m:val="p"/>
                      </m:rPr>
                      <m:t>−</m:t>
                    </m:r>
                    <m:r>
                      <m:t>B</m:t>
                    </m:r>
                    <m:r>
                      <m:t>E</m:t>
                    </m:r>
                  </m:e>
                </m:mr>
                <m:mr>
                  <m:e>
                    <m:r>
                      <m:t>C</m:t>
                    </m:r>
                    <m:r>
                      <m:t>S</m:t>
                    </m:r>
                    <m:sSub>
                      <m:e>
                        <m:r>
                          <m:t>R</m:t>
                        </m:r>
                      </m:e>
                      <m:sub>
                        <m:r>
                          <m:t>R</m:t>
                        </m:r>
                        <m:r>
                          <m:t>B</m:t>
                        </m:r>
                        <m:r>
                          <m:t>T</m:t>
                        </m:r>
                      </m:sub>
                    </m:sSub>
                    <m:r>
                      <m:rPr>
                        <m:sty m:val="p"/>
                      </m:rPr>
                      <m:t>=</m:t>
                    </m:r>
                    <m:r>
                      <m:t>B</m:t>
                    </m:r>
                    <m:sSub>
                      <m:e>
                        <m:r>
                          <m:t>E</m:t>
                        </m:r>
                      </m:e>
                      <m:sub>
                        <m:r>
                          <m:t>R</m:t>
                        </m:r>
                        <m:r>
                          <m:t>B</m:t>
                        </m:r>
                        <m:r>
                          <m:t>T</m:t>
                        </m:r>
                      </m:sub>
                    </m:sSub>
                    <m:r>
                      <m:rPr>
                        <m:sty m:val="p"/>
                      </m:rPr>
                      <m:t>−</m:t>
                    </m:r>
                    <m:r>
                      <m:t>B</m:t>
                    </m:r>
                    <m:r>
                      <m:t>E</m:t>
                    </m:r>
                  </m:e>
                </m:mr>
              </m:m>
            </m:e>
          </m:d>
        </m:oMath>
      </m:oMathPara>
    </w:p>
    <w:p>
      <w:pPr>
        <w:pStyle w:val="FirstParagraph"/>
      </w:pPr>
      <w:r>
        <w:t xml:space="preserve">tell que :</w:t>
      </w:r>
    </w:p>
    <w:p>
      <w:pPr>
        <w:pStyle w:val="BodyText"/>
      </w:pPr>
      <m:oMath>
        <m:r>
          <m:t>B</m:t>
        </m:r>
        <m:sSub>
          <m:e>
            <m:r>
              <m:t>E</m:t>
            </m:r>
          </m:e>
          <m:sub>
            <m:r>
              <m:t>R</m:t>
            </m:r>
            <m:r>
              <m:t>H</m:t>
            </m:r>
            <m:r>
              <m:t>T</m:t>
            </m:r>
          </m:sub>
        </m:sSub>
      </m:oMath>
      <w:r>
        <w:t xml:space="preserve"> </w:t>
      </w:r>
      <w:r>
        <w:t xml:space="preserve">: Meilleur estimation des engagements pour le scenario d’une hausse des taux de rachat.</w:t>
      </w:r>
      <w:r>
        <w:t xml:space="preserve"> </w:t>
      </w:r>
      <m:oMath>
        <m:r>
          <m:t>B</m:t>
        </m:r>
        <m:sSub>
          <m:e>
            <m:r>
              <m:t>E</m:t>
            </m:r>
          </m:e>
          <m:sub>
            <m:r>
              <m:t>R</m:t>
            </m:r>
            <m:r>
              <m:t>B</m:t>
            </m:r>
            <m:r>
              <m:t>T</m:t>
            </m:r>
          </m:sub>
        </m:sSub>
      </m:oMath>
      <w:r>
        <w:t xml:space="preserve"> </w:t>
      </w:r>
      <w:r>
        <w:t xml:space="preserve">: Meilleur estimation des engagements pour le scenario d’une baisse des taux de rachat.</w:t>
      </w:r>
    </w:p>
    <w:bookmarkEnd w:id="221"/>
    <w:bookmarkStart w:id="223" w:name="X3f53d97ac0100081bf14cce1c7c4c7b66f159ab"/>
    <w:p>
      <w:pPr>
        <w:pStyle w:val="Heading4"/>
      </w:pPr>
      <w:r>
        <w:t xml:space="preserve">Exigence de capital relative au risque de frais (</w:t>
      </w:r>
      <m:oMath>
        <m:r>
          <m:t>C</m:t>
        </m:r>
        <m:r>
          <m:t>S</m:t>
        </m:r>
        <m:sSub>
          <m:e>
            <m:r>
              <m:t>R</m:t>
            </m:r>
          </m:e>
          <m:sub>
            <m:r>
              <m:t>F</m:t>
            </m:r>
          </m:sub>
        </m:sSub>
      </m:oMath>
      <w:r>
        <w:t xml:space="preserve">)</w:t>
      </w:r>
    </w:p>
    <w:p>
      <w:pPr>
        <w:pStyle w:val="FirstParagraph"/>
      </w:pPr>
      <w:r>
        <w:t xml:space="preserve">L’exigence de capital relative au risque de frais correspond à la perte de fonds propres due à des augmentations combinées de :</w:t>
      </w:r>
    </w:p>
    <w:p>
      <w:pPr>
        <w:numPr>
          <w:ilvl w:val="0"/>
          <w:numId w:val="1062"/>
        </w:numPr>
        <w:pStyle w:val="Compact"/>
      </w:pPr>
      <m:oMath>
        <m:r>
          <m:t>X</m:t>
        </m:r>
      </m:oMath>
      <w:r>
        <w:t xml:space="preserve"> </w:t>
      </w:r>
      <w:r>
        <w:t xml:space="preserve">du montant de frais de gestion unitaire moyen retenu pour le calcul des provisions techniques prudentielles des opérations d’assurance vie, décès ou de capitalisation et des rentes découlant des opérations non-vie et ce, par sous-catégorie;</w:t>
      </w:r>
    </w:p>
    <w:p>
      <w:pPr>
        <w:numPr>
          <w:ilvl w:val="0"/>
          <w:numId w:val="1062"/>
        </w:numPr>
        <w:pStyle w:val="Compact"/>
      </w:pPr>
      <m:oMath>
        <m:r>
          <m:t>X</m:t>
        </m:r>
      </m:oMath>
      <w:r>
        <w:t xml:space="preserve"> </w:t>
      </w:r>
      <w:r>
        <w:t xml:space="preserve">par année de projection du montant de frais de gestion unitaire moyen précité.</w:t>
      </w:r>
    </w:p>
    <w:p>
      <w:pPr>
        <w:pStyle w:val="FirstParagraph"/>
      </w:pPr>
      <w:bookmarkStart w:id="222" w:name="eq-gbmp"/>
      <m:oMathPara>
        <m:oMathParaPr>
          <m:jc m:val="center"/>
        </m:oMathParaPr>
        <m:oMath>
          <m:r>
            <m:t>C</m:t>
          </m:r>
          <m:r>
            <m:t>S</m:t>
          </m:r>
          <m:sSub>
            <m:e>
              <m:r>
                <m:t>R</m:t>
              </m:r>
            </m:e>
            <m:sub>
              <m:r>
                <m:t>F</m:t>
              </m:r>
            </m:sub>
          </m:sSub>
          <m:r>
            <m:rPr>
              <m:sty m:val="p"/>
            </m:rPr>
            <m:t>=</m:t>
          </m:r>
          <m:r>
            <m:t>B</m:t>
          </m:r>
          <m:sSub>
            <m:e>
              <m:r>
                <m:t>E</m:t>
              </m:r>
            </m:e>
            <m:sub>
              <m:r>
                <m:t>F</m:t>
              </m:r>
            </m:sub>
          </m:sSub>
          <m:d>
            <m:dPr>
              <m:begChr m:val="("/>
              <m:endChr m:val=")"/>
              <m:sepChr m:val=""/>
              <m:grow/>
            </m:dPr>
            <m:e>
              <m:r>
                <m:t>C</m:t>
              </m:r>
              <m:r>
                <m:t>h</m:t>
              </m:r>
              <m:r>
                <m:t>o</m:t>
              </m:r>
              <m:r>
                <m:t>c</m:t>
              </m:r>
            </m:e>
          </m:d>
          <m:r>
            <m:rPr>
              <m:sty m:val="p"/>
            </m:rPr>
            <m:t>−</m:t>
          </m:r>
          <m:r>
            <m:t>B</m:t>
          </m:r>
          <m:sSub>
            <m:e>
              <m:r>
                <m:t>E</m:t>
              </m:r>
            </m:e>
            <m:sub>
              <m:r>
                <m:t>F</m:t>
              </m:r>
            </m:sub>
          </m:sSub>
          <m:r>
            <m:t>  </m:t>
          </m:r>
          <m:d>
            <m:dPr>
              <m:begChr m:val="("/>
              <m:endChr m:val=")"/>
              <m:sepChr m:val=""/>
              <m:grow/>
            </m:dPr>
            <m:e>
              <m:r>
                <m:t>67</m:t>
              </m:r>
            </m:e>
          </m:d>
        </m:oMath>
      </m:oMathPara>
      <w:bookmarkEnd w:id="222"/>
    </w:p>
    <w:p>
      <w:pPr>
        <w:pStyle w:val="FirstParagraph"/>
      </w:pPr>
      <w:r>
        <w:t xml:space="preserve">Les taux</w:t>
      </w:r>
      <w:r>
        <w:t xml:space="preserve"> </w:t>
      </w:r>
      <m:oMath>
        <m:r>
          <m:t>X</m:t>
        </m:r>
        <m:r>
          <m:rPr>
            <m:sty m:val="p"/>
          </m:rPr>
          <m:t>%</m:t>
        </m:r>
      </m:oMath>
      <w:r>
        <w:t xml:space="preserve"> </w:t>
      </w:r>
      <w:r>
        <w:t xml:space="preserve">ne sont pas encore publiés par l’ACAPS.</w:t>
      </w:r>
    </w:p>
    <w:bookmarkEnd w:id="223"/>
    <w:bookmarkStart w:id="225" w:name="Xc425fc38e0e5ab3433dbb608f017e66bae918da"/>
    <w:p>
      <w:pPr>
        <w:pStyle w:val="Heading4"/>
      </w:pPr>
      <w:r>
        <w:t xml:space="preserve">Exigence de capital relative au risque de catastrophe (</w:t>
      </w:r>
      <m:oMath>
        <m:r>
          <m:t>C</m:t>
        </m:r>
        <m:r>
          <m:t>S</m:t>
        </m:r>
        <m:sSub>
          <m:e>
            <m:r>
              <m:t>R</m:t>
            </m:r>
          </m:e>
          <m:sub>
            <m:r>
              <m:t>C</m:t>
            </m:r>
            <m:r>
              <m:t>a</m:t>
            </m:r>
            <m:r>
              <m:t>t</m:t>
            </m:r>
          </m:sub>
        </m:sSub>
      </m:oMath>
      <w:r>
        <w:t xml:space="preserve">)</w:t>
      </w:r>
    </w:p>
    <w:p>
      <w:pPr>
        <w:pStyle w:val="FirstParagraph"/>
      </w:pPr>
      <w:r>
        <w:t xml:space="preserve">L’exigence de capital relative au risque de catastrophe vie correspond à l’application d’un coefficient de</w:t>
      </w:r>
      <w:r>
        <w:t xml:space="preserve"> </w:t>
      </w:r>
      <m:oMath>
        <m:r>
          <m:t>X</m:t>
        </m:r>
        <m:r>
          <m:rPr>
            <m:sty m:val="p"/>
          </m:rPr>
          <m:t>%</m:t>
        </m:r>
      </m:oMath>
      <w:r>
        <w:t xml:space="preserve"> </w:t>
      </w:r>
      <w:r>
        <w:t xml:space="preserve">(non encore publié) aux montants des capitaux sous risque relatifs aux garanties en cas de décès nets de réassurance.</w:t>
      </w:r>
    </w:p>
    <w:p>
      <w:pPr>
        <w:pStyle w:val="BodyText"/>
      </w:pPr>
      <w:bookmarkStart w:id="224" w:name="eq-gbmp"/>
      <m:oMathPara>
        <m:oMathParaPr>
          <m:jc m:val="center"/>
        </m:oMathParaPr>
        <m:oMath>
          <m:r>
            <m:t>C</m:t>
          </m:r>
          <m:r>
            <m:t>S</m:t>
          </m:r>
          <m:sSub>
            <m:e>
              <m:r>
                <m:t>R</m:t>
              </m:r>
            </m:e>
            <m:sub>
              <m:r>
                <m:t>C</m:t>
              </m:r>
              <m:r>
                <m:t>a</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68</m:t>
              </m:r>
            </m:e>
          </m:d>
        </m:oMath>
      </m:oMathPara>
      <w:bookmarkEnd w:id="224"/>
    </w:p>
    <w:p>
      <w:pPr>
        <w:pStyle w:val="FirstParagraph"/>
      </w:pPr>
      <w:r>
        <w:t xml:space="preserve">avec :</w:t>
      </w:r>
    </w:p>
    <w:p>
      <w:pPr>
        <w:numPr>
          <w:ilvl w:val="0"/>
          <w:numId w:val="1063"/>
        </w:numPr>
        <w:pStyle w:val="Compact"/>
      </w:pPr>
      <m:oMath>
        <m:r>
          <m:t>B</m:t>
        </m:r>
        <m:r>
          <m:t>E</m:t>
        </m:r>
        <m:d>
          <m:dPr>
            <m:begChr m:val="("/>
            <m:endChr m:val=")"/>
            <m:sepChr m:val=""/>
            <m:grow/>
          </m:dPr>
          <m:e>
            <m:r>
              <m:t>C</m:t>
            </m:r>
            <m:r>
              <m:t>h</m:t>
            </m:r>
            <m:r>
              <m:t>o</m:t>
            </m:r>
            <m:r>
              <m:t>c</m:t>
            </m:r>
          </m:e>
        </m:d>
      </m:oMath>
      <w:r>
        <w:t xml:space="preserve"> </w:t>
      </w:r>
      <w:r>
        <w:t xml:space="preserve">: Meilleure estimation après le choc par un coefficient X%, ce taux est estimé à</w:t>
      </w:r>
      <w:r>
        <w:t xml:space="preserve"> </w:t>
      </w:r>
      <m:oMath>
        <m:r>
          <m:t>0</m:t>
        </m:r>
        <m:r>
          <m:rPr>
            <m:sty m:val="p"/>
          </m:rPr>
          <m:t>,</m:t>
        </m:r>
        <m:r>
          <m:t>2</m:t>
        </m:r>
        <m:r>
          <m:rPr>
            <m:sty m:val="p"/>
          </m:rPr>
          <m:t>%</m:t>
        </m:r>
      </m:oMath>
      <w:r>
        <w:t xml:space="preserve">,</w:t>
      </w:r>
    </w:p>
    <w:p>
      <w:pPr>
        <w:numPr>
          <w:ilvl w:val="0"/>
          <w:numId w:val="1063"/>
        </w:numPr>
        <w:pStyle w:val="Compact"/>
      </w:pPr>
      <m:oMath>
        <m:r>
          <m:t>B</m:t>
        </m:r>
        <m:r>
          <m:t>E</m:t>
        </m:r>
      </m:oMath>
      <w:r>
        <w:t xml:space="preserve">: Meilleure estimation sans aucun choc.</w:t>
      </w:r>
    </w:p>
    <w:bookmarkEnd w:id="225"/>
    <w:bookmarkEnd w:id="226"/>
    <w:bookmarkStart w:id="234" w:name="Xbd0ac9d5bee7e5f803a71cc891308fb216ea9f5"/>
    <w:p>
      <w:pPr>
        <w:pStyle w:val="Heading3"/>
      </w:pPr>
      <w:r>
        <w:t xml:space="preserve">Exigence de capital relative au risque de souscription non vie (</w:t>
      </w:r>
      <m:oMath>
        <m:r>
          <m:t>C</m:t>
        </m:r>
        <m:r>
          <m:t>S</m:t>
        </m:r>
        <m:sSub>
          <m:e>
            <m:r>
              <m:t>R</m:t>
            </m:r>
          </m:e>
          <m:sub>
            <m:r>
              <m:t>S</m:t>
            </m:r>
            <m:r>
              <m:t>N</m:t>
            </m:r>
            <m:r>
              <m:t>V</m:t>
            </m:r>
          </m:sub>
        </m:sSub>
      </m:oMath>
      <w:r>
        <w:t xml:space="preserve">)</w:t>
      </w:r>
    </w:p>
    <w:p>
      <w:pPr>
        <w:pStyle w:val="FirstParagraph"/>
      </w:pPr>
      <w:r>
        <w:t xml:space="preserve">L’exigence de capital relative au risque de souscription non-vie est la somme totale des exigences de capitaux relatives aux</w:t>
      </w:r>
      <w:r>
        <w:t xml:space="preserve"> </w:t>
      </w:r>
      <w:r>
        <w:t xml:space="preserve">, une fois les coefficients de corrélation appliqués.</w:t>
      </w:r>
    </w:p>
    <w:p>
      <w:pPr>
        <w:pStyle w:val="BodyText"/>
      </w:pPr>
      <w:bookmarkStart w:id="227" w:name="eq-gbmp"/>
      <m:oMathPara>
        <m:oMathParaPr>
          <m:jc m:val="center"/>
        </m:oMathParaPr>
        <m:oMath>
          <m:r>
            <m:t>C</m:t>
          </m:r>
          <m:r>
            <m:t>S</m:t>
          </m:r>
          <m:sSub>
            <m:e>
              <m:r>
                <m:t>R</m:t>
              </m:r>
            </m:e>
            <m:sub>
              <m:r>
                <m:t>S</m:t>
              </m:r>
              <m:r>
                <m:t>N</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69</m:t>
              </m:r>
            </m:e>
          </m:d>
        </m:oMath>
      </m:oMathPara>
      <w:bookmarkEnd w:id="227"/>
    </w:p>
    <w:p>
      <w:pPr>
        <w:pStyle w:val="FirstParagraph"/>
      </w:pPr>
      <w:r>
        <w:t xml:space="preserve">avec :</w:t>
      </w:r>
    </w:p>
    <w:p>
      <w:pPr>
        <w:pStyle w:val="BodyText"/>
      </w:pPr>
      <m:oMath>
        <m:r>
          <m:t>i</m:t>
        </m:r>
        <m:r>
          <m:rPr>
            <m:sty m:val="p"/>
          </m:rPr>
          <m:t>,</m:t>
        </m:r>
        <m:r>
          <m:t>j</m:t>
        </m:r>
        <m:r>
          <m:rPr>
            <m:sty m:val="p"/>
          </m:rPr>
          <m:t>∈</m:t>
        </m:r>
        <m:r>
          <m:rPr>
            <m:sty m:val="p"/>
          </m:rPr>
          <m:t>{</m:t>
        </m:r>
        <m:r>
          <m:rPr>
            <m:nor/>
            <m:sty m:val="p"/>
          </m:rPr>
          <m:t>Primes, Provisions, Catastrophe</m:t>
        </m:r>
        <m:r>
          <m:rPr>
            <m:sty m:val="p"/>
          </m:rPr>
          <m:t>}</m:t>
        </m:r>
      </m:oMath>
    </w:p>
    <w:p>
      <w:pPr>
        <w:pStyle w:val="BodyText"/>
      </w:pPr>
      <m:oMath>
        <m:r>
          <m:t>ρ</m:t>
        </m:r>
      </m:oMath>
      <w:r>
        <w:t xml:space="preserve"> </w:t>
      </w:r>
      <w:r>
        <w:t xml:space="preserve">: le coefficient de corrélation.</w:t>
      </w:r>
    </w:p>
    <w:bookmarkStart w:id="229" w:name="Xae7d56ebf3941082763747c73c9ac177ca68057"/>
    <w:p>
      <w:pPr>
        <w:pStyle w:val="Heading4"/>
      </w:pPr>
      <w:r>
        <w:t xml:space="preserve">Exigence de capital relative au sous-risque de primes (</w:t>
      </w:r>
      <m:oMath>
        <m:r>
          <m:t>C</m:t>
        </m:r>
        <m:r>
          <m:t>S</m:t>
        </m:r>
        <m:sSub>
          <m:e>
            <m:r>
              <m:t>R</m:t>
            </m:r>
          </m:e>
          <m:sub>
            <m:r>
              <m:t>P</m:t>
            </m:r>
          </m:sub>
        </m:sSub>
      </m:oMath>
      <w:r>
        <w:t xml:space="preserve">)</w:t>
      </w:r>
    </w:p>
    <w:p>
      <w:pPr>
        <w:pStyle w:val="FirstParagraph"/>
      </w:pPr>
      <w:r>
        <w:t xml:space="preserve">L’exigence de capital relative au sous-risque de primes est le montant total des exigences de capitaux relatives aux sous-risques de primes par sous-catégorie et ce, après application des coefficients de corrélations.</w:t>
      </w:r>
    </w:p>
    <w:p>
      <w:pPr>
        <w:pStyle w:val="BodyText"/>
      </w:pPr>
      <w:bookmarkStart w:id="228" w:name="eq-gbmp"/>
      <m:oMathPara>
        <m:oMathParaPr>
          <m:jc m:val="center"/>
        </m:oMathParaPr>
        <m:oMath>
          <m:r>
            <m:t>C</m:t>
          </m:r>
          <m:r>
            <m:t>S</m:t>
          </m:r>
          <m:sSub>
            <m:e>
              <m:r>
                <m:t>R</m:t>
              </m:r>
            </m:e>
            <m:sub>
              <m:r>
                <m:t>P</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70</m:t>
              </m:r>
            </m:e>
          </m:d>
        </m:oMath>
      </m:oMathPara>
      <w:bookmarkEnd w:id="228"/>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primes par sous-categorie </m:t>
        </m:r>
        <m:r>
          <m:rPr>
            <m:sty m:val="p"/>
          </m:rPr>
          <m:t>}</m:t>
        </m:r>
      </m:oMath>
    </w:p>
    <w:p>
      <w:pPr>
        <w:pStyle w:val="BodyText"/>
      </w:pPr>
      <m:oMath>
        <m:r>
          <m:t>ρ</m:t>
        </m:r>
      </m:oMath>
      <w:r>
        <w:t xml:space="preserve"> </w:t>
      </w:r>
      <w:r>
        <w:t xml:space="preserve">: le coefficient de corrélation entre les sous-catégories des sous-risques de primes.</w:t>
      </w:r>
    </w:p>
    <w:p>
      <w:pPr>
        <w:pStyle w:val="BodyText"/>
      </w:pPr>
      <w:r>
        <w:t xml:space="preserve">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pPr>
        <w:pStyle w:val="BodyText"/>
      </w:pPr>
      <m:oMathPara>
        <m:oMathParaPr>
          <m:jc m:val="center"/>
        </m:oMathParaPr>
        <m:oMath>
          <m:r>
            <m:t>C</m:t>
          </m:r>
          <m:r>
            <m:t>S</m:t>
          </m:r>
          <m:sSub>
            <m:e>
              <m:r>
                <m:t>R</m:t>
              </m:r>
            </m:e>
            <m:sub>
              <m:r>
                <m:t>P</m:t>
              </m:r>
            </m:sub>
          </m:sSub>
          <m:d>
            <m:dPr>
              <m:begChr m:val="("/>
              <m:endChr m:val=")"/>
              <m:sepChr m:val=""/>
              <m:grow/>
            </m:dPr>
            <m:e>
              <m:r>
                <m:rPr>
                  <m:nor/>
                  <m:sty m:val="p"/>
                </m:rPr>
                <m:t>sous-categorie</m:t>
              </m:r>
            </m:e>
          </m:d>
          <m:r>
            <m:rPr>
              <m:sty m:val="p"/>
            </m:rPr>
            <m:t>=</m:t>
          </m:r>
          <m:r>
            <m:t>X</m:t>
          </m:r>
          <m:r>
            <m:rPr>
              <m:sty m:val="p"/>
            </m:rPr>
            <m:t>×</m:t>
          </m:r>
          <m:sSub>
            <m:e>
              <m:r>
                <m:t>σ</m:t>
              </m:r>
            </m:e>
            <m:sub>
              <m:r>
                <m:t>P</m:t>
              </m:r>
            </m:sub>
          </m:sSub>
          <m:r>
            <m:rPr>
              <m:sty m:val="p"/>
            </m:rPr>
            <m:t>×</m:t>
          </m:r>
          <m:r>
            <m:t>P</m:t>
          </m:r>
          <m:r>
            <m:t> </m:t>
          </m:r>
          <m:r>
            <m:rPr>
              <m:sty m:val="p"/>
            </m:rPr>
            <m:t>,</m:t>
          </m:r>
        </m:oMath>
      </m:oMathPara>
    </w:p>
    <w:p>
      <w:pPr>
        <w:pStyle w:val="FirstParagraph"/>
      </w:pPr>
      <w:r>
        <w:t xml:space="preserve">avec :</w:t>
      </w:r>
    </w:p>
    <w:p>
      <w:pPr>
        <w:pStyle w:val="BodyText"/>
      </w:pPr>
      <m:oMathPara>
        <m:oMathParaPr>
          <m:jc m:val="center"/>
        </m:oMathParaPr>
        <m:oMath>
          <m:r>
            <m:t>P</m:t>
          </m:r>
          <m:r>
            <m:rPr>
              <m:sty m:val="p"/>
            </m:rPr>
            <m:t>=</m:t>
          </m:r>
          <m:r>
            <m:t>P</m:t>
          </m:r>
          <m:r>
            <m:t>A</m:t>
          </m:r>
          <m:r>
            <m:rPr>
              <m:sty m:val="p"/>
            </m:rPr>
            <m:t>+</m:t>
          </m:r>
          <m:r>
            <m:t>P</m:t>
          </m:r>
          <m:r>
            <m:t>P</m:t>
          </m:r>
          <m:r>
            <m:t>N</m:t>
          </m:r>
          <m:r>
            <m:t>A</m:t>
          </m:r>
          <m:r>
            <m:t> </m:t>
          </m:r>
          <m:r>
            <m:rPr>
              <m:sty m:val="p"/>
            </m:rPr>
            <m:t>,</m:t>
          </m:r>
        </m:oMath>
      </m:oMathPara>
    </w:p>
    <w:p>
      <w:pPr>
        <w:pStyle w:val="FirstParagraph"/>
      </w:pPr>
      <w:r>
        <w:t xml:space="preserve">telle que :</w:t>
      </w:r>
    </w:p>
    <w:p>
      <w:pPr>
        <w:numPr>
          <w:ilvl w:val="0"/>
          <w:numId w:val="1064"/>
        </w:numPr>
        <w:pStyle w:val="Compact"/>
      </w:pPr>
      <m:oMath>
        <m:r>
          <m:t>P</m:t>
        </m:r>
      </m:oMath>
      <w:r>
        <w:t xml:space="preserve">: Primes,</w:t>
      </w:r>
    </w:p>
    <w:p>
      <w:pPr>
        <w:numPr>
          <w:ilvl w:val="0"/>
          <w:numId w:val="1064"/>
        </w:numPr>
        <w:pStyle w:val="Compact"/>
      </w:pPr>
      <m:oMath>
        <m:r>
          <m:t>P</m:t>
        </m:r>
        <m:r>
          <m:t>A</m:t>
        </m:r>
      </m:oMath>
      <w:r>
        <w:t xml:space="preserve"> </w:t>
      </w:r>
      <w:r>
        <w:t xml:space="preserve">: Primes acquises nettes,</w:t>
      </w:r>
    </w:p>
    <w:p>
      <w:pPr>
        <w:numPr>
          <w:ilvl w:val="0"/>
          <w:numId w:val="1064"/>
        </w:numPr>
        <w:pStyle w:val="Compact"/>
      </w:pPr>
      <m:oMath>
        <m:r>
          <m:t>P</m:t>
        </m:r>
        <m:r>
          <m:t>P</m:t>
        </m:r>
        <m:r>
          <m:t>N</m:t>
        </m:r>
        <m:r>
          <m:t>A</m:t>
        </m:r>
      </m:oMath>
      <w:r>
        <w:t xml:space="preserve"> </w:t>
      </w:r>
      <w:r>
        <w:t xml:space="preserve">: Provision pour primes non-acquises nettes.</w:t>
      </w:r>
    </w:p>
    <w:bookmarkEnd w:id="229"/>
    <w:bookmarkStart w:id="231" w:name="X533f7701cb3661cf34b00dcb745118a22053996"/>
    <w:p>
      <w:pPr>
        <w:pStyle w:val="Heading4"/>
      </w:pPr>
      <w:r>
        <w:t xml:space="preserve">Exigence de capital relative au sous-risque de provisions (</w:t>
      </w:r>
      <m:oMath>
        <m:r>
          <m:t>C</m:t>
        </m:r>
        <m:r>
          <m:t>S</m:t>
        </m:r>
        <m:sSub>
          <m:e>
            <m:r>
              <m:t>R</m:t>
            </m:r>
          </m:e>
          <m:sub>
            <m:r>
              <m:t>P</m:t>
            </m:r>
            <m:r>
              <m:t>r</m:t>
            </m:r>
          </m:sub>
        </m:sSub>
      </m:oMath>
      <w:r>
        <w:t xml:space="preserve">)</w:t>
      </w:r>
    </w:p>
    <w:p>
      <w:pPr>
        <w:pStyle w:val="FirstParagraph"/>
      </w:pPr>
      <w:r>
        <w:t xml:space="preserve">L’exigence de capital relative au sous-risque de provisions est la somme total des exigences de capitaux relatives aux sous-risques de provision par sous-catégorie, on prenant on considration les coefficients de correlation entre les sous-risques.</w:t>
      </w:r>
    </w:p>
    <w:p>
      <w:pPr>
        <w:pStyle w:val="BodyText"/>
      </w:pPr>
      <w:bookmarkStart w:id="230" w:name="eq-gbmp"/>
      <m:oMathPara>
        <m:oMathParaPr>
          <m:jc m:val="center"/>
        </m:oMathParaPr>
        <m:oMath>
          <m:r>
            <m:t>C</m:t>
          </m:r>
          <m:r>
            <m:t>S</m:t>
          </m:r>
          <m:sSub>
            <m:e>
              <m:r>
                <m:t>R</m:t>
              </m:r>
            </m:e>
            <m:sub>
              <m:r>
                <m:t>P</m:t>
              </m:r>
              <m:r>
                <m:t>r</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71</m:t>
              </m:r>
            </m:e>
          </m:d>
        </m:oMath>
      </m:oMathPara>
      <w:bookmarkEnd w:id="230"/>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provisions par sous-categorie</m:t>
        </m:r>
        <m:r>
          <m:rPr>
            <m:sty m:val="p"/>
          </m:rPr>
          <m:t>}</m:t>
        </m:r>
      </m:oMath>
      <w:r>
        <w:t xml:space="preserve">.</w:t>
      </w:r>
    </w:p>
    <w:p>
      <w:pPr>
        <w:pStyle w:val="BodyText"/>
      </w:pPr>
      <m:oMath>
        <m:r>
          <m:t>ρ</m:t>
        </m:r>
      </m:oMath>
      <w:r>
        <w:t xml:space="preserve"> </w:t>
      </w:r>
      <w:r>
        <w:t xml:space="preserve">: le coefficient de corrélation entre les sous-catégories des sous-risques de provisions.</w:t>
      </w:r>
    </w:p>
    <w:p>
      <w:pPr>
        <w:pStyle w:val="BodyText"/>
      </w:pPr>
      <w:r>
        <w:t xml:space="preserve">Pour chaque sous-catégorie, l’exigence de capital afférente au sous risque de provision est égale à X fois le produit de l’écart-type de provisions et du montant de la meilleure estimation des engagements pour sinistres nette de réassurance.</w:t>
      </w:r>
    </w:p>
    <w:p>
      <w:pPr>
        <w:pStyle w:val="BodyText"/>
      </w:pPr>
      <m:oMathPara>
        <m:oMathParaPr>
          <m:jc m:val="center"/>
        </m:oMathParaPr>
        <m:oMath>
          <m:r>
            <m:t>C</m:t>
          </m:r>
          <m:r>
            <m:t>S</m:t>
          </m:r>
          <m:sSub>
            <m:e>
              <m:r>
                <m:t>R</m:t>
              </m:r>
            </m:e>
            <m:sub>
              <m:r>
                <m:t>P</m:t>
              </m:r>
              <m:r>
                <m:t>r</m:t>
              </m:r>
            </m:sub>
          </m:sSub>
          <m:d>
            <m:dPr>
              <m:begChr m:val="("/>
              <m:endChr m:val=")"/>
              <m:sepChr m:val=""/>
              <m:grow/>
            </m:dPr>
            <m:e>
              <m:r>
                <m:rPr>
                  <m:nor/>
                  <m:sty m:val="p"/>
                </m:rPr>
                <m:t>sous-categorie</m:t>
              </m:r>
            </m:e>
          </m:d>
          <m:r>
            <m:rPr>
              <m:sty m:val="p"/>
            </m:rPr>
            <m:t>=</m:t>
          </m:r>
          <m:r>
            <m:t>X</m:t>
          </m:r>
          <m:r>
            <m:rPr>
              <m:sty m:val="p"/>
            </m:rPr>
            <m:t>%</m:t>
          </m:r>
          <m:r>
            <m:rPr>
              <m:sty m:val="p"/>
            </m:rPr>
            <m:t>×</m:t>
          </m:r>
          <m:sSub>
            <m:e>
              <m:r>
                <m:t>σ</m:t>
              </m:r>
            </m:e>
            <m:sub>
              <m:r>
                <m:t>P</m:t>
              </m:r>
              <m:r>
                <m:t>r</m:t>
              </m:r>
            </m:sub>
          </m:sSub>
          <m:r>
            <m:rPr>
              <m:sty m:val="p"/>
            </m:rPr>
            <m:t>×</m:t>
          </m:r>
          <m:r>
            <m:t>B</m:t>
          </m:r>
          <m:sSub>
            <m:e>
              <m:r>
                <m:t>E</m:t>
              </m:r>
            </m:e>
            <m:sub>
              <m:r>
                <m:t>e</m:t>
              </m:r>
              <m:r>
                <m:t>n</m:t>
              </m:r>
              <m:r>
                <m:t>g</m:t>
              </m:r>
            </m:sub>
          </m:sSub>
        </m:oMath>
      </m:oMathPara>
    </w:p>
    <w:bookmarkEnd w:id="231"/>
    <w:bookmarkStart w:id="233" w:name="X59b87b9c1564dfa6327f8096dc87cc44d59238b"/>
    <w:p>
      <w:pPr>
        <w:pStyle w:val="Heading4"/>
      </w:pPr>
      <w:r>
        <w:t xml:space="preserve">Exigence de capital relative au risque de catastrophe non-vie (</w:t>
      </w:r>
      <m:oMath>
        <m:r>
          <m:t>C</m:t>
        </m:r>
        <m:r>
          <m:t>S</m:t>
        </m:r>
        <m:sSub>
          <m:e>
            <m:r>
              <m:t>R</m:t>
            </m:r>
          </m:e>
          <m:sub>
            <m:r>
              <m:t>C</m:t>
            </m:r>
            <m:r>
              <m:t>a</m:t>
            </m:r>
            <m:r>
              <m:t>t</m:t>
            </m:r>
          </m:sub>
        </m:sSub>
      </m:oMath>
      <w:r>
        <w:t xml:space="preserve">)</w:t>
      </w:r>
    </w:p>
    <w:p>
      <w:pPr>
        <w:pStyle w:val="FirstParagraph"/>
      </w:pPr>
      <w:r>
        <w:t xml:space="preserve">L’exigence de capital relative au risque de catastrophe non-vie correspond au racine carrée de la somme des carrés des exigences de capitaux relatives au sous-risque de catastrophe non-vie des garanties suivantes :</w:t>
      </w:r>
    </w:p>
    <w:p>
      <w:pPr>
        <w:numPr>
          <w:ilvl w:val="0"/>
          <w:numId w:val="1065"/>
        </w:numPr>
        <w:pStyle w:val="Compact"/>
      </w:pPr>
      <w:r>
        <w:t xml:space="preserve">Individuelles accidents et Invalidité ;</w:t>
      </w:r>
    </w:p>
    <w:p>
      <w:pPr>
        <w:numPr>
          <w:ilvl w:val="0"/>
          <w:numId w:val="1065"/>
        </w:numPr>
        <w:pStyle w:val="Compact"/>
      </w:pPr>
      <w:r>
        <w:t xml:space="preserve">Maladie;</w:t>
      </w:r>
    </w:p>
    <w:p>
      <w:pPr>
        <w:numPr>
          <w:ilvl w:val="0"/>
          <w:numId w:val="1065"/>
        </w:numPr>
        <w:pStyle w:val="Compact"/>
      </w:pPr>
      <w:r>
        <w:t xml:space="preserve">Accidents du travail et maladies professionnelles ;</w:t>
      </w:r>
    </w:p>
    <w:p>
      <w:pPr>
        <w:numPr>
          <w:ilvl w:val="0"/>
          <w:numId w:val="1065"/>
        </w:numPr>
        <w:pStyle w:val="Compact"/>
      </w:pPr>
      <w:r>
        <w:t xml:space="preserve">Responsabilité civile automobile des véhicules terrestres à moteur;</w:t>
      </w:r>
    </w:p>
    <w:p>
      <w:pPr>
        <w:numPr>
          <w:ilvl w:val="0"/>
          <w:numId w:val="1065"/>
        </w:numPr>
        <w:pStyle w:val="Compact"/>
      </w:pPr>
      <w:r>
        <w:t xml:space="preserve">Responsabilité civile (autre que la responsabilité civile automobile et la responsabilité civile résultant de l’emploi de véhicules fluviaux ou maritimes ou de l’emploi des aéronefs) ;</w:t>
      </w:r>
    </w:p>
    <w:p>
      <w:pPr>
        <w:numPr>
          <w:ilvl w:val="0"/>
          <w:numId w:val="1065"/>
        </w:numPr>
        <w:pStyle w:val="Compact"/>
      </w:pPr>
      <w:r>
        <w:t xml:space="preserve">Incendie ;</w:t>
      </w:r>
    </w:p>
    <w:p>
      <w:pPr>
        <w:numPr>
          <w:ilvl w:val="0"/>
          <w:numId w:val="1065"/>
        </w:numPr>
        <w:pStyle w:val="Compact"/>
      </w:pPr>
      <w:r>
        <w:t xml:space="preserve">Maritime corps, facultés et responsabilité civile résultant de l’emploi de véhicules fluviaux et maritimes ;</w:t>
      </w:r>
    </w:p>
    <w:p>
      <w:pPr>
        <w:numPr>
          <w:ilvl w:val="0"/>
          <w:numId w:val="1065"/>
        </w:numPr>
        <w:pStyle w:val="Compact"/>
      </w:pPr>
      <w:r>
        <w:t xml:space="preserve">Aviation corps et responsabilité civile résultant de l’emploi des aéronefs ;</w:t>
      </w:r>
    </w:p>
    <w:p>
      <w:pPr>
        <w:numPr>
          <w:ilvl w:val="0"/>
          <w:numId w:val="1065"/>
        </w:numPr>
        <w:pStyle w:val="Compact"/>
      </w:pPr>
      <w:r>
        <w:t xml:space="preserve">Marchandises transportées par voie terrestre ;</w:t>
      </w:r>
    </w:p>
    <w:p>
      <w:pPr>
        <w:numPr>
          <w:ilvl w:val="0"/>
          <w:numId w:val="1065"/>
        </w:numPr>
        <w:pStyle w:val="Compact"/>
      </w:pPr>
      <w:r>
        <w:t xml:space="preserve">Assurance récolte, grêle ou gelée et éléments naturels ;</w:t>
      </w:r>
    </w:p>
    <w:p>
      <w:pPr>
        <w:numPr>
          <w:ilvl w:val="0"/>
          <w:numId w:val="1065"/>
        </w:numPr>
        <w:pStyle w:val="Compact"/>
      </w:pPr>
      <w:r>
        <w:t xml:space="preserve">Crédit et caution;</w:t>
      </w:r>
    </w:p>
    <w:p>
      <w:pPr>
        <w:pStyle w:val="FirstParagraph"/>
      </w:pPr>
      <w:bookmarkStart w:id="232" w:name="eq-gbmp"/>
      <m:oMathPara>
        <m:oMathParaPr>
          <m:jc m:val="center"/>
        </m:oMathParaPr>
        <m:oMath>
          <m:r>
            <m:t>C</m:t>
          </m:r>
          <m:r>
            <m:t>S</m:t>
          </m:r>
          <m:sSub>
            <m:e>
              <m:r>
                <m:t>R</m:t>
              </m:r>
            </m:e>
            <m:sub>
              <m:r>
                <m:t>C</m:t>
              </m:r>
              <m:r>
                <m:t>a</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72</m:t>
              </m:r>
            </m:e>
          </m:d>
        </m:oMath>
      </m:oMathPara>
      <w:bookmarkEnd w:id="232"/>
    </w:p>
    <w:p>
      <w:pPr>
        <w:pStyle w:val="FirstParagraph"/>
      </w:pPr>
      <w:r>
        <w:t xml:space="preserve">telle que, le</w:t>
      </w:r>
      <w:r>
        <w:t xml:space="preserve"> </w:t>
      </w:r>
      <m:oMath>
        <m:r>
          <m:t>i</m:t>
        </m:r>
      </m:oMath>
      <w:r>
        <w:t xml:space="preserve"> </w:t>
      </w:r>
      <w:r>
        <w:t xml:space="preserve">Appartient à la liste des garanties ci-dessus.</w:t>
      </w:r>
    </w:p>
    <w:bookmarkEnd w:id="233"/>
    <w:bookmarkEnd w:id="234"/>
    <w:bookmarkStart w:id="236" w:name="Xd14d4909bf7dda0b454a4d63bb1103fca6ae0cc"/>
    <w:p>
      <w:pPr>
        <w:pStyle w:val="Heading3"/>
      </w:pPr>
      <w:r>
        <w:t xml:space="preserve">Exigence de capital relative au risque opérationnel (</w:t>
      </w:r>
      <m:oMath>
        <m:r>
          <m:t>C</m:t>
        </m:r>
        <m:r>
          <m:t>S</m:t>
        </m:r>
        <m:r>
          <m:t>R</m:t>
        </m:r>
        <m:r>
          <m:t>O</m:t>
        </m:r>
      </m:oMath>
      <w:r>
        <w:t xml:space="preserve">)</w:t>
      </w:r>
    </w:p>
    <w:p>
      <w:pPr>
        <w:pStyle w:val="FirstParagraph"/>
      </w:pPr>
      <w:r>
        <w:t xml:space="preserve">L’exigence de capital relative au risque opérationnel correspond à X% du capital de solvabilité requis de base.</w:t>
      </w:r>
    </w:p>
    <w:p>
      <w:pPr>
        <w:pStyle w:val="BodyText"/>
      </w:pPr>
      <w:bookmarkStart w:id="235" w:name="eq-gbmp"/>
      <m:oMathPara>
        <m:oMathParaPr>
          <m:jc m:val="center"/>
        </m:oMathParaPr>
        <m:oMath>
          <m:r>
            <m:t>C</m:t>
          </m:r>
          <m:r>
            <m:t>S</m:t>
          </m:r>
          <m:r>
            <m:t>R</m:t>
          </m:r>
          <m:r>
            <m:t>O</m:t>
          </m:r>
          <m:r>
            <m:rPr>
              <m:sty m:val="p"/>
            </m:rPr>
            <m:t>=</m:t>
          </m:r>
          <m:r>
            <m:t>X</m:t>
          </m:r>
          <m:r>
            <m:rPr>
              <m:sty m:val="p"/>
            </m:rPr>
            <m:t>%</m:t>
          </m:r>
          <m:r>
            <m:rPr>
              <m:sty m:val="p"/>
            </m:rPr>
            <m:t>*</m:t>
          </m:r>
          <m:r>
            <m:t>C</m:t>
          </m:r>
          <m:r>
            <m:t>S</m:t>
          </m:r>
          <m:r>
            <m:t>R</m:t>
          </m:r>
          <m:r>
            <m:t>B</m:t>
          </m:r>
          <m:r>
            <m:t> </m:t>
          </m:r>
          <m:r>
            <m:t>  </m:t>
          </m:r>
          <m:d>
            <m:dPr>
              <m:begChr m:val="("/>
              <m:endChr m:val=")"/>
              <m:sepChr m:val=""/>
              <m:grow/>
            </m:dPr>
            <m:e>
              <m:r>
                <m:t>73</m:t>
              </m:r>
            </m:e>
          </m:d>
        </m:oMath>
      </m:oMathPara>
      <w:bookmarkEnd w:id="235"/>
    </w:p>
    <w:p>
      <w:pPr>
        <w:pStyle w:val="FirstParagraph"/>
      </w:pPr>
      <w:r>
        <w:t xml:space="preserve">avec</w:t>
      </w:r>
      <w:r>
        <w:t xml:space="preserve"> </w:t>
      </w:r>
      <m:oMath>
        <m:r>
          <m:t>X</m:t>
        </m:r>
        <m:r>
          <m:rPr>
            <m:sty m:val="p"/>
          </m:rPr>
          <m:t>%</m:t>
        </m:r>
      </m:oMath>
      <w:r>
        <w:t xml:space="preserve"> </w:t>
      </w:r>
      <w:r>
        <w:t xml:space="preserve">fixé par l’autorité et</w:t>
      </w:r>
      <w:r>
        <w:t xml:space="preserve"> </w:t>
      </w:r>
      <m:oMath>
        <m:r>
          <m:t>C</m:t>
        </m:r>
        <m:r>
          <m:t>S</m:t>
        </m:r>
        <m:r>
          <m:t>R</m:t>
        </m:r>
        <m:r>
          <m:t>B</m:t>
        </m:r>
      </m:oMath>
      <w:r>
        <w:t xml:space="preserve"> </w:t>
      </w:r>
      <w:r>
        <w:t xml:space="preserve">le capital de solvabilités requis de base.</w:t>
      </w:r>
    </w:p>
    <w:bookmarkEnd w:id="236"/>
    <w:bookmarkStart w:id="243" w:name="X384c0c3c983e0c0cecb046cfdf19f3cf5bf77b3"/>
    <w:p>
      <w:pPr>
        <w:pStyle w:val="Heading3"/>
      </w:pPr>
      <w:r>
        <w:t xml:space="preserve">Ajustement du capital de solvabilité requis</w:t>
      </w:r>
    </w:p>
    <w:bookmarkStart w:id="238" w:name="Xe8f4b96a75672450572e77d9119309d136820dc"/>
    <w:p>
      <w:pPr>
        <w:pStyle w:val="Heading4"/>
      </w:pPr>
      <w:r>
        <w:t xml:space="preserve">Ajustement visant à tenir compte de la capacité d’absorption des pertes par les assurés (</w:t>
      </w:r>
      <m:oMath>
        <m:r>
          <m:t>A</m:t>
        </m:r>
        <m:r>
          <m:t>d</m:t>
        </m:r>
        <m:sSub>
          <m:e>
            <m:r>
              <m:t>j</m:t>
            </m:r>
          </m:e>
          <m:sub>
            <m:r>
              <m:t>A</m:t>
            </m:r>
            <m:r>
              <m:t>s</m:t>
            </m:r>
          </m:sub>
        </m:sSub>
      </m:oMath>
      <w:r>
        <w:t xml:space="preserve">)</w:t>
      </w:r>
    </w:p>
    <w:p>
      <w:pPr>
        <w:pStyle w:val="FirstParagraph"/>
      </w:pPr>
      <w:r>
        <w:t xml:space="preserve">L’ajustement visant à tenir compte de la capacité d’absorption des pertes par les assurés egale au minimum de l’écart entre le capital de solvabilité requis de base calculées brutes et nettes d’absorption par les assurés, d’une part, et le montant des bénéfices discrétionnaires futures d’autre part.</w:t>
      </w:r>
    </w:p>
    <w:p>
      <w:pPr>
        <w:pStyle w:val="BodyText"/>
      </w:pPr>
      <w:bookmarkStart w:id="237" w:name="eq-gbmp"/>
      <m:oMathPara>
        <m:oMathParaPr>
          <m:jc m:val="center"/>
        </m:oMathParaPr>
        <m:oMath>
          <m:r>
            <m:t>A</m:t>
          </m:r>
          <m:r>
            <m:t>d</m:t>
          </m:r>
          <m:sSub>
            <m:e>
              <m:r>
                <m:t>j</m:t>
              </m:r>
            </m:e>
            <m:sub>
              <m:r>
                <m:t>A</m:t>
              </m:r>
              <m:r>
                <m:t>s</m:t>
              </m:r>
            </m:sub>
          </m:sSub>
          <m:r>
            <m:rPr>
              <m:sty m:val="p"/>
            </m:rPr>
            <m:t>=</m:t>
          </m:r>
          <m:r>
            <m:t>m</m:t>
          </m:r>
          <m:r>
            <m:t>i</m:t>
          </m:r>
          <m:r>
            <m:t>n</m:t>
          </m:r>
          <m:d>
            <m:dPr>
              <m:begChr m:val="("/>
              <m:endChr m:val=")"/>
              <m:sepChr m:val=""/>
              <m:grow/>
            </m:dPr>
            <m:e>
              <m:r>
                <m:t>C</m:t>
              </m:r>
              <m:r>
                <m:t>S</m:t>
              </m:r>
              <m:r>
                <m:t>R</m:t>
              </m:r>
              <m:sSub>
                <m:e>
                  <m:r>
                    <m:t>B</m:t>
                  </m:r>
                </m:e>
                <m:sub>
                  <m:r>
                    <m:t>n</m:t>
                  </m:r>
                  <m:r>
                    <m:t>e</m:t>
                  </m:r>
                  <m:r>
                    <m:t>t</m:t>
                  </m:r>
                  <m:r>
                    <m:t>t</m:t>
                  </m:r>
                  <m:r>
                    <m:t>e</m:t>
                  </m:r>
                </m:sub>
              </m:sSub>
              <m:r>
                <m:rPr>
                  <m:sty m:val="p"/>
                </m:rPr>
                <m:t>−</m:t>
              </m:r>
              <m:r>
                <m:t>C</m:t>
              </m:r>
              <m:r>
                <m:t>S</m:t>
              </m:r>
              <m:r>
                <m:t>R</m:t>
              </m:r>
              <m:sSub>
                <m:e>
                  <m:r>
                    <m:t>B</m:t>
                  </m:r>
                </m:e>
                <m:sub>
                  <m:r>
                    <m:t>b</m:t>
                  </m:r>
                  <m:r>
                    <m:t>r</m:t>
                  </m:r>
                  <m:r>
                    <m:t>u</m:t>
                  </m:r>
                  <m:r>
                    <m:t>t</m:t>
                  </m:r>
                  <m:r>
                    <m:t>e</m:t>
                  </m:r>
                </m:sub>
              </m:sSub>
              <m:r>
                <m:rPr>
                  <m:sty m:val="p"/>
                </m:rPr>
                <m:t>;</m:t>
              </m:r>
              <m:r>
                <m:t>B</m:t>
              </m:r>
              <m:r>
                <m:t>D</m:t>
              </m:r>
              <m:r>
                <m:t>F</m:t>
              </m:r>
            </m:e>
          </m:d>
          <m:r>
            <m:t> </m:t>
          </m:r>
          <m:r>
            <m:rPr>
              <m:sty m:val="p"/>
            </m:rPr>
            <m:t>,</m:t>
          </m:r>
          <m:r>
            <m:t>  </m:t>
          </m:r>
          <m:d>
            <m:dPr>
              <m:begChr m:val="("/>
              <m:endChr m:val=")"/>
              <m:sepChr m:val=""/>
              <m:grow/>
            </m:dPr>
            <m:e>
              <m:r>
                <m:t>74</m:t>
              </m:r>
            </m:e>
          </m:d>
        </m:oMath>
      </m:oMathPara>
      <w:bookmarkEnd w:id="237"/>
    </w:p>
    <w:p>
      <w:pPr>
        <w:pStyle w:val="FirstParagraph"/>
      </w:pPr>
      <w:r>
        <w:t xml:space="preserve">avec :</w:t>
      </w:r>
      <w:r>
        <w:t xml:space="preserve"> </w:t>
      </w:r>
      <m:oMath>
        <m:r>
          <m:t>A</m:t>
        </m:r>
        <m:r>
          <m:t>d</m:t>
        </m:r>
        <m:sSub>
          <m:e>
            <m:r>
              <m:t>j</m:t>
            </m:r>
          </m:e>
          <m:sub>
            <m:r>
              <m:t>A</m:t>
            </m:r>
            <m:r>
              <m:t>s</m:t>
            </m:r>
          </m:sub>
        </m:sSub>
      </m:oMath>
      <w:r>
        <w:t xml:space="preserve"> </w:t>
      </w:r>
      <w:r>
        <w:t xml:space="preserve">: Ajustement pour tenir compte la capacité d’absorption des pertes par les assurés.</w:t>
      </w:r>
    </w:p>
    <w:bookmarkEnd w:id="238"/>
    <w:bookmarkStart w:id="242" w:name="X853db30fa69a09c5e04203c4cd1553c315569bc"/>
    <w:p>
      <w:pPr>
        <w:pStyle w:val="Heading4"/>
      </w:pPr>
      <w:r>
        <w:t xml:space="preserve">Ajustement visant à tenir compte de la capacité d’absorption des pertes par les impôts différés (</w:t>
      </w:r>
      <m:oMath>
        <m:r>
          <m:t>A</m:t>
        </m:r>
        <m:r>
          <m:t>j</m:t>
        </m:r>
        <m:sSub>
          <m:e>
            <m:r>
              <m:t>t</m:t>
            </m:r>
          </m:e>
          <m:sub>
            <m:r>
              <m:t>I</m:t>
            </m:r>
            <m:r>
              <m:t>D</m:t>
            </m:r>
          </m:sub>
        </m:sSub>
      </m:oMath>
      <w:r>
        <w:t xml:space="preserve">)</w:t>
      </w:r>
    </w:p>
    <w:p>
      <w:pPr>
        <w:pStyle w:val="FirstParagraph"/>
      </w:pPr>
      <w: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pPr>
        <w:pStyle w:val="BodyText"/>
      </w:pPr>
      <w:bookmarkStart w:id="239" w:name="eq-gbmp"/>
      <m:oMathPara>
        <m:oMathParaPr>
          <m:jc m:val="center"/>
        </m:oMathParaPr>
        <m:oMath>
          <m:r>
            <m:t>A</m:t>
          </m:r>
          <m:r>
            <m:t>j</m:t>
          </m:r>
          <m:sSub>
            <m:e>
              <m:r>
                <m:t>t</m:t>
              </m:r>
            </m:e>
            <m:sub>
              <m:r>
                <m:t>I</m:t>
              </m:r>
              <m:r>
                <m:t>D</m:t>
              </m:r>
            </m:sub>
          </m:sSub>
          <m:r>
            <m:rPr>
              <m:sty m:val="p"/>
            </m:rPr>
            <m:t>=</m:t>
          </m:r>
          <m:r>
            <m:t>T</m:t>
          </m:r>
          <m:r>
            <m:t>I</m:t>
          </m:r>
          <m:r>
            <m:rPr>
              <m:sty m:val="p"/>
            </m:rPr>
            <m:t>×</m:t>
          </m:r>
          <m:r>
            <m:t>m</m:t>
          </m:r>
          <m:r>
            <m:t>i</m:t>
          </m:r>
          <m:r>
            <m:t>n</m:t>
          </m:r>
          <m:d>
            <m:dPr>
              <m:begChr m:val="("/>
              <m:endChr m:val=")"/>
              <m:sepChr m:val=""/>
              <m:grow/>
            </m:dPr>
            <m:e>
              <m:r>
                <m:t>C</m:t>
              </m:r>
              <m:r>
                <m:t>S</m:t>
              </m:r>
              <m:r>
                <m:t>R</m:t>
              </m:r>
              <m:r>
                <m:t>B</m:t>
              </m:r>
              <m:r>
                <m:rPr>
                  <m:sty m:val="p"/>
                </m:rPr>
                <m:t>+</m:t>
              </m:r>
              <m:r>
                <m:t>C</m:t>
              </m:r>
              <m:r>
                <m:t>S</m:t>
              </m:r>
              <m:r>
                <m:t>R</m:t>
              </m:r>
              <m:r>
                <m:t>O</m:t>
              </m:r>
              <m:r>
                <m:rPr>
                  <m:sty m:val="p"/>
                </m:rPr>
                <m:t>−</m:t>
              </m:r>
              <m:r>
                <m:t>A</m:t>
              </m:r>
              <m:r>
                <m:t>d</m:t>
              </m:r>
              <m:sSub>
                <m:e>
                  <m:r>
                    <m:t>j</m:t>
                  </m:r>
                </m:e>
                <m:sub>
                  <m:r>
                    <m:t>A</m:t>
                  </m:r>
                  <m:r>
                    <m:t>s</m:t>
                  </m:r>
                </m:sub>
              </m:sSub>
              <m:r>
                <m:t> </m:t>
              </m:r>
              <m:r>
                <m:rPr>
                  <m:sty m:val="p"/>
                </m:rPr>
                <m:t>;</m:t>
              </m:r>
              <m:r>
                <m:t> </m:t>
              </m:r>
              <m:r>
                <m:t>I</m:t>
              </m:r>
              <m:sSub>
                <m:e>
                  <m:r>
                    <m:t>D</m:t>
                  </m:r>
                </m:e>
                <m:sub>
                  <m:r>
                    <m:t>p</m:t>
                  </m:r>
                </m:sub>
              </m:sSub>
              <m:r>
                <m:rPr>
                  <m:sty m:val="p"/>
                </m:rPr>
                <m:t>−</m:t>
              </m:r>
              <m:r>
                <m:t>I</m:t>
              </m:r>
              <m:sSub>
                <m:e>
                  <m:r>
                    <m:t>D</m:t>
                  </m:r>
                </m:e>
                <m:sub>
                  <m:r>
                    <m:t>a</m:t>
                  </m:r>
                </m:sub>
              </m:sSub>
            </m:e>
          </m:d>
          <m:r>
            <m:t> </m:t>
          </m:r>
          <m:r>
            <m:rPr>
              <m:sty m:val="p"/>
            </m:rPr>
            <m:t>,</m:t>
          </m:r>
          <m:r>
            <m:t>  </m:t>
          </m:r>
          <m:d>
            <m:dPr>
              <m:begChr m:val="("/>
              <m:endChr m:val=")"/>
              <m:sepChr m:val=""/>
              <m:grow/>
            </m:dPr>
            <m:e>
              <m:r>
                <m:t>75</m:t>
              </m:r>
            </m:e>
          </m:d>
        </m:oMath>
      </m:oMathPara>
      <w:bookmarkEnd w:id="239"/>
    </w:p>
    <w:p>
      <w:pPr>
        <w:pStyle w:val="FirstParagraph"/>
      </w:pPr>
      <w:r>
        <w:t xml:space="preserve">avec :</w:t>
      </w:r>
    </w:p>
    <w:p>
      <w:pPr>
        <w:numPr>
          <w:ilvl w:val="0"/>
          <w:numId w:val="1066"/>
        </w:numPr>
        <w:pStyle w:val="Compact"/>
      </w:pPr>
      <m:oMath>
        <m:r>
          <m:t>A</m:t>
        </m:r>
        <m:r>
          <m:t>j</m:t>
        </m:r>
        <m:sSub>
          <m:e>
            <m:r>
              <m:t>t</m:t>
            </m:r>
          </m:e>
          <m:sub>
            <m:r>
              <m:t>I</m:t>
            </m:r>
            <m:r>
              <m:t>D</m:t>
            </m:r>
          </m:sub>
        </m:sSub>
      </m:oMath>
      <w:r>
        <w:t xml:space="preserve"> </w:t>
      </w:r>
      <w:r>
        <w:t xml:space="preserve">: Ajustement pour tenir compte de la capacité d’absorption des pertes par les impôts différés,</w:t>
      </w:r>
    </w:p>
    <w:p>
      <w:pPr>
        <w:numPr>
          <w:ilvl w:val="0"/>
          <w:numId w:val="1066"/>
        </w:numPr>
        <w:pStyle w:val="Compact"/>
      </w:pPr>
      <m:oMath>
        <m:r>
          <m:t>T</m:t>
        </m:r>
        <m:r>
          <m:t>I</m:t>
        </m:r>
      </m:oMath>
      <w:r>
        <w:t xml:space="preserve"> </w:t>
      </w:r>
      <w:r>
        <w:t xml:space="preserve">: aux d’Impôts,</w:t>
      </w:r>
    </w:p>
    <w:p>
      <w:pPr>
        <w:numPr>
          <w:ilvl w:val="0"/>
          <w:numId w:val="1066"/>
        </w:numPr>
        <w:pStyle w:val="Compact"/>
      </w:pPr>
      <m:oMath>
        <m:r>
          <m:t>I</m:t>
        </m:r>
        <m:sSub>
          <m:e>
            <m:r>
              <m:t>D</m:t>
            </m:r>
          </m:e>
          <m:sub>
            <m:r>
              <m:t>a</m:t>
            </m:r>
          </m:sub>
        </m:sSub>
      </m:oMath>
      <w:r>
        <w:t xml:space="preserve"> </w:t>
      </w:r>
      <w:r>
        <w:t xml:space="preserve">: Les impôts différés-passif,</w:t>
      </w:r>
    </w:p>
    <w:p>
      <w:pPr>
        <w:numPr>
          <w:ilvl w:val="0"/>
          <w:numId w:val="1066"/>
        </w:numPr>
        <w:pStyle w:val="Compact"/>
      </w:pPr>
      <m:oMath>
        <m:r>
          <m:t>I</m:t>
        </m:r>
        <m:sSub>
          <m:e>
            <m:r>
              <m:t>D</m:t>
            </m:r>
          </m:e>
          <m:sub>
            <m:r>
              <m:t>p</m:t>
            </m:r>
          </m:sub>
        </m:sSub>
      </m:oMath>
      <w:r>
        <w:t xml:space="preserve"> </w:t>
      </w:r>
      <w:r>
        <w:t xml:space="preserve">: Les impôts différés-actif.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Applications/quarto/share/formats/docx/tip.png" id="241"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Dans le cas où l’écart entre les impôts différés-passif et les impôts différés-actif est négatif, l’ajustement précité est nul.</w:t>
            </w:r>
          </w:p>
        </w:tc>
      </w:tr>
    </w:tbl>
    <w:bookmarkEnd w:id="242"/>
    <w:bookmarkEnd w:id="243"/>
    <w:bookmarkEnd w:id="244"/>
    <w:bookmarkEnd w:id="245"/>
    <w:bookmarkStart w:id="331" w:name="Xdfd4d006d9124550c85001a73cc2cd266d3535f"/>
    <w:p>
      <w:pPr>
        <w:pStyle w:val="Heading1"/>
      </w:pPr>
      <w:r>
        <w:t xml:space="preserve">7. CHAPITRE VII : Application numérique de la Solvabilité Basée sur les Risque</w:t>
      </w:r>
    </w:p>
    <w:bookmarkStart w:id="249" w:name="sec-rnn_app"/>
    <w:p>
      <w:pPr>
        <w:pStyle w:val="Heading2"/>
      </w:pPr>
      <w:r>
        <w:t xml:space="preserve">7.1 Modèle LSTM appliqué au cours de l’indice MASI</w:t>
      </w:r>
    </w:p>
    <w:p>
      <w:pPr>
        <w:pStyle w:val="FirstParagraph"/>
      </w:pPr>
      <w:r>
        <w:t xml:space="preserve">Ce code est utilisé pour créer et entraîner un modèle de réseaux de neurones récurrents (RNN) appelé Long Short-Term Memory (LSTM) pour prédire le dernier cours de l’indice MASI à partir des données historiques.</w:t>
      </w:r>
    </w:p>
    <w:p>
      <w:pPr>
        <w:pStyle w:val="BodyText"/>
      </w:pPr>
      <w:r>
        <w:t xml:space="preserve">Voici une explication étape par étape du code :</w:t>
      </w:r>
    </w:p>
    <w:p>
      <w:pPr>
        <w:numPr>
          <w:ilvl w:val="0"/>
          <w:numId w:val="1067"/>
        </w:numPr>
      </w:pPr>
      <w:r>
        <w:t xml:space="preserve">Les bibliothèques nécessaires sont importées, notamment pandas pour la manipulation des données, matplotlib pour la visualisation des résultats, et TensorFlow pour la création et l’entraînement du modèle LSTM.</w:t>
      </w:r>
    </w:p>
    <w:p>
      <w:pPr>
        <w:numPr>
          <w:ilvl w:val="0"/>
          <w:numId w:val="1067"/>
        </w:numPr>
      </w:pPr>
      <w:r>
        <w:t xml:space="preserve">Le fichier CSV contenant les données historiques est lu à l’aide de la fonction</w:t>
      </w:r>
      <w:r>
        <w:t xml:space="preserve"> </w:t>
      </w:r>
      <w:r>
        <w:rPr>
          <w:rStyle w:val="VerbatimChar"/>
        </w:rPr>
        <w:t xml:space="preserve">pd.read_csv()</w:t>
      </w:r>
      <w:r>
        <w:t xml:space="preserve">, et les données sont stockées dans un DataFrame appelé</w:t>
      </w:r>
      <w:r>
        <w:t xml:space="preserve"> </w:t>
      </w:r>
      <w:r>
        <w:rPr>
          <w:rStyle w:val="VerbatimChar"/>
        </w:rPr>
        <w:t xml:space="preserve">df</w:t>
      </w:r>
      <w:r>
        <w:t xml:space="preserve">.</w:t>
      </w:r>
    </w:p>
    <w:p>
      <w:pPr>
        <w:numPr>
          <w:ilvl w:val="0"/>
          <w:numId w:val="1067"/>
        </w:numPr>
      </w:pPr>
      <w:r>
        <w:t xml:space="preserve">Deux fonctions,</w:t>
      </w:r>
      <w:r>
        <w:t xml:space="preserve"> </w:t>
      </w:r>
      <w:r>
        <w:rPr>
          <w:rStyle w:val="VerbatimChar"/>
        </w:rPr>
        <w:t xml:space="preserve">convert_num()</w:t>
      </w:r>
      <w:r>
        <w:t xml:space="preserve"> </w:t>
      </w:r>
      <w:r>
        <w:t xml:space="preserve">et</w:t>
      </w:r>
      <w:r>
        <w:t xml:space="preserve"> </w:t>
      </w:r>
      <w:r>
        <w:rPr>
          <w:rStyle w:val="VerbatimChar"/>
        </w:rPr>
        <w:t xml:space="preserve">pct_to_num()</w:t>
      </w:r>
      <w:r>
        <w:t xml:space="preserve">, 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pPr>
        <w:numPr>
          <w:ilvl w:val="0"/>
          <w:numId w:val="1067"/>
        </w:numPr>
      </w:pPr>
      <w:r>
        <w:t xml:space="preserve">Les fonctions de conversion sont appliquées aux colonnes appropriées du DataFrame à l’aide de la méthode</w:t>
      </w:r>
      <w:r>
        <w:t xml:space="preserve"> </w:t>
      </w:r>
      <w:r>
        <w:rPr>
          <w:rStyle w:val="VerbatimChar"/>
        </w:rPr>
        <w:t xml:space="preserve">applymap()</w:t>
      </w:r>
      <w:r>
        <w:t xml:space="preserve">.</w:t>
      </w:r>
    </w:p>
    <w:p>
      <w:pPr>
        <w:numPr>
          <w:ilvl w:val="0"/>
          <w:numId w:val="1067"/>
        </w:numPr>
      </w:pPr>
      <w:r>
        <w:t xml:space="preserve">Les données sont préparées pour l’entraînement du modèle. Les colonnes pertinentes du DataFrame (</w:t>
      </w:r>
      <w:r>
        <w:rPr>
          <w:rStyle w:val="VerbatimChar"/>
        </w:rPr>
        <w:t xml:space="preserve">Dernier</w:t>
      </w:r>
      <w:r>
        <w:t xml:space="preserve">,</w:t>
      </w:r>
      <w:r>
        <w:t xml:space="preserve"> </w:t>
      </w:r>
      <w:r>
        <w:rPr>
          <w:rStyle w:val="VerbatimChar"/>
        </w:rPr>
        <w:t xml:space="preserve">Ouv.</w:t>
      </w:r>
      <w:r>
        <w:t xml:space="preserve">,</w:t>
      </w:r>
      <w:r>
        <w:t xml:space="preserve"> </w:t>
      </w:r>
      <w:r>
        <w:rPr>
          <w:rStyle w:val="VerbatimChar"/>
        </w:rPr>
        <w:t xml:space="preserve">Plus Haut</w:t>
      </w:r>
      <w:r>
        <w:t xml:space="preserve">,</w:t>
      </w:r>
      <w:r>
        <w:t xml:space="preserve"> </w:t>
      </w:r>
      <w:r>
        <w:rPr>
          <w:rStyle w:val="VerbatimChar"/>
        </w:rPr>
        <w:t xml:space="preserve">Plus Bas</w:t>
      </w:r>
      <w:r>
        <w:t xml:space="preserve">) sont extraites et converties en tableaux NumPy. Les données sont ensuite normalisées à l’aide de la classe</w:t>
      </w:r>
      <w:r>
        <w:t xml:space="preserve"> </w:t>
      </w:r>
      <w:r>
        <w:rPr>
          <w:rStyle w:val="VerbatimChar"/>
        </w:rPr>
        <w:t xml:space="preserve">MinMaxScaler</w:t>
      </w:r>
      <w:r>
        <w:t xml:space="preserve"> </w:t>
      </w:r>
      <w:r>
        <w:t xml:space="preserve">de scikit-learn, ce qui les met à l’échelle entre 0 et 1.</w:t>
      </w:r>
    </w:p>
    <w:p>
      <w:pPr>
        <w:numPr>
          <w:ilvl w:val="0"/>
          <w:numId w:val="1067"/>
        </w:numPr>
      </w:pPr>
      <w:r>
        <w:t xml:space="preserve">Des séquences de données sont créées pour l’entraînement du modèle. Chaque séquence contient les 5 observations précédentes en tant qu’entrée et la valeur du cours</w:t>
      </w:r>
      <w:r>
        <w:t xml:space="preserve"> </w:t>
      </w:r>
      <w:r>
        <w:t xml:space="preserve">“</w:t>
      </w:r>
      <w:r>
        <w:t xml:space="preserve">Dernier</w:t>
      </w:r>
      <w:r>
        <w:t xml:space="preserve">”</w:t>
      </w:r>
      <w:r>
        <w:t xml:space="preserve"> </w:t>
      </w:r>
      <w:r>
        <w:t xml:space="preserve">à la prochaine observation en tant que sortie. Cela permet d’entraîner le modèle à prédire le cours futur en fonction des observations passées.</w:t>
      </w:r>
    </w:p>
    <w:p>
      <w:pPr>
        <w:numPr>
          <w:ilvl w:val="0"/>
          <w:numId w:val="1067"/>
        </w:numPr>
      </w:pPr>
      <w:r>
        <w:t xml:space="preserve">Les données sont divisées en ensembles d’entraînement et de test. 95% des données sont utilisées pour l’entraînement et 5% sont réservées pour les tests.</w:t>
      </w:r>
    </w:p>
    <w:p>
      <w:pPr>
        <w:numPr>
          <w:ilvl w:val="0"/>
          <w:numId w:val="1067"/>
        </w:numPr>
      </w:pPr>
      <w:r>
        <w:t xml:space="preserve">Le modèle LSTM est défini à l’aide de la classe</w:t>
      </w:r>
      <w:r>
        <w:t xml:space="preserve"> </w:t>
      </w:r>
      <w:r>
        <w:rPr>
          <w:rStyle w:val="VerbatimChar"/>
        </w:rPr>
        <w:t xml:space="preserve">Sequential</w:t>
      </w:r>
      <w:r>
        <w:t xml:space="preserve"> </w:t>
      </w:r>
      <w:r>
        <w:t xml:space="preserve">de Keras. Il est composé de trois couches LSTM avec une couche de dropout entre chaque couche pour éviter le surapprentissage. La dernière couche est une couche dense avec une seule unité qui prédit la valeur du cours</w:t>
      </w:r>
      <w:r>
        <w:t xml:space="preserve"> </w:t>
      </w:r>
      <w:r>
        <w:t xml:space="preserve">“</w:t>
      </w:r>
      <w:r>
        <w:t xml:space="preserve">Dernier</w:t>
      </w:r>
      <w:r>
        <w:t xml:space="preserve">”</w:t>
      </w:r>
      <w:r>
        <w:t xml:space="preserve">.</w:t>
      </w:r>
    </w:p>
    <w:p>
      <w:pPr>
        <w:numPr>
          <w:ilvl w:val="0"/>
          <w:numId w:val="1067"/>
        </w:numPr>
      </w:pPr>
      <w:r>
        <w:t xml:space="preserve">Le modèle est compilé avec l’optimiseur Adam et la fonction de perte</w:t>
      </w:r>
      <w:r>
        <w:t xml:space="preserve"> </w:t>
      </w:r>
      <w:r>
        <w:t xml:space="preserve">“</w:t>
      </w:r>
      <w:r>
        <w:t xml:space="preserve">mean_squared_error</w:t>
      </w:r>
      <w:r>
        <w:t xml:space="preserve">”</w:t>
      </w:r>
      <w:r>
        <w:t xml:space="preserve"> </w:t>
      </w:r>
      <w:r>
        <w:t xml:space="preserve">pour mesurer l’erreur de prédiction.</w:t>
      </w:r>
    </w:p>
    <w:p>
      <w:pPr>
        <w:numPr>
          <w:ilvl w:val="0"/>
          <w:numId w:val="1067"/>
        </w:numPr>
      </w:pPr>
      <w:r>
        <w:t xml:space="preserve">Le modèle est entraîné sur les données d’entraînement à l’aide de la méthode</w:t>
      </w:r>
      <w:r>
        <w:t xml:space="preserve"> </w:t>
      </w:r>
      <w:r>
        <w:rPr>
          <w:rStyle w:val="VerbatimChar"/>
        </w:rPr>
        <w:t xml:space="preserve">fit()</w:t>
      </w:r>
      <w:r>
        <w:t xml:space="preserve">. Le nombre d’époques est défini à 100 et la taille du lot est définie à 30.</w:t>
      </w:r>
    </w:p>
    <w:p>
      <w:pPr>
        <w:numPr>
          <w:ilvl w:val="0"/>
          <w:numId w:val="1067"/>
        </w:numPr>
      </w:pPr>
      <w:r>
        <w:t xml:space="preserve">Le modèle est utilisé pour faire des prédictions sur les données de test à l’aide de la méthode</w:t>
      </w:r>
      <w:r>
        <w:t xml:space="preserve"> </w:t>
      </w:r>
      <w:r>
        <w:rPr>
          <w:rStyle w:val="VerbatimChar"/>
        </w:rPr>
        <w:t xml:space="preserve">predict()</w:t>
      </w:r>
      <w:r>
        <w:t xml:space="preserve">. Les prédictions sont inversées à l’échelle originale à l’aide de la méthode</w:t>
      </w:r>
      <w:r>
        <w:t xml:space="preserve"> </w:t>
      </w:r>
      <w:r>
        <w:rPr>
          <w:rStyle w:val="VerbatimChar"/>
        </w:rPr>
        <w:t xml:space="preserve">inverse_transform()</w:t>
      </w:r>
      <w:r>
        <w:t xml:space="preserve"> </w:t>
      </w:r>
      <w:r>
        <w:t xml:space="preserve">de l’objet</w:t>
      </w:r>
      <w:r>
        <w:t xml:space="preserve"> </w:t>
      </w:r>
      <w:r>
        <w:rPr>
          <w:rStyle w:val="VerbatimChar"/>
        </w:rPr>
        <w:t xml:space="preserve">scaler</w:t>
      </w:r>
      <w:r>
        <w:t xml:space="preserve">.</w:t>
      </w:r>
    </w:p>
    <w:p>
      <w:pPr>
        <w:numPr>
          <w:ilvl w:val="0"/>
          <w:numId w:val="1067"/>
        </w:numPr>
      </w:pPr>
      <w:r>
        <w:t xml:space="preserve">L’erreur de prédiction est évaluée en calculant la racine carrée de l’erreur quadratique moyenne (RMSE) entre les valeurs de test réelles et les valeurs prédites.</w:t>
      </w:r>
    </w:p>
    <w:p>
      <w:pPr>
        <w:numPr>
          <w:ilvl w:val="0"/>
          <w:numId w:val="1067"/>
        </w:numPr>
      </w:pPr>
      <w:r>
        <w:t xml:space="preserve">Les valeurs réelles et prédites sont tracées à l’aide de la bibliothèque matplotlib pour visualiser les performances du modèle.</w:t>
      </w:r>
    </w:p>
    <w:p>
      <w:pPr>
        <w:pStyle w:val="FirstParagraph"/>
      </w:pPr>
      <w:r>
        <w:t xml:space="preserve">En résumé, ce code utilise un modèle LSTM pour prédire le dernier cours du MASI à partir des données historiques, puis évalue les performances du modèle en calculant l’erreur de prédiction et en traçant les résultats.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Dense, LSTM, Dropout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#Lecture du fichier csv</w:t>
      </w:r>
      <w:r>
        <w:br/>
      </w:r>
      <w:r>
        <w:rPr>
          <w:rStyle w:val="NormalTok"/>
        </w:rPr>
        <w:t xml:space="preserve">df </w:t>
      </w:r>
      <w:r>
        <w:rPr>
          <w:rStyle w:val="OperatorTok"/>
        </w:rPr>
        <w:t xml:space="preserve">=</w:t>
      </w:r>
      <w:r>
        <w:rPr>
          <w:rStyle w:val="NormalTok"/>
        </w:rPr>
        <w:t xml:space="preserve"> pd.read_csv(</w:t>
      </w:r>
      <w:r>
        <w:rPr>
          <w:rStyle w:val="StringTok"/>
        </w:rPr>
        <w:t xml:space="preserve">'Moroccan All Shares - Données Historiques.csv'</w:t>
      </w:r>
      <w:r>
        <w:rPr>
          <w:rStyle w:val="NormalTok"/>
        </w:rPr>
        <w:t xml:space="preserve">)</w:t>
      </w:r>
      <w:r>
        <w:br/>
      </w:r>
      <w:r>
        <w:br/>
      </w:r>
      <w:r>
        <w:rPr>
          <w:rStyle w:val="CommentTok"/>
        </w:rPr>
        <w:t xml:space="preserve"># Conversion en nombres</w:t>
      </w:r>
      <w:r>
        <w:br/>
      </w:r>
      <w:r>
        <w:rPr>
          <w:rStyle w:val="KeywordTok"/>
        </w:rPr>
        <w:t xml:space="preserve">def</w:t>
      </w:r>
      <w:r>
        <w:rPr>
          <w:rStyle w:val="NormalTok"/>
        </w:rPr>
        <w:t xml:space="preserve"> convert_num(x):</w:t>
      </w:r>
      <w:r>
        <w:br/>
      </w:r>
      <w:r>
        <w:rPr>
          <w:rStyle w:val="NormalTok"/>
        </w:rPr>
        <w:t xml:space="preserve">    x </w:t>
      </w:r>
      <w:r>
        <w:rPr>
          <w:rStyle w:val="OperatorTok"/>
        </w:rPr>
        <w:t xml:space="preserve">=</w:t>
      </w:r>
      <w:r>
        <w:rPr>
          <w:rStyle w:val="NormalTok"/>
        </w:rPr>
        <w:t xml:space="preserve"> x.replace(</w:t>
      </w:r>
      <w:r>
        <w:rPr>
          <w:rStyle w:val="StringTok"/>
        </w:rPr>
        <w:t xml:space="preserve">" "</w:t>
      </w:r>
      <w:r>
        <w:rPr>
          <w:rStyle w:val="NormalTok"/>
        </w:rPr>
        <w:t xml:space="preserve">, </w:t>
      </w:r>
      <w:r>
        <w:rPr>
          <w:rStyle w:val="StringTok"/>
        </w:rPr>
        <w:t xml:space="preserve">""</w:t>
      </w:r>
      <w:r>
        <w:rPr>
          <w:rStyle w:val="NormalTok"/>
        </w:rPr>
        <w:t xml:space="preserve">)</w:t>
      </w:r>
      <w:r>
        <w:br/>
      </w:r>
      <w:r>
        <w:rPr>
          <w:rStyle w:val="NormalTok"/>
        </w:rPr>
        <w:t xml:space="preserve">    x </w:t>
      </w:r>
      <w:r>
        <w:rPr>
          <w:rStyle w:val="OperatorTok"/>
        </w:rPr>
        <w:t xml:space="preserve">=</w:t>
      </w:r>
      <w:r>
        <w:rPr>
          <w:rStyle w:val="NormalTok"/>
        </w:rPr>
        <w:t xml:space="preserve"> x.replace(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x </w:t>
      </w:r>
      <w:r>
        <w:rPr>
          <w:rStyle w:val="OperatorTok"/>
        </w:rPr>
        <w:t xml:space="preserve">=</w:t>
      </w:r>
      <w:r>
        <w:rPr>
          <w:rStyle w:val="NormalTok"/>
        </w:rPr>
        <w:t xml:space="preserve"> x.replace(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float</w:t>
      </w:r>
      <w:r>
        <w:rPr>
          <w:rStyle w:val="NormalTok"/>
        </w:rPr>
        <w:t xml:space="preserve">(x)</w:t>
      </w:r>
      <w:r>
        <w:br/>
      </w:r>
      <w:r>
        <w:br/>
      </w:r>
      <w:r>
        <w:rPr>
          <w:rStyle w:val="CommentTok"/>
        </w:rPr>
        <w:t xml:space="preserve"># Conversion des pourcentages en nombres</w:t>
      </w:r>
      <w:r>
        <w:br/>
      </w:r>
      <w:r>
        <w:rPr>
          <w:rStyle w:val="KeywordTok"/>
        </w:rPr>
        <w:t xml:space="preserve">def</w:t>
      </w:r>
      <w:r>
        <w:rPr>
          <w:rStyle w:val="NormalTok"/>
        </w:rPr>
        <w:t xml:space="preserve"> pct_to_num(x):</w:t>
      </w:r>
      <w:r>
        <w:br/>
      </w:r>
      <w:r>
        <w:rPr>
          <w:rStyle w:val="NormalTok"/>
        </w:rPr>
        <w:t xml:space="preserve">    x </w:t>
      </w:r>
      <w:r>
        <w:rPr>
          <w:rStyle w:val="OperatorTok"/>
        </w:rPr>
        <w:t xml:space="preserve">=</w:t>
      </w:r>
      <w:r>
        <w:rPr>
          <w:rStyle w:val="NormalTok"/>
        </w:rPr>
        <w:t xml:space="preserve"> x.replace(</w:t>
      </w:r>
      <w:r>
        <w:rPr>
          <w:rStyle w:val="StringTok"/>
        </w:rPr>
        <w:t xml:space="preserve">" "</w:t>
      </w:r>
      <w:r>
        <w:rPr>
          <w:rStyle w:val="NormalTok"/>
        </w:rPr>
        <w:t xml:space="preserve">, </w:t>
      </w:r>
      <w:r>
        <w:rPr>
          <w:rStyle w:val="StringTok"/>
        </w:rPr>
        <w:t xml:space="preserve">""</w:t>
      </w:r>
      <w:r>
        <w:rPr>
          <w:rStyle w:val="NormalTok"/>
        </w:rPr>
        <w:t xml:space="preserve">)</w:t>
      </w:r>
      <w:r>
        <w:br/>
      </w:r>
      <w:r>
        <w:rPr>
          <w:rStyle w:val="NormalTok"/>
        </w:rPr>
        <w:t xml:space="preserve">    x </w:t>
      </w:r>
      <w:r>
        <w:rPr>
          <w:rStyle w:val="OperatorTok"/>
        </w:rPr>
        <w:t xml:space="preserve">=</w:t>
      </w:r>
      <w:r>
        <w:rPr>
          <w:rStyle w:val="NormalTok"/>
        </w:rPr>
        <w:t xml:space="preserve"> x.replace(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x </w:t>
      </w:r>
      <w:r>
        <w:rPr>
          <w:rStyle w:val="OperatorTok"/>
        </w:rPr>
        <w:t xml:space="preserve">=</w:t>
      </w:r>
      <w:r>
        <w:rPr>
          <w:rStyle w:val="NormalTok"/>
        </w:rPr>
        <w:t xml:space="preserve"> x.replace(</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float</w:t>
      </w:r>
      <w:r>
        <w:rPr>
          <w:rStyle w:val="NormalTok"/>
        </w:rPr>
        <w:t xml:space="preserve">(x)</w:t>
      </w:r>
      <w:r>
        <w:br/>
      </w:r>
      <w:r>
        <w:br/>
      </w:r>
      <w:r>
        <w:rPr>
          <w:rStyle w:val="CommentTok"/>
        </w:rPr>
        <w:t xml:space="preserve"># Appliquer les fonctions de conversion aux colonnes appropriées</w:t>
      </w:r>
      <w:r>
        <w:br/>
      </w:r>
      <w:r>
        <w:rPr>
          <w:rStyle w:val="NormalTok"/>
        </w:rPr>
        <w:t xml:space="preserve">df_temp </w:t>
      </w:r>
      <w:r>
        <w:rPr>
          <w:rStyle w:val="OperatorTok"/>
        </w:rPr>
        <w:t xml:space="preserve">=</w:t>
      </w:r>
      <w:r>
        <w:rPr>
          <w:rStyle w:val="NormalTok"/>
        </w:rPr>
        <w:t xml:space="preserve"> df.loc[:, </w:t>
      </w:r>
      <w:r>
        <w:rPr>
          <w:rStyle w:val="OperatorTok"/>
        </w:rPr>
        <w:t xml:space="preserve">~</w:t>
      </w:r>
      <w:r>
        <w:rPr>
          <w:rStyle w:val="NormalTok"/>
        </w:rPr>
        <w:t xml:space="preserve">df.columns.isin([</w:t>
      </w:r>
      <w:r>
        <w:rPr>
          <w:rStyle w:val="StringTok"/>
        </w:rPr>
        <w:t xml:space="preserve">"Date"</w:t>
      </w:r>
      <w:r>
        <w:rPr>
          <w:rStyle w:val="NormalTok"/>
        </w:rPr>
        <w:t xml:space="preserve">, </w:t>
      </w:r>
      <w:r>
        <w:rPr>
          <w:rStyle w:val="StringTok"/>
        </w:rPr>
        <w:t xml:space="preserve">"Variation %"</w:t>
      </w:r>
      <w:r>
        <w:rPr>
          <w:rStyle w:val="NormalTok"/>
        </w:rPr>
        <w:t xml:space="preserve">,</w:t>
      </w:r>
      <w:r>
        <w:rPr>
          <w:rStyle w:val="StringTok"/>
        </w:rPr>
        <w:t xml:space="preserve">"Vol."</w:t>
      </w:r>
      <w:r>
        <w:rPr>
          <w:rStyle w:val="NormalTok"/>
        </w:rPr>
        <w:t xml:space="preserve">])].applymap(convert_num)</w:t>
      </w:r>
      <w:r>
        <w:br/>
      </w:r>
      <w:r>
        <w:rPr>
          <w:rStyle w:val="NormalTok"/>
        </w:rPr>
        <w:t xml:space="preserve">df.loc[:, </w:t>
      </w:r>
      <w:r>
        <w:rPr>
          <w:rStyle w:val="OperatorTok"/>
        </w:rPr>
        <w:t xml:space="preserve">~</w:t>
      </w:r>
      <w:r>
        <w:rPr>
          <w:rStyle w:val="NormalTok"/>
        </w:rPr>
        <w:t xml:space="preserve">df.columns.isin([</w:t>
      </w:r>
      <w:r>
        <w:rPr>
          <w:rStyle w:val="StringTok"/>
        </w:rPr>
        <w:t xml:space="preserve">"Date"</w:t>
      </w:r>
      <w:r>
        <w:rPr>
          <w:rStyle w:val="NormalTok"/>
        </w:rPr>
        <w:t xml:space="preserve">, </w:t>
      </w:r>
      <w:r>
        <w:rPr>
          <w:rStyle w:val="StringTok"/>
        </w:rPr>
        <w:t xml:space="preserve">"Variation %"</w:t>
      </w:r>
      <w:r>
        <w:rPr>
          <w:rStyle w:val="NormalTok"/>
        </w:rPr>
        <w:t xml:space="preserve">,</w:t>
      </w:r>
      <w:r>
        <w:rPr>
          <w:rStyle w:val="StringTok"/>
        </w:rPr>
        <w:t xml:space="preserve">"Vol."</w:t>
      </w:r>
      <w:r>
        <w:rPr>
          <w:rStyle w:val="NormalTok"/>
        </w:rPr>
        <w:t xml:space="preserve">])] </w:t>
      </w:r>
      <w:r>
        <w:rPr>
          <w:rStyle w:val="OperatorTok"/>
        </w:rPr>
        <w:t xml:space="preserve">=</w:t>
      </w:r>
      <w:r>
        <w:rPr>
          <w:rStyle w:val="NormalTok"/>
        </w:rPr>
        <w:t xml:space="preserve"> df_temp</w:t>
      </w:r>
      <w:r>
        <w:br/>
      </w:r>
      <w:r>
        <w:rPr>
          <w:rStyle w:val="NormalTok"/>
        </w:rPr>
        <w:t xml:space="preserve">df[</w:t>
      </w:r>
      <w:r>
        <w:rPr>
          <w:rStyle w:val="StringTok"/>
        </w:rPr>
        <w:t xml:space="preserve">"Variation %"</w:t>
      </w:r>
      <w:r>
        <w:rPr>
          <w:rStyle w:val="NormalTok"/>
        </w:rPr>
        <w:t xml:space="preserve">] </w:t>
      </w:r>
      <w:r>
        <w:rPr>
          <w:rStyle w:val="OperatorTok"/>
        </w:rPr>
        <w:t xml:space="preserve">=</w:t>
      </w:r>
      <w:r>
        <w:rPr>
          <w:rStyle w:val="NormalTok"/>
        </w:rPr>
        <w:t xml:space="preserve"> df[</w:t>
      </w:r>
      <w:r>
        <w:rPr>
          <w:rStyle w:val="StringTok"/>
        </w:rPr>
        <w:t xml:space="preserve">"Variation %"</w:t>
      </w:r>
      <w:r>
        <w:rPr>
          <w:rStyle w:val="NormalTok"/>
        </w:rPr>
        <w:t xml:space="preserve">].</w:t>
      </w:r>
      <w:r>
        <w:rPr>
          <w:rStyle w:val="BuiltInTok"/>
        </w:rPr>
        <w:t xml:space="preserve">apply</w:t>
      </w:r>
      <w:r>
        <w:rPr>
          <w:rStyle w:val="NormalTok"/>
        </w:rPr>
        <w:t xml:space="preserve">(pct_to_num)</w:t>
      </w:r>
      <w:r>
        <w:br/>
      </w:r>
      <w:r>
        <w:br/>
      </w:r>
      <w:r>
        <w:br/>
      </w:r>
      <w:r>
        <w:rPr>
          <w:rStyle w:val="CommentTok"/>
        </w:rPr>
        <w:t xml:space="preserve"># Préparer les données</w:t>
      </w:r>
      <w:r>
        <w:br/>
      </w:r>
      <w:r>
        <w:rPr>
          <w:rStyle w:val="CommentTok"/>
        </w:rPr>
        <w:t xml:space="preserve"># Supposons que df est un dataframe contenant les données historiques</w:t>
      </w:r>
      <w:r>
        <w:br/>
      </w:r>
      <w:r>
        <w:rPr>
          <w:rStyle w:val="CommentTok"/>
        </w:rPr>
        <w:t xml:space="preserve"># avec les colonnes suivantes: Date, Dernier, Ouv., Plus Haut, Plus Bas, Vol., Variation %</w:t>
      </w:r>
      <w:r>
        <w:br/>
      </w:r>
      <w:r>
        <w:rPr>
          <w:rStyle w:val="CommentTok"/>
        </w:rPr>
        <w:t xml:space="preserve"># On va utiliser les 5 dernières observations comme entrées du modèle</w:t>
      </w:r>
      <w:r>
        <w:br/>
      </w:r>
      <w:r>
        <w:rPr>
          <w:rStyle w:val="CommentTok"/>
        </w:rPr>
        <w:t xml:space="preserve"># et prédire le cours Dernier à la prochaine date</w:t>
      </w:r>
      <w:r>
        <w:br/>
      </w:r>
      <w:r>
        <w:br/>
      </w:r>
      <w:r>
        <w:rPr>
          <w:rStyle w:val="CommentTok"/>
        </w:rPr>
        <w:t xml:space="preserve"># Convertir les données en numpy arrays</w:t>
      </w:r>
      <w:r>
        <w:br/>
      </w:r>
      <w:r>
        <w:rPr>
          <w:rStyle w:val="NormalTok"/>
        </w:rPr>
        <w:t xml:space="preserve">X </w:t>
      </w:r>
      <w:r>
        <w:rPr>
          <w:rStyle w:val="OperatorTok"/>
        </w:rPr>
        <w:t xml:space="preserve">=</w:t>
      </w:r>
      <w:r>
        <w:rPr>
          <w:rStyle w:val="NormalTok"/>
        </w:rPr>
        <w:t xml:space="preserve"> df[[</w:t>
      </w:r>
      <w:r>
        <w:rPr>
          <w:rStyle w:val="StringTok"/>
        </w:rPr>
        <w:t xml:space="preserve">'Dernier'</w:t>
      </w:r>
      <w:r>
        <w:rPr>
          <w:rStyle w:val="NormalTok"/>
        </w:rPr>
        <w:t xml:space="preserve">,</w:t>
      </w:r>
      <w:r>
        <w:rPr>
          <w:rStyle w:val="StringTok"/>
        </w:rPr>
        <w:t xml:space="preserve">'Ouv.'</w:t>
      </w:r>
      <w:r>
        <w:rPr>
          <w:rStyle w:val="NormalTok"/>
        </w:rPr>
        <w:t xml:space="preserve">,</w:t>
      </w:r>
      <w:r>
        <w:rPr>
          <w:rStyle w:val="StringTok"/>
        </w:rPr>
        <w:t xml:space="preserve">' Plus Haut'</w:t>
      </w:r>
      <w:r>
        <w:rPr>
          <w:rStyle w:val="NormalTok"/>
        </w:rPr>
        <w:t xml:space="preserve">, </w:t>
      </w:r>
      <w:r>
        <w:rPr>
          <w:rStyle w:val="StringTok"/>
        </w:rPr>
        <w:t xml:space="preserve">'Plus Bas'</w:t>
      </w:r>
      <w:r>
        <w:rPr>
          <w:rStyle w:val="NormalTok"/>
        </w:rPr>
        <w:t xml:space="preserve">]].to_numpy()</w:t>
      </w:r>
      <w:r>
        <w:br/>
      </w:r>
      <w:r>
        <w:rPr>
          <w:rStyle w:val="NormalTok"/>
        </w:rPr>
        <w:t xml:space="preserve">y </w:t>
      </w:r>
      <w:r>
        <w:rPr>
          <w:rStyle w:val="OperatorTok"/>
        </w:rPr>
        <w:t xml:space="preserve">=</w:t>
      </w:r>
      <w:r>
        <w:rPr>
          <w:rStyle w:val="NormalTok"/>
        </w:rPr>
        <w:t xml:space="preserve"> df[</w:t>
      </w:r>
      <w:r>
        <w:rPr>
          <w:rStyle w:val="StringTok"/>
        </w:rPr>
        <w:t xml:space="preserve">"Dernier"</w:t>
      </w:r>
      <w:r>
        <w:rPr>
          <w:rStyle w:val="NormalTok"/>
        </w:rPr>
        <w:t xml:space="preserve">].to_numpy()</w:t>
      </w:r>
      <w:r>
        <w:br/>
      </w:r>
      <w:r>
        <w:br/>
      </w:r>
      <w:r>
        <w:rPr>
          <w:rStyle w:val="CommentTok"/>
        </w:rPr>
        <w:t xml:space="preserve"># Normaliser les données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MinMaxScaler</w:t>
      </w:r>
      <w:r>
        <w:br/>
      </w:r>
      <w:r>
        <w:rPr>
          <w:rStyle w:val="NormalTok"/>
        </w:rPr>
        <w:t xml:space="preserve">scaler </w:t>
      </w:r>
      <w:r>
        <w:rPr>
          <w:rStyle w:val="OperatorTok"/>
        </w:rPr>
        <w:t xml:space="preserve">=</w:t>
      </w:r>
      <w:r>
        <w:rPr>
          <w:rStyle w:val="NormalTok"/>
        </w:rPr>
        <w:t xml:space="preserve"> MinMaxScaler()</w:t>
      </w:r>
      <w:r>
        <w:br/>
      </w:r>
      <w:r>
        <w:rPr>
          <w:rStyle w:val="NormalTok"/>
        </w:rPr>
        <w:t xml:space="preserve">X </w:t>
      </w:r>
      <w:r>
        <w:rPr>
          <w:rStyle w:val="OperatorTok"/>
        </w:rPr>
        <w:t xml:space="preserve">=</w:t>
      </w:r>
      <w:r>
        <w:rPr>
          <w:rStyle w:val="NormalTok"/>
        </w:rPr>
        <w:t xml:space="preserve"> scaler.fit_transform(X)</w:t>
      </w:r>
      <w:r>
        <w:br/>
      </w:r>
      <w:r>
        <w:rPr>
          <w:rStyle w:val="NormalTok"/>
        </w:rPr>
        <w:t xml:space="preserve">y </w:t>
      </w:r>
      <w:r>
        <w:rPr>
          <w:rStyle w:val="OperatorTok"/>
        </w:rPr>
        <w:t xml:space="preserve">=</w:t>
      </w:r>
      <w:r>
        <w:rPr>
          <w:rStyle w:val="NormalTok"/>
        </w:rPr>
        <w:t xml:space="preserve"> scaler.fit_transform(y.reshape(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CommentTok"/>
        </w:rPr>
        <w:t xml:space="preserve"># Créer des séquences de données</w:t>
      </w:r>
      <w:r>
        <w:br/>
      </w:r>
      <w:r>
        <w:rPr>
          <w:rStyle w:val="CommentTok"/>
        </w:rPr>
        <w:t xml:space="preserve"># Chaque séquence contient 5 observations consécutives (timesteps) comme entrée</w:t>
      </w:r>
      <w:r>
        <w:br/>
      </w:r>
      <w:r>
        <w:rPr>
          <w:rStyle w:val="CommentTok"/>
        </w:rPr>
        <w:t xml:space="preserve"># et le cours Dernier à la prochaine observation comme sortie</w:t>
      </w:r>
      <w:r>
        <w:br/>
      </w:r>
      <w:r>
        <w:rPr>
          <w:rStyle w:val="NormalTok"/>
        </w:rPr>
        <w:t xml:space="preserve">X_seq </w:t>
      </w:r>
      <w:r>
        <w:rPr>
          <w:rStyle w:val="OperatorTok"/>
        </w:rPr>
        <w:t xml:space="preserve">=</w:t>
      </w:r>
      <w:r>
        <w:rPr>
          <w:rStyle w:val="NormalTok"/>
        </w:rPr>
        <w:t xml:space="preserve"> []</w:t>
      </w:r>
      <w:r>
        <w:br/>
      </w:r>
      <w:r>
        <w:rPr>
          <w:rStyle w:val="NormalTok"/>
        </w:rPr>
        <w:t xml:space="preserve">y_seq </w:t>
      </w:r>
      <w:r>
        <w:rPr>
          <w:rStyle w:val="OperatorTok"/>
        </w:rPr>
        <w:t xml:space="preserve">=</w:t>
      </w:r>
      <w:r>
        <w:rPr>
          <w:rStyle w:val="NormalTok"/>
        </w:rPr>
        <w:t xml:space="preserve"> []</w:t>
      </w:r>
      <w:r>
        <w:br/>
      </w:r>
      <w:r>
        <w:rPr>
          <w:rStyle w:val="NormalTok"/>
        </w:rPr>
        <w:t xml:space="preserve">timesteps </w:t>
      </w:r>
      <w:r>
        <w:rPr>
          <w:rStyle w:val="OperatorTok"/>
        </w:rPr>
        <w:t xml:space="preserve">=</w:t>
      </w:r>
      <w:r>
        <w:rPr>
          <w:rStyle w:val="NormalTok"/>
        </w:rPr>
        <w:t xml:space="preserve"> </w:t>
      </w:r>
      <w:r>
        <w:rPr>
          <w:rStyle w:val="DecValTok"/>
        </w:rPr>
        <w:t xml:space="preserve">5</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(timesteps, </w:t>
      </w:r>
      <w:r>
        <w:rPr>
          <w:rStyle w:val="BuiltInTok"/>
        </w:rPr>
        <w:t xml:space="preserve">len</w:t>
      </w:r>
      <w:r>
        <w:rPr>
          <w:rStyle w:val="NormalTok"/>
        </w:rPr>
        <w:t xml:space="preserve">(X)):</w:t>
      </w:r>
      <w:r>
        <w:br/>
      </w:r>
      <w:r>
        <w:rPr>
          <w:rStyle w:val="NormalTok"/>
        </w:rPr>
        <w:t xml:space="preserve">  X_seq.append(X[i</w:t>
      </w:r>
      <w:r>
        <w:rPr>
          <w:rStyle w:val="OperatorTok"/>
        </w:rPr>
        <w:t xml:space="preserve">-</w:t>
      </w:r>
      <w:r>
        <w:rPr>
          <w:rStyle w:val="NormalTok"/>
        </w:rPr>
        <w:t xml:space="preserve">timesteps:i])</w:t>
      </w:r>
      <w:r>
        <w:br/>
      </w:r>
      <w:r>
        <w:rPr>
          <w:rStyle w:val="NormalTok"/>
        </w:rPr>
        <w:t xml:space="preserve">  y_seq.append(y[i])</w:t>
      </w:r>
      <w:r>
        <w:br/>
      </w:r>
      <w:r>
        <w:rPr>
          <w:rStyle w:val="NormalTok"/>
        </w:rPr>
        <w:t xml:space="preserve">X_seq </w:t>
      </w:r>
      <w:r>
        <w:rPr>
          <w:rStyle w:val="OperatorTok"/>
        </w:rPr>
        <w:t xml:space="preserve">=</w:t>
      </w:r>
      <w:r>
        <w:rPr>
          <w:rStyle w:val="NormalTok"/>
        </w:rPr>
        <w:t xml:space="preserve"> np.array(X_seq)</w:t>
      </w:r>
      <w:r>
        <w:br/>
      </w:r>
      <w:r>
        <w:rPr>
          <w:rStyle w:val="NormalTok"/>
        </w:rPr>
        <w:t xml:space="preserve">y_seq </w:t>
      </w:r>
      <w:r>
        <w:rPr>
          <w:rStyle w:val="OperatorTok"/>
        </w:rPr>
        <w:t xml:space="preserve">=</w:t>
      </w:r>
      <w:r>
        <w:rPr>
          <w:rStyle w:val="NormalTok"/>
        </w:rPr>
        <w:t xml:space="preserve"> np.array(y_seq)</w:t>
      </w:r>
      <w:r>
        <w:br/>
      </w:r>
      <w:r>
        <w:br/>
      </w:r>
      <w:r>
        <w:rPr>
          <w:rStyle w:val="CommentTok"/>
        </w:rPr>
        <w:t xml:space="preserve"># Diviser les données en train et test sets</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(X_seq) </w:t>
      </w:r>
      <w:r>
        <w:rPr>
          <w:rStyle w:val="Operato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X_train, X_test </w:t>
      </w:r>
      <w:r>
        <w:rPr>
          <w:rStyle w:val="OperatorTok"/>
        </w:rPr>
        <w:t xml:space="preserve">=</w:t>
      </w:r>
      <w:r>
        <w:rPr>
          <w:rStyle w:val="NormalTok"/>
        </w:rPr>
        <w:t xml:space="preserve"> X_seq[:train_size], X_seq[train_size:]</w:t>
      </w:r>
      <w:r>
        <w:br/>
      </w:r>
      <w:r>
        <w:rPr>
          <w:rStyle w:val="NormalTok"/>
        </w:rPr>
        <w:t xml:space="preserve">y_train, y_test </w:t>
      </w:r>
      <w:r>
        <w:rPr>
          <w:rStyle w:val="OperatorTok"/>
        </w:rPr>
        <w:t xml:space="preserve">=</w:t>
      </w:r>
      <w:r>
        <w:rPr>
          <w:rStyle w:val="NormalTok"/>
        </w:rPr>
        <w:t xml:space="preserve"> y_seq[:train_size], y_seq[train_size:]</w:t>
      </w:r>
      <w:r>
        <w:br/>
      </w:r>
      <w:r>
        <w:br/>
      </w:r>
      <w:r>
        <w:rPr>
          <w:rStyle w:val="CommentTok"/>
        </w:rPr>
        <w:t xml:space="preserve"># Définir le modèle RNN</w:t>
      </w:r>
      <w:r>
        <w:br/>
      </w:r>
      <w:r>
        <w:rPr>
          <w:rStyle w:val="NormalTok"/>
        </w:rPr>
        <w:t xml:space="preserve">model </w:t>
      </w:r>
      <w:r>
        <w:rPr>
          <w:rStyle w:val="OperatorTok"/>
        </w:rPr>
        <w:t xml:space="preserve">=</w:t>
      </w:r>
      <w:r>
        <w:rPr>
          <w:rStyle w:val="NormalTok"/>
        </w:rPr>
        <w:t xml:space="preserve"> Sequential()</w:t>
      </w:r>
      <w:r>
        <w:br/>
      </w:r>
      <w:r>
        <w:rPr>
          <w:rStyle w:val="NormalTok"/>
        </w:rPr>
        <w:t xml:space="preserve">model.add(LSTM(units</w:t>
      </w:r>
      <w:r>
        <w:rPr>
          <w:rStyle w:val="OperatorTok"/>
        </w:rPr>
        <w:t xml:space="preserve">=</w:t>
      </w:r>
      <w:r>
        <w:rPr>
          <w:rStyle w:val="DecValTok"/>
        </w:rPr>
        <w:t xml:space="preserve">50</w:t>
      </w:r>
      <w:r>
        <w:rPr>
          <w:rStyle w:val="NormalTok"/>
        </w:rPr>
        <w:t xml:space="preserve">, return_sequences</w:t>
      </w:r>
      <w:r>
        <w:rPr>
          <w:rStyle w:val="OperatorTok"/>
        </w:rPr>
        <w:t xml:space="preserve">=</w:t>
      </w:r>
      <w:r>
        <w:rPr>
          <w:rStyle w:val="VariableTok"/>
        </w:rPr>
        <w:t xml:space="preserve">True</w:t>
      </w:r>
      <w:r>
        <w:rPr>
          <w:rStyle w:val="NormalTok"/>
        </w:rPr>
        <w:t xml:space="preserve">, </w:t>
      </w:r>
      <w:r>
        <w:br/>
      </w:r>
      <w:r>
        <w:rPr>
          <w:rStyle w:val="NormalTok"/>
        </w:rPr>
        <w:t xml:space="preserve">               input_shape</w:t>
      </w:r>
      <w:r>
        <w:rPr>
          <w:rStyle w:val="OperatorTok"/>
        </w:rPr>
        <w:t xml:space="preserve">=</w:t>
      </w:r>
      <w:r>
        <w:rPr>
          <w:rStyle w:val="NormalTok"/>
        </w:rPr>
        <w:t xml:space="preserve">(X_train.shape[</w:t>
      </w:r>
      <w:r>
        <w:rPr>
          <w:rStyle w:val="DecValTok"/>
        </w:rPr>
        <w:t xml:space="preserve">1</w:t>
      </w:r>
      <w:r>
        <w:rPr>
          <w:rStyle w:val="NormalTok"/>
        </w:rPr>
        <w:t xml:space="preserve">], X_train.shape[</w:t>
      </w:r>
      <w:r>
        <w:rPr>
          <w:rStyle w:val="DecValTok"/>
        </w:rPr>
        <w:t xml:space="preserve">2</w:t>
      </w:r>
      <w:r>
        <w:rPr>
          <w:rStyle w:val="NormalTok"/>
        </w:rPr>
        <w:t xml:space="preserve">])))</w:t>
      </w:r>
      <w:r>
        <w:br/>
      </w:r>
      <w:r>
        <w:rPr>
          <w:rStyle w:val="NormalTok"/>
        </w:rPr>
        <w:t xml:space="preserve">model.add(Dropout(</w:t>
      </w:r>
      <w:r>
        <w:rPr>
          <w:rStyle w:val="FloatTok"/>
        </w:rPr>
        <w:t xml:space="preserve">0.2</w:t>
      </w:r>
      <w:r>
        <w:rPr>
          <w:rStyle w:val="NormalTok"/>
        </w:rPr>
        <w:t xml:space="preserve">))</w:t>
      </w:r>
      <w:r>
        <w:br/>
      </w:r>
      <w:r>
        <w:rPr>
          <w:rStyle w:val="NormalTok"/>
        </w:rPr>
        <w:t xml:space="preserve">model.add(LSTM(units</w:t>
      </w:r>
      <w:r>
        <w:rPr>
          <w:rStyle w:val="OperatorTok"/>
        </w:rPr>
        <w:t xml:space="preserve">=</w:t>
      </w:r>
      <w:r>
        <w:rPr>
          <w:rStyle w:val="DecValTok"/>
        </w:rPr>
        <w:t xml:space="preserve">50</w:t>
      </w:r>
      <w:r>
        <w:rPr>
          <w:rStyle w:val="NormalTok"/>
        </w:rPr>
        <w:t xml:space="preserve">, return_sequences</w:t>
      </w:r>
      <w:r>
        <w:rPr>
          <w:rStyle w:val="OperatorTok"/>
        </w:rPr>
        <w:t xml:space="preserve">=</w:t>
      </w:r>
      <w:r>
        <w:rPr>
          <w:rStyle w:val="VariableTok"/>
        </w:rPr>
        <w:t xml:space="preserve">True</w:t>
      </w:r>
      <w:r>
        <w:rPr>
          <w:rStyle w:val="NormalTok"/>
        </w:rPr>
        <w:t xml:space="preserve">))</w:t>
      </w:r>
      <w:r>
        <w:br/>
      </w:r>
      <w:r>
        <w:rPr>
          <w:rStyle w:val="NormalTok"/>
        </w:rPr>
        <w:t xml:space="preserve">model.add(Dropout(</w:t>
      </w:r>
      <w:r>
        <w:rPr>
          <w:rStyle w:val="FloatTok"/>
        </w:rPr>
        <w:t xml:space="preserve">0.2</w:t>
      </w:r>
      <w:r>
        <w:rPr>
          <w:rStyle w:val="NormalTok"/>
        </w:rPr>
        <w:t xml:space="preserve">))</w:t>
      </w:r>
      <w:r>
        <w:br/>
      </w:r>
      <w:r>
        <w:rPr>
          <w:rStyle w:val="NormalTok"/>
        </w:rPr>
        <w:t xml:space="preserve">model.add(LSTM(units</w:t>
      </w:r>
      <w:r>
        <w:rPr>
          <w:rStyle w:val="OperatorTok"/>
        </w:rPr>
        <w:t xml:space="preserve">=</w:t>
      </w:r>
      <w:r>
        <w:rPr>
          <w:rStyle w:val="DecValTok"/>
        </w:rPr>
        <w:t xml:space="preserve">50</w:t>
      </w:r>
      <w:r>
        <w:rPr>
          <w:rStyle w:val="NormalTok"/>
        </w:rPr>
        <w:t xml:space="preserve">))</w:t>
      </w:r>
      <w:r>
        <w:br/>
      </w:r>
      <w:r>
        <w:rPr>
          <w:rStyle w:val="NormalTok"/>
        </w:rPr>
        <w:t xml:space="preserve">model.add(Dropout(</w:t>
      </w:r>
      <w:r>
        <w:rPr>
          <w:rStyle w:val="FloatTok"/>
        </w:rPr>
        <w:t xml:space="preserve">0.2</w:t>
      </w:r>
      <w:r>
        <w:rPr>
          <w:rStyle w:val="NormalTok"/>
        </w:rPr>
        <w:t xml:space="preserve">))</w:t>
      </w:r>
      <w:r>
        <w:br/>
      </w:r>
      <w:r>
        <w:rPr>
          <w:rStyle w:val="NormalTok"/>
        </w:rPr>
        <w:t xml:space="preserve">model.add(Dense(units</w:t>
      </w:r>
      <w:r>
        <w:rPr>
          <w:rStyle w:val="OperatorTok"/>
        </w:rPr>
        <w:t xml:space="preserve">=</w:t>
      </w:r>
      <w:r>
        <w:rPr>
          <w:rStyle w:val="DecValTok"/>
        </w:rPr>
        <w:t xml:space="preserve">1</w:t>
      </w:r>
      <w:r>
        <w:rPr>
          <w:rStyle w:val="NormalTok"/>
        </w:rPr>
        <w:t xml:space="preserve">))</w:t>
      </w:r>
      <w:r>
        <w:br/>
      </w:r>
      <w:r>
        <w:br/>
      </w:r>
      <w:r>
        <w:rPr>
          <w:rStyle w:val="CommentTok"/>
        </w:rPr>
        <w:t xml:space="preserve"># Compiler le modèle</w:t>
      </w:r>
      <w:r>
        <w:br/>
      </w:r>
      <w:r>
        <w:rPr>
          <w:rStyle w:val="NormalTok"/>
        </w:rPr>
        <w:t xml:space="preserve">model.</w:t>
      </w:r>
      <w:r>
        <w:rPr>
          <w:rStyle w:val="BuiltInTok"/>
        </w:rPr>
        <w:t xml:space="preserve">compile</w:t>
      </w:r>
      <w:r>
        <w:rPr>
          <w:rStyle w:val="NormalTok"/>
        </w:rPr>
        <w:t xml:space="preserve">(optimizer</w:t>
      </w:r>
      <w:r>
        <w:rPr>
          <w:rStyle w:val="OperatorTok"/>
        </w:rPr>
        <w:t xml:space="preserve">=</w:t>
      </w:r>
      <w:r>
        <w:rPr>
          <w:rStyle w:val="StringTok"/>
        </w:rPr>
        <w:t xml:space="preserve">'adam'</w:t>
      </w:r>
      <w:r>
        <w:rPr>
          <w:rStyle w:val="NormalTok"/>
        </w:rPr>
        <w:t xml:space="preserve">, loss</w:t>
      </w:r>
      <w:r>
        <w:rPr>
          <w:rStyle w:val="OperatorTok"/>
        </w:rPr>
        <w:t xml:space="preserve">=</w:t>
      </w:r>
      <w:r>
        <w:rPr>
          <w:rStyle w:val="StringTok"/>
        </w:rPr>
        <w:t xml:space="preserve">'mean_squared_error'</w:t>
      </w:r>
      <w:r>
        <w:rPr>
          <w:rStyle w:val="NormalTok"/>
        </w:rPr>
        <w:t xml:space="preserve">)</w:t>
      </w:r>
      <w:r>
        <w:br/>
      </w:r>
      <w:r>
        <w:br/>
      </w:r>
      <w:r>
        <w:rPr>
          <w:rStyle w:val="CommentTok"/>
        </w:rPr>
        <w:t xml:space="preserve"># Entraîner le modèle</w:t>
      </w:r>
      <w:r>
        <w:br/>
      </w:r>
      <w:r>
        <w:rPr>
          <w:rStyle w:val="NormalTok"/>
        </w:rPr>
        <w:t xml:space="preserve">model.fit(X_train, y_train, epochs</w:t>
      </w:r>
      <w:r>
        <w:rPr>
          <w:rStyle w:val="OperatorTok"/>
        </w:rPr>
        <w:t xml:space="preserve">=</w:t>
      </w:r>
      <w:r>
        <w:rPr>
          <w:rStyle w:val="DecValTok"/>
        </w:rPr>
        <w:t xml:space="preserve">100</w:t>
      </w:r>
      <w:r>
        <w:rPr>
          <w:rStyle w:val="NormalTok"/>
        </w:rPr>
        <w:t xml:space="preserve">, batch_size</w:t>
      </w:r>
      <w:r>
        <w:rPr>
          <w:rStyle w:val="OperatorTok"/>
        </w:rPr>
        <w:t xml:space="preserve">=</w:t>
      </w:r>
      <w:r>
        <w:rPr>
          <w:rStyle w:val="DecValTok"/>
        </w:rPr>
        <w:t xml:space="preserve">30</w:t>
      </w:r>
      <w:r>
        <w:rPr>
          <w:rStyle w:val="NormalTok"/>
        </w:rPr>
        <w:t xml:space="preserve">)</w:t>
      </w:r>
      <w:r>
        <w:br/>
      </w:r>
      <w:r>
        <w:br/>
      </w:r>
      <w:r>
        <w:rPr>
          <w:rStyle w:val="CommentTok"/>
        </w:rPr>
        <w:t xml:space="preserve"># Faire des prédictions</w:t>
      </w:r>
      <w:r>
        <w:br/>
      </w:r>
      <w:r>
        <w:rPr>
          <w:rStyle w:val="NormalTok"/>
        </w:rPr>
        <w:t xml:space="preserve">y_pred </w:t>
      </w:r>
      <w:r>
        <w:rPr>
          <w:rStyle w:val="OperatorTok"/>
        </w:rPr>
        <w:t xml:space="preserve">=</w:t>
      </w:r>
      <w:r>
        <w:rPr>
          <w:rStyle w:val="NormalTok"/>
        </w:rPr>
        <w:t xml:space="preserve"> model.predict(X_test)</w:t>
      </w:r>
      <w:r>
        <w:br/>
      </w:r>
      <w:r>
        <w:rPr>
          <w:rStyle w:val="NormalTok"/>
        </w:rPr>
        <w:t xml:space="preserve">y_pred </w:t>
      </w:r>
      <w:r>
        <w:rPr>
          <w:rStyle w:val="OperatorTok"/>
        </w:rPr>
        <w:t xml:space="preserve">=</w:t>
      </w:r>
      <w:r>
        <w:rPr>
          <w:rStyle w:val="NormalTok"/>
        </w:rPr>
        <w:t xml:space="preserve"> scaler.inverse_transform(y_pred) </w:t>
      </w:r>
      <w:r>
        <w:rPr>
          <w:rStyle w:val="CommentTok"/>
        </w:rPr>
        <w:t xml:space="preserve"># Revenir à l'échelle originale</w:t>
      </w:r>
      <w:r>
        <w:br/>
      </w:r>
      <w:r>
        <w:br/>
      </w:r>
      <w:r>
        <w:rPr>
          <w:rStyle w:val="CommentTok"/>
        </w:rPr>
        <w:t xml:space="preserve"># Évaluer le modèle</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NormalTok"/>
        </w:rPr>
        <w:t xml:space="preserve">rmse </w:t>
      </w:r>
      <w:r>
        <w:rPr>
          <w:rStyle w:val="OperatorTok"/>
        </w:rPr>
        <w:t xml:space="preserve">=</w:t>
      </w:r>
      <w:r>
        <w:rPr>
          <w:rStyle w:val="NormalTok"/>
        </w:rPr>
        <w:t xml:space="preserve"> np.sqrt(mean_squared_error(scaler.inverse_transform(y_test), y_pred))</w:t>
      </w:r>
      <w:r>
        <w:br/>
      </w:r>
      <w:r>
        <w:rPr>
          <w:rStyle w:val="BuiltInTok"/>
        </w:rPr>
        <w:t xml:space="preserve">print</w:t>
      </w:r>
      <w:r>
        <w:rPr>
          <w:rStyle w:val="NormalTok"/>
        </w:rPr>
        <w:t xml:space="preserve">(</w:t>
      </w:r>
      <w:r>
        <w:rPr>
          <w:rStyle w:val="StringTok"/>
        </w:rPr>
        <w:t xml:space="preserve">'RMSE: '</w:t>
      </w:r>
      <w:r>
        <w:rPr>
          <w:rStyle w:val="NormalTok"/>
        </w:rPr>
        <w:t xml:space="preserve">, rmse)</w:t>
      </w:r>
      <w:r>
        <w:br/>
      </w:r>
      <w:r>
        <w:br/>
      </w:r>
      <w:r>
        <w:rPr>
          <w:rStyle w:val="CommentTok"/>
        </w:rPr>
        <w:t xml:space="preserve"># Tracer les valeurs observées et prédites</w:t>
      </w:r>
      <w:r>
        <w:br/>
      </w:r>
      <w:r>
        <w:br/>
      </w:r>
      <w:r>
        <w:rPr>
          <w:rStyle w:val="NormalTok"/>
        </w:rPr>
        <w:t xml:space="preserve">plt.plot(scaler.inverse_transform(y_test), label</w:t>
      </w:r>
      <w:r>
        <w:rPr>
          <w:rStyle w:val="OperatorTok"/>
        </w:rPr>
        <w:t xml:space="preserve">=</w:t>
      </w:r>
      <w:r>
        <w:rPr>
          <w:rStyle w:val="StringTok"/>
        </w:rPr>
        <w:t xml:space="preserve">'Dernier cours observé'</w:t>
      </w:r>
      <w:r>
        <w:rPr>
          <w:rStyle w:val="NormalTok"/>
        </w:rPr>
        <w:t xml:space="preserve">)</w:t>
      </w:r>
      <w:r>
        <w:br/>
      </w:r>
      <w:r>
        <w:rPr>
          <w:rStyle w:val="NormalTok"/>
        </w:rPr>
        <w:t xml:space="preserve">plt.plot(y_pred, label</w:t>
      </w:r>
      <w:r>
        <w:rPr>
          <w:rStyle w:val="OperatorTok"/>
        </w:rPr>
        <w:t xml:space="preserve">=</w:t>
      </w:r>
      <w:r>
        <w:rPr>
          <w:rStyle w:val="StringTok"/>
        </w:rPr>
        <w:t xml:space="preserve">'Dernier cours prédite'</w:t>
      </w:r>
      <w:r>
        <w:rPr>
          <w:rStyle w:val="NormalTok"/>
        </w:rPr>
        <w:t xml:space="preserve">)</w:t>
      </w:r>
      <w:r>
        <w:br/>
      </w:r>
      <w:r>
        <w:rPr>
          <w:rStyle w:val="NormalTok"/>
        </w:rPr>
        <w:t xml:space="preserve">plt.legend()</w:t>
      </w:r>
      <w:r>
        <w:br/>
      </w:r>
      <w:r>
        <w:rPr>
          <w:rStyle w:val="NormalTok"/>
        </w:rPr>
        <w:t xml:space="preserve">plt.xlabel(</w:t>
      </w:r>
      <w:r>
        <w:rPr>
          <w:rStyle w:val="StringTok"/>
        </w:rPr>
        <w:t xml:space="preserve">'Jours'</w:t>
      </w:r>
      <w:r>
        <w:rPr>
          <w:rStyle w:val="NormalTok"/>
        </w:rPr>
        <w:t xml:space="preserve">)</w:t>
      </w:r>
      <w:r>
        <w:br/>
      </w:r>
      <w:r>
        <w:rPr>
          <w:rStyle w:val="NormalTok"/>
        </w:rPr>
        <w:t xml:space="preserve">plt.ylabel(</w:t>
      </w:r>
      <w:r>
        <w:rPr>
          <w:rStyle w:val="StringTok"/>
        </w:rPr>
        <w:t xml:space="preserve">'Dernier cours'</w:t>
      </w:r>
      <w:r>
        <w:rPr>
          <w:rStyle w:val="NormalTok"/>
        </w:rPr>
        <w:t xml:space="preserve">)</w:t>
      </w:r>
      <w:r>
        <w:br/>
      </w:r>
      <w:r>
        <w:rPr>
          <w:rStyle w:val="NormalTok"/>
        </w:rPr>
        <w:t xml:space="preserve">plt.title(</w:t>
      </w:r>
      <w:r>
        <w:rPr>
          <w:rStyle w:val="StringTok"/>
        </w:rPr>
        <w:t xml:space="preserve">'Prédiction du dernier cours avec un modèle LSTM'</w:t>
      </w:r>
      <w:r>
        <w:rPr>
          <w:rStyle w:val="NormalTok"/>
        </w:rPr>
        <w:t xml:space="preserve">)</w:t>
      </w:r>
      <w:r>
        <w:br/>
      </w:r>
      <w:r>
        <w:rPr>
          <w:rStyle w:val="NormalTok"/>
        </w:rPr>
        <w:t xml:space="preserve">plt.show()</w:t>
      </w:r>
    </w:p>
    <w:tbl>
      <w:tblPr>
        <w:tblStyle w:val="Table"/>
        <w:tblW w:type="pct" w:w="5000"/>
        <w:tblLook w:firstRow="0" w:lastRow="0" w:firstColumn="0" w:lastColumn="0" w:noHBand="0" w:noVBand="0" w:val="0000"/>
        <w:jc w:val="start"/>
      </w:tblPr>
      <w:tblGrid>
        <w:gridCol w:w="7920"/>
      </w:tblGrid>
      <w:tr>
        <w:tc>
          <w:tcPr/>
          <w:bookmarkStart w:id="248" w:name="fig-Prediction_masi2"/>
          <w:p>
            <w:pPr>
              <w:jc w:val="center"/>
            </w:pPr>
            <w:r>
              <w:drawing>
                <wp:inline>
                  <wp:extent cx="5334000" cy="3765683"/>
                  <wp:effectExtent b="0" l="0" r="0" t="0"/>
                  <wp:docPr descr="" title="" id="246" name="Picture"/>
                  <a:graphic>
                    <a:graphicData uri="http://schemas.openxmlformats.org/drawingml/2006/picture">
                      <pic:pic>
                        <pic:nvPicPr>
                          <pic:cNvPr descr="Rapport-PFE_files/figure-html/Prediction.png" id="247" name="Picture"/>
                          <pic:cNvPicPr>
                            <a:picLocks noChangeArrowheads="1" noChangeAspect="1"/>
                          </pic:cNvPicPr>
                        </pic:nvPicPr>
                        <pic:blipFill>
                          <a:blip r:embed="rId87"/>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Courbe de cours prédit et de cours observé</w:t>
            </w:r>
          </w:p>
          <w:bookmarkEnd w:id="248"/>
        </w:tc>
      </w:tr>
    </w:tbl>
    <w:bookmarkEnd w:id="249"/>
    <w:bookmarkStart w:id="330" w:name="application-de-calcul-des-csr"/>
    <w:p>
      <w:pPr>
        <w:pStyle w:val="Heading2"/>
      </w:pPr>
      <w:r>
        <w:t xml:space="preserve">7.2 Application de calcul des CSR</w:t>
      </w:r>
    </w:p>
    <w:p>
      <w:pPr>
        <w:pStyle w:val="FirstParagraph"/>
      </w:pPr>
      <w:r>
        <w:t xml:space="preserve">Dans le cadre de ce projet, nous avons développé une application permettant de calculer les capitaux de solvabilité requis. Ce calcul passe par plusieurs étapes c’est pourquoi l’application contient plusieurs onglets :</w:t>
      </w:r>
    </w:p>
    <w:p>
      <w:pPr>
        <w:numPr>
          <w:ilvl w:val="0"/>
          <w:numId w:val="1068"/>
        </w:numPr>
        <w:pStyle w:val="Compact"/>
      </w:pPr>
      <w:r>
        <w:rPr>
          <w:bCs/>
          <w:b/>
        </w:rPr>
        <w:t xml:space="preserve">Paramètres</w:t>
      </w:r>
      <w:r>
        <w:t xml:space="preserve"> </w:t>
      </w:r>
      <w:r>
        <w:t xml:space="preserve">: les paramètres généraux de l’application;</w:t>
      </w:r>
      <w:r>
        <w:t xml:space="preserve"> </w:t>
      </w:r>
      <w:r>
        <w:t xml:space="preserve">_</w:t>
      </w:r>
      <w:r>
        <w:t xml:space="preserve"> </w:t>
      </w:r>
      <w:r>
        <w:rPr>
          <w:bCs/>
          <w:b/>
        </w:rPr>
        <w:t xml:space="preserve">Courbe des taux</w:t>
      </w:r>
      <w:r>
        <w:t xml:space="preserve"> </w:t>
      </w:r>
      <w:r>
        <w:t xml:space="preserve">: construction de la courbe des taux zéro coupon;</w:t>
      </w:r>
      <w:r>
        <w:t xml:space="preserve"> </w:t>
      </w:r>
      <w:r>
        <w:t xml:space="preserve">_</w:t>
      </w:r>
      <w:r>
        <w:t xml:space="preserve"> </w:t>
      </w:r>
      <w:r>
        <w:rPr>
          <w:bCs/>
          <w:b/>
        </w:rPr>
        <w:t xml:space="preserve">Non-vie hors rentes</w:t>
      </w:r>
      <w:r>
        <w:t xml:space="preserve"> </w:t>
      </w:r>
      <w:r>
        <w:t xml:space="preserve">: calcul des meilleures estimations pour une apération d’assurance non vie hors rente (exemple de l’accident de travail AT);</w:t>
      </w:r>
    </w:p>
    <w:p>
      <w:pPr>
        <w:numPr>
          <w:ilvl w:val="0"/>
          <w:numId w:val="1068"/>
        </w:numPr>
        <w:pStyle w:val="Compact"/>
      </w:pPr>
      <w:r>
        <w:rPr>
          <w:bCs/>
          <w:b/>
        </w:rPr>
        <w:t xml:space="preserve">Assurance vie</w:t>
      </w:r>
      <w:r>
        <w:t xml:space="preserve"> </w:t>
      </w:r>
      <w:r>
        <w:t xml:space="preserve">: calcul des meilleures estimations pour une apération d’assurance vie (exemple d’un capital garanti dégressif en cas de décès).</w:t>
      </w:r>
    </w:p>
    <w:tbl>
      <w:tblPr>
        <w:tblStyle w:val="Table"/>
        <w:tblW w:type="pct" w:w="5000"/>
        <w:tblLook w:firstRow="0" w:lastRow="0" w:firstColumn="0" w:lastColumn="0" w:noHBand="0" w:noVBand="0" w:val="0000"/>
        <w:jc w:val="start"/>
      </w:tblPr>
      <w:tblGrid>
        <w:gridCol w:w="7920"/>
      </w:tblGrid>
      <w:tr>
        <w:tc>
          <w:tcPr/>
          <w:bookmarkStart w:id="253" w:name="fig-onglets"/>
          <w:p>
            <w:pPr>
              <w:jc w:val="center"/>
            </w:pPr>
            <w:r>
              <w:drawing>
                <wp:inline>
                  <wp:extent cx="5334000" cy="4196219"/>
                  <wp:effectExtent b="0" l="0" r="0" t="0"/>
                  <wp:docPr descr="" title="" id="251" name="Picture"/>
                  <a:graphic>
                    <a:graphicData uri="http://schemas.openxmlformats.org/drawingml/2006/picture">
                      <pic:pic>
                        <pic:nvPicPr>
                          <pic:cNvPr descr="Rapport-PFE_files/figure-html/Onglets_App.png" id="252" name="Picture"/>
                          <pic:cNvPicPr>
                            <a:picLocks noChangeArrowheads="1" noChangeAspect="1"/>
                          </pic:cNvPicPr>
                        </pic:nvPicPr>
                        <pic:blipFill>
                          <a:blip r:embed="rId250"/>
                          <a:stretch>
                            <a:fillRect/>
                          </a:stretch>
                        </pic:blipFill>
                        <pic:spPr bwMode="auto">
                          <a:xfrm>
                            <a:off x="0" y="0"/>
                            <a:ext cx="5334000" cy="4196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Onglets de l’application</w:t>
            </w:r>
          </w:p>
          <w:bookmarkEnd w:id="253"/>
        </w:tc>
      </w:tr>
    </w:tbl>
    <w:p>
      <w:pPr>
        <w:pStyle w:val="BodyText"/>
      </w:pPr>
      <w:r>
        <w:t xml:space="preserve">Cette application a été développée grâce a</w:t>
      </w:r>
      <w:r>
        <w:t xml:space="preserve"> </w:t>
      </w:r>
      <w:hyperlink r:id="rId254">
        <w:r>
          <w:rPr>
            <w:rStyle w:val="Hyperlink"/>
          </w:rPr>
          <w:t xml:space="preserve">Shiny</w:t>
        </w:r>
      </w:hyperlink>
      <w:r>
        <w:t xml:space="preserve"> </w:t>
      </w:r>
      <w:r>
        <w:t xml:space="preserve">et une de ses extensions</w:t>
      </w:r>
      <w:r>
        <w:t xml:space="preserve"> </w:t>
      </w:r>
      <w:hyperlink r:id="rId255">
        <w:r>
          <w:rPr>
            <w:rStyle w:val="Hyperlink"/>
          </w:rPr>
          <w:t xml:space="preserve">bs4dash</w:t>
        </w:r>
      </w:hyperlink>
      <w:r>
        <w:t xml:space="preserve">.</w:t>
      </w:r>
      <w:r>
        <w:t xml:space="preserve"> </w:t>
      </w:r>
      <w:r>
        <w:t xml:space="preserve">En guise d’information, Shiny est un package R qui facilite la création d’applications Web interactives directement à partir de R. Vous pouvez héberger des applications autonomes sur une page Web ou les intégrer dans des documents</w:t>
      </w:r>
      <w:r>
        <w:t xml:space="preserve"> </w:t>
      </w:r>
      <w:r>
        <w:rPr>
          <w:iCs/>
          <w:i/>
        </w:rPr>
        <w:t xml:space="preserve">R Markdown</w:t>
      </w:r>
      <w:r>
        <w:t xml:space="preserve"> </w:t>
      </w:r>
      <w:r>
        <w:t xml:space="preserve">ou créer des tableaux de bord. Vous pouvez également étendre vos applications Shiny avec des thèmes</w:t>
      </w:r>
      <w:r>
        <w:t xml:space="preserve"> </w:t>
      </w:r>
      <w:r>
        <w:rPr>
          <w:iCs/>
          <w:i/>
        </w:rPr>
        <w:t xml:space="preserve">CSS</w:t>
      </w:r>
      <w:r>
        <w:t xml:space="preserve">, des widgets</w:t>
      </w:r>
      <w:r>
        <w:t xml:space="preserve"> </w:t>
      </w:r>
      <w:r>
        <w:rPr>
          <w:iCs/>
          <w:i/>
        </w:rPr>
        <w:t xml:space="preserve">html</w:t>
      </w:r>
      <w:r>
        <w:t xml:space="preserve"> </w:t>
      </w:r>
      <w:r>
        <w:t xml:space="preserve">et des actions</w:t>
      </w:r>
      <w:r>
        <w:t xml:space="preserve"> </w:t>
      </w:r>
      <w:r>
        <w:rPr>
          <w:iCs/>
          <w:i/>
        </w:rPr>
        <w:t xml:space="preserve">JavaScript</w:t>
      </w:r>
      <w:r>
        <w:t xml:space="preserve">, d’où l’intervention de {bs4Dash} dans ce projet. Il permet quant à lui de créer des tableaux de bord</w:t>
      </w:r>
      <w:r>
        <w:t xml:space="preserve"> </w:t>
      </w:r>
      <w:r>
        <w:rPr>
          <w:iCs/>
          <w:i/>
        </w:rPr>
        <w:t xml:space="preserve">Shiny</w:t>
      </w:r>
      <w:r>
        <w:t xml:space="preserve"> </w:t>
      </w:r>
      <w:r>
        <w:t xml:space="preserve">avec la technologie</w:t>
      </w:r>
      <w:r>
        <w:t xml:space="preserve"> </w:t>
      </w:r>
      <w:r>
        <w:rPr>
          <w:iCs/>
          <w:i/>
        </w:rPr>
        <w:t xml:space="preserve">Bootstrap 4</w:t>
      </w:r>
      <w:r>
        <w:t xml:space="preserve">. Le choix du langage R pour développer cette application est motivé par la simplicité du package shiny et de plus ce langage nous est déjà familier puisque c’est l’un des plus utilisés en sciences de données.</w:t>
      </w:r>
    </w:p>
    <w:p>
      <w:pPr>
        <w:pStyle w:val="BodyText"/>
      </w:pPr>
      <w:r>
        <w:t xml:space="preserve">L’application est une agglomération de codes et de calculs, son utilisation nécessite alors de claires indications.</w:t>
      </w:r>
    </w:p>
    <w:bookmarkStart w:id="260" w:name="navigation-dans-le-code-source"/>
    <w:p>
      <w:pPr>
        <w:pStyle w:val="Heading3"/>
      </w:pPr>
      <w:r>
        <w:t xml:space="preserve">Navigation dans le code source</w:t>
      </w:r>
    </w:p>
    <w:p>
      <w:pPr>
        <w:pStyle w:val="FirstParagraph"/>
      </w:pPr>
      <w:r>
        <w:t xml:space="preserve">Le dossier de l’application contient trois fichiers principaux d’extention</w:t>
      </w:r>
      <w:r>
        <w:t xml:space="preserve"> </w:t>
      </w:r>
      <w:r>
        <w:t xml:space="preserve">“</w:t>
      </w:r>
      <w:r>
        <w:t xml:space="preserve">.R</w:t>
      </w:r>
      <w:r>
        <w:t xml:space="preserve">”</w:t>
      </w:r>
      <w:r>
        <w:t xml:space="preserve">. Le premier nommé</w:t>
      </w:r>
      <w:r>
        <w:t xml:space="preserve"> </w:t>
      </w:r>
      <w:r>
        <w:rPr>
          <w:iCs/>
          <w:i/>
        </w:rPr>
        <w:t xml:space="preserve">app.R</w:t>
      </w:r>
      <w:r>
        <w:t xml:space="preserve"> </w:t>
      </w:r>
      <w:r>
        <w:t xml:space="preserve">contient la partie ui (user interface) et server de l’application. Le socond,</w:t>
      </w:r>
      <w:r>
        <w:t xml:space="preserve"> </w:t>
      </w:r>
      <w:r>
        <w:rPr>
          <w:iCs/>
          <w:i/>
        </w:rPr>
        <w:t xml:space="preserve">functions.R</w:t>
      </w:r>
      <w:r>
        <w:t xml:space="preserve"> </w:t>
      </w:r>
      <w:r>
        <w:t xml:space="preserve">détient l’ensemble des fonctions que nous avons programmé et qui sont requis dans le fichier</w:t>
      </w:r>
      <w:r>
        <w:t xml:space="preserve"> </w:t>
      </w:r>
      <w:r>
        <w:rPr>
          <w:iCs/>
          <w:i/>
        </w:rPr>
        <w:t xml:space="preserve">app.R</w:t>
      </w:r>
      <w:r>
        <w:t xml:space="preserve">. Le dernier fichier sert à automatiser l’installation de tous les packages nécessaire pour faire tourner l’applciation et nous l’avons nommé</w:t>
      </w:r>
      <w:r>
        <w:t xml:space="preserve"> </w:t>
      </w:r>
      <w:r>
        <w:rPr>
          <w:iCs/>
          <w:i/>
        </w:rPr>
        <w:t xml:space="preserve">installation packages.R</w:t>
      </w:r>
      <w:r>
        <w:t xml:space="preserve">.</w:t>
      </w:r>
    </w:p>
    <w:p>
      <w:pPr>
        <w:pStyle w:val="BodyText"/>
      </w:pPr>
      <w:r>
        <w:t xml:space="preserve">Les commentaires ont été faits de sorte à faciliter la navigation. Peut importe le fichier, vous pouvez commencer par contracter votre code comme indiqué dans la</w:t>
      </w:r>
      <w:r>
        <w:t xml:space="preserve"> </w:t>
      </w:r>
      <w:hyperlink w:anchor="fig-app_R">
        <w:r>
          <w:rPr>
            <w:rStyle w:val="Hyperlink"/>
          </w:rPr>
          <w:t xml:space="preserve">Figure 11</w:t>
        </w:r>
      </w:hyperlink>
      <w:r>
        <w:t xml:space="preserve">. Cette dernière est celle du code contracté du fichier</w:t>
      </w:r>
      <w:r>
        <w:t xml:space="preserve"> </w:t>
      </w:r>
      <w:r>
        <w:rPr>
          <w:iCs/>
          <w:i/>
        </w:rPr>
        <w:t xml:space="preserve">app.R</w:t>
      </w:r>
      <w:r>
        <w:t xml:space="preserve">. Comme vous pouvez le constater, les titres sont assez significatifs. Vous pouvez donc étendre la partie qui vous intéresse pour avoir accès au code.</w:t>
      </w:r>
      <w:r>
        <w:t xml:space="preserve"> </w:t>
      </w:r>
      <w:r>
        <w:t xml:space="preserve">Cette astuce, simple qu’elle puisse paraître, est très utile pour naviguer dans le code source sachant que le nombre de lignes est pléthoriques.</w:t>
      </w:r>
    </w:p>
    <w:tbl>
      <w:tblPr>
        <w:tblStyle w:val="Table"/>
        <w:tblW w:type="pct" w:w="5000"/>
        <w:tblLook w:firstRow="0" w:lastRow="0" w:firstColumn="0" w:lastColumn="0" w:noHBand="0" w:noVBand="0" w:val="0000"/>
        <w:jc w:val="start"/>
      </w:tblPr>
      <w:tblGrid>
        <w:gridCol w:w="7920"/>
      </w:tblGrid>
      <w:tr>
        <w:tc>
          <w:tcPr/>
          <w:bookmarkStart w:id="259" w:name="fig-app_R"/>
          <w:p>
            <w:pPr>
              <w:jc w:val="center"/>
            </w:pPr>
            <w:r>
              <w:drawing>
                <wp:inline>
                  <wp:extent cx="5334000" cy="3981285"/>
                  <wp:effectExtent b="0" l="0" r="0" t="0"/>
                  <wp:docPr descr="" title="" id="257" name="Picture"/>
                  <a:graphic>
                    <a:graphicData uri="http://schemas.openxmlformats.org/drawingml/2006/picture">
                      <pic:pic>
                        <pic:nvPicPr>
                          <pic:cNvPr descr="Rapport-PFE_files/figure-html/codes_app_R.png" id="258" name="Picture"/>
                          <pic:cNvPicPr>
                            <a:picLocks noChangeArrowheads="1" noChangeAspect="1"/>
                          </pic:cNvPicPr>
                        </pic:nvPicPr>
                        <pic:blipFill>
                          <a:blip r:embed="rId256"/>
                          <a:stretch>
                            <a:fillRect/>
                          </a:stretch>
                        </pic:blipFill>
                        <pic:spPr bwMode="auto">
                          <a:xfrm>
                            <a:off x="0" y="0"/>
                            <a:ext cx="5334000" cy="3981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Fichier app.R</w:t>
            </w:r>
          </w:p>
          <w:bookmarkEnd w:id="259"/>
        </w:tc>
      </w:tr>
    </w:tbl>
    <w:bookmarkEnd w:id="260"/>
    <w:bookmarkStart w:id="265" w:name="paramètres"/>
    <w:p>
      <w:pPr>
        <w:pStyle w:val="Heading3"/>
      </w:pPr>
      <w:r>
        <w:t xml:space="preserve">Paramètres</w:t>
      </w:r>
    </w:p>
    <w:p>
      <w:pPr>
        <w:pStyle w:val="FirstParagraph"/>
      </w:pPr>
      <w:r>
        <w:t xml:space="preserve">Cet onglet est dédié à la spécification de certains paramètres de la normes</w:t>
      </w:r>
      <w:r>
        <w:t xml:space="preserve"> </w:t>
      </w:r>
      <w:r>
        <w:rPr>
          <w:iCs/>
          <w:i/>
        </w:rPr>
        <w:t xml:space="preserve">SBR</w:t>
      </w:r>
      <w:r>
        <w:t xml:space="preserve">. Nous avons donné des valeurs par défaut puisque l’ACAPS n’a toujours pas quantifié de manière officielle ces paramètres. Dans cet onglet on trouve :</w:t>
      </w:r>
    </w:p>
    <w:p>
      <w:pPr>
        <w:numPr>
          <w:ilvl w:val="0"/>
          <w:numId w:val="1069"/>
        </w:numPr>
      </w:pPr>
      <w:r>
        <w:rPr>
          <w:bCs/>
          <w:b/>
        </w:rPr>
        <w:t xml:space="preserve">Choc de mortalité</w:t>
      </w:r>
      <w:r>
        <w:t xml:space="preserve"> </w:t>
      </w:r>
      <w:r>
        <w:t xml:space="preserve">: représente le taux de choc de mortalité que nous avons fixé à</w:t>
      </w:r>
      <w:r>
        <w:t xml:space="preserve"> </w:t>
      </w:r>
      <m:oMath>
        <m:r>
          <m:t>30</m:t>
        </m:r>
        <m:r>
          <m:rPr>
            <m:sty m:val="p"/>
          </m:rPr>
          <m:t>%</m:t>
        </m:r>
      </m:oMath>
      <w:r>
        <w:t xml:space="preserve"> </w:t>
      </w:r>
      <w:r>
        <w:t xml:space="preserve">selon les informations disponibles.</w:t>
      </w:r>
    </w:p>
    <w:p>
      <w:pPr>
        <w:numPr>
          <w:ilvl w:val="0"/>
          <w:numId w:val="1069"/>
        </w:numPr>
      </w:pPr>
      <w:r>
        <w:rPr>
          <w:bCs/>
          <w:b/>
        </w:rPr>
        <w:t xml:space="preserve">Choc de catastrophe</w:t>
      </w:r>
      <w:r>
        <w:t xml:space="preserve"> </w:t>
      </w:r>
      <w:r>
        <w:t xml:space="preserve">: taux de hausse de la mortalité due à une catastrophe naturelle. Ce taux est fixé par défaut à</w:t>
      </w:r>
      <w:r>
        <w:t xml:space="preserve"> </w:t>
      </w:r>
      <m:oMath>
        <m:r>
          <m:t>0</m:t>
        </m:r>
        <m:r>
          <m:rPr>
            <m:sty m:val="p"/>
          </m:rPr>
          <m:t>,</m:t>
        </m:r>
        <m:r>
          <m:t>2</m:t>
        </m:r>
        <m:r>
          <m:rPr>
            <m:sty m:val="p"/>
          </m:rPr>
          <m:t>%</m:t>
        </m:r>
      </m:oMath>
      <w:r>
        <w:t xml:space="preserve"> </w:t>
      </w:r>
      <w:r>
        <w:t xml:space="preserve">puisque l’ACAPS ne l’a pas encore communiqué. Par catastrophe naturelle, on sous entend une circonstance particulière telle qu’une épidémie, un tremblement de terre etc,</w:t>
      </w:r>
    </w:p>
    <w:p>
      <w:pPr>
        <w:numPr>
          <w:ilvl w:val="0"/>
          <w:numId w:val="1069"/>
        </w:numPr>
      </w:pPr>
      <w:r>
        <w:rPr>
          <w:bCs/>
          <w:b/>
        </w:rPr>
        <w:t xml:space="preserve">Probabilité de défaut</w:t>
      </w:r>
      <w:r>
        <w:t xml:space="preserve"> </w:t>
      </w:r>
      <w:r>
        <w:t xml:space="preserve">: représente la probabilité de défaut des cessionnaires. Nous avons pris la valeur de</w:t>
      </w:r>
      <w:r>
        <w:t xml:space="preserve"> </w:t>
      </w:r>
      <m:oMath>
        <m:r>
          <m:t>1</m:t>
        </m:r>
        <m:r>
          <m:rPr>
            <m:sty m:val="p"/>
          </m:rPr>
          <m:t>,</m:t>
        </m:r>
        <m:r>
          <m:t>2</m:t>
        </m:r>
        <m:r>
          <m:rPr>
            <m:sty m:val="p"/>
          </m:rPr>
          <m:t>%</m:t>
        </m:r>
      </m:oMath>
      <w:r>
        <w:t xml:space="preserve"> </w:t>
      </w:r>
      <w:r>
        <w:t xml:space="preserve">qui est la praba de défaut moyenne des réassureurs sur le marché,</w:t>
      </w:r>
    </w:p>
    <w:p>
      <w:pPr>
        <w:numPr>
          <w:ilvl w:val="0"/>
          <w:numId w:val="1069"/>
        </w:numPr>
      </w:pPr>
      <w:r>
        <w:rPr>
          <w:bCs/>
          <w:b/>
        </w:rPr>
        <w:t xml:space="preserve">Cession vie</w:t>
      </w:r>
      <w:r>
        <w:t xml:space="preserve"> </w:t>
      </w:r>
      <w:r>
        <w:t xml:space="preserve">: est le taux de cession des engagements dans le cadre de l’opération d’assurance vie. Ce paramètre dépend du traité de réassurance, autrement dit c’est une entrée définie par l’utilsateur de l’application et non par l’ACAPS. pour les données dont nous disposons, ce taux est de</w:t>
      </w:r>
      <w:r>
        <w:t xml:space="preserve"> </w:t>
      </w:r>
      <m:oMath>
        <m:r>
          <m:t>1</m:t>
        </m:r>
        <m:r>
          <m:rPr>
            <m:sty m:val="p"/>
          </m:rPr>
          <m:t>%</m:t>
        </m:r>
      </m:oMath>
      <w:r>
        <w:t xml:space="preserve">,</w:t>
      </w:r>
    </w:p>
    <w:p>
      <w:pPr>
        <w:numPr>
          <w:ilvl w:val="0"/>
          <w:numId w:val="1069"/>
        </w:numPr>
      </w:pPr>
      <w:r>
        <w:rPr>
          <w:bCs/>
          <w:b/>
        </w:rPr>
        <w:t xml:space="preserve">Cession primes non-vie</w:t>
      </w:r>
      <w:r>
        <w:t xml:space="preserve"> </w:t>
      </w:r>
      <w:r>
        <w:t xml:space="preserve">: taux de cession des primes dans l’opération d’assurance non vie qui vaut</w:t>
      </w:r>
      <w:r>
        <w:t xml:space="preserve"> </w:t>
      </w:r>
      <m:oMath>
        <m:r>
          <m:t>5</m:t>
        </m:r>
        <m:r>
          <m:rPr>
            <m:sty m:val="p"/>
          </m:rPr>
          <m:t>%</m:t>
        </m:r>
      </m:oMath>
      <w:r>
        <w:t xml:space="preserve">,</w:t>
      </w:r>
    </w:p>
    <w:p>
      <w:pPr>
        <w:numPr>
          <w:ilvl w:val="0"/>
          <w:numId w:val="1069"/>
        </w:numPr>
      </w:pPr>
      <w:r>
        <w:rPr>
          <w:bCs/>
          <w:b/>
        </w:rPr>
        <w:t xml:space="preserve">Cession sinistres non-vie</w:t>
      </w:r>
      <w:r>
        <w:t xml:space="preserve"> </w:t>
      </w:r>
      <w:r>
        <w:t xml:space="preserve">: taux de cession des sinistres dans l’opération d’assurance non vie qui vaut</w:t>
      </w:r>
      <w:r>
        <w:t xml:space="preserve"> </w:t>
      </w:r>
      <m:oMath>
        <m:r>
          <m:t>3</m:t>
        </m:r>
        <m:r>
          <m:rPr>
            <m:sty m:val="p"/>
          </m:rPr>
          <m:t>%</m:t>
        </m:r>
      </m:oMath>
      <w:r>
        <w:t xml:space="preserve">,</w:t>
      </w:r>
    </w:p>
    <w:p>
      <w:pPr>
        <w:numPr>
          <w:ilvl w:val="0"/>
          <w:numId w:val="1069"/>
        </w:numPr>
      </w:pPr>
      <w:r>
        <w:t xml:space="preserve">**Augmentation des FG* : taux d’augmentation des frais de gestions valant par défaut dans notre application</w:t>
      </w:r>
      <w:r>
        <w:t xml:space="preserve"> </w:t>
      </w:r>
      <m:oMath>
        <m:r>
          <m:t>14</m:t>
        </m:r>
        <m:r>
          <m:rPr>
            <m:sty m:val="p"/>
          </m:rPr>
          <m:t>%</m:t>
        </m:r>
      </m:oMath>
      <w:r>
        <w:t xml:space="preserve">;</w:t>
      </w:r>
    </w:p>
    <w:p>
      <w:pPr>
        <w:numPr>
          <w:ilvl w:val="0"/>
          <w:numId w:val="1069"/>
        </w:numPr>
      </w:pPr>
      <w:r>
        <w:rPr>
          <w:bCs/>
          <w:b/>
        </w:rPr>
        <w:t xml:space="preserve">Majoration des FG</w:t>
      </w:r>
      <w:r>
        <w:t xml:space="preserve"> </w:t>
      </w:r>
      <w:r>
        <w:t xml:space="preserve">: taux de majoration des frais de gestions qui correspond au taux d’augmentation annuelle pour les années de projection. Il vaut</w:t>
      </w:r>
      <w:r>
        <w:t xml:space="preserve"> </w:t>
      </w:r>
      <m:oMath>
        <m:r>
          <m:t>1</m:t>
        </m:r>
        <m:r>
          <m:rPr>
            <m:sty m:val="p"/>
          </m:rPr>
          <m:t>,</m:t>
        </m:r>
        <m:r>
          <m:t>5</m:t>
        </m:r>
        <m:r>
          <m:rPr>
            <m:sty m:val="p"/>
          </m:rPr>
          <m:t>%</m:t>
        </m:r>
      </m:oMath>
      <w:r>
        <w:t xml:space="preserve">;</w:t>
      </w:r>
    </w:p>
    <w:tbl>
      <w:tblPr>
        <w:tblStyle w:val="Table"/>
        <w:tblW w:type="pct" w:w="5000"/>
        <w:tblLook w:firstRow="0" w:lastRow="0" w:firstColumn="0" w:lastColumn="0" w:noHBand="0" w:noVBand="0" w:val="0000"/>
        <w:jc w:val="start"/>
      </w:tblPr>
      <w:tblGrid>
        <w:gridCol w:w="7920"/>
      </w:tblGrid>
      <w:tr>
        <w:tc>
          <w:tcPr/>
          <w:bookmarkStart w:id="264" w:name="fig-parametres"/>
          <w:p>
            <w:pPr>
              <w:jc w:val="center"/>
            </w:pPr>
            <w:r>
              <w:drawing>
                <wp:inline>
                  <wp:extent cx="5334000" cy="2998910"/>
                  <wp:effectExtent b="0" l="0" r="0" t="0"/>
                  <wp:docPr descr="" title="" id="262" name="Picture"/>
                  <a:graphic>
                    <a:graphicData uri="http://schemas.openxmlformats.org/drawingml/2006/picture">
                      <pic:pic>
                        <pic:nvPicPr>
                          <pic:cNvPr descr="Rapport-PFE_files/figure-html/parametres.png" id="263" name="Picture"/>
                          <pic:cNvPicPr>
                            <a:picLocks noChangeArrowheads="1" noChangeAspect="1"/>
                          </pic:cNvPicPr>
                        </pic:nvPicPr>
                        <pic:blipFill>
                          <a:blip r:embed="rId261"/>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Apperçu de l’onglet paramètre</w:t>
            </w:r>
          </w:p>
          <w:bookmarkEnd w:id="264"/>
        </w:tc>
      </w:tr>
    </w:tbl>
    <w:bookmarkEnd w:id="265"/>
    <w:bookmarkStart w:id="278" w:name="courbe-des-taux"/>
    <w:p>
      <w:pPr>
        <w:pStyle w:val="Heading3"/>
      </w:pPr>
      <w:r>
        <w:t xml:space="preserve">Courbe des taux</w:t>
      </w:r>
    </w:p>
    <w:p>
      <w:pPr>
        <w:pStyle w:val="FirstParagraph"/>
      </w:pPr>
      <w:r>
        <w:t xml:space="preserve">La construction de la courbe des taux zéro coupon est une étape cruciale du calcul de CSR. Nous avons inclus ce processus décrit à la</w:t>
      </w:r>
      <w:r>
        <w:t xml:space="preserve"> </w:t>
      </w:r>
      <w:hyperlink w:anchor="sec-courbe_zc">
        <w:r>
          <w:rPr>
            <w:rStyle w:val="Hyperlink"/>
          </w:rPr>
          <w:t xml:space="preserve">Section 2.1</w:t>
        </w:r>
      </w:hyperlink>
      <w:r>
        <w:t xml:space="preserve">. L’application donne la main à l’utilisateur de saisir une date de valeur, le 30 décembre 2022 pour notre étude. Cette date n’est rien d’autre que la date d’inventaire.</w:t>
      </w:r>
    </w:p>
    <w:tbl>
      <w:tblPr>
        <w:tblStyle w:val="Table"/>
        <w:tblW w:type="pct" w:w="5000"/>
        <w:tblLook w:firstRow="0" w:lastRow="0" w:firstColumn="0" w:lastColumn="0" w:noHBand="0" w:noVBand="0" w:val="0000"/>
        <w:jc w:val="start"/>
      </w:tblPr>
      <w:tblGrid>
        <w:gridCol w:w="7920"/>
      </w:tblGrid>
      <w:tr>
        <w:tc>
          <w:tcPr/>
          <w:bookmarkStart w:id="269" w:name="fig-Date_zc"/>
          <w:p>
            <w:pPr>
              <w:jc w:val="center"/>
            </w:pPr>
            <w:r>
              <w:drawing>
                <wp:inline>
                  <wp:extent cx="5334000" cy="2998910"/>
                  <wp:effectExtent b="0" l="0" r="0" t="0"/>
                  <wp:docPr descr="" title="" id="267" name="Picture"/>
                  <a:graphic>
                    <a:graphicData uri="http://schemas.openxmlformats.org/drawingml/2006/picture">
                      <pic:pic>
                        <pic:nvPicPr>
                          <pic:cNvPr descr="Rapport-PFE_files/figure-html/Date_zc.png" id="268" name="Picture"/>
                          <pic:cNvPicPr>
                            <a:picLocks noChangeArrowheads="1" noChangeAspect="1"/>
                          </pic:cNvPicPr>
                        </pic:nvPicPr>
                        <pic:blipFill>
                          <a:blip r:embed="rId266"/>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Selection de la date de valeur</w:t>
            </w:r>
          </w:p>
          <w:bookmarkEnd w:id="269"/>
        </w:tc>
      </w:tr>
    </w:tbl>
    <w:p>
      <w:pPr>
        <w:pStyle w:val="BodyText"/>
      </w:pPr>
      <w:r>
        <w:t xml:space="preserve">En 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tbl>
      <w:tblPr>
        <w:tblStyle w:val="Table"/>
        <w:tblW w:type="pct" w:w="5000"/>
        <w:tblLook w:firstRow="0" w:lastRow="0" w:firstColumn="0" w:lastColumn="0" w:noHBand="0" w:noVBand="0" w:val="0000"/>
        <w:jc w:val="start"/>
      </w:tblPr>
      <w:tblGrid>
        <w:gridCol w:w="7920"/>
      </w:tblGrid>
      <w:tr>
        <w:tc>
          <w:tcPr/>
          <w:bookmarkStart w:id="273" w:name="fig-tzc_app"/>
          <w:p>
            <w:pPr>
              <w:jc w:val="center"/>
            </w:pPr>
            <w:r>
              <w:drawing>
                <wp:inline>
                  <wp:extent cx="5334000" cy="2998910"/>
                  <wp:effectExtent b="0" l="0" r="0" t="0"/>
                  <wp:docPr descr="" title="" id="271" name="Picture"/>
                  <a:graphic>
                    <a:graphicData uri="http://schemas.openxmlformats.org/drawingml/2006/picture">
                      <pic:pic>
                        <pic:nvPicPr>
                          <pic:cNvPr descr="Rapport-PFE_files/figure-html/TauxZC2.png" id="272" name="Picture"/>
                          <pic:cNvPicPr>
                            <a:picLocks noChangeArrowheads="1" noChangeAspect="1"/>
                          </pic:cNvPicPr>
                        </pic:nvPicPr>
                        <pic:blipFill>
                          <a:blip r:embed="rId270"/>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Apperçu de la courbe des taux zéro-coupon dans l’application</w:t>
            </w:r>
          </w:p>
          <w:bookmarkEnd w:id="27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77" w:name="fig-tzc"/>
          <w:p>
            <w:pPr>
              <w:jc w:val="center"/>
            </w:pPr>
            <w:r>
              <w:drawing>
                <wp:inline>
                  <wp:extent cx="5334000" cy="1609049"/>
                  <wp:effectExtent b="0" l="0" r="0" t="0"/>
                  <wp:docPr descr="" title="" id="275" name="Picture"/>
                  <a:graphic>
                    <a:graphicData uri="http://schemas.openxmlformats.org/drawingml/2006/picture">
                      <pic:pic>
                        <pic:nvPicPr>
                          <pic:cNvPr descr="Rapport-PFE_files/figure-html/tauxZC.png" id="276" name="Picture"/>
                          <pic:cNvPicPr>
                            <a:picLocks noChangeArrowheads="1" noChangeAspect="1"/>
                          </pic:cNvPicPr>
                        </pic:nvPicPr>
                        <pic:blipFill>
                          <a:blip r:embed="rId274"/>
                          <a:stretch>
                            <a:fillRect/>
                          </a:stretch>
                        </pic:blipFill>
                        <pic:spPr bwMode="auto">
                          <a:xfrm>
                            <a:off x="0" y="0"/>
                            <a:ext cx="5334000" cy="16090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Zoom sur la courbe de taux zéro coupon (En bleue)</w:t>
            </w:r>
          </w:p>
          <w:bookmarkEnd w:id="277"/>
        </w:tc>
      </w:tr>
    </w:tbl>
    <w:p>
      <w:pPr>
        <w:pStyle w:val="BodyText"/>
      </w:pPr>
      <w:r>
        <w:t xml:space="preserve">Une fois la courbe construite, nous allons l’utiliser dans la suite de notre application pour le calcul des tous les flux futurs actualisés dont nous aurons besoin.</w:t>
      </w:r>
    </w:p>
    <w:bookmarkEnd w:id="278"/>
    <w:bookmarkStart w:id="301" w:name="opérations-dassurance-non-vie-hors-rente"/>
    <w:p>
      <w:pPr>
        <w:pStyle w:val="Heading3"/>
      </w:pPr>
      <w:r>
        <w:t xml:space="preserve">Opérations d’assurance non-vie hors rente</w:t>
      </w:r>
    </w:p>
    <w:p>
      <w:pPr>
        <w:pStyle w:val="FirstParagraph"/>
      </w:pPr>
      <w:r>
        <w:t xml:space="preserve">Pour cette opération, l’entreprise d’accueil a mis à notre disposition une base de données sur l’assurance Accident de Travail (AT). Il s’agit d’un triangle de règlements cumulés d’une assurance AT (voir la</w:t>
      </w:r>
      <w:r>
        <w:t xml:space="preserve"> </w:t>
      </w:r>
      <w:hyperlink w:anchor="sec-ladder">
        <w:r>
          <w:rPr>
            <w:rStyle w:val="Hyperlink"/>
          </w:rPr>
          <w:t xml:space="preserve">Section 4.4.1.4</w:t>
        </w:r>
      </w:hyperlink>
      <w:r>
        <w:t xml:space="preserve">).</w:t>
      </w:r>
    </w:p>
    <w:bookmarkStart w:id="279" w:name="tbl-triangleAT"/>
    <w:p>
      <w:pPr>
        <w:pStyle w:val="TableCaption"/>
      </w:pPr>
      <w:r>
        <w:t xml:space="preserve">Table 6: Triangle de réglements cumulés d’une assurance AT</w:t>
      </w:r>
    </w:p>
    <w:tbl>
      <w:tblPr>
        <w:tblStyle w:val="Table"/>
        <w:tblW w:type="auto" w:w="0"/>
        <w:tblLook w:firstRow="1" w:lastRow="0" w:firstColumn="0" w:lastColumn="0" w:noHBand="0" w:noVBand="0" w:val="0020"/>
        <w:jc w:val="start"/>
        <w:tblCaption w:val="Table 6: Triangle de réglements cumulés d’une assurance A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right"/>
            </w:pPr>
            <w:r>
              <w:t xml:space="preserve">3504.000</w:t>
            </w:r>
          </w:p>
        </w:tc>
        <w:tc>
          <w:tcPr/>
          <w:p>
            <w:pPr>
              <w:pStyle w:val="Compact"/>
              <w:jc w:val="right"/>
            </w:pPr>
            <w:r>
              <w:t xml:space="preserve">17838.65</w:t>
            </w:r>
          </w:p>
        </w:tc>
        <w:tc>
          <w:tcPr/>
          <w:p>
            <w:pPr>
              <w:pStyle w:val="Compact"/>
              <w:jc w:val="right"/>
            </w:pPr>
            <w:r>
              <w:t xml:space="preserve">29762.13</w:t>
            </w:r>
          </w:p>
        </w:tc>
        <w:tc>
          <w:tcPr/>
          <w:p>
            <w:pPr>
              <w:pStyle w:val="Compact"/>
              <w:jc w:val="right"/>
            </w:pPr>
            <w:r>
              <w:t xml:space="preserve">37354.13</w:t>
            </w:r>
          </w:p>
        </w:tc>
        <w:tc>
          <w:tcPr/>
          <w:p>
            <w:pPr>
              <w:pStyle w:val="Compact"/>
              <w:jc w:val="right"/>
            </w:pPr>
            <w:r>
              <w:t xml:space="preserve">48113.13</w:t>
            </w:r>
          </w:p>
        </w:tc>
        <w:tc>
          <w:tcPr/>
          <w:p>
            <w:pPr>
              <w:pStyle w:val="Compact"/>
              <w:jc w:val="right"/>
            </w:pPr>
            <w:r>
              <w:t xml:space="preserve">54288.92</w:t>
            </w:r>
          </w:p>
        </w:tc>
        <w:tc>
          <w:tcPr/>
          <w:p>
            <w:pPr>
              <w:pStyle w:val="Compact"/>
              <w:jc w:val="right"/>
            </w:pPr>
            <w:r>
              <w:t xml:space="preserve">60990.92</w:t>
            </w:r>
          </w:p>
        </w:tc>
        <w:tc>
          <w:tcPr/>
          <w:p>
            <w:pPr>
              <w:pStyle w:val="Compact"/>
              <w:jc w:val="right"/>
            </w:pPr>
            <w:r>
              <w:t xml:space="preserve">64953.92</w:t>
            </w:r>
          </w:p>
        </w:tc>
        <w:tc>
          <w:tcPr/>
          <w:p>
            <w:pPr>
              <w:pStyle w:val="Compact"/>
              <w:jc w:val="right"/>
            </w:pPr>
            <w:r>
              <w:t xml:space="preserve">67075.06</w:t>
            </w:r>
          </w:p>
        </w:tc>
        <w:tc>
          <w:tcPr/>
          <w:p>
            <w:pPr>
              <w:pStyle w:val="Compact"/>
              <w:jc w:val="right"/>
            </w:pPr>
            <w:r>
              <w:t xml:space="preserve">67961.14</w:t>
            </w:r>
          </w:p>
        </w:tc>
        <w:tc>
          <w:tcPr/>
          <w:p>
            <w:pPr>
              <w:pStyle w:val="Compact"/>
              <w:jc w:val="right"/>
            </w:pPr>
            <w:r>
              <w:t xml:space="preserve">69073.14</w:t>
            </w:r>
          </w:p>
        </w:tc>
      </w:tr>
      <w:tr>
        <w:tc>
          <w:tcPr/>
          <w:p>
            <w:pPr>
              <w:pStyle w:val="Compact"/>
              <w:jc w:val="right"/>
            </w:pPr>
            <w:r>
              <w:t xml:space="preserve">2013</w:t>
            </w:r>
          </w:p>
        </w:tc>
        <w:tc>
          <w:tcPr/>
          <w:p>
            <w:pPr>
              <w:pStyle w:val="Compact"/>
              <w:jc w:val="right"/>
            </w:pPr>
            <w:r>
              <w:t xml:space="preserve">4774.242</w:t>
            </w:r>
          </w:p>
        </w:tc>
        <w:tc>
          <w:tcPr/>
          <w:p>
            <w:pPr>
              <w:pStyle w:val="Compact"/>
              <w:jc w:val="right"/>
            </w:pPr>
            <w:r>
              <w:t xml:space="preserve">14225.85</w:t>
            </w:r>
          </w:p>
        </w:tc>
        <w:tc>
          <w:tcPr/>
          <w:p>
            <w:pPr>
              <w:pStyle w:val="Compact"/>
              <w:jc w:val="right"/>
            </w:pPr>
            <w:r>
              <w:t xml:space="preserve">24891.85</w:t>
            </w:r>
          </w:p>
        </w:tc>
        <w:tc>
          <w:tcPr/>
          <w:p>
            <w:pPr>
              <w:pStyle w:val="Compact"/>
              <w:jc w:val="right"/>
            </w:pPr>
            <w:r>
              <w:t xml:space="preserve">38451.85</w:t>
            </w:r>
          </w:p>
        </w:tc>
        <w:tc>
          <w:tcPr/>
          <w:p>
            <w:pPr>
              <w:pStyle w:val="Compact"/>
              <w:jc w:val="right"/>
            </w:pPr>
            <w:r>
              <w:t xml:space="preserve">45605.98</w:t>
            </w:r>
          </w:p>
        </w:tc>
        <w:tc>
          <w:tcPr/>
          <w:p>
            <w:pPr>
              <w:pStyle w:val="Compact"/>
              <w:jc w:val="right"/>
            </w:pPr>
            <w:r>
              <w:t xml:space="preserve">54219.98</w:t>
            </w:r>
          </w:p>
        </w:tc>
        <w:tc>
          <w:tcPr/>
          <w:p>
            <w:pPr>
              <w:pStyle w:val="Compact"/>
              <w:jc w:val="right"/>
            </w:pPr>
            <w:r>
              <w:t xml:space="preserve">57611.98</w:t>
            </w:r>
          </w:p>
        </w:tc>
        <w:tc>
          <w:tcPr/>
          <w:p>
            <w:pPr>
              <w:pStyle w:val="Compact"/>
              <w:jc w:val="right"/>
            </w:pPr>
            <w:r>
              <w:t xml:space="preserve">61752.56</w:t>
            </w:r>
          </w:p>
        </w:tc>
        <w:tc>
          <w:tcPr/>
          <w:p>
            <w:pPr>
              <w:pStyle w:val="Compact"/>
              <w:jc w:val="right"/>
            </w:pPr>
            <w:r>
              <w:t xml:space="preserve">62906.74</w:t>
            </w:r>
          </w:p>
        </w:tc>
        <w:tc>
          <w:tcPr/>
          <w:p>
            <w:pPr>
              <w:pStyle w:val="Compact"/>
              <w:jc w:val="right"/>
            </w:pPr>
            <w:r>
              <w:t xml:space="preserve">64306.33</w:t>
            </w:r>
          </w:p>
        </w:tc>
        <w:tc>
          <w:tcPr/>
          <w:p>
            <w:pPr>
              <w:pStyle w:val="Compact"/>
              <w:jc w:val="right"/>
            </w:pPr>
            <w:r>
              <w:t xml:space="preserve">0.00</w:t>
            </w:r>
          </w:p>
        </w:tc>
      </w:tr>
      <w:tr>
        <w:tc>
          <w:tcPr/>
          <w:p>
            <w:pPr>
              <w:pStyle w:val="Compact"/>
              <w:jc w:val="right"/>
            </w:pPr>
            <w:r>
              <w:t xml:space="preserve">2014</w:t>
            </w:r>
          </w:p>
        </w:tc>
        <w:tc>
          <w:tcPr/>
          <w:p>
            <w:pPr>
              <w:pStyle w:val="Compact"/>
              <w:jc w:val="right"/>
            </w:pPr>
            <w:r>
              <w:t xml:space="preserve">3821.918</w:t>
            </w:r>
          </w:p>
        </w:tc>
        <w:tc>
          <w:tcPr/>
          <w:p>
            <w:pPr>
              <w:pStyle w:val="Compact"/>
              <w:jc w:val="right"/>
            </w:pPr>
            <w:r>
              <w:t xml:space="preserve">12489.92</w:t>
            </w:r>
          </w:p>
        </w:tc>
        <w:tc>
          <w:tcPr/>
          <w:p>
            <w:pPr>
              <w:pStyle w:val="Compact"/>
              <w:jc w:val="right"/>
            </w:pPr>
            <w:r>
              <w:t xml:space="preserve">28284.92</w:t>
            </w:r>
          </w:p>
        </w:tc>
        <w:tc>
          <w:tcPr/>
          <w:p>
            <w:pPr>
              <w:pStyle w:val="Compact"/>
              <w:jc w:val="right"/>
            </w:pPr>
            <w:r>
              <w:t xml:space="preserve">39782.63</w:t>
            </w:r>
          </w:p>
        </w:tc>
        <w:tc>
          <w:tcPr/>
          <w:p>
            <w:pPr>
              <w:pStyle w:val="Compact"/>
              <w:jc w:val="right"/>
            </w:pPr>
            <w:r>
              <w:t xml:space="preserve">46485.63</w:t>
            </w:r>
          </w:p>
        </w:tc>
        <w:tc>
          <w:tcPr/>
          <w:p>
            <w:pPr>
              <w:pStyle w:val="Compact"/>
              <w:jc w:val="right"/>
            </w:pPr>
            <w:r>
              <w:t xml:space="preserve">51429.63</w:t>
            </w:r>
          </w:p>
        </w:tc>
        <w:tc>
          <w:tcPr/>
          <w:p>
            <w:pPr>
              <w:pStyle w:val="Compact"/>
              <w:jc w:val="right"/>
            </w:pPr>
            <w:r>
              <w:t xml:space="preserve">53462.05</w:t>
            </w:r>
          </w:p>
        </w:tc>
        <w:tc>
          <w:tcPr/>
          <w:p>
            <w:pPr>
              <w:pStyle w:val="Compact"/>
              <w:jc w:val="right"/>
            </w:pPr>
            <w:r>
              <w:t xml:space="preserve">54797.99</w:t>
            </w:r>
          </w:p>
        </w:tc>
        <w:tc>
          <w:tcPr/>
          <w:p>
            <w:pPr>
              <w:pStyle w:val="Compact"/>
              <w:jc w:val="right"/>
            </w:pPr>
            <w:r>
              <w:t xml:space="preserve">55771.01</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2015</w:t>
            </w:r>
          </w:p>
        </w:tc>
        <w:tc>
          <w:tcPr/>
          <w:p>
            <w:pPr>
              <w:pStyle w:val="Compact"/>
              <w:jc w:val="right"/>
            </w:pPr>
            <w:r>
              <w:t xml:space="preserve">4074.000</w:t>
            </w:r>
          </w:p>
        </w:tc>
        <w:tc>
          <w:tcPr/>
          <w:p>
            <w:pPr>
              <w:pStyle w:val="Compact"/>
              <w:jc w:val="right"/>
            </w:pPr>
            <w:r>
              <w:t xml:space="preserve">19021.00</w:t>
            </w:r>
          </w:p>
        </w:tc>
        <w:tc>
          <w:tcPr/>
          <w:p>
            <w:pPr>
              <w:pStyle w:val="Compact"/>
              <w:jc w:val="right"/>
            </w:pPr>
            <w:r>
              <w:t xml:space="preserve">35729.00</w:t>
            </w:r>
          </w:p>
        </w:tc>
        <w:tc>
          <w:tcPr/>
          <w:p>
            <w:pPr>
              <w:pStyle w:val="Compact"/>
              <w:jc w:val="right"/>
            </w:pPr>
            <w:r>
              <w:t xml:space="preserve">50865.00</w:t>
            </w:r>
          </w:p>
        </w:tc>
        <w:tc>
          <w:tcPr/>
          <w:p>
            <w:pPr>
              <w:pStyle w:val="Compact"/>
              <w:jc w:val="right"/>
            </w:pPr>
            <w:r>
              <w:t xml:space="preserve">58417.00</w:t>
            </w:r>
          </w:p>
        </w:tc>
        <w:tc>
          <w:tcPr/>
          <w:p>
            <w:pPr>
              <w:pStyle w:val="Compact"/>
              <w:jc w:val="right"/>
            </w:pPr>
            <w:r>
              <w:t xml:space="preserve">62138.27</w:t>
            </w:r>
          </w:p>
        </w:tc>
        <w:tc>
          <w:tcPr/>
          <w:p>
            <w:pPr>
              <w:pStyle w:val="Compact"/>
              <w:jc w:val="right"/>
            </w:pPr>
            <w:r>
              <w:t xml:space="preserve">63510.56</w:t>
            </w:r>
          </w:p>
        </w:tc>
        <w:tc>
          <w:tcPr/>
          <w:p>
            <w:pPr>
              <w:pStyle w:val="Compact"/>
              <w:jc w:val="right"/>
            </w:pPr>
            <w:r>
              <w:t xml:space="preserve">64673.57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2016</w:t>
            </w:r>
          </w:p>
        </w:tc>
        <w:tc>
          <w:tcPr/>
          <w:p>
            <w:pPr>
              <w:pStyle w:val="Compact"/>
              <w:jc w:val="right"/>
            </w:pPr>
            <w:r>
              <w:t xml:space="preserve">5070.000</w:t>
            </w:r>
          </w:p>
        </w:tc>
        <w:tc>
          <w:tcPr/>
          <w:p>
            <w:pPr>
              <w:pStyle w:val="Compact"/>
              <w:jc w:val="right"/>
            </w:pPr>
            <w:r>
              <w:t xml:space="preserve">19512.00</w:t>
            </w:r>
          </w:p>
        </w:tc>
        <w:tc>
          <w:tcPr/>
          <w:p>
            <w:pPr>
              <w:pStyle w:val="Compact"/>
              <w:jc w:val="right"/>
            </w:pPr>
            <w:r>
              <w:t xml:space="preserve">41560.00</w:t>
            </w:r>
          </w:p>
        </w:tc>
        <w:tc>
          <w:tcPr/>
          <w:p>
            <w:pPr>
              <w:pStyle w:val="Compact"/>
              <w:jc w:val="right"/>
            </w:pPr>
            <w:r>
              <w:t xml:space="preserve">51917.00</w:t>
            </w:r>
          </w:p>
        </w:tc>
        <w:tc>
          <w:tcPr/>
          <w:p>
            <w:pPr>
              <w:pStyle w:val="Compact"/>
              <w:jc w:val="right"/>
            </w:pPr>
            <w:r>
              <w:t xml:space="preserve">59168.44</w:t>
            </w:r>
          </w:p>
        </w:tc>
        <w:tc>
          <w:tcPr/>
          <w:p>
            <w:pPr>
              <w:pStyle w:val="Compact"/>
              <w:jc w:val="right"/>
            </w:pPr>
            <w:r>
              <w:t xml:space="preserve">66278.59</w:t>
            </w:r>
          </w:p>
        </w:tc>
        <w:tc>
          <w:tcPr/>
          <w:p>
            <w:pPr>
              <w:pStyle w:val="Compact"/>
              <w:jc w:val="right"/>
            </w:pPr>
            <w:r>
              <w:t xml:space="preserve">69647.56</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2017</w:t>
            </w:r>
          </w:p>
        </w:tc>
        <w:tc>
          <w:tcPr/>
          <w:p>
            <w:pPr>
              <w:pStyle w:val="Compact"/>
              <w:jc w:val="right"/>
            </w:pPr>
            <w:r>
              <w:t xml:space="preserve">3817.000</w:t>
            </w:r>
          </w:p>
        </w:tc>
        <w:tc>
          <w:tcPr/>
          <w:p>
            <w:pPr>
              <w:pStyle w:val="Compact"/>
              <w:jc w:val="right"/>
            </w:pPr>
            <w:r>
              <w:t xml:space="preserve">17940.00</w:t>
            </w:r>
          </w:p>
        </w:tc>
        <w:tc>
          <w:tcPr/>
          <w:p>
            <w:pPr>
              <w:pStyle w:val="Compact"/>
              <w:jc w:val="right"/>
            </w:pPr>
            <w:r>
              <w:t xml:space="preserve">27339.00</w:t>
            </w:r>
          </w:p>
        </w:tc>
        <w:tc>
          <w:tcPr/>
          <w:p>
            <w:pPr>
              <w:pStyle w:val="Compact"/>
              <w:jc w:val="right"/>
            </w:pPr>
            <w:r>
              <w:t xml:space="preserve">33666.67</w:t>
            </w:r>
          </w:p>
        </w:tc>
        <w:tc>
          <w:tcPr/>
          <w:p>
            <w:pPr>
              <w:pStyle w:val="Compact"/>
              <w:jc w:val="right"/>
            </w:pPr>
            <w:r>
              <w:t xml:space="preserve">37893.96</w:t>
            </w:r>
          </w:p>
        </w:tc>
        <w:tc>
          <w:tcPr/>
          <w:p>
            <w:pPr>
              <w:pStyle w:val="Compact"/>
              <w:jc w:val="right"/>
            </w:pPr>
            <w:r>
              <w:t xml:space="preserve">41649.41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2018</w:t>
            </w:r>
          </w:p>
        </w:tc>
        <w:tc>
          <w:tcPr/>
          <w:p>
            <w:pPr>
              <w:pStyle w:val="Compact"/>
              <w:jc w:val="right"/>
            </w:pPr>
            <w:r>
              <w:t xml:space="preserve">7838.000</w:t>
            </w:r>
          </w:p>
        </w:tc>
        <w:tc>
          <w:tcPr/>
          <w:p>
            <w:pPr>
              <w:pStyle w:val="Compact"/>
              <w:jc w:val="right"/>
            </w:pPr>
            <w:r>
              <w:t xml:space="preserve">23756.00</w:t>
            </w:r>
          </w:p>
        </w:tc>
        <w:tc>
          <w:tcPr/>
          <w:p>
            <w:pPr>
              <w:pStyle w:val="Compact"/>
              <w:jc w:val="right"/>
            </w:pPr>
            <w:r>
              <w:t xml:space="preserve">34489.85</w:t>
            </w:r>
          </w:p>
        </w:tc>
        <w:tc>
          <w:tcPr/>
          <w:p>
            <w:pPr>
              <w:pStyle w:val="Compact"/>
              <w:jc w:val="right"/>
            </w:pPr>
            <w:r>
              <w:t xml:space="preserve">42665.27</w:t>
            </w:r>
          </w:p>
        </w:tc>
        <w:tc>
          <w:tcPr/>
          <w:p>
            <w:pPr>
              <w:pStyle w:val="Compact"/>
              <w:jc w:val="right"/>
            </w:pPr>
            <w:r>
              <w:t xml:space="preserve">51181.77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2019</w:t>
            </w:r>
          </w:p>
        </w:tc>
        <w:tc>
          <w:tcPr/>
          <w:p>
            <w:pPr>
              <w:pStyle w:val="Compact"/>
              <w:jc w:val="right"/>
            </w:pPr>
            <w:r>
              <w:t xml:space="preserve">7690.000</w:t>
            </w:r>
          </w:p>
        </w:tc>
        <w:tc>
          <w:tcPr/>
          <w:p>
            <w:pPr>
              <w:pStyle w:val="Compact"/>
              <w:jc w:val="right"/>
            </w:pPr>
            <w:r>
              <w:t xml:space="preserve">29440.55</w:t>
            </w:r>
          </w:p>
        </w:tc>
        <w:tc>
          <w:tcPr/>
          <w:p>
            <w:pPr>
              <w:pStyle w:val="Compact"/>
              <w:jc w:val="right"/>
            </w:pPr>
            <w:r>
              <w:t xml:space="preserve">43027.97</w:t>
            </w:r>
          </w:p>
        </w:tc>
        <w:tc>
          <w:tcPr/>
          <w:p>
            <w:pPr>
              <w:pStyle w:val="Compact"/>
              <w:jc w:val="right"/>
            </w:pPr>
            <w:r>
              <w:t xml:space="preserve">56870.69</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2020</w:t>
            </w:r>
          </w:p>
        </w:tc>
        <w:tc>
          <w:tcPr/>
          <w:p>
            <w:pPr>
              <w:pStyle w:val="Compact"/>
              <w:jc w:val="right"/>
            </w:pPr>
            <w:r>
              <w:t xml:space="preserve">8935.000</w:t>
            </w:r>
          </w:p>
        </w:tc>
        <w:tc>
          <w:tcPr/>
          <w:p>
            <w:pPr>
              <w:pStyle w:val="Compact"/>
              <w:jc w:val="right"/>
            </w:pPr>
            <w:r>
              <w:t xml:space="preserve">27985.56</w:t>
            </w:r>
          </w:p>
        </w:tc>
        <w:tc>
          <w:tcPr/>
          <w:p>
            <w:pPr>
              <w:pStyle w:val="Compact"/>
              <w:jc w:val="right"/>
            </w:pPr>
            <w:r>
              <w:t xml:space="preserve">42675.50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2021</w:t>
            </w:r>
          </w:p>
        </w:tc>
        <w:tc>
          <w:tcPr/>
          <w:p>
            <w:pPr>
              <w:pStyle w:val="Compact"/>
              <w:jc w:val="right"/>
            </w:pPr>
            <w:r>
              <w:t xml:space="preserve">4979.975</w:t>
            </w:r>
          </w:p>
        </w:tc>
        <w:tc>
          <w:tcPr/>
          <w:p>
            <w:pPr>
              <w:pStyle w:val="Compact"/>
              <w:jc w:val="right"/>
            </w:pPr>
            <w:r>
              <w:t xml:space="preserve">21154.81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2022</w:t>
            </w:r>
          </w:p>
        </w:tc>
        <w:tc>
          <w:tcPr/>
          <w:p>
            <w:pPr>
              <w:pStyle w:val="Compact"/>
              <w:jc w:val="right"/>
            </w:pPr>
            <w:r>
              <w:t xml:space="preserve">5818.641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bl>
    <w:bookmarkEnd w:id="279"/>
    <w:p>
      <w:pPr>
        <w:pStyle w:val="BodyText"/>
      </w:pPr>
      <w:r>
        <w:t xml:space="preserve">Notre application donne à l’utilsateur l’option de selectionner manuellement le triangle, au cas où ce dernier n’est pas cumulé, l’utilsateur peut cocher sur la case</w:t>
      </w:r>
      <w:r>
        <w:t xml:space="preserve"> </w:t>
      </w:r>
      <w:r>
        <w:rPr>
          <w:iCs/>
          <w:i/>
        </w:rPr>
        <w:t xml:space="preserve">Voulez vous cumuler le triangle ?</w:t>
      </w:r>
      <w:r>
        <w:t xml:space="preserve"> </w:t>
      </w:r>
      <w:r>
        <w:t xml:space="preserve">avant de confirmer la lecture (voir</w:t>
      </w:r>
      <w:r>
        <w:t xml:space="preserve"> </w:t>
      </w:r>
      <w:hyperlink w:anchor="fig-import">
        <w:r>
          <w:rPr>
            <w:rStyle w:val="Hyperlink"/>
          </w:rPr>
          <w:t xml:space="preserve">Figure 16</w:t>
        </w:r>
      </w:hyperlink>
      <w:r>
        <w:t xml:space="preserve">). Les autres paramètres de cette fenêtre sont des paramètres généraux d’importation de données dans commun à tous les langages de programmation.</w:t>
      </w:r>
    </w:p>
    <w:tbl>
      <w:tblPr>
        <w:tblStyle w:val="Table"/>
        <w:tblW w:type="pct" w:w="5000"/>
        <w:tblLook w:firstRow="0" w:lastRow="0" w:firstColumn="0" w:lastColumn="0" w:noHBand="0" w:noVBand="0" w:val="0000"/>
        <w:jc w:val="start"/>
      </w:tblPr>
      <w:tblGrid>
        <w:gridCol w:w="7920"/>
      </w:tblGrid>
      <w:tr>
        <w:tc>
          <w:tcPr/>
          <w:bookmarkStart w:id="283" w:name="fig-import"/>
          <w:p>
            <w:pPr>
              <w:jc w:val="center"/>
            </w:pPr>
            <w:r>
              <w:drawing>
                <wp:inline>
                  <wp:extent cx="5334000" cy="2998910"/>
                  <wp:effectExtent b="0" l="0" r="0" t="0"/>
                  <wp:docPr descr="" title="" id="281" name="Picture"/>
                  <a:graphic>
                    <a:graphicData uri="http://schemas.openxmlformats.org/drawingml/2006/picture">
                      <pic:pic>
                        <pic:nvPicPr>
                          <pic:cNvPr descr="Rapport-PFE_files/figure-html/importTrgle.png" id="282" name="Picture"/>
                          <pic:cNvPicPr>
                            <a:picLocks noChangeArrowheads="1" noChangeAspect="1"/>
                          </pic:cNvPicPr>
                        </pic:nvPicPr>
                        <pic:blipFill>
                          <a:blip r:embed="rId280"/>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Importation du triangle</w:t>
            </w:r>
          </w:p>
          <w:bookmarkEnd w:id="283"/>
        </w:tc>
      </w:tr>
    </w:tbl>
    <w:p>
      <w:pPr>
        <w:pStyle w:val="BodyText"/>
      </w:pPr>
      <w:r>
        <w:t xml:space="preserve">En plus du triangle, cet onglet de l’application a besoin des donnèes d’entrée telles que :</w:t>
      </w:r>
    </w:p>
    <w:p>
      <w:pPr>
        <w:numPr>
          <w:ilvl w:val="0"/>
          <w:numId w:val="1070"/>
        </w:numPr>
      </w:pPr>
      <w:r>
        <w:rPr>
          <w:bCs/>
          <w:b/>
        </w:rPr>
        <w:t xml:space="preserve">Primes Acquises (PA)</w:t>
      </w:r>
      <w:r>
        <w:t xml:space="preserve"> </w:t>
      </w:r>
      <w:r>
        <w:t xml:space="preserve">: nécessaire pour le calcul du ratio de sinistralité qui pour rappel vaut</w:t>
      </w:r>
      <w:r>
        <w:t xml:space="preserve">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w:t>
      </w:r>
      <w:r>
        <w:t xml:space="preserve">où CU représente les charges ultimes,</w:t>
      </w:r>
    </w:p>
    <w:p>
      <w:pPr>
        <w:numPr>
          <w:ilvl w:val="0"/>
          <w:numId w:val="1070"/>
        </w:numPr>
      </w:pPr>
      <w:r>
        <w:rPr>
          <w:bCs/>
          <w:b/>
        </w:rPr>
        <w:t xml:space="preserve">PPNA</w:t>
      </w:r>
      <w:r>
        <w:t xml:space="preserve"> </w:t>
      </w:r>
      <w:r>
        <w:t xml:space="preserve">: provision pour primes non acquises à la date d’inventaire,</w:t>
      </w:r>
    </w:p>
    <w:p>
      <w:pPr>
        <w:numPr>
          <w:ilvl w:val="0"/>
          <w:numId w:val="1070"/>
        </w:numPr>
      </w:pPr>
      <w:r>
        <w:rPr>
          <w:bCs/>
          <w:b/>
        </w:rPr>
        <w:t xml:space="preserve">Primes futurs</w:t>
      </w:r>
      <w:r>
        <w:t xml:space="preserve"> </w:t>
      </w:r>
      <w:r>
        <w:t xml:space="preserve">: le montant unique des primes futurs,</w:t>
      </w:r>
    </w:p>
    <w:p>
      <w:pPr>
        <w:numPr>
          <w:ilvl w:val="0"/>
          <w:numId w:val="1070"/>
        </w:numPr>
      </w:pPr>
      <w:r>
        <w:rPr>
          <w:bCs/>
          <w:b/>
        </w:rPr>
        <w:t xml:space="preserve">Taux de frais d’acquisition</w:t>
      </w:r>
      <w:r>
        <w:t xml:space="preserve"> </w:t>
      </w:r>
      <w:r>
        <w:t xml:space="preserve">: Le taux de frais d’acquisition en assurance est le pourcentage de frais prélevé par l’assureur sur chaque versement effectué par l’assuré</w:t>
      </w:r>
    </w:p>
    <w:p>
      <w:pPr>
        <w:numPr>
          <w:ilvl w:val="0"/>
          <w:numId w:val="1070"/>
        </w:numPr>
      </w:pPr>
      <w:r>
        <w:rPr>
          <w:bCs/>
          <w:b/>
        </w:rPr>
        <w:t xml:space="preserve">Taux de frais gestion moyens</w:t>
      </w:r>
    </w:p>
    <w:p>
      <w:pPr>
        <w:pStyle w:val="FirstParagraph"/>
      </w:pPr>
      <w:r>
        <w:t xml:space="preserve">La</w:t>
      </w:r>
      <w:r>
        <w:t xml:space="preserve"> </w:t>
      </w:r>
      <w:hyperlink w:anchor="fig-parametrage">
        <w:r>
          <w:rPr>
            <w:rStyle w:val="Hyperlink"/>
          </w:rPr>
          <w:t xml:space="preserve">Figure 17</w:t>
        </w:r>
      </w:hyperlink>
      <w:r>
        <w:t xml:space="preserve"> </w:t>
      </w:r>
      <w:r>
        <w:t xml:space="preserve">donne un aperçu de l’endroit où ces paramètres sont requis et le</w:t>
      </w:r>
      <w:r>
        <w:t xml:space="preserve"> </w:t>
      </w:r>
      <w:hyperlink w:anchor="tbl-parametrage">
        <w:r>
          <w:rPr>
            <w:rStyle w:val="Hyperlink"/>
          </w:rPr>
          <w:t xml:space="preserve">Table 7</w:t>
        </w:r>
      </w:hyperlink>
      <w:r>
        <w:t xml:space="preserve"> </w:t>
      </w:r>
      <w:r>
        <w:t xml:space="preserve">représente les données historiques de PA et PPNA dont nous avons besoin.</w:t>
      </w:r>
    </w:p>
    <w:tbl>
      <w:tblPr>
        <w:tblStyle w:val="Table"/>
        <w:tblW w:type="pct" w:w="5000"/>
        <w:tblLook w:firstRow="0" w:lastRow="0" w:firstColumn="0" w:lastColumn="0" w:noHBand="0" w:noVBand="0" w:val="0000"/>
        <w:jc w:val="start"/>
      </w:tblPr>
      <w:tblGrid>
        <w:gridCol w:w="7920"/>
      </w:tblGrid>
      <w:tr>
        <w:tc>
          <w:tcPr/>
          <w:bookmarkStart w:id="287" w:name="fig-parametrage"/>
          <w:p>
            <w:pPr>
              <w:jc w:val="center"/>
            </w:pPr>
            <w:r>
              <w:drawing>
                <wp:inline>
                  <wp:extent cx="5334000" cy="2998910"/>
                  <wp:effectExtent b="0" l="0" r="0" t="0"/>
                  <wp:docPr descr="" title="" id="285" name="Picture"/>
                  <a:graphic>
                    <a:graphicData uri="http://schemas.openxmlformats.org/drawingml/2006/picture">
                      <pic:pic>
                        <pic:nvPicPr>
                          <pic:cNvPr descr="Rapport-PFE_files/figure-html/parametrage.png" id="286" name="Picture"/>
                          <pic:cNvPicPr>
                            <a:picLocks noChangeArrowheads="1" noChangeAspect="1"/>
                          </pic:cNvPicPr>
                        </pic:nvPicPr>
                        <pic:blipFill>
                          <a:blip r:embed="rId28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Aperçu du paramétrage dans l’application</w:t>
            </w:r>
          </w:p>
          <w:bookmarkEnd w:id="287"/>
        </w:tc>
      </w:tr>
    </w:tbl>
    <w:p>
      <w:pPr>
        <w:pStyle w:val="BodyText"/>
      </w:pPr>
      <w:r>
        <w:t xml:space="preserve"> </w:t>
      </w:r>
    </w:p>
    <w:bookmarkStart w:id="288" w:name="tbl-parametrage"/>
    <w:p>
      <w:pPr>
        <w:pStyle w:val="TableCaption"/>
      </w:pPr>
      <w:r>
        <w:t xml:space="preserve">Table 7: Données de PA et PPNA</w:t>
      </w:r>
    </w:p>
    <w:tbl>
      <w:tblPr>
        <w:tblStyle w:val="Table"/>
        <w:tblW w:type="auto" w:w="0"/>
        <w:tblLook w:firstRow="1" w:lastRow="0" w:firstColumn="0" w:lastColumn="0" w:noHBand="0" w:noVBand="0" w:val="0020"/>
        <w:jc w:val="start"/>
        <w:tblCaption w:val="Table 7: Données de PA et PPNA"/>
      </w:tblPr>
      <w:tblGrid>
        <w:gridCol w:w="2640"/>
        <w:gridCol w:w="2640"/>
        <w:gridCol w:w="2640"/>
      </w:tblGrid>
      <w:tr>
        <w:trPr>
          <w:tblHeader w:val="true"/>
        </w:trPr>
        <w:tc>
          <w:tcPr/>
          <w:p>
            <w:pPr>
              <w:pStyle w:val="Compact"/>
              <w:jc w:val="right"/>
            </w:pPr>
            <w:r>
              <w:t xml:space="preserve">Année</w:t>
            </w:r>
          </w:p>
        </w:tc>
        <w:tc>
          <w:tcPr/>
          <w:p>
            <w:pPr>
              <w:pStyle w:val="Compact"/>
              <w:jc w:val="right"/>
            </w:pPr>
            <w:r>
              <w:t xml:space="preserve">PA</w:t>
            </w:r>
          </w:p>
        </w:tc>
        <w:tc>
          <w:tcPr/>
          <w:p>
            <w:pPr>
              <w:pStyle w:val="Compact"/>
              <w:jc w:val="right"/>
            </w:pPr>
            <w:r>
              <w:t xml:space="preserve">PPNA</w:t>
            </w:r>
          </w:p>
        </w:tc>
      </w:tr>
      <w:tr>
        <w:tc>
          <w:tcPr/>
          <w:p>
            <w:pPr>
              <w:pStyle w:val="Compact"/>
              <w:jc w:val="right"/>
            </w:pPr>
            <w:r>
              <w:t xml:space="preserve">2020</w:t>
            </w:r>
          </w:p>
        </w:tc>
        <w:tc>
          <w:tcPr/>
          <w:p>
            <w:pPr>
              <w:pStyle w:val="Compact"/>
              <w:jc w:val="right"/>
            </w:pPr>
            <w:r>
              <w:t xml:space="preserve">86292</w:t>
            </w:r>
          </w:p>
        </w:tc>
        <w:tc>
          <w:tcPr/>
          <w:p>
            <w:pPr>
              <w:pStyle w:val="Compact"/>
              <w:jc w:val="right"/>
            </w:pPr>
            <w:r>
              <w:t xml:space="preserve">NA</w:t>
            </w:r>
          </w:p>
        </w:tc>
      </w:tr>
      <w:tr>
        <w:tc>
          <w:tcPr/>
          <w:p>
            <w:pPr>
              <w:pStyle w:val="Compact"/>
              <w:jc w:val="right"/>
            </w:pPr>
            <w:r>
              <w:t xml:space="preserve">2021</w:t>
            </w:r>
          </w:p>
        </w:tc>
        <w:tc>
          <w:tcPr/>
          <w:p>
            <w:pPr>
              <w:pStyle w:val="Compact"/>
              <w:jc w:val="right"/>
            </w:pPr>
            <w:r>
              <w:t xml:space="preserve">133944</w:t>
            </w:r>
          </w:p>
        </w:tc>
        <w:tc>
          <w:tcPr/>
          <w:p>
            <w:pPr>
              <w:pStyle w:val="Compact"/>
              <w:jc w:val="right"/>
            </w:pPr>
            <w:r>
              <w:t xml:space="preserve">NA</w:t>
            </w:r>
          </w:p>
        </w:tc>
      </w:tr>
      <w:tr>
        <w:tc>
          <w:tcPr/>
          <w:p>
            <w:pPr>
              <w:pStyle w:val="Compact"/>
              <w:jc w:val="right"/>
            </w:pPr>
            <w:r>
              <w:t xml:space="preserve">2022</w:t>
            </w:r>
          </w:p>
        </w:tc>
        <w:tc>
          <w:tcPr/>
          <w:p>
            <w:pPr>
              <w:pStyle w:val="Compact"/>
              <w:jc w:val="right"/>
            </w:pPr>
            <w:r>
              <w:t xml:space="preserve">115787</w:t>
            </w:r>
          </w:p>
        </w:tc>
        <w:tc>
          <w:tcPr/>
          <w:p>
            <w:pPr>
              <w:pStyle w:val="Compact"/>
              <w:jc w:val="right"/>
            </w:pPr>
            <w:r>
              <w:t xml:space="preserve">25000</w:t>
            </w:r>
          </w:p>
        </w:tc>
      </w:tr>
    </w:tbl>
    <w:bookmarkEnd w:id="288"/>
    <w:p>
      <w:pPr>
        <w:pStyle w:val="BodyText"/>
      </w:pPr>
      <w:r>
        <w:t xml:space="preserve">L’application supporte le calcul des meilleures estimations des engagements une fois tous les paramètres de cet onglet sont renseignés.</w:t>
      </w:r>
    </w:p>
    <w:bookmarkStart w:id="292" w:name="X2b8ae77a89950f896ef9c1423091d64484114bd"/>
    <w:p>
      <w:pPr>
        <w:pStyle w:val="Heading5"/>
      </w:pPr>
      <w:r>
        <w:t xml:space="preserve">Meilleure estimation des engagements pour sinistres avec Chain Ladder</w:t>
      </w:r>
    </w:p>
    <w:p>
      <w:pPr>
        <w:pStyle w:val="FirstParagraph"/>
      </w:pPr>
      <w:r>
        <w:t xml:space="preserve">En suivant les étapes mentionnées à la</w:t>
      </w:r>
      <w:r>
        <w:t xml:space="preserve"> </w:t>
      </w:r>
      <w:hyperlink w:anchor="sec-ladder">
        <w:r>
          <w:rPr>
            <w:rStyle w:val="Hyperlink"/>
          </w:rPr>
          <w:t xml:space="preserve">Section 4.4.1.4</w:t>
        </w:r>
      </w:hyperlink>
      <w:r>
        <w:t xml:space="preserve">, on a obtenu les facteurs de développements présenté dans le tableau</w:t>
      </w:r>
      <w:r>
        <w:t xml:space="preserve"> </w:t>
      </w:r>
      <w:hyperlink w:anchor="tbl-fdev">
        <w:r>
          <w:rPr>
            <w:rStyle w:val="Hyperlink"/>
          </w:rPr>
          <w:t xml:space="preserve">Table 8</w:t>
        </w:r>
      </w:hyperlink>
      <w:r>
        <w:t xml:space="preserve">.</w:t>
      </w:r>
    </w:p>
    <w:bookmarkStart w:id="289" w:name="tbl-fdev"/>
    <w:p>
      <w:pPr>
        <w:pStyle w:val="TableCaption"/>
      </w:pPr>
      <w:r>
        <w:t xml:space="preserve">Table 8: Les facteur de développements</w:t>
      </w:r>
    </w:p>
    <w:tbl>
      <w:tblPr>
        <w:tblStyle w:val="Table"/>
        <w:tblW w:type="auto" w:w="0"/>
        <w:tblLook w:firstRow="1" w:lastRow="0" w:firstColumn="0" w:lastColumn="0" w:noHBand="0" w:noVBand="0" w:val="0020"/>
        <w:jc w:val="start"/>
        <w:tblCaption w:val="Table 8: Les facteur de développements"/>
      </w:tblPr>
      <w:tblGrid>
        <w:gridCol w:w="792"/>
        <w:gridCol w:w="792"/>
        <w:gridCol w:w="792"/>
        <w:gridCol w:w="792"/>
        <w:gridCol w:w="792"/>
        <w:gridCol w:w="792"/>
        <w:gridCol w:w="792"/>
        <w:gridCol w:w="792"/>
        <w:gridCol w:w="792"/>
        <w:gridCol w:w="792"/>
      </w:tblGrid>
      <w:tr>
        <w:trPr>
          <w:tblHeader w:val="true"/>
        </w:trPr>
        <w:tc>
          <w:tcPr/>
          <w:p>
            <w:pPr>
              <w:pStyle w:val="Compact"/>
              <w:jc w:val="right"/>
            </w:pPr>
            <w:r>
              <w:t xml:space="preserve">fdc1</w:t>
            </w:r>
          </w:p>
        </w:tc>
        <w:tc>
          <w:tcPr/>
          <w:p>
            <w:pPr>
              <w:pStyle w:val="Compact"/>
              <w:jc w:val="right"/>
            </w:pPr>
            <w:r>
              <w:t xml:space="preserve">fdc2</w:t>
            </w:r>
          </w:p>
        </w:tc>
        <w:tc>
          <w:tcPr/>
          <w:p>
            <w:pPr>
              <w:pStyle w:val="Compact"/>
              <w:jc w:val="right"/>
            </w:pPr>
            <w:r>
              <w:t xml:space="preserve">fdc3</w:t>
            </w:r>
          </w:p>
        </w:tc>
        <w:tc>
          <w:tcPr/>
          <w:p>
            <w:pPr>
              <w:pStyle w:val="Compact"/>
              <w:jc w:val="right"/>
            </w:pPr>
            <w:r>
              <w:t xml:space="preserve">fdc4</w:t>
            </w:r>
          </w:p>
        </w:tc>
        <w:tc>
          <w:tcPr/>
          <w:p>
            <w:pPr>
              <w:pStyle w:val="Compact"/>
              <w:jc w:val="right"/>
            </w:pPr>
            <w:r>
              <w:t xml:space="preserve">fdc5</w:t>
            </w:r>
          </w:p>
        </w:tc>
        <w:tc>
          <w:tcPr/>
          <w:p>
            <w:pPr>
              <w:pStyle w:val="Compact"/>
              <w:jc w:val="right"/>
            </w:pPr>
            <w:r>
              <w:t xml:space="preserve">fdc6</w:t>
            </w:r>
          </w:p>
        </w:tc>
        <w:tc>
          <w:tcPr/>
          <w:p>
            <w:pPr>
              <w:pStyle w:val="Compact"/>
              <w:jc w:val="right"/>
            </w:pPr>
            <w:r>
              <w:t xml:space="preserve">fdc7</w:t>
            </w:r>
          </w:p>
        </w:tc>
        <w:tc>
          <w:tcPr/>
          <w:p>
            <w:pPr>
              <w:pStyle w:val="Compact"/>
              <w:jc w:val="right"/>
            </w:pPr>
            <w:r>
              <w:t xml:space="preserve">fdc8</w:t>
            </w:r>
          </w:p>
        </w:tc>
        <w:tc>
          <w:tcPr/>
          <w:p>
            <w:pPr>
              <w:pStyle w:val="Compact"/>
              <w:jc w:val="right"/>
            </w:pPr>
            <w:r>
              <w:t xml:space="preserve">fdc9</w:t>
            </w:r>
          </w:p>
        </w:tc>
        <w:tc>
          <w:tcPr/>
          <w:p>
            <w:pPr>
              <w:pStyle w:val="Compact"/>
              <w:jc w:val="right"/>
            </w:pPr>
            <w:r>
              <w:t xml:space="preserve">fdc10</w:t>
            </w:r>
          </w:p>
        </w:tc>
      </w:tr>
      <w:tr>
        <w:tc>
          <w:tcPr/>
          <w:p>
            <w:pPr>
              <w:pStyle w:val="Compact"/>
              <w:jc w:val="right"/>
            </w:pPr>
            <w:r>
              <w:t xml:space="preserve">3.7312</w:t>
            </w:r>
          </w:p>
        </w:tc>
        <w:tc>
          <w:tcPr/>
          <w:p>
            <w:pPr>
              <w:pStyle w:val="Compact"/>
              <w:jc w:val="right"/>
            </w:pPr>
            <w:r>
              <w:t xml:space="preserve">1.689</w:t>
            </w:r>
          </w:p>
        </w:tc>
        <w:tc>
          <w:tcPr/>
          <w:p>
            <w:pPr>
              <w:pStyle w:val="Compact"/>
              <w:jc w:val="right"/>
            </w:pPr>
            <w:r>
              <w:t xml:space="preserve">1.3263</w:t>
            </w:r>
          </w:p>
        </w:tc>
        <w:tc>
          <w:tcPr/>
          <w:p>
            <w:pPr>
              <w:pStyle w:val="Compact"/>
              <w:jc w:val="right"/>
            </w:pPr>
            <w:r>
              <w:t xml:space="preserve">1.177</w:t>
            </w:r>
          </w:p>
        </w:tc>
        <w:tc>
          <w:tcPr/>
          <w:p>
            <w:pPr>
              <w:pStyle w:val="Compact"/>
              <w:jc w:val="right"/>
            </w:pPr>
            <w:r>
              <w:t xml:space="preserve">1.1161</w:t>
            </w:r>
          </w:p>
        </w:tc>
        <w:tc>
          <w:tcPr/>
          <w:p>
            <w:pPr>
              <w:pStyle w:val="Compact"/>
              <w:jc w:val="right"/>
            </w:pPr>
            <w:r>
              <w:t xml:space="preserve">1.0585</w:t>
            </w:r>
          </w:p>
        </w:tc>
        <w:tc>
          <w:tcPr/>
          <w:p>
            <w:pPr>
              <w:pStyle w:val="Compact"/>
              <w:jc w:val="right"/>
            </w:pPr>
            <w:r>
              <w:t xml:space="preserve">1.045</w:t>
            </w:r>
          </w:p>
        </w:tc>
        <w:tc>
          <w:tcPr/>
          <w:p>
            <w:pPr>
              <w:pStyle w:val="Compact"/>
              <w:jc w:val="right"/>
            </w:pPr>
            <w:r>
              <w:t xml:space="preserve">1.0234</w:t>
            </w:r>
          </w:p>
        </w:tc>
        <w:tc>
          <w:tcPr/>
          <w:p>
            <w:pPr>
              <w:pStyle w:val="Compact"/>
              <w:jc w:val="right"/>
            </w:pPr>
            <w:r>
              <w:t xml:space="preserve">1.0176</w:t>
            </w:r>
          </w:p>
        </w:tc>
        <w:tc>
          <w:tcPr/>
          <w:p>
            <w:pPr>
              <w:pStyle w:val="Compact"/>
              <w:jc w:val="right"/>
            </w:pPr>
            <w:r>
              <w:t xml:space="preserve">1.0164</w:t>
            </w:r>
          </w:p>
        </w:tc>
      </w:tr>
    </w:tbl>
    <w:bookmarkEnd w:id="289"/>
    <w:p>
      <w:pPr>
        <w:pStyle w:val="BodyText"/>
      </w:pPr>
      <w:r>
        <w:t xml:space="preserve">Ces facteurs sont ensuite utilisé pour remplir le triangle inférieur par la méthode de Chaine Ladder pour obtenir les règlements futurs (</w:t>
      </w:r>
      <w:hyperlink w:anchor="tbl-regF">
        <w:r>
          <w:rPr>
            <w:rStyle w:val="Hyperlink"/>
          </w:rPr>
          <w:t xml:space="preserve">Table 9</w:t>
        </w:r>
      </w:hyperlink>
      <w:r>
        <w:t xml:space="preserve">) cumulés dons la dernières colonnes représente les charges ultimes.</w:t>
      </w:r>
    </w:p>
    <w:bookmarkStart w:id="290" w:name="tbl-regF"/>
    <w:p>
      <w:pPr>
        <w:pStyle w:val="TableCaption"/>
      </w:pPr>
      <w:r>
        <w:t xml:space="preserve">Table 9: Réglements futurs cumulées</w:t>
      </w:r>
    </w:p>
    <w:tbl>
      <w:tblPr>
        <w:tblStyle w:val="Table"/>
        <w:tblW w:type="auto" w:w="0"/>
        <w:tblLook w:firstRow="1" w:lastRow="0" w:firstColumn="0" w:lastColumn="0" w:noHBand="0" w:noVBand="0" w:val="0020"/>
        <w:jc w:val="start"/>
        <w:tblCaption w:val="Table 9: Réglements futurs cumulées"/>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A\D</w:t>
            </w:r>
          </w:p>
        </w:tc>
        <w:tc>
          <w:tcPr/>
          <w:p>
            <w:pPr>
              <w:pStyle w:val="Compact"/>
              <w:jc w:val="lef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right"/>
            </w:pPr>
            <w:r>
              <w:t xml:space="preserve">2013</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65358.53</w:t>
            </w:r>
          </w:p>
        </w:tc>
      </w:tr>
      <w:tr>
        <w:tc>
          <w:tcPr/>
          <w:p>
            <w:pPr>
              <w:pStyle w:val="Compact"/>
              <w:jc w:val="right"/>
            </w:pPr>
            <w:r>
              <w:t xml:space="preserve">2014</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56751.72</w:t>
            </w:r>
          </w:p>
        </w:tc>
        <w:tc>
          <w:tcPr/>
          <w:p>
            <w:pPr>
              <w:pStyle w:val="Compact"/>
              <w:jc w:val="right"/>
            </w:pPr>
            <w:r>
              <w:t xml:space="preserve">57680.30</w:t>
            </w:r>
          </w:p>
        </w:tc>
      </w:tr>
      <w:tr>
        <w:tc>
          <w:tcPr/>
          <w:p>
            <w:pPr>
              <w:pStyle w:val="Compact"/>
              <w:jc w:val="right"/>
            </w:pPr>
            <w:r>
              <w:t xml:space="preserve">2015</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66187.34</w:t>
            </w:r>
          </w:p>
        </w:tc>
        <w:tc>
          <w:tcPr/>
          <w:p>
            <w:pPr>
              <w:pStyle w:val="Compact"/>
              <w:jc w:val="right"/>
            </w:pPr>
            <w:r>
              <w:t xml:space="preserve">67351.21</w:t>
            </w:r>
          </w:p>
        </w:tc>
        <w:tc>
          <w:tcPr/>
          <w:p>
            <w:pPr>
              <w:pStyle w:val="Compact"/>
              <w:jc w:val="right"/>
            </w:pPr>
            <w:r>
              <w:t xml:space="preserve">68453.23</w:t>
            </w:r>
          </w:p>
        </w:tc>
      </w:tr>
      <w:tr>
        <w:tc>
          <w:tcPr/>
          <w:p>
            <w:pPr>
              <w:pStyle w:val="Compact"/>
              <w:jc w:val="right"/>
            </w:pPr>
            <w:r>
              <w:t xml:space="preserve">2016</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72782.18</w:t>
            </w:r>
          </w:p>
        </w:tc>
        <w:tc>
          <w:tcPr/>
          <w:p>
            <w:pPr>
              <w:pStyle w:val="Compact"/>
              <w:jc w:val="right"/>
            </w:pPr>
            <w:r>
              <w:t xml:space="preserve">74485.74</w:t>
            </w:r>
          </w:p>
        </w:tc>
        <w:tc>
          <w:tcPr/>
          <w:p>
            <w:pPr>
              <w:pStyle w:val="Compact"/>
              <w:jc w:val="right"/>
            </w:pPr>
            <w:r>
              <w:t xml:space="preserve">75795.54</w:t>
            </w:r>
          </w:p>
        </w:tc>
        <w:tc>
          <w:tcPr/>
          <w:p>
            <w:pPr>
              <w:pStyle w:val="Compact"/>
              <w:jc w:val="right"/>
            </w:pPr>
            <w:r>
              <w:t xml:space="preserve">77035.73</w:t>
            </w:r>
          </w:p>
        </w:tc>
      </w:tr>
      <w:tr>
        <w:tc>
          <w:tcPr/>
          <w:p>
            <w:pPr>
              <w:pStyle w:val="Compact"/>
              <w:jc w:val="right"/>
            </w:pPr>
            <w:r>
              <w:t xml:space="preserve">2017</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44085.75</w:t>
            </w:r>
          </w:p>
        </w:tc>
        <w:tc>
          <w:tcPr/>
          <w:p>
            <w:pPr>
              <w:pStyle w:val="Compact"/>
              <w:jc w:val="right"/>
            </w:pPr>
            <w:r>
              <w:t xml:space="preserve">46069.91</w:t>
            </w:r>
          </w:p>
        </w:tc>
        <w:tc>
          <w:tcPr/>
          <w:p>
            <w:pPr>
              <w:pStyle w:val="Compact"/>
              <w:jc w:val="right"/>
            </w:pPr>
            <w:r>
              <w:t xml:space="preserve">47148.24</w:t>
            </w:r>
          </w:p>
        </w:tc>
        <w:tc>
          <w:tcPr/>
          <w:p>
            <w:pPr>
              <w:pStyle w:val="Compact"/>
              <w:jc w:val="right"/>
            </w:pPr>
            <w:r>
              <w:t xml:space="preserve">47977.31</w:t>
            </w:r>
          </w:p>
        </w:tc>
        <w:tc>
          <w:tcPr/>
          <w:p>
            <w:pPr>
              <w:pStyle w:val="Compact"/>
              <w:jc w:val="right"/>
            </w:pPr>
            <w:r>
              <w:t xml:space="preserve">48762.33</w:t>
            </w:r>
          </w:p>
        </w:tc>
      </w:tr>
      <w:tr>
        <w:tc>
          <w:tcPr/>
          <w:p>
            <w:pPr>
              <w:pStyle w:val="Compact"/>
              <w:jc w:val="right"/>
            </w:pPr>
            <w:r>
              <w:t xml:space="preserve">2018</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57122.55</w:t>
            </w:r>
          </w:p>
        </w:tc>
        <w:tc>
          <w:tcPr/>
          <w:p>
            <w:pPr>
              <w:pStyle w:val="Compact"/>
              <w:jc w:val="right"/>
            </w:pPr>
            <w:r>
              <w:t xml:space="preserve">60464.00</w:t>
            </w:r>
          </w:p>
        </w:tc>
        <w:tc>
          <w:tcPr/>
          <w:p>
            <w:pPr>
              <w:pStyle w:val="Compact"/>
              <w:jc w:val="right"/>
            </w:pPr>
            <w:r>
              <w:t xml:space="preserve">63185.29</w:t>
            </w:r>
          </w:p>
        </w:tc>
        <w:tc>
          <w:tcPr/>
          <w:p>
            <w:pPr>
              <w:pStyle w:val="Compact"/>
              <w:jc w:val="right"/>
            </w:pPr>
            <w:r>
              <w:t xml:space="preserve">64664.23</w:t>
            </w:r>
          </w:p>
        </w:tc>
        <w:tc>
          <w:tcPr/>
          <w:p>
            <w:pPr>
              <w:pStyle w:val="Compact"/>
              <w:jc w:val="right"/>
            </w:pPr>
            <w:r>
              <w:t xml:space="preserve">65801.32</w:t>
            </w:r>
          </w:p>
        </w:tc>
        <w:tc>
          <w:tcPr/>
          <w:p>
            <w:pPr>
              <w:pStyle w:val="Compact"/>
              <w:jc w:val="right"/>
            </w:pPr>
            <w:r>
              <w:t xml:space="preserve">66877.98</w:t>
            </w:r>
          </w:p>
        </w:tc>
      </w:tr>
      <w:tr>
        <w:tc>
          <w:tcPr/>
          <w:p>
            <w:pPr>
              <w:pStyle w:val="Compact"/>
              <w:jc w:val="right"/>
            </w:pPr>
            <w:r>
              <w:t xml:space="preserve">2019</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66936.99</w:t>
            </w:r>
          </w:p>
        </w:tc>
        <w:tc>
          <w:tcPr/>
          <w:p>
            <w:pPr>
              <w:pStyle w:val="Compact"/>
              <w:jc w:val="right"/>
            </w:pPr>
            <w:r>
              <w:t xml:space="preserve">74706.50</w:t>
            </w:r>
          </w:p>
        </w:tc>
        <w:tc>
          <w:tcPr/>
          <w:p>
            <w:pPr>
              <w:pStyle w:val="Compact"/>
              <w:jc w:val="right"/>
            </w:pPr>
            <w:r>
              <w:t xml:space="preserve">79076.55</w:t>
            </w:r>
          </w:p>
        </w:tc>
        <w:tc>
          <w:tcPr/>
          <w:p>
            <w:pPr>
              <w:pStyle w:val="Compact"/>
              <w:jc w:val="right"/>
            </w:pPr>
            <w:r>
              <w:t xml:space="preserve">82635.54</w:t>
            </w:r>
          </w:p>
        </w:tc>
        <w:tc>
          <w:tcPr/>
          <w:p>
            <w:pPr>
              <w:pStyle w:val="Compact"/>
              <w:jc w:val="right"/>
            </w:pPr>
            <w:r>
              <w:t xml:space="preserve">84569.73</w:t>
            </w:r>
          </w:p>
        </w:tc>
        <w:tc>
          <w:tcPr/>
          <w:p>
            <w:pPr>
              <w:pStyle w:val="Compact"/>
              <w:jc w:val="right"/>
            </w:pPr>
            <w:r>
              <w:t xml:space="preserve">86056.85</w:t>
            </w:r>
          </w:p>
        </w:tc>
        <w:tc>
          <w:tcPr/>
          <w:p>
            <w:pPr>
              <w:pStyle w:val="Compact"/>
              <w:jc w:val="right"/>
            </w:pPr>
            <w:r>
              <w:t xml:space="preserve">87464.94</w:t>
            </w:r>
          </w:p>
        </w:tc>
      </w:tr>
      <w:tr>
        <w:tc>
          <w:tcPr/>
          <w:p>
            <w:pPr>
              <w:pStyle w:val="Compact"/>
              <w:jc w:val="right"/>
            </w:pPr>
            <w:r>
              <w:t xml:space="preserve">2020</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56599.12</w:t>
            </w:r>
          </w:p>
        </w:tc>
        <w:tc>
          <w:tcPr/>
          <w:p>
            <w:pPr>
              <w:pStyle w:val="Compact"/>
              <w:jc w:val="right"/>
            </w:pPr>
            <w:r>
              <w:t xml:space="preserve">66617.36</w:t>
            </w:r>
          </w:p>
        </w:tc>
        <w:tc>
          <w:tcPr/>
          <w:p>
            <w:pPr>
              <w:pStyle w:val="Compact"/>
              <w:jc w:val="right"/>
            </w:pPr>
            <w:r>
              <w:t xml:space="preserve">74349.77</w:t>
            </w:r>
          </w:p>
        </w:tc>
        <w:tc>
          <w:tcPr/>
          <w:p>
            <w:pPr>
              <w:pStyle w:val="Compact"/>
              <w:jc w:val="right"/>
            </w:pPr>
            <w:r>
              <w:t xml:space="preserve">78698.95</w:t>
            </w:r>
          </w:p>
        </w:tc>
        <w:tc>
          <w:tcPr/>
          <w:p>
            <w:pPr>
              <w:pStyle w:val="Compact"/>
              <w:jc w:val="right"/>
            </w:pPr>
            <w:r>
              <w:t xml:space="preserve">82240.95</w:t>
            </w:r>
          </w:p>
        </w:tc>
        <w:tc>
          <w:tcPr/>
          <w:p>
            <w:pPr>
              <w:pStyle w:val="Compact"/>
              <w:jc w:val="right"/>
            </w:pPr>
            <w:r>
              <w:t xml:space="preserve">84165.90</w:t>
            </w:r>
          </w:p>
        </w:tc>
        <w:tc>
          <w:tcPr/>
          <w:p>
            <w:pPr>
              <w:pStyle w:val="Compact"/>
              <w:jc w:val="right"/>
            </w:pPr>
            <w:r>
              <w:t xml:space="preserve">85645.92</w:t>
            </w:r>
          </w:p>
        </w:tc>
        <w:tc>
          <w:tcPr/>
          <w:p>
            <w:pPr>
              <w:pStyle w:val="Compact"/>
              <w:jc w:val="right"/>
            </w:pPr>
            <w:r>
              <w:t xml:space="preserve">87047.28</w:t>
            </w:r>
          </w:p>
        </w:tc>
      </w:tr>
      <w:tr>
        <w:tc>
          <w:tcPr/>
          <w:p>
            <w:pPr>
              <w:pStyle w:val="Compact"/>
              <w:jc w:val="right"/>
            </w:pPr>
            <w:r>
              <w:t xml:space="preserve">2021</w:t>
            </w:r>
          </w:p>
        </w:tc>
        <w:tc>
          <w:tcPr/>
          <w:p>
            <w:pPr>
              <w:pStyle w:val="Compact"/>
              <w:jc w:val="left"/>
            </w:pPr>
            <w:r>
              <w:t xml:space="preserve">NA</w:t>
            </w:r>
          </w:p>
        </w:tc>
        <w:tc>
          <w:tcPr/>
          <w:p>
            <w:pPr>
              <w:pStyle w:val="Compact"/>
              <w:jc w:val="right"/>
            </w:pPr>
            <w:r>
              <w:t xml:space="preserve">NA</w:t>
            </w:r>
          </w:p>
        </w:tc>
        <w:tc>
          <w:tcPr/>
          <w:p>
            <w:pPr>
              <w:pStyle w:val="Compact"/>
              <w:jc w:val="right"/>
            </w:pPr>
            <w:r>
              <w:t xml:space="preserve">35731.44</w:t>
            </w:r>
          </w:p>
        </w:tc>
        <w:tc>
          <w:tcPr/>
          <w:p>
            <w:pPr>
              <w:pStyle w:val="Compact"/>
              <w:jc w:val="right"/>
            </w:pPr>
            <w:r>
              <w:t xml:space="preserve">47389.45</w:t>
            </w:r>
          </w:p>
        </w:tc>
        <w:tc>
          <w:tcPr/>
          <w:p>
            <w:pPr>
              <w:pStyle w:val="Compact"/>
              <w:jc w:val="right"/>
            </w:pPr>
            <w:r>
              <w:t xml:space="preserve">55777.54</w:t>
            </w:r>
          </w:p>
        </w:tc>
        <w:tc>
          <w:tcPr/>
          <w:p>
            <w:pPr>
              <w:pStyle w:val="Compact"/>
              <w:jc w:val="right"/>
            </w:pPr>
            <w:r>
              <w:t xml:space="preserve">62251.75</w:t>
            </w:r>
          </w:p>
        </w:tc>
        <w:tc>
          <w:tcPr/>
          <w:p>
            <w:pPr>
              <w:pStyle w:val="Compact"/>
              <w:jc w:val="right"/>
            </w:pPr>
            <w:r>
              <w:t xml:space="preserve">65893.24</w:t>
            </w:r>
          </w:p>
        </w:tc>
        <w:tc>
          <w:tcPr/>
          <w:p>
            <w:pPr>
              <w:pStyle w:val="Compact"/>
              <w:jc w:val="right"/>
            </w:pPr>
            <w:r>
              <w:t xml:space="preserve">68858.89</w:t>
            </w:r>
          </w:p>
        </w:tc>
        <w:tc>
          <w:tcPr/>
          <w:p>
            <w:pPr>
              <w:pStyle w:val="Compact"/>
              <w:jc w:val="right"/>
            </w:pPr>
            <w:r>
              <w:t xml:space="preserve">70470.62</w:t>
            </w:r>
          </w:p>
        </w:tc>
        <w:tc>
          <w:tcPr/>
          <w:p>
            <w:pPr>
              <w:pStyle w:val="Compact"/>
              <w:jc w:val="right"/>
            </w:pPr>
            <w:r>
              <w:t xml:space="preserve">71709.81</w:t>
            </w:r>
          </w:p>
        </w:tc>
        <w:tc>
          <w:tcPr/>
          <w:p>
            <w:pPr>
              <w:pStyle w:val="Compact"/>
              <w:jc w:val="right"/>
            </w:pPr>
            <w:r>
              <w:t xml:space="preserve">72883.15</w:t>
            </w:r>
          </w:p>
        </w:tc>
      </w:tr>
      <w:tr>
        <w:tc>
          <w:tcPr/>
          <w:p>
            <w:pPr>
              <w:pStyle w:val="Compact"/>
              <w:jc w:val="right"/>
            </w:pPr>
            <w:r>
              <w:t xml:space="preserve">2022</w:t>
            </w:r>
          </w:p>
        </w:tc>
        <w:tc>
          <w:tcPr/>
          <w:p>
            <w:pPr>
              <w:pStyle w:val="Compact"/>
              <w:jc w:val="left"/>
            </w:pPr>
            <w:r>
              <w:t xml:space="preserve">NA</w:t>
            </w:r>
          </w:p>
        </w:tc>
        <w:tc>
          <w:tcPr/>
          <w:p>
            <w:pPr>
              <w:pStyle w:val="Compact"/>
              <w:jc w:val="right"/>
            </w:pPr>
            <w:r>
              <w:t xml:space="preserve">21710.35</w:t>
            </w:r>
          </w:p>
        </w:tc>
        <w:tc>
          <w:tcPr/>
          <w:p>
            <w:pPr>
              <w:pStyle w:val="Compact"/>
              <w:jc w:val="right"/>
            </w:pPr>
            <w:r>
              <w:t xml:space="preserve">36669.78</w:t>
            </w:r>
          </w:p>
        </w:tc>
        <w:tc>
          <w:tcPr/>
          <w:p>
            <w:pPr>
              <w:pStyle w:val="Compact"/>
              <w:jc w:val="right"/>
            </w:pPr>
            <w:r>
              <w:t xml:space="preserve">48633.93</w:t>
            </w:r>
          </w:p>
        </w:tc>
        <w:tc>
          <w:tcPr/>
          <w:p>
            <w:pPr>
              <w:pStyle w:val="Compact"/>
              <w:jc w:val="right"/>
            </w:pPr>
            <w:r>
              <w:t xml:space="preserve">57242.31</w:t>
            </w:r>
          </w:p>
        </w:tc>
        <w:tc>
          <w:tcPr/>
          <w:p>
            <w:pPr>
              <w:pStyle w:val="Compact"/>
              <w:jc w:val="right"/>
            </w:pPr>
            <w:r>
              <w:t xml:space="preserve">63886.54</w:t>
            </w:r>
          </w:p>
        </w:tc>
        <w:tc>
          <w:tcPr/>
          <w:p>
            <w:pPr>
              <w:pStyle w:val="Compact"/>
              <w:jc w:val="right"/>
            </w:pPr>
            <w:r>
              <w:t xml:space="preserve">67623.65</w:t>
            </w:r>
          </w:p>
        </w:tc>
        <w:tc>
          <w:tcPr/>
          <w:p>
            <w:pPr>
              <w:pStyle w:val="Compact"/>
              <w:jc w:val="right"/>
            </w:pPr>
            <w:r>
              <w:t xml:space="preserve">70667.19</w:t>
            </w:r>
          </w:p>
        </w:tc>
        <w:tc>
          <w:tcPr/>
          <w:p>
            <w:pPr>
              <w:pStyle w:val="Compact"/>
              <w:jc w:val="right"/>
            </w:pPr>
            <w:r>
              <w:t xml:space="preserve">72321.24</w:t>
            </w:r>
          </w:p>
        </w:tc>
        <w:tc>
          <w:tcPr/>
          <w:p>
            <w:pPr>
              <w:pStyle w:val="Compact"/>
              <w:jc w:val="right"/>
            </w:pPr>
            <w:r>
              <w:t xml:space="preserve">73592.98</w:t>
            </w:r>
          </w:p>
        </w:tc>
        <w:tc>
          <w:tcPr/>
          <w:p>
            <w:pPr>
              <w:pStyle w:val="Compact"/>
              <w:jc w:val="right"/>
            </w:pPr>
            <w:r>
              <w:t xml:space="preserve">74797.13</w:t>
            </w:r>
          </w:p>
        </w:tc>
      </w:tr>
    </w:tbl>
    <w:bookmarkEnd w:id="290"/>
    <w:p>
      <w:pPr>
        <w:pStyle w:val="BodyText"/>
      </w:pPr>
      <w:r>
        <w:t xml:space="preserve">On en déduit facilement les flux de règlements futurs en faisant la sommes des élments du triangle inférieur décumulé. Par suite, on obtient les cashflows pour les 10 années de projections suivants :</w:t>
      </w:r>
    </w:p>
    <w:bookmarkStart w:id="291" w:name="tbl-cash"/>
    <w:p>
      <w:pPr>
        <w:pStyle w:val="TableCaption"/>
      </w:pPr>
      <w:r>
        <w:t xml:space="preserve">Table 10: Flux de règlements futurs (Cafh Flows)</w:t>
      </w:r>
    </w:p>
    <w:tbl>
      <w:tblPr>
        <w:tblStyle w:val="Table"/>
        <w:tblW w:type="auto" w:w="0"/>
        <w:tblLook w:firstRow="1" w:lastRow="0" w:firstColumn="0" w:lastColumn="0" w:noHBand="0" w:noVBand="0" w:val="0020"/>
        <w:jc w:val="start"/>
        <w:tblCaption w:val="Table 10: Flux de règlements futurs (Cafh Flows)"/>
      </w:tblPr>
      <w:tblGrid>
        <w:gridCol w:w="3960"/>
        <w:gridCol w:w="3960"/>
      </w:tblGrid>
      <w:tr>
        <w:trPr>
          <w:tblHeader w:val="true"/>
        </w:trPr>
        <w:tc>
          <w:tcPr/>
          <w:p>
            <w:pPr>
              <w:pStyle w:val="Compact"/>
              <w:jc w:val="right"/>
            </w:pPr>
            <w:r>
              <w:t xml:space="preserve">Année</w:t>
            </w:r>
          </w:p>
        </w:tc>
        <w:tc>
          <w:tcPr/>
          <w:p>
            <w:pPr>
              <w:pStyle w:val="Compact"/>
              <w:jc w:val="right"/>
            </w:pPr>
            <w:r>
              <w:t xml:space="preserve">Flux de règlements futurs nets de recours</w:t>
            </w:r>
          </w:p>
        </w:tc>
      </w:tr>
      <w:tr>
        <w:tc>
          <w:tcPr/>
          <w:p>
            <w:pPr>
              <w:pStyle w:val="Compact"/>
              <w:jc w:val="right"/>
            </w:pPr>
            <w:r>
              <w:t xml:space="preserve">2023</w:t>
            </w:r>
          </w:p>
        </w:tc>
        <w:tc>
          <w:tcPr/>
          <w:p>
            <w:pPr>
              <w:pStyle w:val="Compact"/>
              <w:jc w:val="right"/>
            </w:pPr>
            <w:r>
              <w:t xml:space="preserve">69516.673</w:t>
            </w:r>
          </w:p>
        </w:tc>
      </w:tr>
      <w:tr>
        <w:tc>
          <w:tcPr/>
          <w:p>
            <w:pPr>
              <w:pStyle w:val="Compact"/>
              <w:jc w:val="right"/>
            </w:pPr>
            <w:r>
              <w:t xml:space="preserve">2024</w:t>
            </w:r>
          </w:p>
        </w:tc>
        <w:tc>
          <w:tcPr/>
          <w:p>
            <w:pPr>
              <w:pStyle w:val="Compact"/>
              <w:jc w:val="right"/>
            </w:pPr>
            <w:r>
              <w:t xml:space="preserve">53526.816</w:t>
            </w:r>
          </w:p>
        </w:tc>
      </w:tr>
      <w:tr>
        <w:tc>
          <w:tcPr/>
          <w:p>
            <w:pPr>
              <w:pStyle w:val="Compact"/>
              <w:jc w:val="right"/>
            </w:pPr>
            <w:r>
              <w:t xml:space="preserve">2025</w:t>
            </w:r>
          </w:p>
        </w:tc>
        <w:tc>
          <w:tcPr/>
          <w:p>
            <w:pPr>
              <w:pStyle w:val="Compact"/>
              <w:jc w:val="right"/>
            </w:pPr>
            <w:r>
              <w:t xml:space="preserve">38666.143</w:t>
            </w:r>
          </w:p>
        </w:tc>
      </w:tr>
      <w:tr>
        <w:tc>
          <w:tcPr/>
          <w:p>
            <w:pPr>
              <w:pStyle w:val="Compact"/>
              <w:jc w:val="right"/>
            </w:pPr>
            <w:r>
              <w:t xml:space="preserve">2026</w:t>
            </w:r>
          </w:p>
        </w:tc>
        <w:tc>
          <w:tcPr/>
          <w:p>
            <w:pPr>
              <w:pStyle w:val="Compact"/>
              <w:jc w:val="right"/>
            </w:pPr>
            <w:r>
              <w:t xml:space="preserve">26538.953</w:t>
            </w:r>
          </w:p>
        </w:tc>
      </w:tr>
      <w:tr>
        <w:tc>
          <w:tcPr/>
          <w:p>
            <w:pPr>
              <w:pStyle w:val="Compact"/>
              <w:jc w:val="right"/>
            </w:pPr>
            <w:r>
              <w:t xml:space="preserve">2027</w:t>
            </w:r>
          </w:p>
        </w:tc>
        <w:tc>
          <w:tcPr/>
          <w:p>
            <w:pPr>
              <w:pStyle w:val="Compact"/>
              <w:jc w:val="right"/>
            </w:pPr>
            <w:r>
              <w:t xml:space="preserve">17684.015</w:t>
            </w:r>
          </w:p>
        </w:tc>
      </w:tr>
      <w:tr>
        <w:tc>
          <w:tcPr/>
          <w:p>
            <w:pPr>
              <w:pStyle w:val="Compact"/>
              <w:jc w:val="right"/>
            </w:pPr>
            <w:r>
              <w:t xml:space="preserve">2028</w:t>
            </w:r>
          </w:p>
        </w:tc>
        <w:tc>
          <w:tcPr/>
          <w:p>
            <w:pPr>
              <w:pStyle w:val="Compact"/>
              <w:jc w:val="right"/>
            </w:pPr>
            <w:r>
              <w:t xml:space="preserve">11191.502</w:t>
            </w:r>
          </w:p>
        </w:tc>
      </w:tr>
      <w:tr>
        <w:tc>
          <w:tcPr/>
          <w:p>
            <w:pPr>
              <w:pStyle w:val="Compact"/>
              <w:jc w:val="right"/>
            </w:pPr>
            <w:r>
              <w:t xml:space="preserve">2029</w:t>
            </w:r>
          </w:p>
        </w:tc>
        <w:tc>
          <w:tcPr/>
          <w:p>
            <w:pPr>
              <w:pStyle w:val="Compact"/>
              <w:jc w:val="right"/>
            </w:pPr>
            <w:r>
              <w:t xml:space="preserve">7543.367</w:t>
            </w:r>
          </w:p>
        </w:tc>
      </w:tr>
      <w:tr>
        <w:tc>
          <w:tcPr/>
          <w:p>
            <w:pPr>
              <w:pStyle w:val="Compact"/>
              <w:jc w:val="right"/>
            </w:pPr>
            <w:r>
              <w:t xml:space="preserve">2030</w:t>
            </w:r>
          </w:p>
        </w:tc>
        <w:tc>
          <w:tcPr/>
          <w:p>
            <w:pPr>
              <w:pStyle w:val="Compact"/>
              <w:jc w:val="right"/>
            </w:pPr>
            <w:r>
              <w:t xml:space="preserve">4294.611</w:t>
            </w:r>
          </w:p>
        </w:tc>
      </w:tr>
      <w:tr>
        <w:tc>
          <w:tcPr/>
          <w:p>
            <w:pPr>
              <w:pStyle w:val="Compact"/>
              <w:jc w:val="right"/>
            </w:pPr>
            <w:r>
              <w:t xml:space="preserve">2031</w:t>
            </w:r>
          </w:p>
        </w:tc>
        <w:tc>
          <w:tcPr/>
          <w:p>
            <w:pPr>
              <w:pStyle w:val="Compact"/>
              <w:jc w:val="right"/>
            </w:pPr>
            <w:r>
              <w:t xml:space="preserve">2445.069</w:t>
            </w:r>
          </w:p>
        </w:tc>
      </w:tr>
      <w:tr>
        <w:tc>
          <w:tcPr/>
          <w:p>
            <w:pPr>
              <w:pStyle w:val="Compact"/>
              <w:jc w:val="right"/>
            </w:pPr>
            <w:r>
              <w:t xml:space="preserve">2032</w:t>
            </w:r>
          </w:p>
        </w:tc>
        <w:tc>
          <w:tcPr/>
          <w:p>
            <w:pPr>
              <w:pStyle w:val="Compact"/>
              <w:jc w:val="right"/>
            </w:pPr>
            <w:r>
              <w:t xml:space="preserve">1204.150</w:t>
            </w:r>
          </w:p>
        </w:tc>
      </w:tr>
    </w:tbl>
    <w:bookmarkEnd w:id="291"/>
    <w:p>
      <w:pPr>
        <w:pStyle w:val="BodyText"/>
      </w:pPr>
      <w:r>
        <w:t xml:space="preserve">Une actualisation des cash flows de la</w:t>
      </w:r>
      <w:r>
        <w:t xml:space="preserve"> </w:t>
      </w:r>
      <w:hyperlink w:anchor="tbl-cash">
        <w:r>
          <w:rPr>
            <w:rStyle w:val="Hyperlink"/>
          </w:rPr>
          <w:t xml:space="preserve">Table 10</w:t>
        </w:r>
      </w:hyperlink>
      <w:r>
        <w:t xml:space="preserve"> </w:t>
      </w:r>
      <w:r>
        <w:t xml:space="preserve">par la courbe des taux zéro coupon s’opère automatiquement par l’application pour effectuer le calcul de la meilleure estimation des engagements pour sinistres :</w:t>
      </w:r>
    </w:p>
    <w:p>
      <w:pPr>
        <w:pStyle w:val="BodyText"/>
      </w:pPr>
      <m:oMathPara>
        <m:oMathParaPr>
          <m:jc m:val="center"/>
        </m:oMathParaPr>
        <m:oMath>
          <m:r>
            <m:t>B</m:t>
          </m:r>
          <m:r>
            <m:t>E</m:t>
          </m:r>
          <m:r>
            <m:t>S</m:t>
          </m:r>
          <m:r>
            <m:rPr>
              <m:sty m:val="p"/>
            </m:rPr>
            <m:t>=</m:t>
          </m:r>
          <m:r>
            <m:t>213</m:t>
          </m:r>
          <m:r>
            <m:t> </m:t>
          </m:r>
          <m:r>
            <m:t>799</m:t>
          </m:r>
          <m:r>
            <m:t> </m:t>
          </m:r>
          <m:r>
            <m:rPr>
              <m:nor/>
              <m:sty m:val="p"/>
            </m:rPr>
            <m:t>MAD</m:t>
          </m:r>
        </m:oMath>
      </m:oMathPara>
    </w:p>
    <w:bookmarkEnd w:id="292"/>
    <w:bookmarkStart w:id="296" w:name="Xec76dcf86b3294f48a9bca8d3a72733b31834ca"/>
    <w:p>
      <w:pPr>
        <w:pStyle w:val="Heading5"/>
      </w:pPr>
      <w:r>
        <w:t xml:space="preserve">Meilleure estimation des engagements pour prime (</w:t>
      </w:r>
      <m:oMath>
        <m:r>
          <m:t>B</m:t>
        </m:r>
        <m:r>
          <m:t>E</m:t>
        </m:r>
        <m:r>
          <m:t>P</m:t>
        </m:r>
      </m:oMath>
      <w:r>
        <w:t xml:space="preserve">)</w:t>
      </w:r>
    </w:p>
    <w:p>
      <w:pPr>
        <w:pStyle w:val="FirstParagraph"/>
      </w:pPr>
      <w:r>
        <w:t xml:space="preserve">Pour le calcul de la</w:t>
      </w:r>
      <w:r>
        <w:t xml:space="preserve"> </w:t>
      </w:r>
      <m:oMath>
        <m:r>
          <m:t>B</m:t>
        </m:r>
        <m:r>
          <m:t>E</m:t>
        </m:r>
        <m:r>
          <m:t>P</m:t>
        </m:r>
      </m:oMath>
      <w:r>
        <w:t xml:space="preserve">, nous avons besoin du ration de sinitralité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Notre application calcule ce ratio à partir des PA données en input puisque nous disposons déjà des charges ultimes, qui, nous le rappelons, correspondent aux éléments de la dernière colonne de la</w:t>
      </w:r>
      <w:r>
        <w:t xml:space="preserve"> </w:t>
      </w:r>
      <w:hyperlink w:anchor="tbl-regF">
        <w:r>
          <w:rPr>
            <w:rStyle w:val="Hyperlink"/>
          </w:rPr>
          <w:t xml:space="preserve">Table 9</w:t>
        </w:r>
      </w:hyperlink>
      <w:r>
        <w:t xml:space="preserve">. Ainsi nous obtenons les paramètres suivants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Parametre</w:t>
            </w:r>
          </w:p>
        </w:tc>
        <w:tc>
          <w:tcPr/>
          <w:p>
            <w:pPr>
              <w:pStyle w:val="Compact"/>
              <w:jc w:val="left"/>
            </w:pPr>
            <w:r>
              <w:t xml:space="preserve">Valeur</w:t>
            </w:r>
          </w:p>
        </w:tc>
      </w:tr>
      <w:tr>
        <w:tc>
          <w:tcPr/>
          <w:p>
            <w:pPr>
              <w:pStyle w:val="Compact"/>
              <w:jc w:val="left"/>
            </w:pPr>
            <w:r>
              <w:t xml:space="preserve">RS</w:t>
            </w:r>
          </w:p>
        </w:tc>
        <w:tc>
          <w:tcPr/>
          <w:p>
            <w:pPr>
              <w:pStyle w:val="Compact"/>
              <w:jc w:val="left"/>
            </w:pPr>
            <w:r>
              <w:t xml:space="preserve">0,698546111</w:t>
            </w:r>
          </w:p>
        </w:tc>
      </w:tr>
      <w:tr>
        <w:tc>
          <w:tcPr/>
          <w:p>
            <w:pPr>
              <w:pStyle w:val="Compact"/>
              <w:jc w:val="left"/>
            </w:pPr>
            <w:r>
              <w:t xml:space="preserve">PPNA</w:t>
            </w:r>
          </w:p>
        </w:tc>
        <w:tc>
          <w:tcPr/>
          <w:p>
            <w:pPr>
              <w:pStyle w:val="Compact"/>
              <w:jc w:val="left"/>
            </w:pPr>
            <w:r>
              <w:t xml:space="preserve">25000</w:t>
            </w:r>
          </w:p>
        </w:tc>
      </w:tr>
      <w:tr>
        <w:tc>
          <w:tcPr/>
          <w:p>
            <w:pPr>
              <w:pStyle w:val="Compact"/>
              <w:jc w:val="left"/>
            </w:pPr>
            <w:r>
              <w:t xml:space="preserve">Primes futurs</w:t>
            </w:r>
          </w:p>
        </w:tc>
        <w:tc>
          <w:tcPr/>
          <w:p>
            <w:pPr>
              <w:pStyle w:val="Compact"/>
              <w:jc w:val="left"/>
            </w:pPr>
            <w:r>
              <w:t xml:space="preserve">100000</w:t>
            </w:r>
          </w:p>
        </w:tc>
      </w:tr>
      <w:tr>
        <w:tc>
          <w:tcPr/>
          <w:p>
            <w:pPr>
              <w:pStyle w:val="Compact"/>
              <w:jc w:val="left"/>
            </w:pPr>
            <w:r>
              <w:t xml:space="preserve">Taux de frais d'acquisition</w:t>
            </w:r>
          </w:p>
        </w:tc>
        <w:tc>
          <w:tcPr/>
          <w:p>
            <w:pPr>
              <w:pStyle w:val="Compact"/>
              <w:jc w:val="left"/>
            </w:pPr>
            <w:r>
              <w:t xml:space="preserve">0,1</w:t>
            </w:r>
          </w:p>
        </w:tc>
      </w:tr>
    </w:tbl>
    <w:p>
      <w:pPr>
        <w:pStyle w:val="BodyText"/>
      </w:pPr>
      <w:r>
        <w:t xml:space="preserve">Après détermination des cadences de liquidation, nous trouve comme meilleure estimation des engagements pour prime :</w:t>
      </w:r>
    </w:p>
    <w:p>
      <w:pPr>
        <w:pStyle w:val="BodyText"/>
      </w:pPr>
      <m:oMathPara>
        <m:oMathParaPr>
          <m:jc m:val="center"/>
        </m:oMathParaPr>
        <m:oMath>
          <m:r>
            <m:t>B</m:t>
          </m:r>
          <m:r>
            <m:t>E</m:t>
          </m:r>
          <m:r>
            <m:t>P</m:t>
          </m:r>
          <m:r>
            <m:rPr>
              <m:sty m:val="p"/>
            </m:rPr>
            <m:t>=</m:t>
          </m:r>
          <m:r>
            <m:rPr>
              <m:sty m:val="p"/>
            </m:rPr>
            <m:t>−</m:t>
          </m:r>
          <m:r>
            <m:t>16</m:t>
          </m:r>
          <m:r>
            <m:t> </m:t>
          </m:r>
          <m:r>
            <m:t>907</m:t>
          </m:r>
          <m:r>
            <m:t> </m:t>
          </m:r>
          <m:r>
            <m:rPr>
              <m:nor/>
              <m:sty m:val="p"/>
            </m:rPr>
            <m:t>MAD</m:t>
          </m:r>
        </m:oMath>
      </m:oMathPara>
    </w:p>
    <w:p>
      <w:pPr>
        <w:pStyle w:val="FirstParagraph"/>
      </w:pPr>
      <w:r>
        <w:t xml:space="preserve">Ce résultat négatif s’explique par le montant des primes primes futurs. En effet, du fait que cette prime soit unique et importante, au moment de l’inventaire, l’asssureur a encaissé plus qu’il ne doit décaisser d’ici 10 ans pour les engagements correspondants. Par conséquent, puis que la meilleure estimation correspond à la différence entre les décaiseement et les encaissements, alors c’est pourquoi la</w:t>
      </w:r>
      <w:r>
        <w:t xml:space="preserve"> </w:t>
      </w:r>
      <m:oMath>
        <m:r>
          <m:t>B</m:t>
        </m:r>
        <m:r>
          <m:t>E</m:t>
        </m:r>
        <m:r>
          <m:t>P</m:t>
        </m:r>
      </m:oMath>
      <w:r>
        <w:t xml:space="preserve"> </w:t>
      </w:r>
      <w:r>
        <w:t xml:space="preserve">est négative.</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t xml:space="preserve">Cad.0</w:t>
            </w:r>
          </w:p>
        </w:tc>
        <w:tc>
          <w:tcPr/>
          <w:p>
            <w:pPr>
              <w:pStyle w:val="Compact"/>
              <w:jc w:val="left"/>
            </w:pPr>
            <w:r>
              <w:t xml:space="preserve">Cad.1</w:t>
            </w:r>
          </w:p>
        </w:tc>
        <w:tc>
          <w:tcPr/>
          <w:p>
            <w:pPr>
              <w:pStyle w:val="Compact"/>
              <w:jc w:val="left"/>
            </w:pPr>
            <w:r>
              <w:t xml:space="preserve">Cad.2</w:t>
            </w:r>
          </w:p>
        </w:tc>
        <w:tc>
          <w:tcPr/>
          <w:p>
            <w:pPr>
              <w:pStyle w:val="Compact"/>
              <w:jc w:val="left"/>
            </w:pPr>
            <w:r>
              <w:t xml:space="preserve">Cad.3</w:t>
            </w:r>
          </w:p>
        </w:tc>
        <w:tc>
          <w:tcPr/>
          <w:p>
            <w:pPr>
              <w:pStyle w:val="Compact"/>
              <w:jc w:val="left"/>
            </w:pPr>
            <w:r>
              <w:t xml:space="preserve">Cad.4</w:t>
            </w:r>
          </w:p>
        </w:tc>
        <w:tc>
          <w:tcPr/>
          <w:p>
            <w:pPr>
              <w:pStyle w:val="Compact"/>
              <w:jc w:val="left"/>
            </w:pPr>
            <w:r>
              <w:t xml:space="preserve">Cad.5</w:t>
            </w:r>
          </w:p>
        </w:tc>
        <w:tc>
          <w:tcPr/>
          <w:p>
            <w:pPr>
              <w:pStyle w:val="Compact"/>
              <w:jc w:val="left"/>
            </w:pPr>
            <w:r>
              <w:t xml:space="preserve">Cad.6</w:t>
            </w:r>
          </w:p>
        </w:tc>
        <w:tc>
          <w:tcPr/>
          <w:p>
            <w:pPr>
              <w:pStyle w:val="Compact"/>
              <w:jc w:val="left"/>
            </w:pPr>
            <w:r>
              <w:t xml:space="preserve">Cad.7</w:t>
            </w:r>
          </w:p>
        </w:tc>
        <w:tc>
          <w:tcPr/>
          <w:p>
            <w:pPr>
              <w:pStyle w:val="Compact"/>
              <w:jc w:val="left"/>
            </w:pPr>
            <w:r>
              <w:t xml:space="preserve">Cad.8</w:t>
            </w:r>
          </w:p>
        </w:tc>
        <w:tc>
          <w:tcPr/>
          <w:p>
            <w:pPr>
              <w:pStyle w:val="Compact"/>
              <w:jc w:val="left"/>
            </w:pPr>
            <w:r>
              <w:t xml:space="preserve">Cad.9</w:t>
            </w:r>
          </w:p>
        </w:tc>
        <w:tc>
          <w:tcPr/>
          <w:p>
            <w:pPr>
              <w:pStyle w:val="Compact"/>
              <w:jc w:val="left"/>
            </w:pPr>
            <w:r>
              <w:t xml:space="preserve">Cad.10</w:t>
            </w:r>
          </w:p>
        </w:tc>
      </w:tr>
      <w:tr>
        <w:tc>
          <w:tcPr/>
          <w:p>
            <w:pPr>
              <w:pStyle w:val="Compact"/>
              <w:jc w:val="left"/>
            </w:pPr>
            <w:r>
              <w:t xml:space="preserve">7,78%</w:t>
            </w:r>
          </w:p>
        </w:tc>
        <w:tc>
          <w:tcPr/>
          <w:p>
            <w:pPr>
              <w:pStyle w:val="Compact"/>
              <w:jc w:val="left"/>
            </w:pPr>
            <w:r>
              <w:t xml:space="preserve">21,25%</w:t>
            </w:r>
          </w:p>
        </w:tc>
        <w:tc>
          <w:tcPr/>
          <w:p>
            <w:pPr>
              <w:pStyle w:val="Compact"/>
              <w:jc w:val="left"/>
            </w:pPr>
            <w:r>
              <w:t xml:space="preserve">20,00%</w:t>
            </w:r>
          </w:p>
        </w:tc>
        <w:tc>
          <w:tcPr/>
          <w:p>
            <w:pPr>
              <w:pStyle w:val="Compact"/>
              <w:jc w:val="left"/>
            </w:pPr>
            <w:r>
              <w:t xml:space="preserve">16,00%</w:t>
            </w:r>
          </w:p>
        </w:tc>
        <w:tc>
          <w:tcPr/>
          <w:p>
            <w:pPr>
              <w:pStyle w:val="Compact"/>
              <w:jc w:val="left"/>
            </w:pPr>
            <w:r>
              <w:t xml:space="preserve">11,51%</w:t>
            </w:r>
          </w:p>
        </w:tc>
        <w:tc>
          <w:tcPr/>
          <w:p>
            <w:pPr>
              <w:pStyle w:val="Compact"/>
              <w:jc w:val="left"/>
            </w:pPr>
            <w:r>
              <w:t xml:space="preserve">8,88%</w:t>
            </w:r>
          </w:p>
        </w:tc>
        <w:tc>
          <w:tcPr/>
          <w:p>
            <w:pPr>
              <w:pStyle w:val="Compact"/>
              <w:jc w:val="left"/>
            </w:pPr>
            <w:r>
              <w:t xml:space="preserve">5,00%</w:t>
            </w:r>
          </w:p>
        </w:tc>
        <w:tc>
          <w:tcPr/>
          <w:p>
            <w:pPr>
              <w:pStyle w:val="Compact"/>
              <w:jc w:val="left"/>
            </w:pPr>
            <w:r>
              <w:t xml:space="preserve">4,07%</w:t>
            </w:r>
          </w:p>
        </w:tc>
        <w:tc>
          <w:tcPr/>
          <w:p>
            <w:pPr>
              <w:pStyle w:val="Compact"/>
              <w:jc w:val="left"/>
            </w:pPr>
            <w:r>
              <w:t xml:space="preserve">2,21%</w:t>
            </w:r>
          </w:p>
        </w:tc>
        <w:tc>
          <w:tcPr/>
          <w:p>
            <w:pPr>
              <w:pStyle w:val="Compact"/>
              <w:jc w:val="left"/>
            </w:pPr>
            <w:r>
              <w:t xml:space="preserve">1,70%</w:t>
            </w:r>
          </w:p>
        </w:tc>
        <w:tc>
          <w:tcPr/>
          <w:p>
            <w:pPr>
              <w:pStyle w:val="Compact"/>
              <w:jc w:val="left"/>
            </w:pPr>
            <w:r>
              <w:t xml:space="preserve">1,61%</w:t>
            </w:r>
          </w:p>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2214"/>
                  <wp:effectExtent b="0" l="0" r="0" t="0"/>
                  <wp:docPr descr="" title="" id="294" name="Picture"/>
                  <a:graphic>
                    <a:graphicData uri="http://schemas.openxmlformats.org/drawingml/2006/picture">
                      <pic:pic>
                        <pic:nvPicPr>
                          <pic:cNvPr descr="Rapport-PFE_files/figure-html/cad.png" id="295" name="Picture"/>
                          <pic:cNvPicPr>
                            <a:picLocks noChangeArrowheads="1" noChangeAspect="1"/>
                          </pic:cNvPicPr>
                        </pic:nvPicPr>
                        <pic:blipFill>
                          <a:blip r:embed="rId293"/>
                          <a:stretch>
                            <a:fillRect/>
                          </a:stretch>
                        </pic:blipFill>
                        <pic:spPr bwMode="auto">
                          <a:xfrm>
                            <a:off x="0" y="0"/>
                            <a:ext cx="5334000" cy="4262214"/>
                          </a:xfrm>
                          <a:prstGeom prst="rect">
                            <a:avLst/>
                          </a:prstGeom>
                          <a:noFill/>
                          <a:ln w="9525">
                            <a:noFill/>
                            <a:headEnd/>
                            <a:tailEnd/>
                          </a:ln>
                        </pic:spPr>
                      </pic:pic>
                    </a:graphicData>
                  </a:graphic>
                </wp:inline>
              </w:drawing>
            </w:r>
          </w:p>
          <w:p>
            <w:pPr>
              <w:jc w:val="center"/>
            </w:pPr>
            <w:pPr>
              <w:jc w:val="start"/>
              <w:spacing w:before="200"/>
              <w:pStyle w:val="ImageCaption"/>
            </w:pPr>
            <w:r>
              <w:t xml:space="preserve">Output des cadences de liquidations dans l’application</w:t>
            </w:r>
          </w:p>
        </w:tc>
      </w:tr>
    </w:tbl>
    <w:bookmarkEnd w:id="296"/>
    <w:bookmarkStart w:id="300" w:name="X2013334023ad673b57272bdd191af21a92b46a7"/>
    <w:p>
      <w:pPr>
        <w:pStyle w:val="Heading5"/>
      </w:pPr>
      <w:r>
        <w:t xml:space="preserve">Meilleure estimation des frais de gestions (</w:t>
      </w:r>
      <m:oMath>
        <m:r>
          <m:t>B</m:t>
        </m:r>
        <m:r>
          <m:t>E</m:t>
        </m:r>
        <m:r>
          <m:t>F</m:t>
        </m:r>
        <m:r>
          <m:t>G</m:t>
        </m:r>
      </m:oMath>
      <w:r>
        <w:t xml:space="preserve">)</w:t>
      </w:r>
    </w:p>
    <w:p>
      <w:pPr>
        <w:pStyle w:val="FirstParagraph"/>
      </w:pPr>
      <w:r>
        <w:t xml:space="preserve">Le taux moyen des trois dernières années des frais de gestions étant de</w:t>
      </w:r>
      <w:r>
        <w:t xml:space="preserve"> </w:t>
      </w:r>
      <m:oMath>
        <m:r>
          <m:t>3</m:t>
        </m:r>
        <m:r>
          <m:rPr>
            <m:sty m:val="p"/>
          </m:rPr>
          <m:t>%</m:t>
        </m:r>
      </m:oMath>
      <w:r>
        <w:t xml:space="preserve">, on aboutit au résultat :</w:t>
      </w:r>
    </w:p>
    <w:p>
      <w:pPr>
        <w:pStyle w:val="BodyText"/>
      </w:pPr>
      <m:oMathPara>
        <m:oMathParaPr>
          <m:jc m:val="center"/>
        </m:oMathParaPr>
        <m:oMath>
          <m:r>
            <m:t>B</m:t>
          </m:r>
          <m:r>
            <m:t>E</m:t>
          </m:r>
          <m:r>
            <m:t>F</m:t>
          </m:r>
          <m:r>
            <m:t>G</m:t>
          </m:r>
          <m:r>
            <m:rPr>
              <m:sty m:val="p"/>
            </m:rPr>
            <m:t>=</m:t>
          </m:r>
          <m:r>
            <m:t>59</m:t>
          </m:r>
          <m:r>
            <m:t> </m:t>
          </m:r>
          <m:r>
            <m:t>067</m:t>
          </m:r>
          <m:r>
            <m:t> </m:t>
          </m:r>
          <m:r>
            <m:rPr>
              <m:nor/>
              <m:sty m:val="p"/>
            </m:rPr>
            <m:t>MAD</m:t>
          </m:r>
        </m:oMath>
      </m:oMathPara>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98910"/>
                  <wp:effectExtent b="0" l="0" r="0" t="0"/>
                  <wp:docPr descr="" title="" id="298" name="Picture"/>
                  <a:graphic>
                    <a:graphicData uri="http://schemas.openxmlformats.org/drawingml/2006/picture">
                      <pic:pic>
                        <pic:nvPicPr>
                          <pic:cNvPr descr="Rapport-PFE_files/figure-html/BENV.png" id="299" name="Picture"/>
                          <pic:cNvPicPr>
                            <a:picLocks noChangeArrowheads="1" noChangeAspect="1"/>
                          </pic:cNvPicPr>
                        </pic:nvPicPr>
                        <pic:blipFill>
                          <a:blip r:embed="rId297"/>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Affichages des BE dans l’application</w:t>
            </w:r>
          </w:p>
        </w:tc>
      </w:tr>
    </w:tbl>
    <w:bookmarkEnd w:id="300"/>
    <w:bookmarkEnd w:id="301"/>
    <w:bookmarkStart w:id="316" w:name="opérations-dassurance-vie"/>
    <w:p>
      <w:pPr>
        <w:pStyle w:val="Heading3"/>
      </w:pPr>
      <w:r>
        <w:t xml:space="preserve">Opérations d’assurance vie</w:t>
      </w:r>
    </w:p>
    <w:p>
      <w:pPr>
        <w:pStyle w:val="FirstParagraph"/>
      </w:pPr>
      <w:r>
        <w:t xml:space="preserve">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pPr>
        <w:numPr>
          <w:ilvl w:val="0"/>
          <w:numId w:val="1071"/>
        </w:numPr>
        <w:pStyle w:val="Compact"/>
      </w:pPr>
      <w:r>
        <w:rPr>
          <w:bCs/>
          <w:b/>
        </w:rPr>
        <w:t xml:space="preserve">Age de l’assuré</w:t>
      </w:r>
      <w:r>
        <w:t xml:space="preserve">,</w:t>
      </w:r>
    </w:p>
    <w:p>
      <w:pPr>
        <w:numPr>
          <w:ilvl w:val="0"/>
          <w:numId w:val="1071"/>
        </w:numPr>
        <w:pStyle w:val="Compact"/>
      </w:pPr>
      <w:r>
        <w:rPr>
          <w:bCs/>
          <w:b/>
        </w:rPr>
        <w:t xml:space="preserve">Année d’effet du contrat</w:t>
      </w:r>
      <w:r>
        <w:t xml:space="preserve">,</w:t>
      </w:r>
    </w:p>
    <w:p>
      <w:pPr>
        <w:numPr>
          <w:ilvl w:val="0"/>
          <w:numId w:val="1071"/>
        </w:numPr>
        <w:pStyle w:val="Compact"/>
      </w:pPr>
      <w:r>
        <w:rPr>
          <w:bCs/>
          <w:b/>
        </w:rPr>
        <w:t xml:space="preserve">Durée du contrat</w:t>
      </w:r>
      <w:r>
        <w:t xml:space="preserve">,</w:t>
      </w:r>
    </w:p>
    <w:p>
      <w:pPr>
        <w:numPr>
          <w:ilvl w:val="0"/>
          <w:numId w:val="1071"/>
        </w:numPr>
        <w:pStyle w:val="Compact"/>
      </w:pPr>
      <w:r>
        <w:rPr>
          <w:bCs/>
          <w:b/>
        </w:rPr>
        <w:t xml:space="preserve">Durée restante du contrat</w:t>
      </w:r>
      <w:r>
        <w:t xml:space="preserve">,</w:t>
      </w:r>
    </w:p>
    <w:p>
      <w:pPr>
        <w:numPr>
          <w:ilvl w:val="0"/>
          <w:numId w:val="1071"/>
        </w:numPr>
        <w:pStyle w:val="Compact"/>
      </w:pPr>
      <w:r>
        <w:rPr>
          <w:bCs/>
          <w:b/>
        </w:rPr>
        <w:t xml:space="preserve">Le capital initial</w:t>
      </w:r>
      <w:r>
        <w:t xml:space="preserve">.</w:t>
      </w:r>
    </w:p>
    <w:p>
      <w:pPr>
        <w:pStyle w:val="FirstParagraph"/>
      </w:pPr>
      <w:r>
        <w:t xml:space="preserve">L’utilisateur doit sélectionner les colonnes mentionner sous-dessus puis renseigné les frais de gestions unitaire moyen qui est de</w:t>
      </w:r>
      <w:r>
        <w:t xml:space="preserve"> </w:t>
      </w:r>
      <m:oMath>
        <m:r>
          <m:t>100</m:t>
        </m:r>
      </m:oMath>
      <w:r>
        <w:t xml:space="preserve"> </w:t>
      </w:r>
      <w:r>
        <w:t xml:space="preserve">pour notre étude.</w:t>
      </w:r>
    </w:p>
    <w:tbl>
      <w:tblPr>
        <w:tblStyle w:val="Table"/>
        <w:tblW w:type="pct" w:w="5000"/>
        <w:tblLook w:firstRow="0" w:lastRow="0" w:firstColumn="0" w:lastColumn="0" w:noHBand="0" w:noVBand="0" w:val="0000"/>
        <w:jc w:val="start"/>
      </w:tblPr>
      <w:tblGrid>
        <w:gridCol w:w="7920"/>
      </w:tblGrid>
      <w:tr>
        <w:tc>
          <w:tcPr/>
          <w:bookmarkStart w:id="305" w:name="fig-dec_import"/>
          <w:p>
            <w:pPr>
              <w:jc w:val="center"/>
            </w:pPr>
            <w:r>
              <w:drawing>
                <wp:inline>
                  <wp:extent cx="5334000" cy="2998910"/>
                  <wp:effectExtent b="0" l="0" r="0" t="0"/>
                  <wp:docPr descr="" title="" id="303" name="Picture"/>
                  <a:graphic>
                    <a:graphicData uri="http://schemas.openxmlformats.org/drawingml/2006/picture">
                      <pic:pic>
                        <pic:nvPicPr>
                          <pic:cNvPr descr="Rapport-PFE_files/figure-html/dec_import.png" id="304" name="Picture"/>
                          <pic:cNvPicPr>
                            <a:picLocks noChangeArrowheads="1" noChangeAspect="1"/>
                          </pic:cNvPicPr>
                        </pic:nvPicPr>
                        <pic:blipFill>
                          <a:blip r:embed="rId30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Importation des données (Capital Décès Dégressif)</w:t>
            </w:r>
          </w:p>
          <w:bookmarkEnd w:id="305"/>
        </w:tc>
      </w:tr>
    </w:tbl>
    <w:p>
      <w:pPr>
        <w:pStyle w:val="BodyText"/>
      </w:pPr>
      <w:r>
        <w:t xml:space="preserve"> </w:t>
      </w:r>
    </w:p>
    <w:bookmarkStart w:id="306" w:name="tbl-dec_table"/>
    <w:p>
      <w:pPr>
        <w:pStyle w:val="TableCaption"/>
      </w:pPr>
      <w:r>
        <w:t xml:space="preserve">Table 11: Données du Capital décès dégressif (CDD)</w:t>
      </w:r>
    </w:p>
    <w:tbl>
      <w:tblPr>
        <w:tblStyle w:val="Table"/>
        <w:tblW w:type="auto" w:w="0"/>
        <w:tblLook w:firstRow="1" w:lastRow="0" w:firstColumn="0" w:lastColumn="0" w:noHBand="0" w:noVBand="0" w:val="0020"/>
        <w:jc w:val="start"/>
        <w:tblCaption w:val="Table 11: Données du Capital décès dégressif (CDD)"/>
      </w:tblPr>
      <w:tblGrid>
        <w:gridCol w:w="990"/>
        <w:gridCol w:w="990"/>
        <w:gridCol w:w="990"/>
        <w:gridCol w:w="990"/>
        <w:gridCol w:w="990"/>
        <w:gridCol w:w="990"/>
        <w:gridCol w:w="990"/>
        <w:gridCol w:w="990"/>
      </w:tblGrid>
      <w:tr>
        <w:trPr>
          <w:tblHeader w:val="true"/>
        </w:trPr>
        <w:tc>
          <w:tcPr/>
          <w:p>
            <w:pPr>
              <w:pStyle w:val="Compact"/>
              <w:jc w:val="right"/>
            </w:pPr>
            <w:r>
              <w:t xml:space="preserve">ID</w:t>
            </w:r>
          </w:p>
        </w:tc>
        <w:tc>
          <w:tcPr/>
          <w:p>
            <w:pPr>
              <w:pStyle w:val="Compact"/>
              <w:jc w:val="right"/>
            </w:pPr>
            <w:r>
              <w:t xml:space="preserve">Age</w:t>
            </w:r>
          </w:p>
        </w:tc>
        <w:tc>
          <w:tcPr/>
          <w:p>
            <w:pPr>
              <w:pStyle w:val="Compact"/>
              <w:jc w:val="right"/>
            </w:pPr>
            <w:r>
              <w:t xml:space="preserve">Année.d'effet</w:t>
            </w:r>
          </w:p>
        </w:tc>
        <w:tc>
          <w:tcPr/>
          <w:p>
            <w:pPr>
              <w:pStyle w:val="Compact"/>
              <w:jc w:val="right"/>
            </w:pPr>
            <w:r>
              <w:t xml:space="preserve">Ann_e_d_expiration</w:t>
            </w:r>
          </w:p>
        </w:tc>
        <w:tc>
          <w:tcPr/>
          <w:p>
            <w:pPr>
              <w:pStyle w:val="Compact"/>
              <w:jc w:val="right"/>
            </w:pPr>
            <w:r>
              <w:t xml:space="preserve">Dur_e_de_contrat</w:t>
            </w:r>
          </w:p>
        </w:tc>
        <w:tc>
          <w:tcPr/>
          <w:p>
            <w:pPr>
              <w:pStyle w:val="Compact"/>
              <w:jc w:val="right"/>
            </w:pPr>
            <w:r>
              <w:t xml:space="preserve">Durre.contrat.restante</w:t>
            </w:r>
          </w:p>
        </w:tc>
        <w:tc>
          <w:tcPr/>
          <w:p>
            <w:pPr>
              <w:pStyle w:val="Compact"/>
              <w:jc w:val="right"/>
            </w:pPr>
            <w:r>
              <w:t xml:space="preserve">Prime</w:t>
            </w:r>
          </w:p>
        </w:tc>
        <w:tc>
          <w:tcPr/>
          <w:p>
            <w:pPr>
              <w:pStyle w:val="Compact"/>
              <w:jc w:val="right"/>
            </w:pPr>
            <w:r>
              <w:t xml:space="preserve">Capital_d_c_s_initial</w:t>
            </w:r>
          </w:p>
        </w:tc>
      </w:tr>
      <w:tr>
        <w:tc>
          <w:tcPr/>
          <w:p>
            <w:pPr>
              <w:pStyle w:val="Compact"/>
              <w:jc w:val="right"/>
            </w:pPr>
            <w:r>
              <w:t xml:space="preserve">1400001</w:t>
            </w:r>
          </w:p>
        </w:tc>
        <w:tc>
          <w:tcPr/>
          <w:p>
            <w:pPr>
              <w:pStyle w:val="Compact"/>
              <w:jc w:val="right"/>
            </w:pPr>
            <w:r>
              <w:t xml:space="preserve">46</w:t>
            </w:r>
          </w:p>
        </w:tc>
        <w:tc>
          <w:tcPr/>
          <w:p>
            <w:pPr>
              <w:pStyle w:val="Compact"/>
              <w:jc w:val="right"/>
            </w:pPr>
            <w:r>
              <w:t xml:space="preserve">2017</w:t>
            </w:r>
          </w:p>
        </w:tc>
        <w:tc>
          <w:tcPr/>
          <w:p>
            <w:pPr>
              <w:pStyle w:val="Compact"/>
              <w:jc w:val="right"/>
            </w:pPr>
            <w:r>
              <w:t xml:space="preserve">2037</w:t>
            </w:r>
          </w:p>
        </w:tc>
        <w:tc>
          <w:tcPr/>
          <w:p>
            <w:pPr>
              <w:pStyle w:val="Compact"/>
              <w:jc w:val="right"/>
            </w:pPr>
            <w:r>
              <w:t xml:space="preserve">20</w:t>
            </w:r>
          </w:p>
        </w:tc>
        <w:tc>
          <w:tcPr/>
          <w:p>
            <w:pPr>
              <w:pStyle w:val="Compact"/>
              <w:jc w:val="right"/>
            </w:pPr>
            <w:r>
              <w:t xml:space="preserve">15</w:t>
            </w:r>
          </w:p>
        </w:tc>
        <w:tc>
          <w:tcPr/>
          <w:p>
            <w:pPr>
              <w:pStyle w:val="Compact"/>
              <w:jc w:val="right"/>
            </w:pPr>
            <w:r>
              <w:t xml:space="preserve">55624</w:t>
            </w:r>
          </w:p>
        </w:tc>
        <w:tc>
          <w:tcPr/>
          <w:p>
            <w:pPr>
              <w:pStyle w:val="Compact"/>
              <w:jc w:val="right"/>
            </w:pPr>
            <w:r>
              <w:t xml:space="preserve">2625000</w:t>
            </w:r>
          </w:p>
        </w:tc>
      </w:tr>
      <w:tr>
        <w:tc>
          <w:tcPr/>
          <w:p>
            <w:pPr>
              <w:pStyle w:val="Compact"/>
              <w:jc w:val="right"/>
            </w:pPr>
            <w:r>
              <w:t xml:space="preserve">1400002</w:t>
            </w:r>
          </w:p>
        </w:tc>
        <w:tc>
          <w:tcPr/>
          <w:p>
            <w:pPr>
              <w:pStyle w:val="Compact"/>
              <w:jc w:val="right"/>
            </w:pPr>
            <w:r>
              <w:t xml:space="preserve">43</w:t>
            </w:r>
          </w:p>
        </w:tc>
        <w:tc>
          <w:tcPr/>
          <w:p>
            <w:pPr>
              <w:pStyle w:val="Compact"/>
              <w:jc w:val="right"/>
            </w:pPr>
            <w:r>
              <w:t xml:space="preserve">2017</w:t>
            </w:r>
          </w:p>
        </w:tc>
        <w:tc>
          <w:tcPr/>
          <w:p>
            <w:pPr>
              <w:pStyle w:val="Compact"/>
              <w:jc w:val="right"/>
            </w:pPr>
            <w:r>
              <w:t xml:space="preserve">2042</w:t>
            </w:r>
          </w:p>
        </w:tc>
        <w:tc>
          <w:tcPr/>
          <w:p>
            <w:pPr>
              <w:pStyle w:val="Compact"/>
              <w:jc w:val="right"/>
            </w:pPr>
            <w:r>
              <w:t xml:space="preserve">25</w:t>
            </w:r>
          </w:p>
        </w:tc>
        <w:tc>
          <w:tcPr/>
          <w:p>
            <w:pPr>
              <w:pStyle w:val="Compact"/>
              <w:jc w:val="right"/>
            </w:pPr>
            <w:r>
              <w:t xml:space="preserve">20</w:t>
            </w:r>
          </w:p>
        </w:tc>
        <w:tc>
          <w:tcPr/>
          <w:p>
            <w:pPr>
              <w:pStyle w:val="Compact"/>
              <w:jc w:val="right"/>
            </w:pPr>
            <w:r>
              <w:t xml:space="preserve">94684</w:t>
            </w:r>
          </w:p>
        </w:tc>
        <w:tc>
          <w:tcPr/>
          <w:p>
            <w:pPr>
              <w:pStyle w:val="Compact"/>
              <w:jc w:val="right"/>
            </w:pPr>
            <w:r>
              <w:t xml:space="preserve">1785000</w:t>
            </w:r>
          </w:p>
        </w:tc>
      </w:tr>
      <w:tr>
        <w:tc>
          <w:tcPr/>
          <w:p>
            <w:pPr>
              <w:pStyle w:val="Compact"/>
              <w:jc w:val="right"/>
            </w:pPr>
            <w:r>
              <w:t xml:space="preserve">1400003</w:t>
            </w:r>
          </w:p>
        </w:tc>
        <w:tc>
          <w:tcPr/>
          <w:p>
            <w:pPr>
              <w:pStyle w:val="Compact"/>
              <w:jc w:val="right"/>
            </w:pPr>
            <w:r>
              <w:t xml:space="preserve">35</w:t>
            </w:r>
          </w:p>
        </w:tc>
        <w:tc>
          <w:tcPr/>
          <w:p>
            <w:pPr>
              <w:pStyle w:val="Compact"/>
              <w:jc w:val="right"/>
            </w:pPr>
            <w:r>
              <w:t xml:space="preserve">2014</w:t>
            </w:r>
          </w:p>
        </w:tc>
        <w:tc>
          <w:tcPr/>
          <w:p>
            <w:pPr>
              <w:pStyle w:val="Compact"/>
              <w:jc w:val="right"/>
            </w:pPr>
            <w:r>
              <w:t xml:space="preserve">2039</w:t>
            </w:r>
          </w:p>
        </w:tc>
        <w:tc>
          <w:tcPr/>
          <w:p>
            <w:pPr>
              <w:pStyle w:val="Compact"/>
              <w:jc w:val="right"/>
            </w:pPr>
            <w:r>
              <w:t xml:space="preserve">25</w:t>
            </w:r>
          </w:p>
        </w:tc>
        <w:tc>
          <w:tcPr/>
          <w:p>
            <w:pPr>
              <w:pStyle w:val="Compact"/>
              <w:jc w:val="right"/>
            </w:pPr>
            <w:r>
              <w:t xml:space="preserve">17</w:t>
            </w:r>
          </w:p>
        </w:tc>
        <w:tc>
          <w:tcPr/>
          <w:p>
            <w:pPr>
              <w:pStyle w:val="Compact"/>
              <w:jc w:val="right"/>
            </w:pPr>
            <w:r>
              <w:t xml:space="preserve">4113</w:t>
            </w:r>
          </w:p>
        </w:tc>
        <w:tc>
          <w:tcPr/>
          <w:p>
            <w:pPr>
              <w:pStyle w:val="Compact"/>
              <w:jc w:val="right"/>
            </w:pPr>
            <w:r>
              <w:t xml:space="preserve">262500</w:t>
            </w:r>
          </w:p>
        </w:tc>
      </w:tr>
    </w:tbl>
    <w:bookmarkEnd w:id="306"/>
    <w:bookmarkStart w:id="309" w:name="tableau-damortissement"/>
    <w:p>
      <w:pPr>
        <w:pStyle w:val="Heading4"/>
      </w:pPr>
      <w:r>
        <w:t xml:space="preserve">Tableau d’amortissement</w:t>
      </w:r>
    </w:p>
    <w:p>
      <w:pPr>
        <w:pStyle w:val="FirstParagraph"/>
      </w:pPr>
      <w:r>
        <w:t xml:space="preserve">Le capital étant dégressif, il est primordial de voir comment se capital est amorti tout au long de la durée du contrat. Voici un exemple d’ammortissemnt d’un contrat de durée</w:t>
      </w:r>
      <w:r>
        <w:t xml:space="preserve"> </w:t>
      </w:r>
      <m:oMath>
        <m:r>
          <m:t>25</m:t>
        </m:r>
        <m:r>
          <m:t> </m:t>
        </m:r>
        <m:r>
          <m:t>a</m:t>
        </m:r>
        <m:r>
          <m:t>n</m:t>
        </m:r>
        <m:r>
          <m:t>s</m:t>
        </m:r>
      </m:oMath>
      <w:r>
        <w:t xml:space="preserve">, de date d’effet 2017, de capital initial</w:t>
      </w:r>
      <w:r>
        <w:t xml:space="preserve"> </w:t>
      </w:r>
      <m:oMath>
        <m:r>
          <m:t>1</m:t>
        </m:r>
        <m:r>
          <m:t> </m:t>
        </m:r>
        <m:r>
          <m:t>785</m:t>
        </m:r>
        <m:r>
          <m:t> </m:t>
        </m:r>
        <m:r>
          <m:t>000</m:t>
        </m:r>
        <m:r>
          <m:t> </m:t>
        </m:r>
        <m:r>
          <m:rPr>
            <m:nor/>
            <m:sty m:val="p"/>
          </m:rPr>
          <m:t>MAD</m:t>
        </m:r>
      </m:oMath>
      <w:r>
        <w:t xml:space="preserve">. Le montant des annuités vaut</w:t>
      </w:r>
      <w:r>
        <w:t xml:space="preserve"> </w:t>
      </w:r>
      <m:oMath>
        <m:r>
          <m:t>114</m:t>
        </m:r>
        <m:r>
          <m:t> </m:t>
        </m:r>
        <m:r>
          <m:t>261</m:t>
        </m:r>
        <m:r>
          <m:t> </m:t>
        </m:r>
        <m:r>
          <m:rPr>
            <m:nor/>
            <m:sty m:val="p"/>
          </m:rPr>
          <m:t>MAD</m:t>
        </m:r>
      </m:oMath>
      <w:r>
        <w:t xml:space="preserve"> </w:t>
      </w:r>
      <w:r>
        <w:t xml:space="preserve">sachant que le taux d’intérêt est de</w:t>
      </w:r>
      <w:r>
        <w:t xml:space="preserve"> </w:t>
      </w:r>
      <m:oMath>
        <m:r>
          <m:t>4</m:t>
        </m:r>
        <m:r>
          <m:rPr>
            <m:sty m:val="p"/>
          </m:rPr>
          <m:t>%</m:t>
        </m:r>
      </m:oMath>
      <w:r>
        <w:t xml:space="preserve">.</w:t>
      </w:r>
    </w:p>
    <w:bookmarkStart w:id="308" w:name="tbl-amort"/>
    <w:bookmarkStart w:id="307" w:name="tbl-amort-1"/>
    <w:p>
      <w:pPr>
        <w:pStyle w:val="TableCaption"/>
      </w:pPr>
      <w:r>
        <w:t xml:space="preserve">(a) CRP désigne le capital restant à payer en cas de décès</w:t>
      </w:r>
    </w:p>
    <w:tbl>
      <w:tblPr>
        <w:tblStyle w:val="Table"/>
        <w:tblW w:type="auto" w:w="0"/>
        <w:tblLook w:firstRow="1" w:lastRow="0" w:firstColumn="0" w:lastColumn="0" w:noHBand="0" w:noVBand="0" w:val="0020"/>
        <w:jc w:val="start"/>
        <w:tblCaption w:val="(a) CRP désigne le capital restant à payer en cas de décès"/>
      </w:tblPr>
      <w:tblGrid>
        <w:gridCol w:w="1584"/>
        <w:gridCol w:w="1584"/>
        <w:gridCol w:w="1584"/>
        <w:gridCol w:w="1584"/>
        <w:gridCol w:w="1584"/>
      </w:tblGrid>
      <w:tr>
        <w:trPr>
          <w:tblHeader w:val="true"/>
        </w:trPr>
        <w:tc>
          <w:tcPr/>
          <w:p>
            <w:pPr>
              <w:pStyle w:val="Compact"/>
              <w:jc w:val="right"/>
            </w:pPr>
            <w:r>
              <w:t xml:space="preserve">Annee</w:t>
            </w:r>
          </w:p>
        </w:tc>
        <w:tc>
          <w:tcPr/>
          <w:p>
            <w:pPr>
              <w:pStyle w:val="Compact"/>
              <w:jc w:val="right"/>
            </w:pPr>
            <w:r>
              <w:t xml:space="preserve">CRP</w:t>
            </w:r>
          </w:p>
        </w:tc>
        <w:tc>
          <w:tcPr/>
          <w:p>
            <w:pPr>
              <w:pStyle w:val="Compact"/>
              <w:jc w:val="right"/>
            </w:pPr>
            <w:r>
              <w:t xml:space="preserve">Intérêts</w:t>
            </w:r>
          </w:p>
        </w:tc>
        <w:tc>
          <w:tcPr/>
          <w:p>
            <w:pPr>
              <w:pStyle w:val="Compact"/>
              <w:jc w:val="right"/>
            </w:pPr>
            <w:r>
              <w:t xml:space="preserve">Amortissement</w:t>
            </w:r>
          </w:p>
        </w:tc>
        <w:tc>
          <w:tcPr/>
          <w:p>
            <w:pPr>
              <w:pStyle w:val="Compact"/>
              <w:jc w:val="right"/>
            </w:pPr>
            <w:r>
              <w:t xml:space="preserve">Annuité</w:t>
            </w:r>
          </w:p>
        </w:tc>
      </w:tr>
      <w:tr>
        <w:tc>
          <w:tcPr/>
          <w:p>
            <w:pPr>
              <w:pStyle w:val="Compact"/>
              <w:jc w:val="right"/>
            </w:pPr>
            <w:r>
              <w:t xml:space="preserve">2017</w:t>
            </w:r>
          </w:p>
        </w:tc>
        <w:tc>
          <w:tcPr/>
          <w:p>
            <w:pPr>
              <w:pStyle w:val="Compact"/>
              <w:jc w:val="right"/>
            </w:pPr>
            <w:r>
              <w:t xml:space="preserve">1785000</w:t>
            </w:r>
          </w:p>
        </w:tc>
        <w:tc>
          <w:tcPr/>
          <w:p>
            <w:pPr>
              <w:pStyle w:val="Compact"/>
              <w:jc w:val="right"/>
            </w:pPr>
            <w:r>
              <w:t xml:space="preserve">71400</w:t>
            </w:r>
          </w:p>
        </w:tc>
        <w:tc>
          <w:tcPr/>
          <w:p>
            <w:pPr>
              <w:pStyle w:val="Compact"/>
              <w:jc w:val="right"/>
            </w:pPr>
            <w:r>
              <w:t xml:space="preserve">42861</w:t>
            </w:r>
          </w:p>
        </w:tc>
        <w:tc>
          <w:tcPr/>
          <w:p>
            <w:pPr>
              <w:pStyle w:val="Compact"/>
              <w:jc w:val="right"/>
            </w:pPr>
            <w:r>
              <w:t xml:space="preserve">114261</w:t>
            </w:r>
          </w:p>
        </w:tc>
      </w:tr>
      <w:tr>
        <w:tc>
          <w:tcPr/>
          <w:p>
            <w:pPr>
              <w:pStyle w:val="Compact"/>
              <w:jc w:val="right"/>
            </w:pPr>
            <w:r>
              <w:t xml:space="preserve">2018</w:t>
            </w:r>
          </w:p>
        </w:tc>
        <w:tc>
          <w:tcPr/>
          <w:p>
            <w:pPr>
              <w:pStyle w:val="Compact"/>
              <w:jc w:val="right"/>
            </w:pPr>
            <w:r>
              <w:t xml:space="preserve">1742139</w:t>
            </w:r>
          </w:p>
        </w:tc>
        <w:tc>
          <w:tcPr/>
          <w:p>
            <w:pPr>
              <w:pStyle w:val="Compact"/>
              <w:jc w:val="right"/>
            </w:pPr>
            <w:r>
              <w:t xml:space="preserve">69686</w:t>
            </w:r>
          </w:p>
        </w:tc>
        <w:tc>
          <w:tcPr/>
          <w:p>
            <w:pPr>
              <w:pStyle w:val="Compact"/>
              <w:jc w:val="right"/>
            </w:pPr>
            <w:r>
              <w:t xml:space="preserve">44576</w:t>
            </w:r>
          </w:p>
        </w:tc>
        <w:tc>
          <w:tcPr/>
          <w:p>
            <w:pPr>
              <w:pStyle w:val="Compact"/>
              <w:jc w:val="right"/>
            </w:pPr>
            <w:r>
              <w:t xml:space="preserve">114261</w:t>
            </w:r>
          </w:p>
        </w:tc>
      </w:tr>
      <w:tr>
        <w:tc>
          <w:tcPr/>
          <w:p>
            <w:pPr>
              <w:pStyle w:val="Compact"/>
              <w:jc w:val="right"/>
            </w:pPr>
            <w:r>
              <w:t xml:space="preserve">2019</w:t>
            </w:r>
          </w:p>
        </w:tc>
        <w:tc>
          <w:tcPr/>
          <w:p>
            <w:pPr>
              <w:pStyle w:val="Compact"/>
              <w:jc w:val="right"/>
            </w:pPr>
            <w:r>
              <w:t xml:space="preserve">1697563</w:t>
            </w:r>
          </w:p>
        </w:tc>
        <w:tc>
          <w:tcPr/>
          <w:p>
            <w:pPr>
              <w:pStyle w:val="Compact"/>
              <w:jc w:val="right"/>
            </w:pPr>
            <w:r>
              <w:t xml:space="preserve">67903</w:t>
            </w:r>
          </w:p>
        </w:tc>
        <w:tc>
          <w:tcPr/>
          <w:p>
            <w:pPr>
              <w:pStyle w:val="Compact"/>
              <w:jc w:val="right"/>
            </w:pPr>
            <w:r>
              <w:t xml:space="preserve">46359</w:t>
            </w:r>
          </w:p>
        </w:tc>
        <w:tc>
          <w:tcPr/>
          <w:p>
            <w:pPr>
              <w:pStyle w:val="Compact"/>
              <w:jc w:val="right"/>
            </w:pPr>
            <w:r>
              <w:t xml:space="preserve">114261</w:t>
            </w:r>
          </w:p>
        </w:tc>
      </w:tr>
      <w:tr>
        <w:tc>
          <w:tcPr/>
          <w:p>
            <w:pPr>
              <w:pStyle w:val="Compact"/>
              <w:jc w:val="right"/>
            </w:pPr>
            <w:r>
              <w:t xml:space="preserve">2020</w:t>
            </w:r>
          </w:p>
        </w:tc>
        <w:tc>
          <w:tcPr/>
          <w:p>
            <w:pPr>
              <w:pStyle w:val="Compact"/>
              <w:jc w:val="right"/>
            </w:pPr>
            <w:r>
              <w:t xml:space="preserve">1651204</w:t>
            </w:r>
          </w:p>
        </w:tc>
        <w:tc>
          <w:tcPr/>
          <w:p>
            <w:pPr>
              <w:pStyle w:val="Compact"/>
              <w:jc w:val="right"/>
            </w:pPr>
            <w:r>
              <w:t xml:space="preserve">66048</w:t>
            </w:r>
          </w:p>
        </w:tc>
        <w:tc>
          <w:tcPr/>
          <w:p>
            <w:pPr>
              <w:pStyle w:val="Compact"/>
              <w:jc w:val="right"/>
            </w:pPr>
            <w:r>
              <w:t xml:space="preserve">48213</w:t>
            </w:r>
          </w:p>
        </w:tc>
        <w:tc>
          <w:tcPr/>
          <w:p>
            <w:pPr>
              <w:pStyle w:val="Compact"/>
              <w:jc w:val="right"/>
            </w:pPr>
            <w:r>
              <w:t xml:space="preserve">114261</w:t>
            </w:r>
          </w:p>
        </w:tc>
      </w:tr>
      <w:tr>
        <w:tc>
          <w:tcPr/>
          <w:p>
            <w:pPr>
              <w:pStyle w:val="Compact"/>
              <w:jc w:val="right"/>
            </w:pPr>
            <w:r>
              <w:t xml:space="preserve">2021</w:t>
            </w:r>
          </w:p>
        </w:tc>
        <w:tc>
          <w:tcPr/>
          <w:p>
            <w:pPr>
              <w:pStyle w:val="Compact"/>
              <w:jc w:val="right"/>
            </w:pPr>
            <w:r>
              <w:t xml:space="preserve">1602991</w:t>
            </w:r>
          </w:p>
        </w:tc>
        <w:tc>
          <w:tcPr/>
          <w:p>
            <w:pPr>
              <w:pStyle w:val="Compact"/>
              <w:jc w:val="right"/>
            </w:pPr>
            <w:r>
              <w:t xml:space="preserve">64120</w:t>
            </w:r>
          </w:p>
        </w:tc>
        <w:tc>
          <w:tcPr/>
          <w:p>
            <w:pPr>
              <w:pStyle w:val="Compact"/>
              <w:jc w:val="right"/>
            </w:pPr>
            <w:r>
              <w:t xml:space="preserve">50142</w:t>
            </w:r>
          </w:p>
        </w:tc>
        <w:tc>
          <w:tcPr/>
          <w:p>
            <w:pPr>
              <w:pStyle w:val="Compact"/>
              <w:jc w:val="right"/>
            </w:pPr>
            <w:r>
              <w:t xml:space="preserve">114261</w:t>
            </w:r>
          </w:p>
        </w:tc>
      </w:tr>
      <w:tr>
        <w:tc>
          <w:tcPr/>
          <w:p>
            <w:pPr>
              <w:pStyle w:val="Compact"/>
              <w:jc w:val="right"/>
            </w:pPr>
            <w:r>
              <w:t xml:space="preserve">2022</w:t>
            </w:r>
          </w:p>
        </w:tc>
        <w:tc>
          <w:tcPr/>
          <w:p>
            <w:pPr>
              <w:pStyle w:val="Compact"/>
              <w:jc w:val="right"/>
            </w:pPr>
            <w:r>
              <w:t xml:space="preserve">1552849</w:t>
            </w:r>
          </w:p>
        </w:tc>
        <w:tc>
          <w:tcPr/>
          <w:p>
            <w:pPr>
              <w:pStyle w:val="Compact"/>
              <w:jc w:val="right"/>
            </w:pPr>
            <w:r>
              <w:t xml:space="preserve">62114</w:t>
            </w:r>
          </w:p>
        </w:tc>
        <w:tc>
          <w:tcPr/>
          <w:p>
            <w:pPr>
              <w:pStyle w:val="Compact"/>
              <w:jc w:val="right"/>
            </w:pPr>
            <w:r>
              <w:t xml:space="preserve">52147</w:t>
            </w:r>
          </w:p>
        </w:tc>
        <w:tc>
          <w:tcPr/>
          <w:p>
            <w:pPr>
              <w:pStyle w:val="Compact"/>
              <w:jc w:val="right"/>
            </w:pPr>
            <w:r>
              <w:t xml:space="preserve">114261</w:t>
            </w:r>
          </w:p>
        </w:tc>
      </w:tr>
      <w:tr>
        <w:tc>
          <w:tcPr/>
          <w:p>
            <w:pPr>
              <w:pStyle w:val="Compact"/>
              <w:jc w:val="right"/>
            </w:pPr>
            <w:r>
              <w:t xml:space="preserve">2023</w:t>
            </w:r>
          </w:p>
        </w:tc>
        <w:tc>
          <w:tcPr/>
          <w:p>
            <w:pPr>
              <w:pStyle w:val="Compact"/>
              <w:jc w:val="right"/>
            </w:pPr>
            <w:r>
              <w:t xml:space="preserve">1500702</w:t>
            </w:r>
          </w:p>
        </w:tc>
        <w:tc>
          <w:tcPr/>
          <w:p>
            <w:pPr>
              <w:pStyle w:val="Compact"/>
              <w:jc w:val="right"/>
            </w:pPr>
            <w:r>
              <w:t xml:space="preserve">60028</w:t>
            </w:r>
          </w:p>
        </w:tc>
        <w:tc>
          <w:tcPr/>
          <w:p>
            <w:pPr>
              <w:pStyle w:val="Compact"/>
              <w:jc w:val="right"/>
            </w:pPr>
            <w:r>
              <w:t xml:space="preserve">54233</w:t>
            </w:r>
          </w:p>
        </w:tc>
        <w:tc>
          <w:tcPr/>
          <w:p>
            <w:pPr>
              <w:pStyle w:val="Compact"/>
              <w:jc w:val="right"/>
            </w:pPr>
            <w:r>
              <w:t xml:space="preserve">114261</w:t>
            </w:r>
          </w:p>
        </w:tc>
      </w:tr>
      <w:tr>
        <w:tc>
          <w:tcPr/>
          <w:p>
            <w:pPr>
              <w:pStyle w:val="Compact"/>
              <w:jc w:val="right"/>
            </w:pPr>
            <w:r>
              <w:t xml:space="preserve">2024</w:t>
            </w:r>
          </w:p>
        </w:tc>
        <w:tc>
          <w:tcPr/>
          <w:p>
            <w:pPr>
              <w:pStyle w:val="Compact"/>
              <w:jc w:val="right"/>
            </w:pPr>
            <w:r>
              <w:t xml:space="preserve">1446468</w:t>
            </w:r>
          </w:p>
        </w:tc>
        <w:tc>
          <w:tcPr/>
          <w:p>
            <w:pPr>
              <w:pStyle w:val="Compact"/>
              <w:jc w:val="right"/>
            </w:pPr>
            <w:r>
              <w:t xml:space="preserve">57859</w:t>
            </w:r>
          </w:p>
        </w:tc>
        <w:tc>
          <w:tcPr/>
          <w:p>
            <w:pPr>
              <w:pStyle w:val="Compact"/>
              <w:jc w:val="right"/>
            </w:pPr>
            <w:r>
              <w:t xml:space="preserve">56403</w:t>
            </w:r>
          </w:p>
        </w:tc>
        <w:tc>
          <w:tcPr/>
          <w:p>
            <w:pPr>
              <w:pStyle w:val="Compact"/>
              <w:jc w:val="right"/>
            </w:pPr>
            <w:r>
              <w:t xml:space="preserve">114261</w:t>
            </w:r>
          </w:p>
        </w:tc>
      </w:tr>
      <w:tr>
        <w:tc>
          <w:tcPr/>
          <w:p>
            <w:pPr>
              <w:pStyle w:val="Compact"/>
              <w:jc w:val="right"/>
            </w:pPr>
            <w:r>
              <w:t xml:space="preserve">2025</w:t>
            </w:r>
          </w:p>
        </w:tc>
        <w:tc>
          <w:tcPr/>
          <w:p>
            <w:pPr>
              <w:pStyle w:val="Compact"/>
              <w:jc w:val="right"/>
            </w:pPr>
            <w:r>
              <w:t xml:space="preserve">1390066</w:t>
            </w:r>
          </w:p>
        </w:tc>
        <w:tc>
          <w:tcPr/>
          <w:p>
            <w:pPr>
              <w:pStyle w:val="Compact"/>
              <w:jc w:val="right"/>
            </w:pPr>
            <w:r>
              <w:t xml:space="preserve">55603</w:t>
            </w:r>
          </w:p>
        </w:tc>
        <w:tc>
          <w:tcPr/>
          <w:p>
            <w:pPr>
              <w:pStyle w:val="Compact"/>
              <w:jc w:val="right"/>
            </w:pPr>
            <w:r>
              <w:t xml:space="preserve">58659</w:t>
            </w:r>
          </w:p>
        </w:tc>
        <w:tc>
          <w:tcPr/>
          <w:p>
            <w:pPr>
              <w:pStyle w:val="Compact"/>
              <w:jc w:val="right"/>
            </w:pPr>
            <w:r>
              <w:t xml:space="preserve">114261</w:t>
            </w:r>
          </w:p>
        </w:tc>
      </w:tr>
      <w:tr>
        <w:tc>
          <w:tcPr/>
          <w:p>
            <w:pPr>
              <w:pStyle w:val="Compact"/>
              <w:jc w:val="right"/>
            </w:pPr>
            <w:r>
              <w:t xml:space="preserve">2026</w:t>
            </w:r>
          </w:p>
        </w:tc>
        <w:tc>
          <w:tcPr/>
          <w:p>
            <w:pPr>
              <w:pStyle w:val="Compact"/>
              <w:jc w:val="right"/>
            </w:pPr>
            <w:r>
              <w:t xml:space="preserve">1331407</w:t>
            </w:r>
          </w:p>
        </w:tc>
        <w:tc>
          <w:tcPr/>
          <w:p>
            <w:pPr>
              <w:pStyle w:val="Compact"/>
              <w:jc w:val="right"/>
            </w:pPr>
            <w:r>
              <w:t xml:space="preserve">53256</w:t>
            </w:r>
          </w:p>
        </w:tc>
        <w:tc>
          <w:tcPr/>
          <w:p>
            <w:pPr>
              <w:pStyle w:val="Compact"/>
              <w:jc w:val="right"/>
            </w:pPr>
            <w:r>
              <w:t xml:space="preserve">61005</w:t>
            </w:r>
          </w:p>
        </w:tc>
        <w:tc>
          <w:tcPr/>
          <w:p>
            <w:pPr>
              <w:pStyle w:val="Compact"/>
              <w:jc w:val="right"/>
            </w:pPr>
            <w:r>
              <w:t xml:space="preserve">114261</w:t>
            </w:r>
          </w:p>
        </w:tc>
      </w:tr>
      <w:tr>
        <w:tc>
          <w:tcPr/>
          <w:p>
            <w:pPr>
              <w:pStyle w:val="Compact"/>
              <w:jc w:val="right"/>
            </w:pPr>
            <w:r>
              <w:t xml:space="preserve">2027</w:t>
            </w:r>
          </w:p>
        </w:tc>
        <w:tc>
          <w:tcPr/>
          <w:p>
            <w:pPr>
              <w:pStyle w:val="Compact"/>
              <w:jc w:val="right"/>
            </w:pPr>
            <w:r>
              <w:t xml:space="preserve">1270402</w:t>
            </w:r>
          </w:p>
        </w:tc>
        <w:tc>
          <w:tcPr/>
          <w:p>
            <w:pPr>
              <w:pStyle w:val="Compact"/>
              <w:jc w:val="right"/>
            </w:pPr>
            <w:r>
              <w:t xml:space="preserve">50816</w:t>
            </w:r>
          </w:p>
        </w:tc>
        <w:tc>
          <w:tcPr/>
          <w:p>
            <w:pPr>
              <w:pStyle w:val="Compact"/>
              <w:jc w:val="right"/>
            </w:pPr>
            <w:r>
              <w:t xml:space="preserve">63445</w:t>
            </w:r>
          </w:p>
        </w:tc>
        <w:tc>
          <w:tcPr/>
          <w:p>
            <w:pPr>
              <w:pStyle w:val="Compact"/>
              <w:jc w:val="right"/>
            </w:pPr>
            <w:r>
              <w:t xml:space="preserve">114261</w:t>
            </w:r>
          </w:p>
        </w:tc>
      </w:tr>
      <w:tr>
        <w:tc>
          <w:tcPr/>
          <w:p>
            <w:pPr>
              <w:pStyle w:val="Compact"/>
              <w:jc w:val="right"/>
            </w:pPr>
            <w:r>
              <w:t xml:space="preserve">2028</w:t>
            </w:r>
          </w:p>
        </w:tc>
        <w:tc>
          <w:tcPr/>
          <w:p>
            <w:pPr>
              <w:pStyle w:val="Compact"/>
              <w:jc w:val="right"/>
            </w:pPr>
            <w:r>
              <w:t xml:space="preserve">1206957</w:t>
            </w:r>
          </w:p>
        </w:tc>
        <w:tc>
          <w:tcPr/>
          <w:p>
            <w:pPr>
              <w:pStyle w:val="Compact"/>
              <w:jc w:val="right"/>
            </w:pPr>
            <w:r>
              <w:t xml:space="preserve">48278</w:t>
            </w:r>
          </w:p>
        </w:tc>
        <w:tc>
          <w:tcPr/>
          <w:p>
            <w:pPr>
              <w:pStyle w:val="Compact"/>
              <w:jc w:val="right"/>
            </w:pPr>
            <w:r>
              <w:t xml:space="preserve">65983</w:t>
            </w:r>
          </w:p>
        </w:tc>
        <w:tc>
          <w:tcPr/>
          <w:p>
            <w:pPr>
              <w:pStyle w:val="Compact"/>
              <w:jc w:val="right"/>
            </w:pPr>
            <w:r>
              <w:t xml:space="preserve">114261</w:t>
            </w:r>
          </w:p>
        </w:tc>
      </w:tr>
      <w:tr>
        <w:tc>
          <w:tcPr/>
          <w:p>
            <w:pPr>
              <w:pStyle w:val="Compact"/>
              <w:jc w:val="right"/>
            </w:pPr>
            <w:r>
              <w:t xml:space="preserve">2029</w:t>
            </w:r>
          </w:p>
        </w:tc>
        <w:tc>
          <w:tcPr/>
          <w:p>
            <w:pPr>
              <w:pStyle w:val="Compact"/>
              <w:jc w:val="right"/>
            </w:pPr>
            <w:r>
              <w:t xml:space="preserve">1140974</w:t>
            </w:r>
          </w:p>
        </w:tc>
        <w:tc>
          <w:tcPr/>
          <w:p>
            <w:pPr>
              <w:pStyle w:val="Compact"/>
              <w:jc w:val="right"/>
            </w:pPr>
            <w:r>
              <w:t xml:space="preserve">45639</w:t>
            </w:r>
          </w:p>
        </w:tc>
        <w:tc>
          <w:tcPr/>
          <w:p>
            <w:pPr>
              <w:pStyle w:val="Compact"/>
              <w:jc w:val="right"/>
            </w:pPr>
            <w:r>
              <w:t xml:space="preserve">68622</w:t>
            </w:r>
          </w:p>
        </w:tc>
        <w:tc>
          <w:tcPr/>
          <w:p>
            <w:pPr>
              <w:pStyle w:val="Compact"/>
              <w:jc w:val="right"/>
            </w:pPr>
            <w:r>
              <w:t xml:space="preserve">114261</w:t>
            </w:r>
          </w:p>
        </w:tc>
      </w:tr>
      <w:tr>
        <w:tc>
          <w:tcPr/>
          <w:p>
            <w:pPr>
              <w:pStyle w:val="Compact"/>
              <w:jc w:val="right"/>
            </w:pPr>
            <w:r>
              <w:t xml:space="preserve">2030</w:t>
            </w:r>
          </w:p>
        </w:tc>
        <w:tc>
          <w:tcPr/>
          <w:p>
            <w:pPr>
              <w:pStyle w:val="Compact"/>
              <w:jc w:val="right"/>
            </w:pPr>
            <w:r>
              <w:t xml:space="preserve">1072351</w:t>
            </w:r>
          </w:p>
        </w:tc>
        <w:tc>
          <w:tcPr/>
          <w:p>
            <w:pPr>
              <w:pStyle w:val="Compact"/>
              <w:jc w:val="right"/>
            </w:pPr>
            <w:r>
              <w:t xml:space="preserve">42894</w:t>
            </w:r>
          </w:p>
        </w:tc>
        <w:tc>
          <w:tcPr/>
          <w:p>
            <w:pPr>
              <w:pStyle w:val="Compact"/>
              <w:jc w:val="right"/>
            </w:pPr>
            <w:r>
              <w:t xml:space="preserve">71367</w:t>
            </w:r>
          </w:p>
        </w:tc>
        <w:tc>
          <w:tcPr/>
          <w:p>
            <w:pPr>
              <w:pStyle w:val="Compact"/>
              <w:jc w:val="right"/>
            </w:pPr>
            <w:r>
              <w:t xml:space="preserve">114261</w:t>
            </w:r>
          </w:p>
        </w:tc>
      </w:tr>
      <w:tr>
        <w:tc>
          <w:tcPr/>
          <w:p>
            <w:pPr>
              <w:pStyle w:val="Compact"/>
              <w:jc w:val="right"/>
            </w:pPr>
            <w:r>
              <w:t xml:space="preserve">2031</w:t>
            </w:r>
          </w:p>
        </w:tc>
        <w:tc>
          <w:tcPr/>
          <w:p>
            <w:pPr>
              <w:pStyle w:val="Compact"/>
              <w:jc w:val="right"/>
            </w:pPr>
            <w:r>
              <w:t xml:space="preserve">1000984</w:t>
            </w:r>
          </w:p>
        </w:tc>
        <w:tc>
          <w:tcPr/>
          <w:p>
            <w:pPr>
              <w:pStyle w:val="Compact"/>
              <w:jc w:val="right"/>
            </w:pPr>
            <w:r>
              <w:t xml:space="preserve">40039</w:t>
            </w:r>
          </w:p>
        </w:tc>
        <w:tc>
          <w:tcPr/>
          <w:p>
            <w:pPr>
              <w:pStyle w:val="Compact"/>
              <w:jc w:val="right"/>
            </w:pPr>
            <w:r>
              <w:t xml:space="preserve">74222</w:t>
            </w:r>
          </w:p>
        </w:tc>
        <w:tc>
          <w:tcPr/>
          <w:p>
            <w:pPr>
              <w:pStyle w:val="Compact"/>
              <w:jc w:val="right"/>
            </w:pPr>
            <w:r>
              <w:t xml:space="preserve">114261</w:t>
            </w:r>
          </w:p>
        </w:tc>
      </w:tr>
      <w:tr>
        <w:tc>
          <w:tcPr/>
          <w:p>
            <w:pPr>
              <w:pStyle w:val="Compact"/>
              <w:jc w:val="right"/>
            </w:pPr>
            <w:r>
              <w:t xml:space="preserve">2032</w:t>
            </w:r>
          </w:p>
        </w:tc>
        <w:tc>
          <w:tcPr/>
          <w:p>
            <w:pPr>
              <w:pStyle w:val="Compact"/>
              <w:jc w:val="right"/>
            </w:pPr>
            <w:r>
              <w:t xml:space="preserve">926762</w:t>
            </w:r>
          </w:p>
        </w:tc>
        <w:tc>
          <w:tcPr/>
          <w:p>
            <w:pPr>
              <w:pStyle w:val="Compact"/>
              <w:jc w:val="right"/>
            </w:pPr>
            <w:r>
              <w:t xml:space="preserve">37070</w:t>
            </w:r>
          </w:p>
        </w:tc>
        <w:tc>
          <w:tcPr/>
          <w:p>
            <w:pPr>
              <w:pStyle w:val="Compact"/>
              <w:jc w:val="right"/>
            </w:pPr>
            <w:r>
              <w:t xml:space="preserve">77191</w:t>
            </w:r>
          </w:p>
        </w:tc>
        <w:tc>
          <w:tcPr/>
          <w:p>
            <w:pPr>
              <w:pStyle w:val="Compact"/>
              <w:jc w:val="right"/>
            </w:pPr>
            <w:r>
              <w:t xml:space="preserve">114261</w:t>
            </w:r>
          </w:p>
        </w:tc>
      </w:tr>
      <w:tr>
        <w:tc>
          <w:tcPr/>
          <w:p>
            <w:pPr>
              <w:pStyle w:val="Compact"/>
              <w:jc w:val="right"/>
            </w:pPr>
            <w:r>
              <w:t xml:space="preserve">2033</w:t>
            </w:r>
          </w:p>
        </w:tc>
        <w:tc>
          <w:tcPr/>
          <w:p>
            <w:pPr>
              <w:pStyle w:val="Compact"/>
              <w:jc w:val="right"/>
            </w:pPr>
            <w:r>
              <w:t xml:space="preserve">849571</w:t>
            </w:r>
          </w:p>
        </w:tc>
        <w:tc>
          <w:tcPr/>
          <w:p>
            <w:pPr>
              <w:pStyle w:val="Compact"/>
              <w:jc w:val="right"/>
            </w:pPr>
            <w:r>
              <w:t xml:space="preserve">33983</w:t>
            </w:r>
          </w:p>
        </w:tc>
        <w:tc>
          <w:tcPr/>
          <w:p>
            <w:pPr>
              <w:pStyle w:val="Compact"/>
              <w:jc w:val="right"/>
            </w:pPr>
            <w:r>
              <w:t xml:space="preserve">80279</w:t>
            </w:r>
          </w:p>
        </w:tc>
        <w:tc>
          <w:tcPr/>
          <w:p>
            <w:pPr>
              <w:pStyle w:val="Compact"/>
              <w:jc w:val="right"/>
            </w:pPr>
            <w:r>
              <w:t xml:space="preserve">114261</w:t>
            </w:r>
          </w:p>
        </w:tc>
      </w:tr>
      <w:tr>
        <w:tc>
          <w:tcPr/>
          <w:p>
            <w:pPr>
              <w:pStyle w:val="Compact"/>
              <w:jc w:val="right"/>
            </w:pPr>
            <w:r>
              <w:t xml:space="preserve">2034</w:t>
            </w:r>
          </w:p>
        </w:tc>
        <w:tc>
          <w:tcPr/>
          <w:p>
            <w:pPr>
              <w:pStyle w:val="Compact"/>
              <w:jc w:val="right"/>
            </w:pPr>
            <w:r>
              <w:t xml:space="preserve">769293</w:t>
            </w:r>
          </w:p>
        </w:tc>
        <w:tc>
          <w:tcPr/>
          <w:p>
            <w:pPr>
              <w:pStyle w:val="Compact"/>
              <w:jc w:val="right"/>
            </w:pPr>
            <w:r>
              <w:t xml:space="preserve">30772</w:t>
            </w:r>
          </w:p>
        </w:tc>
        <w:tc>
          <w:tcPr/>
          <w:p>
            <w:pPr>
              <w:pStyle w:val="Compact"/>
              <w:jc w:val="right"/>
            </w:pPr>
            <w:r>
              <w:t xml:space="preserve">83490</w:t>
            </w:r>
          </w:p>
        </w:tc>
        <w:tc>
          <w:tcPr/>
          <w:p>
            <w:pPr>
              <w:pStyle w:val="Compact"/>
              <w:jc w:val="right"/>
            </w:pPr>
            <w:r>
              <w:t xml:space="preserve">114261</w:t>
            </w:r>
          </w:p>
        </w:tc>
      </w:tr>
      <w:tr>
        <w:tc>
          <w:tcPr/>
          <w:p>
            <w:pPr>
              <w:pStyle w:val="Compact"/>
              <w:jc w:val="right"/>
            </w:pPr>
            <w:r>
              <w:t xml:space="preserve">2035</w:t>
            </w:r>
          </w:p>
        </w:tc>
        <w:tc>
          <w:tcPr/>
          <w:p>
            <w:pPr>
              <w:pStyle w:val="Compact"/>
              <w:jc w:val="right"/>
            </w:pPr>
            <w:r>
              <w:t xml:space="preserve">685803</w:t>
            </w:r>
          </w:p>
        </w:tc>
        <w:tc>
          <w:tcPr/>
          <w:p>
            <w:pPr>
              <w:pStyle w:val="Compact"/>
              <w:jc w:val="right"/>
            </w:pPr>
            <w:r>
              <w:t xml:space="preserve">27432</w:t>
            </w:r>
          </w:p>
        </w:tc>
        <w:tc>
          <w:tcPr/>
          <w:p>
            <w:pPr>
              <w:pStyle w:val="Compact"/>
              <w:jc w:val="right"/>
            </w:pPr>
            <w:r>
              <w:t xml:space="preserve">86829</w:t>
            </w:r>
          </w:p>
        </w:tc>
        <w:tc>
          <w:tcPr/>
          <w:p>
            <w:pPr>
              <w:pStyle w:val="Compact"/>
              <w:jc w:val="right"/>
            </w:pPr>
            <w:r>
              <w:t xml:space="preserve">114261</w:t>
            </w:r>
          </w:p>
        </w:tc>
      </w:tr>
      <w:tr>
        <w:tc>
          <w:tcPr/>
          <w:p>
            <w:pPr>
              <w:pStyle w:val="Compact"/>
              <w:jc w:val="right"/>
            </w:pPr>
            <w:r>
              <w:t xml:space="preserve">2036</w:t>
            </w:r>
          </w:p>
        </w:tc>
        <w:tc>
          <w:tcPr/>
          <w:p>
            <w:pPr>
              <w:pStyle w:val="Compact"/>
              <w:jc w:val="right"/>
            </w:pPr>
            <w:r>
              <w:t xml:space="preserve">598974</w:t>
            </w:r>
          </w:p>
        </w:tc>
        <w:tc>
          <w:tcPr/>
          <w:p>
            <w:pPr>
              <w:pStyle w:val="Compact"/>
              <w:jc w:val="right"/>
            </w:pPr>
            <w:r>
              <w:t xml:space="preserve">23959</w:t>
            </w:r>
          </w:p>
        </w:tc>
        <w:tc>
          <w:tcPr/>
          <w:p>
            <w:pPr>
              <w:pStyle w:val="Compact"/>
              <w:jc w:val="right"/>
            </w:pPr>
            <w:r>
              <w:t xml:space="preserve">90302</w:t>
            </w:r>
          </w:p>
        </w:tc>
        <w:tc>
          <w:tcPr/>
          <w:p>
            <w:pPr>
              <w:pStyle w:val="Compact"/>
              <w:jc w:val="right"/>
            </w:pPr>
            <w:r>
              <w:t xml:space="preserve">114261</w:t>
            </w:r>
          </w:p>
        </w:tc>
      </w:tr>
      <w:tr>
        <w:tc>
          <w:tcPr/>
          <w:p>
            <w:pPr>
              <w:pStyle w:val="Compact"/>
              <w:jc w:val="right"/>
            </w:pPr>
            <w:r>
              <w:t xml:space="preserve">2037</w:t>
            </w:r>
          </w:p>
        </w:tc>
        <w:tc>
          <w:tcPr/>
          <w:p>
            <w:pPr>
              <w:pStyle w:val="Compact"/>
              <w:jc w:val="right"/>
            </w:pPr>
            <w:r>
              <w:t xml:space="preserve">508671</w:t>
            </w:r>
          </w:p>
        </w:tc>
        <w:tc>
          <w:tcPr/>
          <w:p>
            <w:pPr>
              <w:pStyle w:val="Compact"/>
              <w:jc w:val="right"/>
            </w:pPr>
            <w:r>
              <w:t xml:space="preserve">20347</w:t>
            </w:r>
          </w:p>
        </w:tc>
        <w:tc>
          <w:tcPr/>
          <w:p>
            <w:pPr>
              <w:pStyle w:val="Compact"/>
              <w:jc w:val="right"/>
            </w:pPr>
            <w:r>
              <w:t xml:space="preserve">93915</w:t>
            </w:r>
          </w:p>
        </w:tc>
        <w:tc>
          <w:tcPr/>
          <w:p>
            <w:pPr>
              <w:pStyle w:val="Compact"/>
              <w:jc w:val="right"/>
            </w:pPr>
            <w:r>
              <w:t xml:space="preserve">114261</w:t>
            </w:r>
          </w:p>
        </w:tc>
      </w:tr>
      <w:tr>
        <w:tc>
          <w:tcPr/>
          <w:p>
            <w:pPr>
              <w:pStyle w:val="Compact"/>
              <w:jc w:val="right"/>
            </w:pPr>
            <w:r>
              <w:t xml:space="preserve">2038</w:t>
            </w:r>
          </w:p>
        </w:tc>
        <w:tc>
          <w:tcPr/>
          <w:p>
            <w:pPr>
              <w:pStyle w:val="Compact"/>
              <w:jc w:val="right"/>
            </w:pPr>
            <w:r>
              <w:t xml:space="preserve">414757</w:t>
            </w:r>
          </w:p>
        </w:tc>
        <w:tc>
          <w:tcPr/>
          <w:p>
            <w:pPr>
              <w:pStyle w:val="Compact"/>
              <w:jc w:val="right"/>
            </w:pPr>
            <w:r>
              <w:t xml:space="preserve">16590</w:t>
            </w:r>
          </w:p>
        </w:tc>
        <w:tc>
          <w:tcPr/>
          <w:p>
            <w:pPr>
              <w:pStyle w:val="Compact"/>
              <w:jc w:val="right"/>
            </w:pPr>
            <w:r>
              <w:t xml:space="preserve">97671</w:t>
            </w:r>
          </w:p>
        </w:tc>
        <w:tc>
          <w:tcPr/>
          <w:p>
            <w:pPr>
              <w:pStyle w:val="Compact"/>
              <w:jc w:val="right"/>
            </w:pPr>
            <w:r>
              <w:t xml:space="preserve">114261</w:t>
            </w:r>
          </w:p>
        </w:tc>
      </w:tr>
      <w:tr>
        <w:tc>
          <w:tcPr/>
          <w:p>
            <w:pPr>
              <w:pStyle w:val="Compact"/>
              <w:jc w:val="right"/>
            </w:pPr>
            <w:r>
              <w:t xml:space="preserve">2039</w:t>
            </w:r>
          </w:p>
        </w:tc>
        <w:tc>
          <w:tcPr/>
          <w:p>
            <w:pPr>
              <w:pStyle w:val="Compact"/>
              <w:jc w:val="right"/>
            </w:pPr>
            <w:r>
              <w:t xml:space="preserve">317086</w:t>
            </w:r>
          </w:p>
        </w:tc>
        <w:tc>
          <w:tcPr/>
          <w:p>
            <w:pPr>
              <w:pStyle w:val="Compact"/>
              <w:jc w:val="right"/>
            </w:pPr>
            <w:r>
              <w:t xml:space="preserve">12683</w:t>
            </w:r>
          </w:p>
        </w:tc>
        <w:tc>
          <w:tcPr/>
          <w:p>
            <w:pPr>
              <w:pStyle w:val="Compact"/>
              <w:jc w:val="right"/>
            </w:pPr>
            <w:r>
              <w:t xml:space="preserve">101578</w:t>
            </w:r>
          </w:p>
        </w:tc>
        <w:tc>
          <w:tcPr/>
          <w:p>
            <w:pPr>
              <w:pStyle w:val="Compact"/>
              <w:jc w:val="right"/>
            </w:pPr>
            <w:r>
              <w:t xml:space="preserve">114261</w:t>
            </w:r>
          </w:p>
        </w:tc>
      </w:tr>
      <w:tr>
        <w:tc>
          <w:tcPr/>
          <w:p>
            <w:pPr>
              <w:pStyle w:val="Compact"/>
              <w:jc w:val="right"/>
            </w:pPr>
            <w:r>
              <w:t xml:space="preserve">2040</w:t>
            </w:r>
          </w:p>
        </w:tc>
        <w:tc>
          <w:tcPr/>
          <w:p>
            <w:pPr>
              <w:pStyle w:val="Compact"/>
              <w:jc w:val="right"/>
            </w:pPr>
            <w:r>
              <w:t xml:space="preserve">215508</w:t>
            </w:r>
          </w:p>
        </w:tc>
        <w:tc>
          <w:tcPr/>
          <w:p>
            <w:pPr>
              <w:pStyle w:val="Compact"/>
              <w:jc w:val="right"/>
            </w:pPr>
            <w:r>
              <w:t xml:space="preserve">8620</w:t>
            </w:r>
          </w:p>
        </w:tc>
        <w:tc>
          <w:tcPr/>
          <w:p>
            <w:pPr>
              <w:pStyle w:val="Compact"/>
              <w:jc w:val="right"/>
            </w:pPr>
            <w:r>
              <w:t xml:space="preserve">105641</w:t>
            </w:r>
          </w:p>
        </w:tc>
        <w:tc>
          <w:tcPr/>
          <w:p>
            <w:pPr>
              <w:pStyle w:val="Compact"/>
              <w:jc w:val="right"/>
            </w:pPr>
            <w:r>
              <w:t xml:space="preserve">114261</w:t>
            </w:r>
          </w:p>
        </w:tc>
      </w:tr>
      <w:tr>
        <w:tc>
          <w:tcPr/>
          <w:p>
            <w:pPr>
              <w:pStyle w:val="Compact"/>
              <w:jc w:val="right"/>
            </w:pPr>
            <w:r>
              <w:t xml:space="preserve">2041</w:t>
            </w:r>
          </w:p>
        </w:tc>
        <w:tc>
          <w:tcPr/>
          <w:p>
            <w:pPr>
              <w:pStyle w:val="Compact"/>
              <w:jc w:val="right"/>
            </w:pPr>
            <w:r>
              <w:t xml:space="preserve">109867</w:t>
            </w:r>
          </w:p>
        </w:tc>
        <w:tc>
          <w:tcPr/>
          <w:p>
            <w:pPr>
              <w:pStyle w:val="Compact"/>
              <w:jc w:val="right"/>
            </w:pPr>
            <w:r>
              <w:t xml:space="preserve">4395</w:t>
            </w:r>
          </w:p>
        </w:tc>
        <w:tc>
          <w:tcPr/>
          <w:p>
            <w:pPr>
              <w:pStyle w:val="Compact"/>
              <w:jc w:val="right"/>
            </w:pPr>
            <w:r>
              <w:t xml:space="preserve">109867</w:t>
            </w:r>
          </w:p>
        </w:tc>
        <w:tc>
          <w:tcPr/>
          <w:p>
            <w:pPr>
              <w:pStyle w:val="Compact"/>
              <w:jc w:val="right"/>
            </w:pPr>
            <w:r>
              <w:t xml:space="preserve">114261</w:t>
            </w:r>
          </w:p>
        </w:tc>
      </w:tr>
      <w:tr>
        <w:tc>
          <w:tcPr/>
          <w:p>
            <w:pPr>
              <w:pStyle w:val="Compact"/>
              <w:jc w:val="right"/>
            </w:pPr>
            <w:r>
              <w:t xml:space="preserve">2042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bl>
    <w:bookmarkEnd w:id="307"/>
    <w:p>
      <w:pPr>
        <w:pStyle w:val="BodyText"/>
      </w:pPr>
      <w:r>
        <w:t xml:space="preserve">Table 12: Tableau d’amortissement</w:t>
      </w:r>
    </w:p>
    <w:bookmarkEnd w:id="308"/>
    <w:p>
      <w:pPr>
        <w:pStyle w:val="BodyText"/>
      </w:pPr>
      <w:r>
        <w:t xml:space="preserve">Ce calcul se fait automatiquement par l’application à partir de la table de données.</w:t>
      </w:r>
    </w:p>
    <w:bookmarkEnd w:id="309"/>
    <w:bookmarkStart w:id="310" w:name="projection-du-capital-ammorti"/>
    <w:p>
      <w:pPr>
        <w:pStyle w:val="Heading4"/>
      </w:pPr>
      <w:r>
        <w:t xml:space="preserve">Projection du capital ammorti</w:t>
      </w:r>
    </w:p>
    <w:p>
      <w:pPr>
        <w:pStyle w:val="FirstParagraph"/>
      </w:pPr>
      <w:r>
        <w:t xml:space="preserve">Maintenant que nous disposant du capital amorti pour la durée du contrat, l’étape qui s’en suit est de déterminer la valeur probable de ce capital. On sait que ce capital sera versé qu’en cas de décès de l’assuré. Alors, pour une année</w:t>
      </w:r>
      <w:r>
        <w:t xml:space="preserve"> </w:t>
      </w:r>
      <m:oMath>
        <m:r>
          <m:t>j</m:t>
        </m:r>
      </m:oMath>
      <w:r>
        <w:t xml:space="preserve"> </w:t>
      </w:r>
      <w:r>
        <w:t xml:space="preserve">de projection de donnée, le capital restant (</w:t>
      </w:r>
      <m:oMath>
        <m:r>
          <m:t>V</m:t>
        </m:r>
        <m:r>
          <m:t>P</m:t>
        </m:r>
        <m:r>
          <m:t>C</m:t>
        </m:r>
      </m:oMath>
      <w:r>
        <w:t xml:space="preserve">) est versé que si l’assuré d’âge</w:t>
      </w:r>
      <w:r>
        <w:t xml:space="preserve"> </w:t>
      </w:r>
      <m:oMath>
        <m:r>
          <m:t>x</m:t>
        </m:r>
      </m:oMath>
      <w:r>
        <w:t xml:space="preserve"> </w:t>
      </w:r>
      <w:r>
        <w:t xml:space="preserve">survit jusqu’à l’année</w:t>
      </w:r>
      <w:r>
        <w:t xml:space="preserve"> </w:t>
      </w:r>
      <m:oMath>
        <m:r>
          <m:t>j</m:t>
        </m:r>
        <m:r>
          <m:rPr>
            <m:sty m:val="p"/>
          </m:rPr>
          <m:t>−</m:t>
        </m:r>
        <m:r>
          <m:t>1</m:t>
        </m:r>
      </m:oMath>
      <w:r>
        <w:t xml:space="preserve"> </w:t>
      </w:r>
      <w:r>
        <w:t xml:space="preserve">et décède à l’année</w:t>
      </w:r>
      <w:r>
        <w:t xml:space="preserve"> </w:t>
      </w:r>
      <m:oMath>
        <m:r>
          <m:t>j</m:t>
        </m:r>
      </m:oMath>
      <w:r>
        <w:t xml:space="preserve">. En terme mathématiques :</w:t>
      </w:r>
    </w:p>
    <w:p>
      <w:pPr>
        <w:pStyle w:val="BodyText"/>
      </w:pPr>
      <m:oMathPara>
        <m:oMathParaPr>
          <m:jc m:val="center"/>
        </m:oMathParaPr>
        <m:oMath>
          <m:r>
            <m:t>V</m:t>
          </m:r>
          <m:r>
            <m:t>P</m:t>
          </m:r>
          <m:r>
            <m:t>C</m:t>
          </m:r>
          <m:sSub>
            <m:e>
              <m:r>
                <m:rPr>
                  <m:sty m:val="p"/>
                </m:rPr>
                <m:t>=</m:t>
              </m:r>
            </m:e>
            <m:sub>
              <m:r>
                <m:t>j</m:t>
              </m:r>
              <m:r>
                <m:rPr>
                  <m:sty m:val="p"/>
                </m:rPr>
                <m:t>−</m:t>
              </m:r>
              <m:r>
                <m:t>1</m:t>
              </m:r>
            </m:sub>
          </m:sSub>
          <m:sSub>
            <m:e>
              <m:r>
                <m:t>p</m:t>
              </m:r>
            </m:e>
            <m:sub>
              <m:r>
                <m:t>x</m:t>
              </m:r>
            </m:sub>
          </m:sSub>
          <m:r>
            <m:rPr>
              <m:sty m:val="p"/>
            </m:rPr>
            <m:t>×</m:t>
          </m:r>
          <m:sSub>
            <m:e>
              <m:r>
                <m:t>q</m:t>
              </m:r>
            </m:e>
            <m:sub>
              <m:r>
                <m:t>x</m:t>
              </m:r>
              <m:r>
                <m:rPr>
                  <m:sty m:val="p"/>
                </m:rPr>
                <m:t>+</m:t>
              </m:r>
              <m:r>
                <m:t>j</m:t>
              </m:r>
            </m:sub>
          </m:sSub>
          <m:r>
            <m:rPr>
              <m:sty m:val="p"/>
            </m:rPr>
            <m:t>*</m:t>
          </m:r>
          <m:r>
            <m:t>C</m:t>
          </m:r>
          <m:r>
            <m:t>R</m:t>
          </m:r>
          <m:sSub>
            <m:e>
              <m:r>
                <m:t>P</m:t>
              </m:r>
            </m:e>
            <m:sub>
              <m:r>
                <m:t>i</m:t>
              </m:r>
            </m:sub>
          </m:sSub>
        </m:oMath>
      </m:oMathPara>
    </w:p>
    <w:bookmarkEnd w:id="310"/>
    <w:bookmarkStart w:id="315" w:name="résultats-et-interprétations"/>
    <w:p>
      <w:pPr>
        <w:pStyle w:val="Heading4"/>
      </w:pPr>
      <w:r>
        <w:t xml:space="preserve">Résultats et interprétations</w:t>
      </w:r>
    </w:p>
    <w:p>
      <w:pPr>
        <w:pStyle w:val="FirstParagraph"/>
      </w:pPr>
      <w:r>
        <w:t xml:space="preserve">L’onglet dédié à cette opération d’assurance de capital décès dégressif, après tout calcul, fournit les résultat suivants :</w:t>
      </w:r>
    </w:p>
    <w:bookmarkStart w:id="311" w:name="tbl-bevie"/>
    <w:p>
      <w:pPr>
        <w:pStyle w:val="TableCaption"/>
      </w:pPr>
      <w:r>
        <w:t xml:space="preserve">Table 13: Meilleure estimation des granatie probabilisée et des frais de gestions</w:t>
      </w:r>
    </w:p>
    <w:tbl>
      <w:tblPr>
        <w:tblStyle w:val="Table"/>
        <w:tblW w:type="auto" w:w="0"/>
        <w:tblLook w:firstRow="1" w:lastRow="0" w:firstColumn="0" w:lastColumn="0" w:noHBand="0" w:noVBand="0" w:val="0020"/>
        <w:jc w:val="start"/>
        <w:tblCaption w:val="Table 13: Meilleure estimation des granatie probabilisée et des frais de gestions"/>
      </w:tblPr>
      <w:tblGrid>
        <w:gridCol w:w="3960"/>
        <w:gridCol w:w="3960"/>
      </w:tblGrid>
      <w:tr>
        <w:trPr>
          <w:tblHeader w:val="true"/>
        </w:trPr>
        <w:tc>
          <w:tcPr/>
          <w:p>
            <w:pPr>
              <w:pStyle w:val="Compact"/>
              <w:jc w:val="left"/>
            </w:pPr>
            <w:r>
              <w:t xml:space="preserve">Meilleure estimation des garanties probabilisées</w:t>
            </w:r>
          </w:p>
        </w:tc>
        <w:tc>
          <w:tcPr/>
          <w:p>
            <w:pPr>
              <w:pStyle w:val="Compact"/>
              <w:jc w:val="left"/>
            </w:pPr>
            <w:r>
              <w:t xml:space="preserve">Meilleure estimation des frais de gestions</w:t>
            </w:r>
          </w:p>
        </w:tc>
      </w:tr>
      <w:tr>
        <w:tc>
          <w:tcPr/>
          <w:p>
            <w:pPr>
              <w:pStyle w:val="Compact"/>
              <w:jc w:val="left"/>
            </w:pPr>
            <w:r>
              <w:t xml:space="preserve">183 895 103</w:t>
            </w:r>
          </w:p>
        </w:tc>
        <w:tc>
          <w:tcPr/>
          <w:p>
            <w:pPr>
              <w:pStyle w:val="Compact"/>
              <w:jc w:val="left"/>
            </w:pPr>
            <w:r>
              <w:t xml:space="preserve">3 725 418</w:t>
            </w:r>
          </w:p>
        </w:tc>
      </w:tr>
    </w:tbl>
    <w:bookmarkEnd w:id="311"/>
    <w:p>
      <w:pPr>
        <w:pStyle w:val="BodyText"/>
      </w:pPr>
      <w:r>
        <w:t xml:space="preserve"> </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98910"/>
                  <wp:effectExtent b="0" l="0" r="0" t="0"/>
                  <wp:docPr descr="" title="" id="313" name="Picture"/>
                  <a:graphic>
                    <a:graphicData uri="http://schemas.openxmlformats.org/drawingml/2006/picture">
                      <pic:pic>
                        <pic:nvPicPr>
                          <pic:cNvPr descr="Rapport-PFE_files/figure-html/BE_VIE.png" id="314" name="Picture"/>
                          <pic:cNvPicPr>
                            <a:picLocks noChangeArrowheads="1" noChangeAspect="1"/>
                          </pic:cNvPicPr>
                        </pic:nvPicPr>
                        <pic:blipFill>
                          <a:blip r:embed="rId31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Apperçu des résultat dans l’application</w:t>
            </w:r>
          </w:p>
        </w:tc>
      </w:tr>
    </w:tbl>
    <w:bookmarkEnd w:id="315"/>
    <w:bookmarkEnd w:id="316"/>
    <w:bookmarkStart w:id="321" w:name="part-des-cessionnaires"/>
    <w:p>
      <w:pPr>
        <w:pStyle w:val="Heading3"/>
      </w:pPr>
      <w:r>
        <w:t xml:space="preserve">Part des cessionnaires</w:t>
      </w:r>
    </w:p>
    <w:p>
      <w:pPr>
        <w:pStyle w:val="FirstParagraph"/>
      </w:pPr>
      <w:r>
        <w:t xml:space="preserve">La part des cessionnaires est déterminées conformément aux spécification techniques de l’ACAPS. Les taux de cession sont fournis dans l’onglet paramètres et peuvent être modifiés en fonction du traité de réassurance correspondant à l’étude :</w:t>
      </w:r>
    </w:p>
    <w:p>
      <w:pPr>
        <w:numPr>
          <w:ilvl w:val="0"/>
          <w:numId w:val="1072"/>
        </w:numPr>
      </w:pPr>
      <w:r>
        <w:rPr>
          <w:bCs/>
          <w:b/>
        </w:rPr>
        <w:t xml:space="preserve">Taux de cession des engagements vie</w:t>
      </w:r>
      <w:r>
        <w:t xml:space="preserve"> </w:t>
      </w:r>
      <w:r>
        <w:t xml:space="preserve">:</w:t>
      </w:r>
      <w:r>
        <w:t xml:space="preserve"> </w:t>
      </w:r>
      <m:oMath>
        <m:r>
          <m:t>1</m:t>
        </m:r>
        <m:r>
          <m:rPr>
            <m:sty m:val="p"/>
          </m:rPr>
          <m:t>%</m:t>
        </m:r>
      </m:oMath>
      <w:r>
        <w:t xml:space="preserve">,</w:t>
      </w:r>
    </w:p>
    <w:p>
      <w:pPr>
        <w:numPr>
          <w:ilvl w:val="0"/>
          <w:numId w:val="1072"/>
        </w:numPr>
      </w:pPr>
      <w:r>
        <w:rPr>
          <w:bCs/>
          <w:b/>
        </w:rPr>
        <w:t xml:space="preserve">Taux de cession primes non-vie</w:t>
      </w:r>
      <w:r>
        <w:t xml:space="preserve"> </w:t>
      </w:r>
      <w:r>
        <w:t xml:space="preserve">:</w:t>
      </w:r>
      <w:r>
        <w:t xml:space="preserve"> </w:t>
      </w:r>
      <m:oMath>
        <m:r>
          <m:t>5</m:t>
        </m:r>
        <m:r>
          <m:rPr>
            <m:sty m:val="p"/>
          </m:rPr>
          <m:t>%</m:t>
        </m:r>
      </m:oMath>
      <w:r>
        <w:t xml:space="preserve">,</w:t>
      </w:r>
    </w:p>
    <w:p>
      <w:pPr>
        <w:numPr>
          <w:ilvl w:val="0"/>
          <w:numId w:val="1072"/>
        </w:numPr>
      </w:pPr>
      <w:r>
        <w:rPr>
          <w:bCs/>
          <w:b/>
        </w:rPr>
        <w:t xml:space="preserve">Taux de cession sinistres non-vie</w:t>
      </w:r>
      <w:r>
        <w:t xml:space="preserve"> </w:t>
      </w:r>
      <w:r>
        <w:t xml:space="preserve">:</w:t>
      </w:r>
      <w:r>
        <w:t xml:space="preserve"> </w:t>
      </w:r>
      <m:oMath>
        <m:r>
          <m:t>3</m:t>
        </m:r>
        <m:r>
          <m:rPr>
            <m:sty m:val="p"/>
          </m:rPr>
          <m:t>%</m:t>
        </m:r>
      </m:oMath>
      <w:r>
        <w:t xml:space="preserve">.</w:t>
      </w:r>
    </w:p>
    <w:p>
      <w:pPr>
        <w:pStyle w:val="FirstParagraph"/>
      </w:pPr>
      <w:r>
        <w:t xml:space="preserve">La meilleure estimations des engagements pour primes non-vie étant négative, on s’attend aussi à une cession négative des primes.</w:t>
      </w:r>
    </w:p>
    <w:tbl>
      <w:tblPr>
        <w:tblStyle w:val="Table"/>
        <w:tblW w:type="pct" w:w="5000"/>
        <w:tblLook w:firstRow="0" w:lastRow="0" w:firstColumn="0" w:lastColumn="0" w:noHBand="0" w:noVBand="0" w:val="0000"/>
        <w:jc w:val="start"/>
      </w:tblPr>
      <w:tblGrid>
        <w:gridCol w:w="7920"/>
      </w:tblGrid>
      <w:tr>
        <w:tc>
          <w:tcPr/>
          <w:bookmarkStart w:id="320" w:name="fig-cession"/>
          <w:p>
            <w:pPr>
              <w:jc w:val="center"/>
            </w:pPr>
            <w:r>
              <w:drawing>
                <wp:inline>
                  <wp:extent cx="5334000" cy="2998910"/>
                  <wp:effectExtent b="0" l="0" r="0" t="0"/>
                  <wp:docPr descr="" title="" id="318" name="Picture"/>
                  <a:graphic>
                    <a:graphicData uri="http://schemas.openxmlformats.org/drawingml/2006/picture">
                      <pic:pic>
                        <pic:nvPicPr>
                          <pic:cNvPr descr="Rapport-PFE_files/figure-html/cession.png" id="319" name="Picture"/>
                          <pic:cNvPicPr>
                            <a:picLocks noChangeArrowheads="1" noChangeAspect="1"/>
                          </pic:cNvPicPr>
                        </pic:nvPicPr>
                        <pic:blipFill>
                          <a:blip r:embed="rId317"/>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Part des cessionnaires</w:t>
            </w:r>
          </w:p>
          <w:bookmarkEnd w:id="320"/>
        </w:tc>
      </w:tr>
    </w:tbl>
    <w:bookmarkEnd w:id="321"/>
    <w:bookmarkStart w:id="329" w:name="capital-de-solvabilité-requis"/>
    <w:p>
      <w:pPr>
        <w:pStyle w:val="Heading3"/>
      </w:pPr>
      <w:r>
        <w:t xml:space="preserve">Capital de solvabilité requis</w:t>
      </w:r>
    </w:p>
    <w:p>
      <w:pPr>
        <w:pStyle w:val="FirstParagraph"/>
      </w:pPr>
      <w:r>
        <w:t xml:space="preserve">En tenant compte des paramètres renseigné dans le premier onglet ainsi que de tous les calculs effectués dans les autres onglets, il en ressort les capitaux de solvabilité requis pour les risque de souscription vie et non vie indiqué à la figure suivante :</w:t>
      </w:r>
    </w:p>
    <w:bookmarkStart w:id="322" w:name="tbl-csr_vie_non"/>
    <w:p>
      <w:pPr>
        <w:pStyle w:val="TableCaption"/>
      </w:pPr>
      <w:r>
        <w:t xml:space="preserve">Table 14: CSR Souscription</w:t>
      </w:r>
    </w:p>
    <w:tbl>
      <w:tblPr>
        <w:tblStyle w:val="Table"/>
        <w:tblW w:type="auto" w:w="0"/>
        <w:tblLook w:firstRow="0" w:lastRow="0" w:firstColumn="0" w:lastColumn="0" w:noHBand="0" w:noVBand="0" w:val="0000"/>
        <w:jc w:val="start"/>
        <w:tblCaption w:val="Table 14: CSR Souscription"/>
      </w:tblPr>
      <w:tblGrid>
        <w:gridCol w:w="3960"/>
        <w:gridCol w:w="3960"/>
      </w:tblGrid>
      <w:tr>
        <w:tc>
          <w:tcPr/>
          <w:p>
            <w:pPr>
              <w:pStyle w:val="Compact"/>
              <w:jc w:val="left"/>
            </w:pPr>
            <w:r>
              <w:t xml:space="preserve">CSR Souscription vie</w:t>
            </w:r>
          </w:p>
        </w:tc>
        <w:tc>
          <w:tcPr/>
          <w:p>
            <w:pPr>
              <w:pStyle w:val="Compact"/>
              <w:jc w:val="left"/>
            </w:pPr>
            <w:r>
              <w:t xml:space="preserve">CSR Souscription non-vie</w:t>
            </w:r>
          </w:p>
        </w:tc>
      </w:tr>
      <w:tr>
        <w:tc>
          <w:tcPr/>
          <w:p>
            <w:pPr>
              <w:pStyle w:val="Compact"/>
              <w:jc w:val="left"/>
            </w:pPr>
            <w:r>
              <w:t xml:space="preserve">52 496 918</w:t>
            </w:r>
          </w:p>
        </w:tc>
        <w:tc>
          <w:tcPr/>
          <w:p>
            <w:pPr>
              <w:pStyle w:val="Compact"/>
              <w:jc w:val="left"/>
            </w:pPr>
            <w:r>
              <w:t xml:space="preserve">197 616</w:t>
            </w:r>
          </w:p>
        </w:tc>
      </w:tr>
    </w:tbl>
    <w:bookmarkEnd w:id="322"/>
    <w:p>
      <w:pPr>
        <w:pStyle w:val="BodyText"/>
      </w:pPr>
      <w:r>
        <w:t xml:space="preserve"> </w:t>
      </w:r>
    </w:p>
    <w:bookmarkStart w:id="323" w:name="tbl-csr_sousrisk"/>
    <w:p>
      <w:pPr>
        <w:pStyle w:val="TableCaption"/>
      </w:pPr>
      <w:r>
        <w:t xml:space="preserve">Table 15: CSR Sous-risques</w:t>
      </w:r>
    </w:p>
    <w:tbl>
      <w:tblPr>
        <w:tblStyle w:val="Table"/>
        <w:tblW w:type="auto" w:w="0"/>
        <w:tblLook w:firstRow="0" w:lastRow="0" w:firstColumn="0" w:lastColumn="0" w:noHBand="0" w:noVBand="0" w:val="0000"/>
        <w:jc w:val="start"/>
        <w:tblCaption w:val="Table 15: CSR Sous-risques"/>
      </w:tblPr>
      <w:tblGrid>
        <w:gridCol w:w="2640"/>
        <w:gridCol w:w="2640"/>
        <w:gridCol w:w="2640"/>
      </w:tblGrid>
      <w:tr>
        <w:tc>
          <w:tcPr/>
          <w:p>
            <w:pPr>
              <w:pStyle w:val="Compact"/>
              <w:jc w:val="left"/>
            </w:pPr>
            <w:r>
              <w:t xml:space="preserve">CSR mortalité</w:t>
            </w:r>
          </w:p>
        </w:tc>
        <w:tc>
          <w:tcPr/>
          <w:p>
            <w:pPr>
              <w:pStyle w:val="Compact"/>
              <w:jc w:val="left"/>
            </w:pPr>
            <w:r>
              <w:t xml:space="preserve">CSR catastrophe</w:t>
            </w:r>
          </w:p>
        </w:tc>
        <w:tc>
          <w:tcPr/>
          <w:p>
            <w:pPr>
              <w:pStyle w:val="Compact"/>
              <w:jc w:val="left"/>
            </w:pPr>
            <w:r>
              <w:t xml:space="preserve">CSR frais</w:t>
            </w:r>
          </w:p>
        </w:tc>
      </w:tr>
      <w:tr>
        <w:tc>
          <w:tcPr/>
          <w:p>
            <w:pPr>
              <w:pStyle w:val="Compact"/>
              <w:jc w:val="left"/>
            </w:pPr>
            <w:r>
              <w:t xml:space="preserve">52 485 959</w:t>
            </w:r>
          </w:p>
        </w:tc>
        <w:tc>
          <w:tcPr/>
          <w:p>
            <w:pPr>
              <w:pStyle w:val="Compact"/>
              <w:jc w:val="left"/>
            </w:pPr>
            <w:r>
              <w:t xml:space="preserve">353 884</w:t>
            </w:r>
          </w:p>
        </w:tc>
        <w:tc>
          <w:tcPr/>
          <w:p>
            <w:pPr>
              <w:pStyle w:val="Compact"/>
              <w:jc w:val="left"/>
            </w:pPr>
            <w:r>
              <w:t xml:space="preserve">1 012 563</w:t>
            </w:r>
          </w:p>
        </w:tc>
      </w:tr>
    </w:tbl>
    <w:bookmarkEnd w:id="323"/>
    <w:p>
      <w:pPr>
        <w:pStyle w:val="BodyText"/>
      </w:pPr>
      <w:r>
        <w:t xml:space="preserve"> </w:t>
      </w:r>
    </w:p>
    <w:bookmarkStart w:id="324" w:name="tbl-RM"/>
    <w:p>
      <w:pPr>
        <w:pStyle w:val="TableCaption"/>
      </w:pPr>
      <w:r>
        <w:t xml:space="preserve">Table 16: Marges de risques</w:t>
      </w:r>
    </w:p>
    <w:tbl>
      <w:tblPr>
        <w:tblStyle w:val="Table"/>
        <w:tblW w:type="auto" w:w="0"/>
        <w:tblLook w:firstRow="0" w:lastRow="0" w:firstColumn="0" w:lastColumn="0" w:noHBand="0" w:noVBand="0" w:val="0000"/>
        <w:jc w:val="start"/>
        <w:tblCaption w:val="Table 16: Marges de risques"/>
      </w:tblPr>
      <w:tblGrid>
        <w:gridCol w:w="3960"/>
        <w:gridCol w:w="3960"/>
      </w:tblGrid>
      <w:tr>
        <w:tc>
          <w:tcPr/>
          <w:p>
            <w:pPr>
              <w:pStyle w:val="Compact"/>
              <w:jc w:val="left"/>
            </w:pPr>
            <w:r>
              <w:t xml:space="preserve">Marge de risque non-vie</w:t>
            </w:r>
          </w:p>
        </w:tc>
        <w:tc>
          <w:tcPr/>
          <w:p>
            <w:pPr>
              <w:pStyle w:val="Compact"/>
              <w:jc w:val="left"/>
            </w:pPr>
            <w:r>
              <w:t xml:space="preserve">Marge de risque vie</w:t>
            </w:r>
          </w:p>
        </w:tc>
      </w:tr>
      <w:tr>
        <w:tc>
          <w:tcPr/>
          <w:p>
            <w:pPr>
              <w:pStyle w:val="Compact"/>
              <w:jc w:val="left"/>
            </w:pPr>
            <w:r>
              <w:t xml:space="preserve">9 338 125</w:t>
            </w:r>
          </w:p>
        </w:tc>
        <w:tc>
          <w:tcPr/>
          <w:p>
            <w:pPr>
              <w:pStyle w:val="Compact"/>
              <w:jc w:val="left"/>
            </w:pPr>
            <w:r>
              <w:t xml:space="preserve">19 965 000</w:t>
            </w:r>
          </w:p>
        </w:tc>
      </w:tr>
    </w:tbl>
    <w:bookmarkEnd w:id="324"/>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8" w:name="fig-csr"/>
          <w:p>
            <w:pPr>
              <w:jc w:val="center"/>
            </w:pPr>
            <w:r>
              <w:drawing>
                <wp:inline>
                  <wp:extent cx="5334000" cy="2998910"/>
                  <wp:effectExtent b="0" l="0" r="0" t="0"/>
                  <wp:docPr descr="" title="" id="326" name="Picture"/>
                  <a:graphic>
                    <a:graphicData uri="http://schemas.openxmlformats.org/drawingml/2006/picture">
                      <pic:pic>
                        <pic:nvPicPr>
                          <pic:cNvPr descr="Rapport-PFE_files/figure-html/CSR.png" id="327" name="Picture"/>
                          <pic:cNvPicPr>
                            <a:picLocks noChangeArrowheads="1" noChangeAspect="1"/>
                          </pic:cNvPicPr>
                        </pic:nvPicPr>
                        <pic:blipFill>
                          <a:blip r:embed="rId325"/>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les CSR calculés</w:t>
            </w:r>
          </w:p>
          <w:bookmarkEnd w:id="328"/>
        </w:tc>
      </w:tr>
    </w:tbl>
    <w:p>
      <w:pPr>
        <w:pStyle w:val="BodyText"/>
      </w:pPr>
      <w:r>
        <w:t xml:space="preserve">Nous avons supposé que les sous risques sont indépendants entendant la publication de la matrice de corrélation entre ces sous-risques.</w:t>
      </w:r>
    </w:p>
    <w:bookmarkEnd w:id="329"/>
    <w:bookmarkEnd w:id="330"/>
    <w:bookmarkEnd w:id="331"/>
    <w:bookmarkStart w:id="332" w:name="conclusion"/>
    <w:p>
      <w:pPr>
        <w:pStyle w:val="Heading1"/>
      </w:pPr>
      <w:r>
        <w:t xml:space="preserve">Conclusion</w:t>
      </w:r>
    </w:p>
    <w:p>
      <w:pPr>
        <w:pStyle w:val="FirstParagraph"/>
      </w:pPr>
      <w:r>
        <w:t xml:space="preserve">L’assurance est une opération de garantie de risque en contrepartie d’une prime. De ce fait, le secteur de l’assurance demeure très visqueux en terme de risques encourus. Il est de la responsabilité des autorités de réglementer ce milieu car la ruine d’une compagnie peut engendrer des conséquences néfastes à l’économie globale.</w:t>
      </w:r>
    </w:p>
    <w:p>
      <w:pPr>
        <w:pStyle w:val="BodyText"/>
      </w:pPr>
      <w:r>
        <w:t xml:space="preserve">La Solvabilité Basée sur les Risques (SBR) est une réforme en cours d’élaboration qui est inspirée de la directive européenne Solvabilité II. Lors de ce stage au sein de</w:t>
      </w:r>
      <w:r>
        <w:t xml:space="preserve"> </w:t>
      </w:r>
      <w:r>
        <w:rPr>
          <w:bCs/>
          <w:b/>
        </w:rPr>
        <w:t xml:space="preserve">ARM CONSULTANTS</w:t>
      </w:r>
      <w: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travaille reste ouvert à toute proposition allant dans le sens à le bonifier.</w:t>
      </w:r>
    </w:p>
    <w:p>
      <w:pPr>
        <w:pStyle w:val="BodyText"/>
      </w:pPr>
      <w:r>
        <w:t xml:space="preserve">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bookmarkEnd w:id="332"/>
    <w:bookmarkStart w:id="333" w:name="annexe-n1-marge-de-risque"/>
    <w:p>
      <w:pPr>
        <w:pStyle w:val="Heading1"/>
      </w:pPr>
      <w:r>
        <w:t xml:space="preserve">ANNEXE N°1 : MARGE DE RISQUE</w:t>
      </w:r>
    </w:p>
    <w:p>
      <w:pPr>
        <w:pStyle w:val="FirstParagraph"/>
      </w:pPr>
      <w:r>
        <w:t xml:space="preserve">La marge de risque est calculée séparément pour les engagements vie et rentes découlant des opérations non vie ainsi que pour les engagements des opérations non vie comme suit :</w:t>
      </w:r>
    </w:p>
    <w:p>
      <w:pPr>
        <w:pStyle w:val="BodyText"/>
      </w:pPr>
      <m:oMathPara>
        <m:oMathParaPr>
          <m:jc m:val="center"/>
        </m:oMathParaPr>
        <m:oMath>
          <m:r>
            <m:t>M</m:t>
          </m:r>
          <m:r>
            <m:t>R</m:t>
          </m:r>
          <m:r>
            <m:rPr>
              <m:sty m:val="p"/>
            </m:rPr>
            <m:t>=</m:t>
          </m:r>
          <m:r>
            <m:t>α</m:t>
          </m:r>
          <m:r>
            <m:rPr>
              <m:sty m:val="p"/>
            </m:rPr>
            <m:t>×</m:t>
          </m:r>
          <m:nary>
            <m:naryPr>
              <m:chr m:val="∑"/>
              <m:limLoc m:val="undOvr"/>
              <m:subHide m:val="0"/>
              <m:supHide m:val="1"/>
            </m:naryPr>
            <m:sub>
              <m:r>
                <m:t>i</m:t>
              </m:r>
              <m:r>
                <m:rPr>
                  <m:sty m:val="p"/>
                </m:rPr>
                <m:t>≥</m:t>
              </m:r>
              <m:r>
                <m:t>0</m:t>
              </m:r>
            </m:sub>
            <m:sup>
              <m:r>
                <m:t>​</m:t>
              </m:r>
            </m:sup>
            <m:e>
              <m:f>
                <m:fPr>
                  <m:type m:val="bar"/>
                </m:fPr>
                <m:num>
                  <m:r>
                    <m:t>C</m:t>
                  </m:r>
                  <m:r>
                    <m:t>S</m:t>
                  </m:r>
                  <m:sSub>
                    <m:e>
                      <m:r>
                        <m:t>R</m:t>
                      </m:r>
                    </m:e>
                    <m:sub>
                      <m:r>
                        <m:t>i</m:t>
                      </m:r>
                    </m:sub>
                  </m:sSub>
                </m:num>
                <m:den>
                  <m:sSup>
                    <m:e>
                      <m:d>
                        <m:dPr>
                          <m:begChr m:val="("/>
                          <m:endChr m:val=")"/>
                          <m:sepChr m:val=""/>
                          <m:grow/>
                        </m:dPr>
                        <m:e>
                          <m:r>
                            <m:t>1</m:t>
                          </m:r>
                          <m:r>
                            <m:rPr>
                              <m:sty m:val="p"/>
                            </m:rPr>
                            <m:t>+</m:t>
                          </m:r>
                          <m:sSub>
                            <m:e>
                              <m:r>
                                <m:t>r</m:t>
                              </m:r>
                            </m:e>
                            <m:sub>
                              <m:r>
                                <m:t>i</m:t>
                              </m:r>
                              <m:r>
                                <m:rPr>
                                  <m:sty m:val="p"/>
                                </m:rPr>
                                <m:t>+</m:t>
                              </m:r>
                              <m:r>
                                <m:t>1</m:t>
                              </m:r>
                            </m:sub>
                          </m:sSub>
                        </m:e>
                      </m:d>
                    </m:e>
                    <m:sup>
                      <m:r>
                        <m:t>i</m:t>
                      </m:r>
                      <m:r>
                        <m:rPr>
                          <m:sty m:val="p"/>
                        </m:rPr>
                        <m:t>+</m:t>
                      </m:r>
                      <m:r>
                        <m:t>1</m:t>
                      </m:r>
                    </m:sup>
                  </m:sSup>
                </m:den>
              </m:f>
            </m:e>
          </m:nary>
          <m:r>
            <m:t> </m:t>
          </m:r>
          <m:r>
            <m:rPr>
              <m:sty m:val="p"/>
            </m:rPr>
            <m:t>,</m:t>
          </m:r>
        </m:oMath>
      </m:oMathPara>
    </w:p>
    <w:p>
      <w:pPr>
        <w:pStyle w:val="FirstParagraph"/>
      </w:pPr>
      <w:r>
        <w:t xml:space="preserve">où :</w:t>
      </w:r>
    </w:p>
    <w:p>
      <w:pPr>
        <w:numPr>
          <w:ilvl w:val="0"/>
          <w:numId w:val="1073"/>
        </w:numPr>
      </w:pPr>
      <m:oMath>
        <m:r>
          <m:t>α</m:t>
        </m:r>
      </m:oMath>
      <w:r>
        <w:t xml:space="preserve"> </w:t>
      </w:r>
      <w:r>
        <w:t xml:space="preserve">: représente le taux du coût du capital, pas encore publié mais établi à</w:t>
      </w:r>
      <w:r>
        <w:t xml:space="preserve"> </w:t>
      </w:r>
      <m:oMath>
        <m:r>
          <m:t>α</m:t>
        </m:r>
        <m:r>
          <m:rPr>
            <m:sty m:val="p"/>
          </m:rPr>
          <m:t>=</m:t>
        </m:r>
        <m:r>
          <m:t>6</m:t>
        </m:r>
        <m:r>
          <m:rPr>
            <m:sty m:val="p"/>
          </m:rPr>
          <m:t>%</m:t>
        </m:r>
      </m:oMath>
      <w:r>
        <w:t xml:space="preserve"> </w:t>
      </w:r>
      <w:r>
        <w:t xml:space="preserve">dans notre projet.</w:t>
      </w:r>
    </w:p>
    <w:p>
      <w:pPr>
        <w:numPr>
          <w:ilvl w:val="0"/>
          <w:numId w:val="1073"/>
        </w:numPr>
      </w:pPr>
      <m:oMath>
        <m:r>
          <m:t>C</m:t>
        </m:r>
        <m:r>
          <m:t>S</m:t>
        </m:r>
        <m:sSub>
          <m:e>
            <m:r>
              <m:t>R</m:t>
            </m:r>
          </m:e>
          <m:sub>
            <m:r>
              <m:t>i</m:t>
            </m:r>
          </m:sub>
        </m:sSub>
      </m:oMath>
      <w:r>
        <w:t xml:space="preserve"> </w:t>
      </w:r>
      <w:r>
        <w:t xml:space="preserve">: représente le capital de solvabilité requis projeté à la date</w:t>
      </w:r>
      <w:r>
        <w:t xml:space="preserve"> </w:t>
      </w:r>
      <m:oMath>
        <m:r>
          <m:t>i</m:t>
        </m:r>
      </m:oMath>
      <w:r>
        <w:t xml:space="preserve"> </w:t>
      </w:r>
      <w:r>
        <w:t xml:space="preserve">compte non tenu des exigences de capitaux relatives aux risques opérationnel, de marché, de concentration et de contrepartie. Il est calculé comme suit :</w:t>
      </w:r>
    </w:p>
    <w:p>
      <w:pPr>
        <w:pStyle w:val="FirstParagraph"/>
      </w:pPr>
      <m:oMathPara>
        <m:oMathParaPr>
          <m:jc m:val="center"/>
        </m:oMathParaPr>
        <m:oMath>
          <m:r>
            <m:t>C</m:t>
          </m:r>
          <m:r>
            <m:t>S</m:t>
          </m:r>
          <m:sSub>
            <m:e>
              <m:r>
                <m:t>R</m:t>
              </m:r>
            </m:e>
            <m:sub>
              <m:r>
                <m:t>i</m:t>
              </m:r>
            </m:sub>
          </m:sSub>
          <m:r>
            <m:rPr>
              <m:sty m:val="p"/>
            </m:rPr>
            <m:t>=</m:t>
          </m:r>
          <m:f>
            <m:fPr>
              <m:type m:val="bar"/>
            </m:fPr>
            <m:num>
              <m:r>
                <m:t>B</m:t>
              </m:r>
              <m:sSub>
                <m:e>
                  <m:r>
                    <m:t>E</m:t>
                  </m:r>
                </m:e>
                <m:sub>
                  <m:r>
                    <m:t>e</m:t>
                  </m:r>
                  <m:r>
                    <m:t>n</m:t>
                  </m:r>
                  <m:sSub>
                    <m:e>
                      <m:r>
                        <m:t>g</m:t>
                      </m:r>
                    </m:e>
                    <m:sub>
                      <m:r>
                        <m:t>i</m:t>
                      </m:r>
                    </m:sub>
                  </m:sSub>
                </m:sub>
              </m:sSub>
            </m:num>
            <m:den>
              <m:r>
                <m:t>B</m:t>
              </m:r>
              <m:sSub>
                <m:e>
                  <m:r>
                    <m:t>E</m:t>
                  </m:r>
                </m:e>
                <m:sub>
                  <m:r>
                    <m:t>e</m:t>
                  </m:r>
                  <m:r>
                    <m:t>n</m:t>
                  </m:r>
                  <m:sSub>
                    <m:e>
                      <m:r>
                        <m:t>g</m:t>
                      </m:r>
                    </m:e>
                    <m:sub>
                      <m:r>
                        <m:t>0</m:t>
                      </m:r>
                    </m:sub>
                  </m:sSub>
                </m:sub>
              </m:sSub>
            </m:den>
          </m:f>
          <m:r>
            <m:rPr>
              <m:sty m:val="p"/>
            </m:rPr>
            <m:t>×</m:t>
          </m:r>
          <m:r>
            <m:t>C</m:t>
          </m:r>
          <m:r>
            <m:t>S</m:t>
          </m:r>
          <m:sSub>
            <m:e>
              <m:r>
                <m:t>R</m:t>
              </m:r>
            </m:e>
            <m:sub>
              <m:r>
                <m:t>0</m:t>
              </m:r>
            </m:sub>
          </m:sSub>
          <m:r>
            <m:t> </m:t>
          </m:r>
          <m:r>
            <m:rPr>
              <m:sty m:val="p"/>
            </m:rPr>
            <m:t>,</m:t>
          </m:r>
        </m:oMath>
      </m:oMathPara>
    </w:p>
    <w:p>
      <w:pPr>
        <w:numPr>
          <w:ilvl w:val="0"/>
          <w:numId w:val="1074"/>
        </w:numPr>
      </w:pPr>
      <m:oMath>
        <m:r>
          <m:t>B</m:t>
        </m:r>
        <m:sSub>
          <m:e>
            <m:r>
              <m:t>E</m:t>
            </m:r>
          </m:e>
          <m:sub>
            <m:r>
              <m:t>e</m:t>
            </m:r>
            <m:r>
              <m:t>n</m:t>
            </m:r>
            <m:sSub>
              <m:e>
                <m:r>
                  <m:t>g</m:t>
                </m:r>
              </m:e>
              <m:sub>
                <m:r>
                  <m:t>i</m:t>
                </m:r>
              </m:sub>
            </m:sSub>
          </m:sub>
        </m:sSub>
      </m:oMath>
      <w:r>
        <w:t xml:space="preserve"> </w:t>
      </w:r>
      <w:r>
        <w:t xml:space="preserve">: correspond à la meilleure estimation des engagements projetée à la date</w:t>
      </w:r>
      <w:r>
        <w:t xml:space="preserve"> </w:t>
      </w:r>
      <m:oMath>
        <m:r>
          <m:t>i</m:t>
        </m:r>
      </m:oMath>
      <w:r>
        <w:t xml:space="preserve">.</w:t>
      </w:r>
    </w:p>
    <w:p>
      <w:pPr>
        <w:numPr>
          <w:ilvl w:val="0"/>
          <w:numId w:val="1074"/>
        </w:numPr>
      </w:pPr>
      <m:oMath>
        <m:r>
          <m:t>C</m:t>
        </m:r>
        <m:r>
          <m:t>S</m:t>
        </m:r>
        <m:sSub>
          <m:e>
            <m:r>
              <m:t>R</m:t>
            </m:r>
          </m:e>
          <m:sub>
            <m:r>
              <m:t>0</m:t>
            </m:r>
          </m:sub>
        </m:sSub>
      </m:oMath>
      <w:r>
        <w:t xml:space="preserve"> </w:t>
      </w:r>
      <w:r>
        <w:t xml:space="preserve">: représente le capital de solvabilité requis à la date d’inventaire compte non tenu des exigences de capitaux relatives aux risques opérationnel, de marché, de concentration et de contrepartie.</w:t>
      </w:r>
    </w:p>
    <w:p>
      <w:pPr>
        <w:numPr>
          <w:ilvl w:val="0"/>
          <w:numId w:val="1074"/>
        </w:numPr>
      </w:pPr>
      <m:oMath>
        <m:sSub>
          <m:e>
            <m:r>
              <m:t>r</m:t>
            </m:r>
          </m:e>
          <m:sub>
            <m:r>
              <m:t>i</m:t>
            </m:r>
          </m:sub>
        </m:sSub>
      </m:oMath>
      <w:r>
        <w:t xml:space="preserve"> </w:t>
      </w:r>
      <w:r>
        <w:t xml:space="preserve">: correspond à la structure par terme de la courbe des taux fixée par l’Autorité.</w:t>
      </w:r>
    </w:p>
    <w:bookmarkEnd w:id="333"/>
    <w:bookmarkStart w:id="336" w:name="X19201d892d1ecf03d622680eb90ba507529139d"/>
    <w:p>
      <w:pPr>
        <w:pStyle w:val="Heading1"/>
      </w:pPr>
      <w:r>
        <w:t xml:space="preserve">ANNEXE N°2 : CORRESPONDANCE ENTRE ECHELLE DE NOTATION ET PROBABILITE DE DEFAUT</w:t>
      </w:r>
    </w:p>
    <w:bookmarkStart w:id="334" w:name="echelles-de-notation"/>
    <w:p>
      <w:pPr>
        <w:pStyle w:val="Heading2"/>
      </w:pPr>
      <w:r>
        <w:t xml:space="preserve">Echelles de notation</w:t>
      </w:r>
    </w:p>
    <w:p>
      <w:pPr>
        <w:numPr>
          <w:ilvl w:val="0"/>
          <w:numId w:val="1075"/>
        </w:numPr>
        <w:pStyle w:val="Compact"/>
      </w:pPr>
      <w:r>
        <w:t xml:space="preserve">Pour les cessionnaires et les cédantes :</w:t>
      </w:r>
    </w:p>
    <w:p>
      <w:pPr>
        <w:pStyle w:val="FirstParagraph"/>
      </w:pPr>
      <w:r>
        <w:t xml:space="preserve">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w:t>
            </w:r>
          </w:p>
        </w:tc>
        <w:tc>
          <w:tcPr/>
          <w:p>
            <w:pPr>
              <w:pStyle w:val="Compact"/>
              <w:jc w:val="left"/>
            </w:pPr>
            <w:r>
              <w:t xml:space="preserve">AM BEST</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à A et supérieure ou égale à BBB</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BB</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175%</w:t>
            </w:r>
          </w:p>
        </w:tc>
      </w:tr>
      <w:tr>
        <w:tc>
          <w:tcPr/>
          <w:p>
            <w:pPr>
              <w:pStyle w:val="Compact"/>
              <w:jc w:val="left"/>
            </w:pPr>
            <w:r>
              <w:t xml:space="preserve">2</w:t>
            </w:r>
          </w:p>
        </w:tc>
        <w:tc>
          <w:tcPr/>
          <w:p>
            <w:pPr>
              <w:pStyle w:val="Compact"/>
              <w:jc w:val="left"/>
            </w:pPr>
            <w:r>
              <w:t xml:space="preserve">]122% ; 175%]</w:t>
            </w:r>
          </w:p>
        </w:tc>
      </w:tr>
      <w:tr>
        <w:tc>
          <w:tcPr/>
          <w:p>
            <w:pPr>
              <w:pStyle w:val="Compact"/>
              <w:jc w:val="left"/>
            </w:pPr>
            <w:r>
              <w:t xml:space="preserve">3</w:t>
            </w:r>
          </w:p>
        </w:tc>
        <w:tc>
          <w:tcPr/>
          <w:p>
            <w:pPr>
              <w:pStyle w:val="Compact"/>
              <w:jc w:val="left"/>
            </w:pPr>
            <w:r>
              <w:t xml:space="preserve">]95% ; 122%]</w:t>
            </w:r>
          </w:p>
        </w:tc>
      </w:tr>
      <w:tr>
        <w:tc>
          <w:tcPr/>
          <w:p>
            <w:pPr>
              <w:pStyle w:val="Compact"/>
              <w:jc w:val="left"/>
            </w:pPr>
            <w:r>
              <w:t xml:space="preserve">4</w:t>
            </w:r>
          </w:p>
        </w:tc>
        <w:tc>
          <w:tcPr/>
          <w:p>
            <w:pPr>
              <w:pStyle w:val="Compact"/>
              <w:jc w:val="left"/>
            </w:pPr>
            <w:r>
              <w:t xml:space="preserve">]75% ; 95%]</w:t>
            </w:r>
          </w:p>
        </w:tc>
      </w:tr>
      <w:tr>
        <w:tc>
          <w:tcPr/>
          <w:p>
            <w:pPr>
              <w:pStyle w:val="Compact"/>
              <w:jc w:val="left"/>
            </w:pPr>
            <w:r>
              <w:t xml:space="preserve">5</w:t>
            </w:r>
          </w:p>
        </w:tc>
        <w:tc>
          <w:tcPr/>
          <w:p>
            <w:pPr>
              <w:pStyle w:val="Compact"/>
              <w:jc w:val="left"/>
            </w:pPr>
            <w:r>
              <w:t xml:space="preserve">Inférieur ou égale à 75%</w:t>
            </w:r>
          </w:p>
        </w:tc>
      </w:tr>
    </w:tbl>
    <w:p>
      <w:pPr>
        <w:pStyle w:val="BodyText"/>
      </w:pPr>
      <w:r>
        <w:t xml:space="preserve">Dans les autres cas, l’échelle de notation la plus faible est retenue.</w:t>
      </w:r>
    </w:p>
    <w:p>
      <w:pPr>
        <w:numPr>
          <w:ilvl w:val="0"/>
          <w:numId w:val="1076"/>
        </w:numPr>
        <w:pStyle w:val="Compact"/>
      </w:pPr>
      <w:r>
        <w:t xml:space="preserve">Pour les organismes dépositaires :</w:t>
      </w:r>
    </w:p>
    <w:p>
      <w:pPr>
        <w:pStyle w:val="FirstParagraph"/>
      </w:pPr>
      <w:r>
        <w:t xml:space="preserve">L’échelle de notation à retenir correspond à la notation financière la plus récente délivrée, durant les</w:t>
      </w:r>
      <w:r>
        <w:t xml:space="preserve"> </w:t>
      </w:r>
      <w:r>
        <w:t xml:space="preserve">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RATINGS</w:t>
            </w:r>
          </w:p>
        </w:tc>
        <w:tc>
          <w:tcPr/>
          <w:p>
            <w:pPr>
              <w:pStyle w:val="Compact"/>
              <w:jc w:val="left"/>
            </w:pPr>
            <w:r>
              <w:t xml:space="preserve">MOODY'S</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A et supérieure ou égale à Baa</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Baa et supérieure ou égale à Ba</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Ba</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21%</w:t>
            </w:r>
          </w:p>
        </w:tc>
      </w:tr>
      <w:tr>
        <w:tc>
          <w:tcPr/>
          <w:p>
            <w:pPr>
              <w:pStyle w:val="Compact"/>
              <w:jc w:val="left"/>
            </w:pPr>
            <w:r>
              <w:t xml:space="preserve">2</w:t>
            </w:r>
          </w:p>
        </w:tc>
        <w:tc>
          <w:tcPr/>
          <w:p>
            <w:pPr>
              <w:pStyle w:val="Compact"/>
              <w:jc w:val="left"/>
            </w:pPr>
            <w:r>
              <w:t xml:space="preserve">]14,6% ; 21%]</w:t>
            </w:r>
          </w:p>
        </w:tc>
      </w:tr>
      <w:tr>
        <w:tc>
          <w:tcPr/>
          <w:p>
            <w:pPr>
              <w:pStyle w:val="Compact"/>
              <w:jc w:val="left"/>
            </w:pPr>
            <w:r>
              <w:t xml:space="preserve">3</w:t>
            </w:r>
          </w:p>
        </w:tc>
        <w:tc>
          <w:tcPr/>
          <w:p>
            <w:pPr>
              <w:pStyle w:val="Compact"/>
              <w:jc w:val="left"/>
            </w:pPr>
            <w:r>
              <w:t xml:space="preserve">]11,4% ; 14,6%]</w:t>
            </w:r>
          </w:p>
        </w:tc>
      </w:tr>
      <w:tr>
        <w:tc>
          <w:tcPr/>
          <w:p>
            <w:pPr>
              <w:pStyle w:val="Compact"/>
              <w:jc w:val="left"/>
            </w:pPr>
            <w:r>
              <w:t xml:space="preserve">4</w:t>
            </w:r>
          </w:p>
        </w:tc>
        <w:tc>
          <w:tcPr/>
          <w:p>
            <w:pPr>
              <w:pStyle w:val="Compact"/>
              <w:jc w:val="left"/>
            </w:pPr>
            <w:r>
              <w:t xml:space="preserve">]9% ; 11,4%]</w:t>
            </w:r>
          </w:p>
        </w:tc>
      </w:tr>
      <w:tr>
        <w:tc>
          <w:tcPr/>
          <w:p>
            <w:pPr>
              <w:pStyle w:val="Compact"/>
              <w:jc w:val="left"/>
            </w:pPr>
            <w:r>
              <w:t xml:space="preserve">5</w:t>
            </w:r>
          </w:p>
        </w:tc>
        <w:tc>
          <w:tcPr/>
          <w:p>
            <w:pPr>
              <w:pStyle w:val="Compact"/>
              <w:jc w:val="left"/>
            </w:pPr>
            <w:r>
              <w:t xml:space="preserve">Inférieur ou égale à 9%</w:t>
            </w:r>
          </w:p>
        </w:tc>
      </w:tr>
    </w:tbl>
    <w:p>
      <w:pPr>
        <w:pStyle w:val="BodyText"/>
      </w:pPr>
      <w:r>
        <w:t xml:space="preserve">Dans les autres cas, l’échelle de notation la plus faible est retenue.</w:t>
      </w:r>
    </w:p>
    <w:bookmarkEnd w:id="334"/>
    <w:bookmarkStart w:id="335" w:name="probabilités-de-défaut"/>
    <w:p>
      <w:pPr>
        <w:pStyle w:val="Heading2"/>
      </w:pPr>
      <w:r>
        <w:t xml:space="preserve">Probabilités de défaut :</w:t>
      </w:r>
    </w:p>
    <w:p>
      <w:pPr>
        <w:pStyle w:val="FirstParagraph"/>
      </w:pPr>
      <w:r>
        <w:t xml:space="preserve">La probabilité de défaut annuelle est établie en fonction de l’échelle de notation retenue en</w:t>
      </w:r>
      <w:r>
        <w:t xml:space="preserve"> </w:t>
      </w:r>
      <w:r>
        <w:t xml:space="preserve">application des dispositions du 1) ci-dessus et ce, conformément au tableau de correspondance ci après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Probabilité de défaut annuelle</w:t>
            </w:r>
          </w:p>
        </w:tc>
      </w:tr>
      <w:tr>
        <w:tc>
          <w:tcPr/>
          <w:p>
            <w:pPr>
              <w:pStyle w:val="Compact"/>
              <w:jc w:val="left"/>
            </w:pPr>
            <w:r>
              <w:t xml:space="preserve">1</w:t>
            </w:r>
          </w:p>
        </w:tc>
        <w:tc>
          <w:tcPr/>
          <w:p>
            <w:pPr>
              <w:pStyle w:val="Compact"/>
              <w:jc w:val="left"/>
            </w:pPr>
            <w:r>
              <w:t xml:space="preserve">0,010%</w:t>
            </w:r>
          </w:p>
        </w:tc>
      </w:tr>
      <w:tr>
        <w:tc>
          <w:tcPr/>
          <w:p>
            <w:pPr>
              <w:pStyle w:val="Compact"/>
              <w:jc w:val="left"/>
            </w:pPr>
            <w:r>
              <w:t xml:space="preserve">2</w:t>
            </w:r>
          </w:p>
        </w:tc>
        <w:tc>
          <w:tcPr/>
          <w:p>
            <w:pPr>
              <w:pStyle w:val="Compact"/>
              <w:jc w:val="left"/>
            </w:pPr>
            <w:r>
              <w:t xml:space="preserve">0,050%</w:t>
            </w:r>
          </w:p>
        </w:tc>
      </w:tr>
      <w:tr>
        <w:tc>
          <w:tcPr/>
          <w:p>
            <w:pPr>
              <w:pStyle w:val="Compact"/>
              <w:jc w:val="left"/>
            </w:pPr>
            <w:r>
              <w:t xml:space="preserve">3</w:t>
            </w:r>
          </w:p>
        </w:tc>
        <w:tc>
          <w:tcPr/>
          <w:p>
            <w:pPr>
              <w:pStyle w:val="Compact"/>
              <w:jc w:val="left"/>
            </w:pPr>
            <w:r>
              <w:t xml:space="preserve">0,240%</w:t>
            </w:r>
          </w:p>
        </w:tc>
      </w:tr>
      <w:tr>
        <w:tc>
          <w:tcPr/>
          <w:p>
            <w:pPr>
              <w:pStyle w:val="Compact"/>
              <w:jc w:val="left"/>
            </w:pPr>
            <w:r>
              <w:t xml:space="preserve">4</w:t>
            </w:r>
          </w:p>
        </w:tc>
        <w:tc>
          <w:tcPr/>
          <w:p>
            <w:pPr>
              <w:pStyle w:val="Compact"/>
              <w:jc w:val="left"/>
            </w:pPr>
            <w:r>
              <w:t xml:space="preserve">1,200%</w:t>
            </w:r>
          </w:p>
        </w:tc>
      </w:tr>
      <w:tr>
        <w:tc>
          <w:tcPr/>
          <w:p>
            <w:pPr>
              <w:pStyle w:val="Compact"/>
              <w:jc w:val="left"/>
            </w:pPr>
            <w:r>
              <w:t xml:space="preserve">5</w:t>
            </w:r>
          </w:p>
        </w:tc>
        <w:tc>
          <w:tcPr/>
          <w:p>
            <w:pPr>
              <w:pStyle w:val="Compact"/>
              <w:jc w:val="left"/>
            </w:pPr>
            <w:r>
              <w:t xml:space="preserve">4,200%</w:t>
            </w:r>
          </w:p>
        </w:tc>
      </w:tr>
    </w:tbl>
    <w:bookmarkEnd w:id="335"/>
    <w:bookmarkEnd w:id="336"/>
    <w:bookmarkStart w:id="337" w:name="annexe-n3-tables-de-mortalite-td-88-90"/>
    <w:p>
      <w:pPr>
        <w:pStyle w:val="Heading1"/>
      </w:pPr>
      <w:r>
        <w:t xml:space="preserve">ANNEXE N°3 : TABLES DE MORTALITE TD 88-90</w:t>
      </w:r>
    </w:p>
    <w:p>
      <w:pPr>
        <w:pStyle w:val="TableCaption"/>
      </w:pPr>
      <w:r>
        <w:t xml:space="preserve">TABLE DE MORTALITE TD 88-90</w:t>
      </w:r>
      <w:r>
        <w:t xml:space="preserve"> </w:t>
      </w:r>
    </w:p>
    <w:tbl>
      <w:tblPr>
        <w:tblStyle w:val="Table"/>
        <w:tblW w:type="auto" w:w="0"/>
        <w:tblLook w:firstRow="1" w:lastRow="0" w:firstColumn="0" w:lastColumn="0" w:noHBand="0" w:noVBand="0" w:val="0020"/>
        <w:jc w:val="start"/>
        <w:tblCaption w:val="TABLE DE MORTALITE TD 88-90 "/>
      </w:tblPr>
      <w:tblGrid>
        <w:gridCol w:w="3960"/>
        <w:gridCol w:w="3960"/>
      </w:tblGrid>
      <w:tr>
        <w:trPr>
          <w:tblHeader w:val="true"/>
        </w:trPr>
        <w:tc>
          <w:tcPr/>
          <w:p>
            <w:pPr>
              <w:pStyle w:val="Compact"/>
              <w:jc w:val="right"/>
            </w:pPr>
            <w:r>
              <w:t xml:space="preserve">x</w:t>
            </w:r>
          </w:p>
        </w:tc>
        <w:tc>
          <w:tcPr/>
          <w:p>
            <w:pPr>
              <w:pStyle w:val="Compact"/>
              <w:jc w:val="right"/>
            </w:pPr>
            <w:r>
              <w:t xml:space="preserve">Lx</w:t>
            </w:r>
          </w:p>
        </w:tc>
      </w:tr>
      <w:tr>
        <w:tc>
          <w:tcPr/>
          <w:p>
            <w:pPr>
              <w:pStyle w:val="Compact"/>
              <w:jc w:val="right"/>
            </w:pPr>
            <w:r>
              <w:t xml:space="preserve">0</w:t>
            </w:r>
          </w:p>
        </w:tc>
        <w:tc>
          <w:tcPr/>
          <w:p>
            <w:pPr>
              <w:pStyle w:val="Compact"/>
              <w:jc w:val="right"/>
            </w:pPr>
            <w:r>
              <w:t xml:space="preserve">100000</w:t>
            </w:r>
          </w:p>
        </w:tc>
      </w:tr>
      <w:tr>
        <w:tc>
          <w:tcPr/>
          <w:p>
            <w:pPr>
              <w:pStyle w:val="Compact"/>
              <w:jc w:val="right"/>
            </w:pPr>
            <w:r>
              <w:t xml:space="preserve">1</w:t>
            </w:r>
          </w:p>
        </w:tc>
        <w:tc>
          <w:tcPr/>
          <w:p>
            <w:pPr>
              <w:pStyle w:val="Compact"/>
              <w:jc w:val="right"/>
            </w:pPr>
            <w:r>
              <w:t xml:space="preserve">99129</w:t>
            </w:r>
          </w:p>
        </w:tc>
      </w:tr>
      <w:tr>
        <w:tc>
          <w:tcPr/>
          <w:p>
            <w:pPr>
              <w:pStyle w:val="Compact"/>
              <w:jc w:val="right"/>
            </w:pPr>
            <w:r>
              <w:t xml:space="preserve">2</w:t>
            </w:r>
          </w:p>
        </w:tc>
        <w:tc>
          <w:tcPr/>
          <w:p>
            <w:pPr>
              <w:pStyle w:val="Compact"/>
              <w:jc w:val="right"/>
            </w:pPr>
            <w:r>
              <w:t xml:space="preserve">99057</w:t>
            </w:r>
          </w:p>
        </w:tc>
      </w:tr>
      <w:tr>
        <w:tc>
          <w:tcPr/>
          <w:p>
            <w:pPr>
              <w:pStyle w:val="Compact"/>
              <w:jc w:val="right"/>
            </w:pPr>
            <w:r>
              <w:t xml:space="preserve">3</w:t>
            </w:r>
          </w:p>
        </w:tc>
        <w:tc>
          <w:tcPr/>
          <w:p>
            <w:pPr>
              <w:pStyle w:val="Compact"/>
              <w:jc w:val="right"/>
            </w:pPr>
            <w:r>
              <w:t xml:space="preserve">99010</w:t>
            </w:r>
          </w:p>
        </w:tc>
      </w:tr>
      <w:tr>
        <w:tc>
          <w:tcPr/>
          <w:p>
            <w:pPr>
              <w:pStyle w:val="Compact"/>
              <w:jc w:val="right"/>
            </w:pPr>
            <w:r>
              <w:t xml:space="preserve">4</w:t>
            </w:r>
          </w:p>
        </w:tc>
        <w:tc>
          <w:tcPr/>
          <w:p>
            <w:pPr>
              <w:pStyle w:val="Compact"/>
              <w:jc w:val="right"/>
            </w:pPr>
            <w:r>
              <w:t xml:space="preserve">98977</w:t>
            </w:r>
          </w:p>
        </w:tc>
      </w:tr>
      <w:tr>
        <w:tc>
          <w:tcPr/>
          <w:p>
            <w:pPr>
              <w:pStyle w:val="Compact"/>
              <w:jc w:val="right"/>
            </w:pPr>
            <w:r>
              <w:t xml:space="preserve">5</w:t>
            </w:r>
          </w:p>
        </w:tc>
        <w:tc>
          <w:tcPr/>
          <w:p>
            <w:pPr>
              <w:pStyle w:val="Compact"/>
              <w:jc w:val="right"/>
            </w:pPr>
            <w:r>
              <w:t xml:space="preserve">98948</w:t>
            </w:r>
          </w:p>
        </w:tc>
      </w:tr>
      <w:tr>
        <w:tc>
          <w:tcPr/>
          <w:p>
            <w:pPr>
              <w:pStyle w:val="Compact"/>
              <w:jc w:val="right"/>
            </w:pPr>
            <w:r>
              <w:t xml:space="preserve">6</w:t>
            </w:r>
          </w:p>
        </w:tc>
        <w:tc>
          <w:tcPr/>
          <w:p>
            <w:pPr>
              <w:pStyle w:val="Compact"/>
              <w:jc w:val="right"/>
            </w:pPr>
            <w:r>
              <w:t xml:space="preserve">98921</w:t>
            </w:r>
          </w:p>
        </w:tc>
      </w:tr>
      <w:tr>
        <w:tc>
          <w:tcPr/>
          <w:p>
            <w:pPr>
              <w:pStyle w:val="Compact"/>
              <w:jc w:val="right"/>
            </w:pPr>
            <w:r>
              <w:t xml:space="preserve">7</w:t>
            </w:r>
          </w:p>
        </w:tc>
        <w:tc>
          <w:tcPr/>
          <w:p>
            <w:pPr>
              <w:pStyle w:val="Compact"/>
              <w:jc w:val="right"/>
            </w:pPr>
            <w:r>
              <w:t xml:space="preserve">98897</w:t>
            </w:r>
          </w:p>
        </w:tc>
      </w:tr>
      <w:tr>
        <w:tc>
          <w:tcPr/>
          <w:p>
            <w:pPr>
              <w:pStyle w:val="Compact"/>
              <w:jc w:val="right"/>
            </w:pPr>
            <w:r>
              <w:t xml:space="preserve">8</w:t>
            </w:r>
          </w:p>
        </w:tc>
        <w:tc>
          <w:tcPr/>
          <w:p>
            <w:pPr>
              <w:pStyle w:val="Compact"/>
              <w:jc w:val="right"/>
            </w:pPr>
            <w:r>
              <w:t xml:space="preserve">98876</w:t>
            </w:r>
          </w:p>
        </w:tc>
      </w:tr>
      <w:tr>
        <w:tc>
          <w:tcPr/>
          <w:p>
            <w:pPr>
              <w:pStyle w:val="Compact"/>
              <w:jc w:val="right"/>
            </w:pPr>
            <w:r>
              <w:t xml:space="preserve">9</w:t>
            </w:r>
          </w:p>
        </w:tc>
        <w:tc>
          <w:tcPr/>
          <w:p>
            <w:pPr>
              <w:pStyle w:val="Compact"/>
              <w:jc w:val="right"/>
            </w:pPr>
            <w:r>
              <w:t xml:space="preserve">98855</w:t>
            </w:r>
          </w:p>
        </w:tc>
      </w:tr>
      <w:tr>
        <w:tc>
          <w:tcPr/>
          <w:p>
            <w:pPr>
              <w:pStyle w:val="Compact"/>
              <w:jc w:val="right"/>
            </w:pPr>
            <w:r>
              <w:t xml:space="preserve">10</w:t>
            </w:r>
          </w:p>
        </w:tc>
        <w:tc>
          <w:tcPr/>
          <w:p>
            <w:pPr>
              <w:pStyle w:val="Compact"/>
              <w:jc w:val="right"/>
            </w:pPr>
            <w:r>
              <w:t xml:space="preserve">98835</w:t>
            </w:r>
          </w:p>
        </w:tc>
      </w:tr>
      <w:tr>
        <w:tc>
          <w:tcPr/>
          <w:p>
            <w:pPr>
              <w:pStyle w:val="Compact"/>
              <w:jc w:val="right"/>
            </w:pPr>
            <w:r>
              <w:t xml:space="preserve">11</w:t>
            </w:r>
          </w:p>
        </w:tc>
        <w:tc>
          <w:tcPr/>
          <w:p>
            <w:pPr>
              <w:pStyle w:val="Compact"/>
              <w:jc w:val="right"/>
            </w:pPr>
            <w:r>
              <w:t xml:space="preserve">98814</w:t>
            </w:r>
          </w:p>
        </w:tc>
      </w:tr>
      <w:tr>
        <w:tc>
          <w:tcPr/>
          <w:p>
            <w:pPr>
              <w:pStyle w:val="Compact"/>
              <w:jc w:val="right"/>
            </w:pPr>
            <w:r>
              <w:t xml:space="preserve">12</w:t>
            </w:r>
          </w:p>
        </w:tc>
        <w:tc>
          <w:tcPr/>
          <w:p>
            <w:pPr>
              <w:pStyle w:val="Compact"/>
              <w:jc w:val="right"/>
            </w:pPr>
            <w:r>
              <w:t xml:space="preserve">98793</w:t>
            </w:r>
          </w:p>
        </w:tc>
      </w:tr>
      <w:tr>
        <w:tc>
          <w:tcPr/>
          <w:p>
            <w:pPr>
              <w:pStyle w:val="Compact"/>
              <w:jc w:val="right"/>
            </w:pPr>
            <w:r>
              <w:t xml:space="preserve">13</w:t>
            </w:r>
          </w:p>
        </w:tc>
        <w:tc>
          <w:tcPr/>
          <w:p>
            <w:pPr>
              <w:pStyle w:val="Compact"/>
              <w:jc w:val="right"/>
            </w:pPr>
            <w:r>
              <w:t xml:space="preserve">98771</w:t>
            </w:r>
          </w:p>
        </w:tc>
      </w:tr>
      <w:tr>
        <w:tc>
          <w:tcPr/>
          <w:p>
            <w:pPr>
              <w:pStyle w:val="Compact"/>
              <w:jc w:val="right"/>
            </w:pPr>
            <w:r>
              <w:t xml:space="preserve">14</w:t>
            </w:r>
          </w:p>
        </w:tc>
        <w:tc>
          <w:tcPr/>
          <w:p>
            <w:pPr>
              <w:pStyle w:val="Compact"/>
              <w:jc w:val="right"/>
            </w:pPr>
            <w:r>
              <w:t xml:space="preserve">98745</w:t>
            </w:r>
          </w:p>
        </w:tc>
      </w:tr>
      <w:tr>
        <w:tc>
          <w:tcPr/>
          <w:p>
            <w:pPr>
              <w:pStyle w:val="Compact"/>
              <w:jc w:val="right"/>
            </w:pPr>
            <w:r>
              <w:t xml:space="preserve">15</w:t>
            </w:r>
          </w:p>
        </w:tc>
        <w:tc>
          <w:tcPr/>
          <w:p>
            <w:pPr>
              <w:pStyle w:val="Compact"/>
              <w:jc w:val="right"/>
            </w:pPr>
            <w:r>
              <w:t xml:space="preserve">98712</w:t>
            </w:r>
          </w:p>
        </w:tc>
      </w:tr>
      <w:tr>
        <w:tc>
          <w:tcPr/>
          <w:p>
            <w:pPr>
              <w:pStyle w:val="Compact"/>
              <w:jc w:val="right"/>
            </w:pPr>
            <w:r>
              <w:t xml:space="preserve">16</w:t>
            </w:r>
          </w:p>
        </w:tc>
        <w:tc>
          <w:tcPr/>
          <w:p>
            <w:pPr>
              <w:pStyle w:val="Compact"/>
              <w:jc w:val="right"/>
            </w:pPr>
            <w:r>
              <w:t xml:space="preserve">98667</w:t>
            </w:r>
          </w:p>
        </w:tc>
      </w:tr>
      <w:tr>
        <w:tc>
          <w:tcPr/>
          <w:p>
            <w:pPr>
              <w:pStyle w:val="Compact"/>
              <w:jc w:val="right"/>
            </w:pPr>
            <w:r>
              <w:t xml:space="preserve">17</w:t>
            </w:r>
          </w:p>
        </w:tc>
        <w:tc>
          <w:tcPr/>
          <w:p>
            <w:pPr>
              <w:pStyle w:val="Compact"/>
              <w:jc w:val="right"/>
            </w:pPr>
            <w:r>
              <w:t xml:space="preserve">98606</w:t>
            </w:r>
          </w:p>
        </w:tc>
      </w:tr>
      <w:tr>
        <w:tc>
          <w:tcPr/>
          <w:p>
            <w:pPr>
              <w:pStyle w:val="Compact"/>
              <w:jc w:val="right"/>
            </w:pPr>
            <w:r>
              <w:t xml:space="preserve">18</w:t>
            </w:r>
          </w:p>
        </w:tc>
        <w:tc>
          <w:tcPr/>
          <w:p>
            <w:pPr>
              <w:pStyle w:val="Compact"/>
              <w:jc w:val="right"/>
            </w:pPr>
            <w:r>
              <w:t xml:space="preserve">98520</w:t>
            </w:r>
          </w:p>
        </w:tc>
      </w:tr>
      <w:tr>
        <w:tc>
          <w:tcPr/>
          <w:p>
            <w:pPr>
              <w:pStyle w:val="Compact"/>
              <w:jc w:val="right"/>
            </w:pPr>
            <w:r>
              <w:t xml:space="preserve">19</w:t>
            </w:r>
          </w:p>
        </w:tc>
        <w:tc>
          <w:tcPr/>
          <w:p>
            <w:pPr>
              <w:pStyle w:val="Compact"/>
              <w:jc w:val="right"/>
            </w:pPr>
            <w:r>
              <w:t xml:space="preserve">98406</w:t>
            </w:r>
          </w:p>
        </w:tc>
      </w:tr>
      <w:tr>
        <w:tc>
          <w:tcPr/>
          <w:p>
            <w:pPr>
              <w:pStyle w:val="Compact"/>
              <w:jc w:val="right"/>
            </w:pPr>
            <w:r>
              <w:t xml:space="preserve">20</w:t>
            </w:r>
          </w:p>
        </w:tc>
        <w:tc>
          <w:tcPr/>
          <w:p>
            <w:pPr>
              <w:pStyle w:val="Compact"/>
              <w:jc w:val="right"/>
            </w:pPr>
            <w:r>
              <w:t xml:space="preserve">98277</w:t>
            </w:r>
          </w:p>
        </w:tc>
      </w:tr>
      <w:tr>
        <w:tc>
          <w:tcPr/>
          <w:p>
            <w:pPr>
              <w:pStyle w:val="Compact"/>
              <w:jc w:val="right"/>
            </w:pPr>
            <w:r>
              <w:t xml:space="preserve">21</w:t>
            </w:r>
          </w:p>
        </w:tc>
        <w:tc>
          <w:tcPr/>
          <w:p>
            <w:pPr>
              <w:pStyle w:val="Compact"/>
              <w:jc w:val="right"/>
            </w:pPr>
            <w:r>
              <w:t xml:space="preserve">98137</w:t>
            </w:r>
          </w:p>
        </w:tc>
      </w:tr>
      <w:tr>
        <w:tc>
          <w:tcPr/>
          <w:p>
            <w:pPr>
              <w:pStyle w:val="Compact"/>
              <w:jc w:val="right"/>
            </w:pPr>
            <w:r>
              <w:t xml:space="preserve">22</w:t>
            </w:r>
          </w:p>
        </w:tc>
        <w:tc>
          <w:tcPr/>
          <w:p>
            <w:pPr>
              <w:pStyle w:val="Compact"/>
              <w:jc w:val="right"/>
            </w:pPr>
            <w:r>
              <w:t xml:space="preserve">97987</w:t>
            </w:r>
          </w:p>
        </w:tc>
      </w:tr>
      <w:tr>
        <w:tc>
          <w:tcPr/>
          <w:p>
            <w:pPr>
              <w:pStyle w:val="Compact"/>
              <w:jc w:val="right"/>
            </w:pPr>
            <w:r>
              <w:t xml:space="preserve">23</w:t>
            </w:r>
          </w:p>
        </w:tc>
        <w:tc>
          <w:tcPr/>
          <w:p>
            <w:pPr>
              <w:pStyle w:val="Compact"/>
              <w:jc w:val="right"/>
            </w:pPr>
            <w:r>
              <w:t xml:space="preserve">97830</w:t>
            </w:r>
          </w:p>
        </w:tc>
      </w:tr>
      <w:tr>
        <w:tc>
          <w:tcPr/>
          <w:p>
            <w:pPr>
              <w:pStyle w:val="Compact"/>
              <w:jc w:val="right"/>
            </w:pPr>
            <w:r>
              <w:t xml:space="preserve">24</w:t>
            </w:r>
          </w:p>
        </w:tc>
        <w:tc>
          <w:tcPr/>
          <w:p>
            <w:pPr>
              <w:pStyle w:val="Compact"/>
              <w:jc w:val="right"/>
            </w:pPr>
            <w:r>
              <w:t xml:space="preserve">97677</w:t>
            </w:r>
          </w:p>
        </w:tc>
      </w:tr>
      <w:tr>
        <w:tc>
          <w:tcPr/>
          <w:p>
            <w:pPr>
              <w:pStyle w:val="Compact"/>
              <w:jc w:val="right"/>
            </w:pPr>
            <w:r>
              <w:t xml:space="preserve">25</w:t>
            </w:r>
          </w:p>
        </w:tc>
        <w:tc>
          <w:tcPr/>
          <w:p>
            <w:pPr>
              <w:pStyle w:val="Compact"/>
              <w:jc w:val="right"/>
            </w:pPr>
            <w:r>
              <w:t xml:space="preserve">97524</w:t>
            </w:r>
          </w:p>
        </w:tc>
      </w:tr>
      <w:tr>
        <w:tc>
          <w:tcPr/>
          <w:p>
            <w:pPr>
              <w:pStyle w:val="Compact"/>
              <w:jc w:val="right"/>
            </w:pPr>
            <w:r>
              <w:t xml:space="preserve">26</w:t>
            </w:r>
          </w:p>
        </w:tc>
        <w:tc>
          <w:tcPr/>
          <w:p>
            <w:pPr>
              <w:pStyle w:val="Compact"/>
              <w:jc w:val="right"/>
            </w:pPr>
            <w:r>
              <w:t xml:space="preserve">97373</w:t>
            </w:r>
          </w:p>
        </w:tc>
      </w:tr>
      <w:tr>
        <w:tc>
          <w:tcPr/>
          <w:p>
            <w:pPr>
              <w:pStyle w:val="Compact"/>
              <w:jc w:val="right"/>
            </w:pPr>
            <w:r>
              <w:t xml:space="preserve">27</w:t>
            </w:r>
          </w:p>
        </w:tc>
        <w:tc>
          <w:tcPr/>
          <w:p>
            <w:pPr>
              <w:pStyle w:val="Compact"/>
              <w:jc w:val="right"/>
            </w:pPr>
            <w:r>
              <w:t xml:space="preserve">97222</w:t>
            </w:r>
          </w:p>
        </w:tc>
      </w:tr>
      <w:tr>
        <w:tc>
          <w:tcPr/>
          <w:p>
            <w:pPr>
              <w:pStyle w:val="Compact"/>
              <w:jc w:val="right"/>
            </w:pPr>
            <w:r>
              <w:t xml:space="preserve">28</w:t>
            </w:r>
          </w:p>
        </w:tc>
        <w:tc>
          <w:tcPr/>
          <w:p>
            <w:pPr>
              <w:pStyle w:val="Compact"/>
              <w:jc w:val="right"/>
            </w:pPr>
            <w:r>
              <w:t xml:space="preserve">97070</w:t>
            </w:r>
          </w:p>
        </w:tc>
      </w:tr>
      <w:tr>
        <w:tc>
          <w:tcPr/>
          <w:p>
            <w:pPr>
              <w:pStyle w:val="Compact"/>
              <w:jc w:val="right"/>
            </w:pPr>
            <w:r>
              <w:t xml:space="preserve">29</w:t>
            </w:r>
          </w:p>
        </w:tc>
        <w:tc>
          <w:tcPr/>
          <w:p>
            <w:pPr>
              <w:pStyle w:val="Compact"/>
              <w:jc w:val="right"/>
            </w:pPr>
            <w:r>
              <w:t xml:space="preserve">96916</w:t>
            </w:r>
          </w:p>
        </w:tc>
      </w:tr>
      <w:tr>
        <w:tc>
          <w:tcPr/>
          <w:p>
            <w:pPr>
              <w:pStyle w:val="Compact"/>
              <w:jc w:val="right"/>
            </w:pPr>
            <w:r>
              <w:t xml:space="preserve">30</w:t>
            </w:r>
          </w:p>
        </w:tc>
        <w:tc>
          <w:tcPr/>
          <w:p>
            <w:pPr>
              <w:pStyle w:val="Compact"/>
              <w:jc w:val="right"/>
            </w:pPr>
            <w:r>
              <w:t xml:space="preserve">96759</w:t>
            </w:r>
          </w:p>
        </w:tc>
      </w:tr>
      <w:tr>
        <w:tc>
          <w:tcPr/>
          <w:p>
            <w:pPr>
              <w:pStyle w:val="Compact"/>
              <w:jc w:val="right"/>
            </w:pPr>
            <w:r>
              <w:t xml:space="preserve">31</w:t>
            </w:r>
          </w:p>
        </w:tc>
        <w:tc>
          <w:tcPr/>
          <w:p>
            <w:pPr>
              <w:pStyle w:val="Compact"/>
              <w:jc w:val="right"/>
            </w:pPr>
            <w:r>
              <w:t xml:space="preserve">96597</w:t>
            </w:r>
          </w:p>
        </w:tc>
      </w:tr>
      <w:tr>
        <w:tc>
          <w:tcPr/>
          <w:p>
            <w:pPr>
              <w:pStyle w:val="Compact"/>
              <w:jc w:val="right"/>
            </w:pPr>
            <w:r>
              <w:t xml:space="preserve">32</w:t>
            </w:r>
          </w:p>
        </w:tc>
        <w:tc>
          <w:tcPr/>
          <w:p>
            <w:pPr>
              <w:pStyle w:val="Compact"/>
              <w:jc w:val="right"/>
            </w:pPr>
            <w:r>
              <w:t xml:space="preserve">96429</w:t>
            </w:r>
          </w:p>
        </w:tc>
      </w:tr>
      <w:tr>
        <w:tc>
          <w:tcPr/>
          <w:p>
            <w:pPr>
              <w:pStyle w:val="Compact"/>
              <w:jc w:val="right"/>
            </w:pPr>
            <w:r>
              <w:t xml:space="preserve">33</w:t>
            </w:r>
          </w:p>
        </w:tc>
        <w:tc>
          <w:tcPr/>
          <w:p>
            <w:pPr>
              <w:pStyle w:val="Compact"/>
              <w:jc w:val="right"/>
            </w:pPr>
            <w:r>
              <w:t xml:space="preserve">96255</w:t>
            </w:r>
          </w:p>
        </w:tc>
      </w:tr>
      <w:tr>
        <w:tc>
          <w:tcPr/>
          <w:p>
            <w:pPr>
              <w:pStyle w:val="Compact"/>
              <w:jc w:val="right"/>
            </w:pPr>
            <w:r>
              <w:t xml:space="preserve">34</w:t>
            </w:r>
          </w:p>
        </w:tc>
        <w:tc>
          <w:tcPr/>
          <w:p>
            <w:pPr>
              <w:pStyle w:val="Compact"/>
              <w:jc w:val="right"/>
            </w:pPr>
            <w:r>
              <w:t xml:space="preserve">96071</w:t>
            </w:r>
          </w:p>
        </w:tc>
      </w:tr>
      <w:tr>
        <w:tc>
          <w:tcPr/>
          <w:p>
            <w:pPr>
              <w:pStyle w:val="Compact"/>
              <w:jc w:val="right"/>
            </w:pPr>
            <w:r>
              <w:t xml:space="preserve">35</w:t>
            </w:r>
          </w:p>
        </w:tc>
        <w:tc>
          <w:tcPr/>
          <w:p>
            <w:pPr>
              <w:pStyle w:val="Compact"/>
              <w:jc w:val="right"/>
            </w:pPr>
            <w:r>
              <w:t xml:space="preserve">95878</w:t>
            </w:r>
          </w:p>
        </w:tc>
      </w:tr>
      <w:tr>
        <w:tc>
          <w:tcPr/>
          <w:p>
            <w:pPr>
              <w:pStyle w:val="Compact"/>
              <w:jc w:val="right"/>
            </w:pPr>
            <w:r>
              <w:t xml:space="preserve">36</w:t>
            </w:r>
          </w:p>
        </w:tc>
        <w:tc>
          <w:tcPr/>
          <w:p>
            <w:pPr>
              <w:pStyle w:val="Compact"/>
              <w:jc w:val="right"/>
            </w:pPr>
            <w:r>
              <w:t xml:space="preserve">95676</w:t>
            </w:r>
          </w:p>
        </w:tc>
      </w:tr>
      <w:tr>
        <w:tc>
          <w:tcPr/>
          <w:p>
            <w:pPr>
              <w:pStyle w:val="Compact"/>
              <w:jc w:val="right"/>
            </w:pPr>
            <w:r>
              <w:t xml:space="preserve">37</w:t>
            </w:r>
          </w:p>
        </w:tc>
        <w:tc>
          <w:tcPr/>
          <w:p>
            <w:pPr>
              <w:pStyle w:val="Compact"/>
              <w:jc w:val="right"/>
            </w:pPr>
            <w:r>
              <w:t xml:space="preserve">95463</w:t>
            </w:r>
          </w:p>
        </w:tc>
      </w:tr>
      <w:tr>
        <w:tc>
          <w:tcPr/>
          <w:p>
            <w:pPr>
              <w:pStyle w:val="Compact"/>
              <w:jc w:val="right"/>
            </w:pPr>
            <w:r>
              <w:t xml:space="preserve">38</w:t>
            </w:r>
          </w:p>
        </w:tc>
        <w:tc>
          <w:tcPr/>
          <w:p>
            <w:pPr>
              <w:pStyle w:val="Compact"/>
              <w:jc w:val="right"/>
            </w:pPr>
            <w:r>
              <w:t xml:space="preserve">95237</w:t>
            </w:r>
          </w:p>
        </w:tc>
      </w:tr>
      <w:tr>
        <w:tc>
          <w:tcPr/>
          <w:p>
            <w:pPr>
              <w:pStyle w:val="Compact"/>
              <w:jc w:val="right"/>
            </w:pPr>
            <w:r>
              <w:t xml:space="preserve">39</w:t>
            </w:r>
          </w:p>
        </w:tc>
        <w:tc>
          <w:tcPr/>
          <w:p>
            <w:pPr>
              <w:pStyle w:val="Compact"/>
              <w:jc w:val="right"/>
            </w:pPr>
            <w:r>
              <w:t xml:space="preserve">94997</w:t>
            </w:r>
          </w:p>
        </w:tc>
      </w:tr>
      <w:tr>
        <w:tc>
          <w:tcPr/>
          <w:p>
            <w:pPr>
              <w:pStyle w:val="Compact"/>
              <w:jc w:val="right"/>
            </w:pPr>
            <w:r>
              <w:t xml:space="preserve">40</w:t>
            </w:r>
          </w:p>
        </w:tc>
        <w:tc>
          <w:tcPr/>
          <w:p>
            <w:pPr>
              <w:pStyle w:val="Compact"/>
              <w:jc w:val="right"/>
            </w:pPr>
            <w:r>
              <w:t xml:space="preserve">94746</w:t>
            </w:r>
          </w:p>
        </w:tc>
      </w:tr>
      <w:tr>
        <w:tc>
          <w:tcPr/>
          <w:p>
            <w:pPr>
              <w:pStyle w:val="Compact"/>
              <w:jc w:val="right"/>
            </w:pPr>
            <w:r>
              <w:t xml:space="preserve">41</w:t>
            </w:r>
          </w:p>
        </w:tc>
        <w:tc>
          <w:tcPr/>
          <w:p>
            <w:pPr>
              <w:pStyle w:val="Compact"/>
              <w:jc w:val="right"/>
            </w:pPr>
            <w:r>
              <w:t xml:space="preserve">94476</w:t>
            </w:r>
          </w:p>
        </w:tc>
      </w:tr>
      <w:tr>
        <w:tc>
          <w:tcPr/>
          <w:p>
            <w:pPr>
              <w:pStyle w:val="Compact"/>
              <w:jc w:val="right"/>
            </w:pPr>
            <w:r>
              <w:t xml:space="preserve">42</w:t>
            </w:r>
          </w:p>
        </w:tc>
        <w:tc>
          <w:tcPr/>
          <w:p>
            <w:pPr>
              <w:pStyle w:val="Compact"/>
              <w:jc w:val="right"/>
            </w:pPr>
            <w:r>
              <w:t xml:space="preserve">94182</w:t>
            </w:r>
          </w:p>
        </w:tc>
      </w:tr>
      <w:tr>
        <w:tc>
          <w:tcPr/>
          <w:p>
            <w:pPr>
              <w:pStyle w:val="Compact"/>
              <w:jc w:val="right"/>
            </w:pPr>
            <w:r>
              <w:t xml:space="preserve">43</w:t>
            </w:r>
          </w:p>
        </w:tc>
        <w:tc>
          <w:tcPr/>
          <w:p>
            <w:pPr>
              <w:pStyle w:val="Compact"/>
              <w:jc w:val="right"/>
            </w:pPr>
            <w:r>
              <w:t xml:space="preserve">93868</w:t>
            </w:r>
          </w:p>
        </w:tc>
      </w:tr>
      <w:tr>
        <w:tc>
          <w:tcPr/>
          <w:p>
            <w:pPr>
              <w:pStyle w:val="Compact"/>
              <w:jc w:val="right"/>
            </w:pPr>
            <w:r>
              <w:t xml:space="preserve">44</w:t>
            </w:r>
          </w:p>
        </w:tc>
        <w:tc>
          <w:tcPr/>
          <w:p>
            <w:pPr>
              <w:pStyle w:val="Compact"/>
              <w:jc w:val="right"/>
            </w:pPr>
            <w:r>
              <w:t xml:space="preserve">93515</w:t>
            </w:r>
          </w:p>
        </w:tc>
      </w:tr>
      <w:tr>
        <w:tc>
          <w:tcPr/>
          <w:p>
            <w:pPr>
              <w:pStyle w:val="Compact"/>
              <w:jc w:val="right"/>
            </w:pPr>
            <w:r>
              <w:t xml:space="preserve">45</w:t>
            </w:r>
          </w:p>
        </w:tc>
        <w:tc>
          <w:tcPr/>
          <w:p>
            <w:pPr>
              <w:pStyle w:val="Compact"/>
              <w:jc w:val="right"/>
            </w:pPr>
            <w:r>
              <w:t xml:space="preserve">93133</w:t>
            </w:r>
          </w:p>
        </w:tc>
      </w:tr>
      <w:tr>
        <w:tc>
          <w:tcPr/>
          <w:p>
            <w:pPr>
              <w:pStyle w:val="Compact"/>
              <w:jc w:val="right"/>
            </w:pPr>
            <w:r>
              <w:t xml:space="preserve">46</w:t>
            </w:r>
          </w:p>
        </w:tc>
        <w:tc>
          <w:tcPr/>
          <w:p>
            <w:pPr>
              <w:pStyle w:val="Compact"/>
              <w:jc w:val="right"/>
            </w:pPr>
            <w:r>
              <w:t xml:space="preserve">92727</w:t>
            </w:r>
          </w:p>
        </w:tc>
      </w:tr>
      <w:tr>
        <w:tc>
          <w:tcPr/>
          <w:p>
            <w:pPr>
              <w:pStyle w:val="Compact"/>
              <w:jc w:val="right"/>
            </w:pPr>
            <w:r>
              <w:t xml:space="preserve">47</w:t>
            </w:r>
          </w:p>
        </w:tc>
        <w:tc>
          <w:tcPr/>
          <w:p>
            <w:pPr>
              <w:pStyle w:val="Compact"/>
              <w:jc w:val="right"/>
            </w:pPr>
            <w:r>
              <w:t xml:space="preserve">92295</w:t>
            </w:r>
          </w:p>
        </w:tc>
      </w:tr>
      <w:tr>
        <w:tc>
          <w:tcPr/>
          <w:p>
            <w:pPr>
              <w:pStyle w:val="Compact"/>
              <w:jc w:val="right"/>
            </w:pPr>
            <w:r>
              <w:t xml:space="preserve">48</w:t>
            </w:r>
          </w:p>
        </w:tc>
        <w:tc>
          <w:tcPr/>
          <w:p>
            <w:pPr>
              <w:pStyle w:val="Compact"/>
              <w:jc w:val="right"/>
            </w:pPr>
            <w:r>
              <w:t xml:space="preserve">91833</w:t>
            </w:r>
          </w:p>
        </w:tc>
      </w:tr>
      <w:tr>
        <w:tc>
          <w:tcPr/>
          <w:p>
            <w:pPr>
              <w:pStyle w:val="Compact"/>
              <w:jc w:val="right"/>
            </w:pPr>
            <w:r>
              <w:t xml:space="preserve">49</w:t>
            </w:r>
          </w:p>
        </w:tc>
        <w:tc>
          <w:tcPr/>
          <w:p>
            <w:pPr>
              <w:pStyle w:val="Compact"/>
              <w:jc w:val="right"/>
            </w:pPr>
            <w:r>
              <w:t xml:space="preserve">91332</w:t>
            </w:r>
          </w:p>
        </w:tc>
      </w:tr>
      <w:tr>
        <w:tc>
          <w:tcPr/>
          <w:p>
            <w:pPr>
              <w:pStyle w:val="Compact"/>
              <w:jc w:val="right"/>
            </w:pPr>
            <w:r>
              <w:t xml:space="preserve">50</w:t>
            </w:r>
          </w:p>
        </w:tc>
        <w:tc>
          <w:tcPr/>
          <w:p>
            <w:pPr>
              <w:pStyle w:val="Compact"/>
              <w:jc w:val="right"/>
            </w:pPr>
            <w:r>
              <w:t xml:space="preserve">90778</w:t>
            </w:r>
          </w:p>
        </w:tc>
      </w:tr>
      <w:tr>
        <w:tc>
          <w:tcPr/>
          <w:p>
            <w:pPr>
              <w:pStyle w:val="Compact"/>
              <w:jc w:val="right"/>
            </w:pPr>
            <w:r>
              <w:t xml:space="preserve">51</w:t>
            </w:r>
          </w:p>
        </w:tc>
        <w:tc>
          <w:tcPr/>
          <w:p>
            <w:pPr>
              <w:pStyle w:val="Compact"/>
              <w:jc w:val="right"/>
            </w:pPr>
            <w:r>
              <w:t xml:space="preserve">90171</w:t>
            </w:r>
          </w:p>
        </w:tc>
      </w:tr>
      <w:tr>
        <w:tc>
          <w:tcPr/>
          <w:p>
            <w:pPr>
              <w:pStyle w:val="Compact"/>
              <w:jc w:val="right"/>
            </w:pPr>
            <w:r>
              <w:t xml:space="preserve">52</w:t>
            </w:r>
          </w:p>
        </w:tc>
        <w:tc>
          <w:tcPr/>
          <w:p>
            <w:pPr>
              <w:pStyle w:val="Compact"/>
              <w:jc w:val="right"/>
            </w:pPr>
            <w:r>
              <w:t xml:space="preserve">89511</w:t>
            </w:r>
          </w:p>
        </w:tc>
      </w:tr>
      <w:tr>
        <w:tc>
          <w:tcPr/>
          <w:p>
            <w:pPr>
              <w:pStyle w:val="Compact"/>
              <w:jc w:val="right"/>
            </w:pPr>
            <w:r>
              <w:t xml:space="preserve">53</w:t>
            </w:r>
          </w:p>
        </w:tc>
        <w:tc>
          <w:tcPr/>
          <w:p>
            <w:pPr>
              <w:pStyle w:val="Compact"/>
              <w:jc w:val="right"/>
            </w:pPr>
            <w:r>
              <w:t xml:space="preserve">88791</w:t>
            </w:r>
          </w:p>
        </w:tc>
      </w:tr>
      <w:tr>
        <w:tc>
          <w:tcPr/>
          <w:p>
            <w:pPr>
              <w:pStyle w:val="Compact"/>
              <w:jc w:val="right"/>
            </w:pPr>
            <w:r>
              <w:t xml:space="preserve">54</w:t>
            </w:r>
          </w:p>
        </w:tc>
        <w:tc>
          <w:tcPr/>
          <w:p>
            <w:pPr>
              <w:pStyle w:val="Compact"/>
              <w:jc w:val="right"/>
            </w:pPr>
            <w:r>
              <w:t xml:space="preserve">88011</w:t>
            </w:r>
          </w:p>
        </w:tc>
      </w:tr>
      <w:tr>
        <w:tc>
          <w:tcPr/>
          <w:p>
            <w:pPr>
              <w:pStyle w:val="Compact"/>
              <w:jc w:val="right"/>
            </w:pPr>
            <w:r>
              <w:t xml:space="preserve">55</w:t>
            </w:r>
          </w:p>
        </w:tc>
        <w:tc>
          <w:tcPr/>
          <w:p>
            <w:pPr>
              <w:pStyle w:val="Compact"/>
              <w:jc w:val="right"/>
            </w:pPr>
            <w:r>
              <w:t xml:space="preserve">87165</w:t>
            </w:r>
          </w:p>
        </w:tc>
      </w:tr>
      <w:tr>
        <w:tc>
          <w:tcPr/>
          <w:p>
            <w:pPr>
              <w:pStyle w:val="Compact"/>
              <w:jc w:val="right"/>
            </w:pPr>
            <w:r>
              <w:t xml:space="preserve">56</w:t>
            </w:r>
          </w:p>
        </w:tc>
        <w:tc>
          <w:tcPr/>
          <w:p>
            <w:pPr>
              <w:pStyle w:val="Compact"/>
              <w:jc w:val="right"/>
            </w:pPr>
            <w:r>
              <w:t xml:space="preserve">86241</w:t>
            </w:r>
          </w:p>
        </w:tc>
      </w:tr>
      <w:tr>
        <w:tc>
          <w:tcPr/>
          <w:p>
            <w:pPr>
              <w:pStyle w:val="Compact"/>
              <w:jc w:val="right"/>
            </w:pPr>
            <w:r>
              <w:t xml:space="preserve">57</w:t>
            </w:r>
          </w:p>
        </w:tc>
        <w:tc>
          <w:tcPr/>
          <w:p>
            <w:pPr>
              <w:pStyle w:val="Compact"/>
              <w:jc w:val="right"/>
            </w:pPr>
            <w:r>
              <w:t xml:space="preserve">85256</w:t>
            </w:r>
          </w:p>
        </w:tc>
      </w:tr>
      <w:tr>
        <w:tc>
          <w:tcPr/>
          <w:p>
            <w:pPr>
              <w:pStyle w:val="Compact"/>
              <w:jc w:val="right"/>
            </w:pPr>
            <w:r>
              <w:t xml:space="preserve">58</w:t>
            </w:r>
          </w:p>
        </w:tc>
        <w:tc>
          <w:tcPr/>
          <w:p>
            <w:pPr>
              <w:pStyle w:val="Compact"/>
              <w:jc w:val="right"/>
            </w:pPr>
            <w:r>
              <w:t xml:space="preserve">84211</w:t>
            </w:r>
          </w:p>
        </w:tc>
      </w:tr>
      <w:tr>
        <w:tc>
          <w:tcPr/>
          <w:p>
            <w:pPr>
              <w:pStyle w:val="Compact"/>
              <w:jc w:val="right"/>
            </w:pPr>
            <w:r>
              <w:t xml:space="preserve">59</w:t>
            </w:r>
          </w:p>
        </w:tc>
        <w:tc>
          <w:tcPr/>
          <w:p>
            <w:pPr>
              <w:pStyle w:val="Compact"/>
              <w:jc w:val="right"/>
            </w:pPr>
            <w:r>
              <w:t xml:space="preserve">83083</w:t>
            </w:r>
          </w:p>
        </w:tc>
      </w:tr>
      <w:tr>
        <w:tc>
          <w:tcPr/>
          <w:p>
            <w:pPr>
              <w:pStyle w:val="Compact"/>
              <w:jc w:val="right"/>
            </w:pPr>
            <w:r>
              <w:t xml:space="preserve">60</w:t>
            </w:r>
          </w:p>
        </w:tc>
        <w:tc>
          <w:tcPr/>
          <w:p>
            <w:pPr>
              <w:pStyle w:val="Compact"/>
              <w:jc w:val="right"/>
            </w:pPr>
            <w:r>
              <w:t xml:space="preserve">81884</w:t>
            </w:r>
          </w:p>
        </w:tc>
      </w:tr>
      <w:tr>
        <w:tc>
          <w:tcPr/>
          <w:p>
            <w:pPr>
              <w:pStyle w:val="Compact"/>
              <w:jc w:val="right"/>
            </w:pPr>
            <w:r>
              <w:t xml:space="preserve">61</w:t>
            </w:r>
          </w:p>
        </w:tc>
        <w:tc>
          <w:tcPr/>
          <w:p>
            <w:pPr>
              <w:pStyle w:val="Compact"/>
              <w:jc w:val="right"/>
            </w:pPr>
            <w:r>
              <w:t xml:space="preserve">80602</w:t>
            </w:r>
          </w:p>
        </w:tc>
      </w:tr>
      <w:tr>
        <w:tc>
          <w:tcPr/>
          <w:p>
            <w:pPr>
              <w:pStyle w:val="Compact"/>
              <w:jc w:val="right"/>
            </w:pPr>
            <w:r>
              <w:t xml:space="preserve">62</w:t>
            </w:r>
          </w:p>
        </w:tc>
        <w:tc>
          <w:tcPr/>
          <w:p>
            <w:pPr>
              <w:pStyle w:val="Compact"/>
              <w:jc w:val="right"/>
            </w:pPr>
            <w:r>
              <w:t xml:space="preserve">79243</w:t>
            </w:r>
          </w:p>
        </w:tc>
      </w:tr>
      <w:tr>
        <w:tc>
          <w:tcPr/>
          <w:p>
            <w:pPr>
              <w:pStyle w:val="Compact"/>
              <w:jc w:val="right"/>
            </w:pPr>
            <w:r>
              <w:t xml:space="preserve">63</w:t>
            </w:r>
          </w:p>
        </w:tc>
        <w:tc>
          <w:tcPr/>
          <w:p>
            <w:pPr>
              <w:pStyle w:val="Compact"/>
              <w:jc w:val="right"/>
            </w:pPr>
            <w:r>
              <w:t xml:space="preserve">77807</w:t>
            </w:r>
          </w:p>
        </w:tc>
      </w:tr>
      <w:tr>
        <w:tc>
          <w:tcPr/>
          <w:p>
            <w:pPr>
              <w:pStyle w:val="Compact"/>
              <w:jc w:val="right"/>
            </w:pPr>
            <w:r>
              <w:t xml:space="preserve">64</w:t>
            </w:r>
          </w:p>
        </w:tc>
        <w:tc>
          <w:tcPr/>
          <w:p>
            <w:pPr>
              <w:pStyle w:val="Compact"/>
              <w:jc w:val="right"/>
            </w:pPr>
            <w:r>
              <w:t xml:space="preserve">76295</w:t>
            </w:r>
          </w:p>
        </w:tc>
      </w:tr>
      <w:tr>
        <w:tc>
          <w:tcPr/>
          <w:p>
            <w:pPr>
              <w:pStyle w:val="Compact"/>
              <w:jc w:val="right"/>
            </w:pPr>
            <w:r>
              <w:t xml:space="preserve">65</w:t>
            </w:r>
          </w:p>
        </w:tc>
        <w:tc>
          <w:tcPr/>
          <w:p>
            <w:pPr>
              <w:pStyle w:val="Compact"/>
              <w:jc w:val="right"/>
            </w:pPr>
            <w:r>
              <w:t xml:space="preserve">74720</w:t>
            </w:r>
          </w:p>
        </w:tc>
      </w:tr>
      <w:tr>
        <w:tc>
          <w:tcPr/>
          <w:p>
            <w:pPr>
              <w:pStyle w:val="Compact"/>
              <w:jc w:val="right"/>
            </w:pPr>
            <w:r>
              <w:t xml:space="preserve">66</w:t>
            </w:r>
          </w:p>
        </w:tc>
        <w:tc>
          <w:tcPr/>
          <w:p>
            <w:pPr>
              <w:pStyle w:val="Compact"/>
              <w:jc w:val="right"/>
            </w:pPr>
            <w:r>
              <w:t xml:space="preserve">73075</w:t>
            </w:r>
          </w:p>
        </w:tc>
      </w:tr>
      <w:tr>
        <w:tc>
          <w:tcPr/>
          <w:p>
            <w:pPr>
              <w:pStyle w:val="Compact"/>
              <w:jc w:val="right"/>
            </w:pPr>
            <w:r>
              <w:t xml:space="preserve">67</w:t>
            </w:r>
          </w:p>
        </w:tc>
        <w:tc>
          <w:tcPr/>
          <w:p>
            <w:pPr>
              <w:pStyle w:val="Compact"/>
              <w:jc w:val="right"/>
            </w:pPr>
            <w:r>
              <w:t xml:space="preserve">71366</w:t>
            </w:r>
          </w:p>
        </w:tc>
      </w:tr>
      <w:tr>
        <w:tc>
          <w:tcPr/>
          <w:p>
            <w:pPr>
              <w:pStyle w:val="Compact"/>
              <w:jc w:val="right"/>
            </w:pPr>
            <w:r>
              <w:t xml:space="preserve">68</w:t>
            </w:r>
          </w:p>
        </w:tc>
        <w:tc>
          <w:tcPr/>
          <w:p>
            <w:pPr>
              <w:pStyle w:val="Compact"/>
              <w:jc w:val="right"/>
            </w:pPr>
            <w:r>
              <w:t xml:space="preserve">69559</w:t>
            </w:r>
          </w:p>
        </w:tc>
      </w:tr>
      <w:tr>
        <w:tc>
          <w:tcPr/>
          <w:p>
            <w:pPr>
              <w:pStyle w:val="Compact"/>
              <w:jc w:val="right"/>
            </w:pPr>
            <w:r>
              <w:t xml:space="preserve">69</w:t>
            </w:r>
          </w:p>
        </w:tc>
        <w:tc>
          <w:tcPr/>
          <w:p>
            <w:pPr>
              <w:pStyle w:val="Compact"/>
              <w:jc w:val="right"/>
            </w:pPr>
            <w:r>
              <w:t xml:space="preserve">67655</w:t>
            </w:r>
          </w:p>
        </w:tc>
      </w:tr>
      <w:tr>
        <w:tc>
          <w:tcPr/>
          <w:p>
            <w:pPr>
              <w:pStyle w:val="Compact"/>
              <w:jc w:val="right"/>
            </w:pPr>
            <w:r>
              <w:t xml:space="preserve">70</w:t>
            </w:r>
          </w:p>
        </w:tc>
        <w:tc>
          <w:tcPr/>
          <w:p>
            <w:pPr>
              <w:pStyle w:val="Compact"/>
              <w:jc w:val="right"/>
            </w:pPr>
            <w:r>
              <w:t xml:space="preserve">65649</w:t>
            </w:r>
          </w:p>
        </w:tc>
      </w:tr>
      <w:tr>
        <w:tc>
          <w:tcPr/>
          <w:p>
            <w:pPr>
              <w:pStyle w:val="Compact"/>
              <w:jc w:val="right"/>
            </w:pPr>
            <w:r>
              <w:t xml:space="preserve">71</w:t>
            </w:r>
          </w:p>
        </w:tc>
        <w:tc>
          <w:tcPr/>
          <w:p>
            <w:pPr>
              <w:pStyle w:val="Compact"/>
              <w:jc w:val="right"/>
            </w:pPr>
            <w:r>
              <w:t xml:space="preserve">63543</w:t>
            </w:r>
          </w:p>
        </w:tc>
      </w:tr>
      <w:tr>
        <w:tc>
          <w:tcPr/>
          <w:p>
            <w:pPr>
              <w:pStyle w:val="Compact"/>
              <w:jc w:val="right"/>
            </w:pPr>
            <w:r>
              <w:t xml:space="preserve">72</w:t>
            </w:r>
          </w:p>
        </w:tc>
        <w:tc>
          <w:tcPr/>
          <w:p>
            <w:pPr>
              <w:pStyle w:val="Compact"/>
              <w:jc w:val="right"/>
            </w:pPr>
            <w:r>
              <w:t xml:space="preserve">61285</w:t>
            </w:r>
          </w:p>
        </w:tc>
      </w:tr>
      <w:tr>
        <w:tc>
          <w:tcPr/>
          <w:p>
            <w:pPr>
              <w:pStyle w:val="Compact"/>
              <w:jc w:val="right"/>
            </w:pPr>
            <w:r>
              <w:t xml:space="preserve">73</w:t>
            </w:r>
          </w:p>
        </w:tc>
        <w:tc>
          <w:tcPr/>
          <w:p>
            <w:pPr>
              <w:pStyle w:val="Compact"/>
              <w:jc w:val="right"/>
            </w:pPr>
            <w:r>
              <w:t xml:space="preserve">58911</w:t>
            </w:r>
          </w:p>
        </w:tc>
      </w:tr>
      <w:tr>
        <w:tc>
          <w:tcPr/>
          <w:p>
            <w:pPr>
              <w:pStyle w:val="Compact"/>
              <w:jc w:val="right"/>
            </w:pPr>
            <w:r>
              <w:t xml:space="preserve">74</w:t>
            </w:r>
          </w:p>
        </w:tc>
        <w:tc>
          <w:tcPr/>
          <w:p>
            <w:pPr>
              <w:pStyle w:val="Compact"/>
              <w:jc w:val="right"/>
            </w:pPr>
            <w:r>
              <w:t xml:space="preserve">56416</w:t>
            </w:r>
          </w:p>
        </w:tc>
      </w:tr>
      <w:tr>
        <w:tc>
          <w:tcPr/>
          <w:p>
            <w:pPr>
              <w:pStyle w:val="Compact"/>
              <w:jc w:val="right"/>
            </w:pPr>
            <w:r>
              <w:t xml:space="preserve">75</w:t>
            </w:r>
          </w:p>
        </w:tc>
        <w:tc>
          <w:tcPr/>
          <w:p>
            <w:pPr>
              <w:pStyle w:val="Compact"/>
              <w:jc w:val="right"/>
            </w:pPr>
            <w:r>
              <w:t xml:space="preserve">53818</w:t>
            </w:r>
          </w:p>
        </w:tc>
      </w:tr>
      <w:tr>
        <w:tc>
          <w:tcPr/>
          <w:p>
            <w:pPr>
              <w:pStyle w:val="Compact"/>
              <w:jc w:val="right"/>
            </w:pPr>
            <w:r>
              <w:t xml:space="preserve">76</w:t>
            </w:r>
          </w:p>
        </w:tc>
        <w:tc>
          <w:tcPr/>
          <w:p>
            <w:pPr>
              <w:pStyle w:val="Compact"/>
              <w:jc w:val="right"/>
            </w:pPr>
            <w:r>
              <w:t xml:space="preserve">51086</w:t>
            </w:r>
          </w:p>
        </w:tc>
      </w:tr>
      <w:tr>
        <w:tc>
          <w:tcPr/>
          <w:p>
            <w:pPr>
              <w:pStyle w:val="Compact"/>
              <w:jc w:val="right"/>
            </w:pPr>
            <w:r>
              <w:t xml:space="preserve">77</w:t>
            </w:r>
          </w:p>
        </w:tc>
        <w:tc>
          <w:tcPr/>
          <w:p>
            <w:pPr>
              <w:pStyle w:val="Compact"/>
              <w:jc w:val="right"/>
            </w:pPr>
            <w:r>
              <w:t xml:space="preserve">48251</w:t>
            </w:r>
          </w:p>
        </w:tc>
      </w:tr>
      <w:tr>
        <w:tc>
          <w:tcPr/>
          <w:p>
            <w:pPr>
              <w:pStyle w:val="Compact"/>
              <w:jc w:val="right"/>
            </w:pPr>
            <w:r>
              <w:t xml:space="preserve">78</w:t>
            </w:r>
          </w:p>
        </w:tc>
        <w:tc>
          <w:tcPr/>
          <w:p>
            <w:pPr>
              <w:pStyle w:val="Compact"/>
              <w:jc w:val="right"/>
            </w:pPr>
            <w:r>
              <w:t xml:space="preserve">45284</w:t>
            </w:r>
          </w:p>
        </w:tc>
      </w:tr>
      <w:tr>
        <w:tc>
          <w:tcPr/>
          <w:p>
            <w:pPr>
              <w:pStyle w:val="Compact"/>
              <w:jc w:val="right"/>
            </w:pPr>
            <w:r>
              <w:t xml:space="preserve">79</w:t>
            </w:r>
          </w:p>
        </w:tc>
        <w:tc>
          <w:tcPr/>
          <w:p>
            <w:pPr>
              <w:pStyle w:val="Compact"/>
              <w:jc w:val="right"/>
            </w:pPr>
            <w:r>
              <w:t xml:space="preserve">42203</w:t>
            </w:r>
          </w:p>
        </w:tc>
      </w:tr>
      <w:tr>
        <w:tc>
          <w:tcPr/>
          <w:p>
            <w:pPr>
              <w:pStyle w:val="Compact"/>
              <w:jc w:val="right"/>
            </w:pPr>
            <w:r>
              <w:t xml:space="preserve">80</w:t>
            </w:r>
          </w:p>
        </w:tc>
        <w:tc>
          <w:tcPr/>
          <w:p>
            <w:pPr>
              <w:pStyle w:val="Compact"/>
              <w:jc w:val="right"/>
            </w:pPr>
            <w:r>
              <w:t xml:space="preserve">39041</w:t>
            </w:r>
          </w:p>
        </w:tc>
      </w:tr>
      <w:tr>
        <w:tc>
          <w:tcPr/>
          <w:p>
            <w:pPr>
              <w:pStyle w:val="Compact"/>
              <w:jc w:val="right"/>
            </w:pPr>
            <w:r>
              <w:t xml:space="preserve">81</w:t>
            </w:r>
          </w:p>
        </w:tc>
        <w:tc>
          <w:tcPr/>
          <w:p>
            <w:pPr>
              <w:pStyle w:val="Compact"/>
              <w:jc w:val="right"/>
            </w:pPr>
            <w:r>
              <w:t xml:space="preserve">35824</w:t>
            </w:r>
          </w:p>
        </w:tc>
      </w:tr>
      <w:tr>
        <w:tc>
          <w:tcPr/>
          <w:p>
            <w:pPr>
              <w:pStyle w:val="Compact"/>
              <w:jc w:val="right"/>
            </w:pPr>
            <w:r>
              <w:t xml:space="preserve">82</w:t>
            </w:r>
          </w:p>
        </w:tc>
        <w:tc>
          <w:tcPr/>
          <w:p>
            <w:pPr>
              <w:pStyle w:val="Compact"/>
              <w:jc w:val="right"/>
            </w:pPr>
            <w:r>
              <w:t xml:space="preserve">32518</w:t>
            </w:r>
          </w:p>
        </w:tc>
      </w:tr>
      <w:tr>
        <w:tc>
          <w:tcPr/>
          <w:p>
            <w:pPr>
              <w:pStyle w:val="Compact"/>
              <w:jc w:val="right"/>
            </w:pPr>
            <w:r>
              <w:t xml:space="preserve">83</w:t>
            </w:r>
          </w:p>
        </w:tc>
        <w:tc>
          <w:tcPr/>
          <w:p>
            <w:pPr>
              <w:pStyle w:val="Compact"/>
              <w:jc w:val="right"/>
            </w:pPr>
            <w:r>
              <w:t xml:space="preserve">29220</w:t>
            </w:r>
          </w:p>
        </w:tc>
      </w:tr>
      <w:tr>
        <w:tc>
          <w:tcPr/>
          <w:p>
            <w:pPr>
              <w:pStyle w:val="Compact"/>
              <w:jc w:val="right"/>
            </w:pPr>
            <w:r>
              <w:t xml:space="preserve">84</w:t>
            </w:r>
          </w:p>
        </w:tc>
        <w:tc>
          <w:tcPr/>
          <w:p>
            <w:pPr>
              <w:pStyle w:val="Compact"/>
              <w:jc w:val="right"/>
            </w:pPr>
            <w:r>
              <w:t xml:space="preserve">25962</w:t>
            </w:r>
          </w:p>
        </w:tc>
      </w:tr>
      <w:tr>
        <w:tc>
          <w:tcPr/>
          <w:p>
            <w:pPr>
              <w:pStyle w:val="Compact"/>
              <w:jc w:val="right"/>
            </w:pPr>
            <w:r>
              <w:t xml:space="preserve">85</w:t>
            </w:r>
          </w:p>
        </w:tc>
        <w:tc>
          <w:tcPr/>
          <w:p>
            <w:pPr>
              <w:pStyle w:val="Compact"/>
              <w:jc w:val="right"/>
            </w:pPr>
            <w:r>
              <w:t xml:space="preserve">22780</w:t>
            </w:r>
          </w:p>
        </w:tc>
      </w:tr>
      <w:tr>
        <w:tc>
          <w:tcPr/>
          <w:p>
            <w:pPr>
              <w:pStyle w:val="Compact"/>
              <w:jc w:val="right"/>
            </w:pPr>
            <w:r>
              <w:t xml:space="preserve">86</w:t>
            </w:r>
          </w:p>
        </w:tc>
        <w:tc>
          <w:tcPr/>
          <w:p>
            <w:pPr>
              <w:pStyle w:val="Compact"/>
              <w:jc w:val="right"/>
            </w:pPr>
            <w:r>
              <w:t xml:space="preserve">19725</w:t>
            </w:r>
          </w:p>
        </w:tc>
      </w:tr>
      <w:tr>
        <w:tc>
          <w:tcPr/>
          <w:p>
            <w:pPr>
              <w:pStyle w:val="Compact"/>
              <w:jc w:val="right"/>
            </w:pPr>
            <w:r>
              <w:t xml:space="preserve">87</w:t>
            </w:r>
          </w:p>
        </w:tc>
        <w:tc>
          <w:tcPr/>
          <w:p>
            <w:pPr>
              <w:pStyle w:val="Compact"/>
              <w:jc w:val="right"/>
            </w:pPr>
            <w:r>
              <w:t xml:space="preserve">16843</w:t>
            </w:r>
          </w:p>
        </w:tc>
      </w:tr>
      <w:tr>
        <w:tc>
          <w:tcPr/>
          <w:p>
            <w:pPr>
              <w:pStyle w:val="Compact"/>
              <w:jc w:val="right"/>
            </w:pPr>
            <w:r>
              <w:t xml:space="preserve">88</w:t>
            </w:r>
          </w:p>
        </w:tc>
        <w:tc>
          <w:tcPr/>
          <w:p>
            <w:pPr>
              <w:pStyle w:val="Compact"/>
              <w:jc w:val="right"/>
            </w:pPr>
            <w:r>
              <w:t xml:space="preserve">14133</w:t>
            </w:r>
          </w:p>
        </w:tc>
      </w:tr>
      <w:tr>
        <w:tc>
          <w:tcPr/>
          <w:p>
            <w:pPr>
              <w:pStyle w:val="Compact"/>
              <w:jc w:val="right"/>
            </w:pPr>
            <w:r>
              <w:t xml:space="preserve">89</w:t>
            </w:r>
          </w:p>
        </w:tc>
        <w:tc>
          <w:tcPr/>
          <w:p>
            <w:pPr>
              <w:pStyle w:val="Compact"/>
              <w:jc w:val="right"/>
            </w:pPr>
            <w:r>
              <w:t xml:space="preserve">11625</w:t>
            </w:r>
          </w:p>
        </w:tc>
      </w:tr>
      <w:tr>
        <w:tc>
          <w:tcPr/>
          <w:p>
            <w:pPr>
              <w:pStyle w:val="Compact"/>
              <w:jc w:val="right"/>
            </w:pPr>
            <w:r>
              <w:t xml:space="preserve">90</w:t>
            </w:r>
          </w:p>
        </w:tc>
        <w:tc>
          <w:tcPr/>
          <w:p>
            <w:pPr>
              <w:pStyle w:val="Compact"/>
              <w:jc w:val="right"/>
            </w:pPr>
            <w:r>
              <w:t xml:space="preserve">9389</w:t>
            </w:r>
          </w:p>
        </w:tc>
      </w:tr>
      <w:tr>
        <w:tc>
          <w:tcPr/>
          <w:p>
            <w:pPr>
              <w:pStyle w:val="Compact"/>
              <w:jc w:val="right"/>
            </w:pPr>
            <w:r>
              <w:t xml:space="preserve">91</w:t>
            </w:r>
          </w:p>
        </w:tc>
        <w:tc>
          <w:tcPr/>
          <w:p>
            <w:pPr>
              <w:pStyle w:val="Compact"/>
              <w:jc w:val="right"/>
            </w:pPr>
            <w:r>
              <w:t xml:space="preserve">7438</w:t>
            </w:r>
          </w:p>
        </w:tc>
      </w:tr>
      <w:tr>
        <w:tc>
          <w:tcPr/>
          <w:p>
            <w:pPr>
              <w:pStyle w:val="Compact"/>
              <w:jc w:val="right"/>
            </w:pPr>
            <w:r>
              <w:t xml:space="preserve">92</w:t>
            </w:r>
          </w:p>
        </w:tc>
        <w:tc>
          <w:tcPr/>
          <w:p>
            <w:pPr>
              <w:pStyle w:val="Compact"/>
              <w:jc w:val="right"/>
            </w:pPr>
            <w:r>
              <w:t xml:space="preserve">5763</w:t>
            </w:r>
          </w:p>
        </w:tc>
      </w:tr>
      <w:tr>
        <w:tc>
          <w:tcPr/>
          <w:p>
            <w:pPr>
              <w:pStyle w:val="Compact"/>
              <w:jc w:val="right"/>
            </w:pPr>
            <w:r>
              <w:t xml:space="preserve">93</w:t>
            </w:r>
          </w:p>
        </w:tc>
        <w:tc>
          <w:tcPr/>
          <w:p>
            <w:pPr>
              <w:pStyle w:val="Compact"/>
              <w:jc w:val="right"/>
            </w:pPr>
            <w:r>
              <w:t xml:space="preserve">4350</w:t>
            </w:r>
          </w:p>
        </w:tc>
      </w:tr>
      <w:tr>
        <w:tc>
          <w:tcPr/>
          <w:p>
            <w:pPr>
              <w:pStyle w:val="Compact"/>
              <w:jc w:val="right"/>
            </w:pPr>
            <w:r>
              <w:t xml:space="preserve">94</w:t>
            </w:r>
          </w:p>
        </w:tc>
        <w:tc>
          <w:tcPr/>
          <w:p>
            <w:pPr>
              <w:pStyle w:val="Compact"/>
              <w:jc w:val="right"/>
            </w:pPr>
            <w:r>
              <w:t xml:space="preserve">3211</w:t>
            </w:r>
          </w:p>
        </w:tc>
      </w:tr>
      <w:tr>
        <w:tc>
          <w:tcPr/>
          <w:p>
            <w:pPr>
              <w:pStyle w:val="Compact"/>
              <w:jc w:val="right"/>
            </w:pPr>
            <w:r>
              <w:t xml:space="preserve">95</w:t>
            </w:r>
          </w:p>
        </w:tc>
        <w:tc>
          <w:tcPr/>
          <w:p>
            <w:pPr>
              <w:pStyle w:val="Compact"/>
              <w:jc w:val="right"/>
            </w:pPr>
            <w:r>
              <w:t xml:space="preserve">2315</w:t>
            </w:r>
          </w:p>
        </w:tc>
      </w:tr>
      <w:tr>
        <w:tc>
          <w:tcPr/>
          <w:p>
            <w:pPr>
              <w:pStyle w:val="Compact"/>
              <w:jc w:val="right"/>
            </w:pPr>
            <w:r>
              <w:t xml:space="preserve">96</w:t>
            </w:r>
          </w:p>
        </w:tc>
        <w:tc>
          <w:tcPr/>
          <w:p>
            <w:pPr>
              <w:pStyle w:val="Compact"/>
              <w:jc w:val="right"/>
            </w:pPr>
            <w:r>
              <w:t xml:space="preserve">1635</w:t>
            </w:r>
          </w:p>
        </w:tc>
      </w:tr>
      <w:tr>
        <w:tc>
          <w:tcPr/>
          <w:p>
            <w:pPr>
              <w:pStyle w:val="Compact"/>
              <w:jc w:val="right"/>
            </w:pPr>
            <w:r>
              <w:t xml:space="preserve">97</w:t>
            </w:r>
          </w:p>
        </w:tc>
        <w:tc>
          <w:tcPr/>
          <w:p>
            <w:pPr>
              <w:pStyle w:val="Compact"/>
              <w:jc w:val="right"/>
            </w:pPr>
            <w:r>
              <w:t xml:space="preserve">1115</w:t>
            </w:r>
          </w:p>
        </w:tc>
      </w:tr>
      <w:tr>
        <w:tc>
          <w:tcPr/>
          <w:p>
            <w:pPr>
              <w:pStyle w:val="Compact"/>
              <w:jc w:val="right"/>
            </w:pPr>
            <w:r>
              <w:t xml:space="preserve">98</w:t>
            </w:r>
          </w:p>
        </w:tc>
        <w:tc>
          <w:tcPr/>
          <w:p>
            <w:pPr>
              <w:pStyle w:val="Compact"/>
              <w:jc w:val="right"/>
            </w:pPr>
            <w:r>
              <w:t xml:space="preserve">740</w:t>
            </w:r>
          </w:p>
        </w:tc>
      </w:tr>
      <w:tr>
        <w:tc>
          <w:tcPr/>
          <w:p>
            <w:pPr>
              <w:pStyle w:val="Compact"/>
              <w:jc w:val="right"/>
            </w:pPr>
            <w:r>
              <w:t xml:space="preserve">99</w:t>
            </w:r>
          </w:p>
        </w:tc>
        <w:tc>
          <w:tcPr/>
          <w:p>
            <w:pPr>
              <w:pStyle w:val="Compact"/>
              <w:jc w:val="right"/>
            </w:pPr>
            <w:r>
              <w:t xml:space="preserve">453</w:t>
            </w:r>
          </w:p>
        </w:tc>
      </w:tr>
      <w:tr>
        <w:tc>
          <w:tcPr/>
          <w:p>
            <w:pPr>
              <w:pStyle w:val="Compact"/>
              <w:jc w:val="right"/>
            </w:pPr>
            <w:r>
              <w:t xml:space="preserve">100</w:t>
            </w:r>
          </w:p>
        </w:tc>
        <w:tc>
          <w:tcPr/>
          <w:p>
            <w:pPr>
              <w:pStyle w:val="Compact"/>
              <w:jc w:val="right"/>
            </w:pPr>
            <w:r>
              <w:t xml:space="preserve">263</w:t>
            </w:r>
          </w:p>
        </w:tc>
      </w:tr>
      <w:tr>
        <w:tc>
          <w:tcPr/>
          <w:p>
            <w:pPr>
              <w:pStyle w:val="Compact"/>
              <w:jc w:val="right"/>
            </w:pPr>
            <w:r>
              <w:t xml:space="preserve">101</w:t>
            </w:r>
          </w:p>
        </w:tc>
        <w:tc>
          <w:tcPr/>
          <w:p>
            <w:pPr>
              <w:pStyle w:val="Compact"/>
              <w:jc w:val="right"/>
            </w:pPr>
            <w:r>
              <w:t xml:space="preserve">145</w:t>
            </w:r>
          </w:p>
        </w:tc>
      </w:tr>
      <w:tr>
        <w:tc>
          <w:tcPr/>
          <w:p>
            <w:pPr>
              <w:pStyle w:val="Compact"/>
              <w:jc w:val="right"/>
            </w:pPr>
            <w:r>
              <w:t xml:space="preserve">102</w:t>
            </w:r>
          </w:p>
        </w:tc>
        <w:tc>
          <w:tcPr/>
          <w:p>
            <w:pPr>
              <w:pStyle w:val="Compact"/>
              <w:jc w:val="right"/>
            </w:pPr>
            <w:r>
              <w:t xml:space="preserve">76</w:t>
            </w:r>
          </w:p>
        </w:tc>
      </w:tr>
      <w:tr>
        <w:tc>
          <w:tcPr/>
          <w:p>
            <w:pPr>
              <w:pStyle w:val="Compact"/>
              <w:jc w:val="right"/>
            </w:pPr>
            <w:r>
              <w:t xml:space="preserve">103</w:t>
            </w:r>
          </w:p>
        </w:tc>
        <w:tc>
          <w:tcPr/>
          <w:p>
            <w:pPr>
              <w:pStyle w:val="Compact"/>
              <w:jc w:val="right"/>
            </w:pPr>
            <w:r>
              <w:t xml:space="preserve">37</w:t>
            </w:r>
          </w:p>
        </w:tc>
      </w:tr>
      <w:tr>
        <w:tc>
          <w:tcPr/>
          <w:p>
            <w:pPr>
              <w:pStyle w:val="Compact"/>
              <w:jc w:val="right"/>
            </w:pPr>
            <w:r>
              <w:t xml:space="preserve">104</w:t>
            </w:r>
          </w:p>
        </w:tc>
        <w:tc>
          <w:tcPr/>
          <w:p>
            <w:pPr>
              <w:pStyle w:val="Compact"/>
              <w:jc w:val="right"/>
            </w:pPr>
            <w:r>
              <w:t xml:space="preserve">17</w:t>
            </w:r>
          </w:p>
        </w:tc>
      </w:tr>
      <w:tr>
        <w:tc>
          <w:tcPr/>
          <w:p>
            <w:pPr>
              <w:pStyle w:val="Compact"/>
              <w:jc w:val="right"/>
            </w:pPr>
            <w:r>
              <w:t xml:space="preserve">105</w:t>
            </w:r>
          </w:p>
        </w:tc>
        <w:tc>
          <w:tcPr/>
          <w:p>
            <w:pPr>
              <w:pStyle w:val="Compact"/>
              <w:jc w:val="right"/>
            </w:pPr>
            <w:r>
              <w:t xml:space="preserve">7</w:t>
            </w:r>
          </w:p>
        </w:tc>
      </w:tr>
      <w:tr>
        <w:tc>
          <w:tcPr/>
          <w:p>
            <w:pPr>
              <w:pStyle w:val="Compact"/>
              <w:jc w:val="right"/>
            </w:pPr>
            <w:r>
              <w:t xml:space="preserve">106</w:t>
            </w:r>
          </w:p>
        </w:tc>
        <w:tc>
          <w:tcPr/>
          <w:p>
            <w:pPr>
              <w:pStyle w:val="Compact"/>
              <w:jc w:val="right"/>
            </w:pPr>
            <w:r>
              <w:t xml:space="preserve">2</w:t>
            </w:r>
          </w:p>
        </w:tc>
      </w:tr>
      <w:tr>
        <w:tc>
          <w:tcPr/>
          <w:p>
            <w:pPr>
              <w:pStyle w:val="Compact"/>
              <w:jc w:val="right"/>
            </w:pPr>
            <w:r>
              <w:t xml:space="preserve">107</w:t>
            </w:r>
          </w:p>
        </w:tc>
        <w:tc>
          <w:tcPr/>
          <w:p>
            <w:pPr>
              <w:pStyle w:val="Compact"/>
              <w:jc w:val="right"/>
            </w:pPr>
            <w:r>
              <w:t xml:space="preserve">0</w:t>
            </w:r>
          </w:p>
        </w:tc>
      </w:tr>
      <w:tr>
        <w:tc>
          <w:tcPr/>
          <w:p>
            <w:pPr>
              <w:pStyle w:val="Compact"/>
              <w:jc w:val="right"/>
            </w:pPr>
            <w:r>
              <w:t xml:space="preserve">108</w:t>
            </w:r>
          </w:p>
        </w:tc>
        <w:tc>
          <w:tcPr/>
          <w:p>
            <w:pPr>
              <w:pStyle w:val="Compact"/>
              <w:jc w:val="right"/>
            </w:pPr>
            <w:r>
              <w:t xml:space="preserve">0</w:t>
            </w:r>
          </w:p>
        </w:tc>
      </w:tr>
      <w:tr>
        <w:tc>
          <w:tcPr/>
          <w:p>
            <w:pPr>
              <w:pStyle w:val="Compact"/>
              <w:jc w:val="right"/>
            </w:pPr>
            <w:r>
              <w:t xml:space="preserve">109</w:t>
            </w:r>
          </w:p>
        </w:tc>
        <w:tc>
          <w:tcPr/>
          <w:p>
            <w:pPr>
              <w:pStyle w:val="Compact"/>
              <w:jc w:val="right"/>
            </w:pPr>
            <w:r>
              <w:t xml:space="preserve">0</w:t>
            </w:r>
          </w:p>
        </w:tc>
      </w:tr>
      <w:tr>
        <w:tc>
          <w:tcPr/>
          <w:p>
            <w:pPr>
              <w:pStyle w:val="Compact"/>
              <w:jc w:val="right"/>
            </w:pPr>
            <w:r>
              <w:t xml:space="preserve">110</w:t>
            </w:r>
          </w:p>
        </w:tc>
        <w:tc>
          <w:tcPr/>
          <w:p>
            <w:pPr>
              <w:pStyle w:val="Compact"/>
              <w:jc w:val="right"/>
            </w:pPr>
            <w:r>
              <w:t xml:space="preserve">0</w:t>
            </w:r>
          </w:p>
        </w:tc>
      </w:tr>
      <w:tr>
        <w:tc>
          <w:tcPr/>
          <w:p>
            <w:pPr>
              <w:pStyle w:val="Compact"/>
              <w:jc w:val="right"/>
            </w:pPr>
            <w:r>
              <w:t xml:space="preserve">111</w:t>
            </w:r>
          </w:p>
        </w:tc>
        <w:tc>
          <w:tcPr/>
          <w:p>
            <w:pPr>
              <w:pStyle w:val="Compact"/>
              <w:jc w:val="right"/>
            </w:pPr>
            <w:r>
              <w:t xml:space="preserve">0</w:t>
            </w:r>
          </w:p>
        </w:tc>
      </w:tr>
    </w:tbl>
    <w:bookmarkEnd w:id="337"/>
    <w:bookmarkStart w:id="354" w:name="Xc692bbae865006956caeac992ec269981dfef21"/>
    <w:p>
      <w:pPr>
        <w:pStyle w:val="Heading1"/>
      </w:pPr>
      <w:r>
        <w:t xml:space="preserve">ANNEXE N°4 : Vérification des hypothèses de Chain Ladder</w:t>
      </w:r>
    </w:p>
    <w:p>
      <w:pPr>
        <w:pStyle w:val="FirstParagraph"/>
      </w:pPr>
      <w:r>
        <w:rPr>
          <w:bCs/>
          <w:b/>
        </w:rPr>
        <w:t xml:space="preserve">Hypothèse N°1 :</w:t>
      </w:r>
    </w:p>
    <w:p>
      <w:pPr>
        <w:pStyle w:val="BodyText"/>
      </w:pPr>
      <w:r>
        <w:t xml:space="preserve">L’hypothèse d’indépendance, suppose que les paiements de sinistres sont indépendants les uns des autres, ce qui signifie que le montant d’un sinistre ne dépend pas des montants des autres sinistres.</w:t>
      </w:r>
    </w:p>
    <w:p>
      <w:pPr>
        <w:pStyle w:val="BodyText"/>
      </w:pPr>
      <w:r>
        <w:t xml:space="preserve">Pour la vérification de cette hypothèse, Nous avons tracé les facteurs de développement</w:t>
      </w:r>
      <w:r>
        <w:t xml:space="preserve"> </w:t>
      </w:r>
      <m:oMath>
        <m:sSub>
          <m:e>
            <m:r>
              <m:t>f</m:t>
            </m:r>
          </m:e>
          <m:sub>
            <m:r>
              <m:t>i</m:t>
            </m:r>
            <m:r>
              <m:rPr>
                <m:sty m:val="p"/>
              </m:rPr>
              <m:t>,</m:t>
            </m:r>
            <m:r>
              <m:t>j</m:t>
            </m:r>
          </m:sub>
        </m:sSub>
      </m:oMath>
      <w:r>
        <w:t xml:space="preserve"> </w:t>
      </w:r>
      <w:r>
        <w:t xml:space="preserve">individuel pour chaque année de développement</w:t>
      </w:r>
      <w:r>
        <w:t xml:space="preserve"> </w:t>
      </w:r>
      <m:oMath>
        <m:r>
          <m:t>j</m:t>
        </m:r>
      </m:oMath>
      <w:r>
        <w:t xml:space="preserve"> </w:t>
      </w:r>
      <w:r>
        <w:t xml:space="preserve">en fonction de toutes les années de survenance</w:t>
      </w:r>
      <w:r>
        <w:t xml:space="preserve"> </w:t>
      </w:r>
      <m:oMath>
        <m:r>
          <m:t>i</m:t>
        </m:r>
      </m:oMath>
      <w:r>
        <w:t xml:space="preserve">, et on a comparé la moyenne de facteur de développement individuel.</w:t>
      </w:r>
    </w:p>
    <w:p>
      <w:pPr>
        <w:pStyle w:val="BodyText"/>
      </w:pPr>
      <w:r>
        <w:t xml:space="preserve">Les facteurs de développement individuels relatif à une année de développement</w:t>
      </w:r>
      <w:r>
        <w:t xml:space="preserve"> </w:t>
      </w:r>
      <m:oMath>
        <m:r>
          <m:t>j</m:t>
        </m:r>
      </m:oMath>
      <w:r>
        <w:t xml:space="preserve"> </w:t>
      </w:r>
      <w:r>
        <w:t xml:space="preserve">doivent être</w:t>
      </w:r>
      <w:r>
        <w:t xml:space="preserve"> </w:t>
      </w:r>
      <w:r>
        <w:t xml:space="preserve">significativement proche de la moyenne des facteurs de développement individuels sur ladite année pour que la première hypothèse soit vérifiée.</w:t>
      </w:r>
    </w:p>
    <w:tbl>
      <w:tblPr>
        <w:tblStyle w:val="Table"/>
        <w:tblW w:type="pct" w:w="5000"/>
        <w:tblLook w:firstRow="0" w:lastRow="0" w:firstColumn="0" w:lastColumn="0" w:noHBand="0" w:noVBand="0" w:val="0000"/>
        <w:jc w:val="start"/>
      </w:tblPr>
      <w:tblGrid>
        <w:gridCol w:w="7920"/>
      </w:tblGrid>
      <w:tr>
        <w:tc>
          <w:tcPr/>
          <w:bookmarkStart w:id="341" w:name="fig-CL11"/>
          <w:p>
            <w:pPr>
              <w:jc w:val="center"/>
            </w:pPr>
            <w:r>
              <w:drawing>
                <wp:inline>
                  <wp:extent cx="5334000" cy="3422092"/>
                  <wp:effectExtent b="0" l="0" r="0" t="0"/>
                  <wp:docPr descr="" title="" id="339" name="Picture"/>
                  <a:graphic>
                    <a:graphicData uri="http://schemas.openxmlformats.org/drawingml/2006/picture">
                      <pic:pic>
                        <pic:nvPicPr>
                          <pic:cNvPr descr="Rapport-PFE_files/figure-html/H1_1.png" id="340" name="Picture"/>
                          <pic:cNvPicPr>
                            <a:picLocks noChangeArrowheads="1" noChangeAspect="1"/>
                          </pic:cNvPicPr>
                        </pic:nvPicPr>
                        <pic:blipFill>
                          <a:blip r:embed="rId338"/>
                          <a:stretch>
                            <a:fillRect/>
                          </a:stretch>
                        </pic:blipFill>
                        <pic:spPr bwMode="auto">
                          <a:xfrm>
                            <a:off x="0" y="0"/>
                            <a:ext cx="5334000" cy="34220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Vérification de l’hypothèse N°1 surles années de développement</w:t>
            </w:r>
          </w:p>
          <w:bookmarkEnd w:id="341"/>
        </w:tc>
      </w:tr>
    </w:tbl>
    <w:tbl>
      <w:tblPr>
        <w:tblStyle w:val="Table"/>
        <w:tblW w:type="pct" w:w="5000"/>
        <w:tblLook w:firstRow="0" w:lastRow="0" w:firstColumn="0" w:lastColumn="0" w:noHBand="0" w:noVBand="0" w:val="0000"/>
        <w:jc w:val="start"/>
      </w:tblPr>
      <w:tblGrid>
        <w:gridCol w:w="7920"/>
      </w:tblGrid>
      <w:tr>
        <w:tc>
          <w:tcPr/>
          <w:bookmarkStart w:id="345" w:name="fig-CL11"/>
          <w:p>
            <w:pPr>
              <w:jc w:val="center"/>
            </w:pPr>
            <w:r>
              <w:drawing>
                <wp:inline>
                  <wp:extent cx="5334000" cy="3427410"/>
                  <wp:effectExtent b="0" l="0" r="0" t="0"/>
                  <wp:docPr descr="" title="" id="343" name="Picture"/>
                  <a:graphic>
                    <a:graphicData uri="http://schemas.openxmlformats.org/drawingml/2006/picture">
                      <pic:pic>
                        <pic:nvPicPr>
                          <pic:cNvPr descr="Rapport-PFE_files/figure-html/H1_2.png" id="344" name="Picture"/>
                          <pic:cNvPicPr>
                            <a:picLocks noChangeArrowheads="1" noChangeAspect="1"/>
                          </pic:cNvPicPr>
                        </pic:nvPicPr>
                        <pic:blipFill>
                          <a:blip r:embed="rId342"/>
                          <a:stretch>
                            <a:fillRect/>
                          </a:stretch>
                        </pic:blipFill>
                        <pic:spPr bwMode="auto">
                          <a:xfrm>
                            <a:off x="0" y="0"/>
                            <a:ext cx="5334000" cy="34274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Vérification de l’hypothèse N°1 surles années de développement</w:t>
            </w:r>
          </w:p>
          <w:bookmarkEnd w:id="345"/>
        </w:tc>
      </w:tr>
    </w:tbl>
    <w:p>
      <w:pPr>
        <w:pStyle w:val="BodyText"/>
      </w:pPr>
      <w:r>
        <w:t xml:space="preserve">On peut constater que les</w:t>
      </w:r>
      <w:r>
        <w:t xml:space="preserve"> </w:t>
      </w:r>
      <m:oMath>
        <m:sSub>
          <m:e>
            <m:r>
              <m:t>f</m:t>
            </m:r>
          </m:e>
          <m:sub>
            <m:r>
              <m:t>i</m:t>
            </m:r>
            <m:r>
              <m:rPr>
                <m:sty m:val="p"/>
              </m:rPr>
              <m:t>,</m:t>
            </m:r>
            <m:r>
              <m:t>j</m:t>
            </m:r>
          </m:sub>
        </m:sSub>
      </m:oMath>
      <w:r>
        <w:t xml:space="preserve"> </w:t>
      </w:r>
      <w:r>
        <w:t xml:space="preserve">sont à peu près alignés autour des {f_j} ce qui nous</w:t>
      </w:r>
      <w:r>
        <w:t xml:space="preserve"> </w:t>
      </w:r>
      <w:r>
        <w:t xml:space="preserve">pousse a validé la première hypothèse de Chian Ladder.</w:t>
      </w:r>
    </w:p>
    <w:p>
      <w:pPr>
        <w:pStyle w:val="BodyText"/>
      </w:pPr>
      <w:r>
        <w:rPr>
          <w:bCs/>
          <w:b/>
        </w:rPr>
        <w:t xml:space="preserve">Hypothèse N°2 :</w:t>
      </w:r>
    </w:p>
    <w:p>
      <w:pPr>
        <w:pStyle w:val="BodyText"/>
      </w:pPr>
      <w:r>
        <w:t xml:space="preserve">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pPr>
        <w:pStyle w:val="BodyText"/>
      </w:pPr>
      <w: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w:t>
      </w:r>
      <w:r>
        <w:t xml:space="preserve"> </w:t>
      </w:r>
      <m:oMath>
        <m:r>
          <m:t>j</m:t>
        </m:r>
      </m:oMath>
      <w:r>
        <w:t xml:space="preserve"> </w:t>
      </w:r>
      <w:r>
        <w:t xml:space="preserve">par rapport aux règlements cumulés de l’année</w:t>
      </w:r>
      <w:r>
        <w:t xml:space="preserve"> </w:t>
      </w:r>
      <m:oMath>
        <m:r>
          <m:t>j</m:t>
        </m:r>
        <m:r>
          <m:rPr>
            <m:sty m:val="p"/>
          </m:rPr>
          <m:t>−</m:t>
        </m:r>
        <m:r>
          <m:t>1</m:t>
        </m:r>
      </m:oMath>
      <w:r>
        <w:t xml:space="preserve"> </w:t>
      </w:r>
      <w:r>
        <w:t xml:space="preserve">doit être approché significativement par une droite.</w:t>
      </w:r>
    </w:p>
    <w:tbl>
      <w:tblPr>
        <w:tblStyle w:val="Table"/>
        <w:tblW w:type="pct" w:w="5000"/>
        <w:tblLook w:firstRow="0" w:lastRow="0" w:firstColumn="0" w:lastColumn="0" w:noHBand="0" w:noVBand="0" w:val="0000"/>
        <w:jc w:val="start"/>
      </w:tblPr>
      <w:tblGrid>
        <w:gridCol w:w="7920"/>
      </w:tblGrid>
      <w:tr>
        <w:tc>
          <w:tcPr/>
          <w:bookmarkStart w:id="349" w:name="fig-CL21"/>
          <w:p>
            <w:pPr>
              <w:jc w:val="center"/>
            </w:pPr>
            <w:r>
              <w:drawing>
                <wp:inline>
                  <wp:extent cx="5334000" cy="3932829"/>
                  <wp:effectExtent b="0" l="0" r="0" t="0"/>
                  <wp:docPr descr="" title="" id="347" name="Picture"/>
                  <a:graphic>
                    <a:graphicData uri="http://schemas.openxmlformats.org/drawingml/2006/picture">
                      <pic:pic>
                        <pic:nvPicPr>
                          <pic:cNvPr descr="Rapport-PFE_files/figure-html/H2-1.png" id="348" name="Picture"/>
                          <pic:cNvPicPr>
                            <a:picLocks noChangeArrowheads="1" noChangeAspect="1"/>
                          </pic:cNvPicPr>
                        </pic:nvPicPr>
                        <pic:blipFill>
                          <a:blip r:embed="rId346"/>
                          <a:stretch>
                            <a:fillRect/>
                          </a:stretch>
                        </pic:blipFill>
                        <pic:spPr bwMode="auto">
                          <a:xfrm>
                            <a:off x="0" y="0"/>
                            <a:ext cx="5334000" cy="39328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Vérification de l’hypothèse N°1 surles années de développement</w:t>
            </w:r>
          </w:p>
          <w:bookmarkEnd w:id="349"/>
        </w:tc>
      </w:tr>
    </w:tbl>
    <w:tbl>
      <w:tblPr>
        <w:tblStyle w:val="Table"/>
        <w:tblW w:type="pct" w:w="5000"/>
        <w:tblLook w:firstRow="0" w:lastRow="0" w:firstColumn="0" w:lastColumn="0" w:noHBand="0" w:noVBand="0" w:val="0000"/>
        <w:jc w:val="start"/>
      </w:tblPr>
      <w:tblGrid>
        <w:gridCol w:w="7920"/>
      </w:tblGrid>
      <w:tr>
        <w:tc>
          <w:tcPr/>
          <w:bookmarkStart w:id="353" w:name="fig-CL22"/>
          <w:p>
            <w:pPr>
              <w:jc w:val="center"/>
            </w:pPr>
            <w:r>
              <w:drawing>
                <wp:inline>
                  <wp:extent cx="5334000" cy="3772635"/>
                  <wp:effectExtent b="0" l="0" r="0" t="0"/>
                  <wp:docPr descr="" title="" id="351" name="Picture"/>
                  <a:graphic>
                    <a:graphicData uri="http://schemas.openxmlformats.org/drawingml/2006/picture">
                      <pic:pic>
                        <pic:nvPicPr>
                          <pic:cNvPr descr="Rapport-PFE_files/figure-html/H2-2.png" id="352" name="Picture"/>
                          <pic:cNvPicPr>
                            <a:picLocks noChangeArrowheads="1" noChangeAspect="1"/>
                          </pic:cNvPicPr>
                        </pic:nvPicPr>
                        <pic:blipFill>
                          <a:blip r:embed="rId350"/>
                          <a:stretch>
                            <a:fillRect/>
                          </a:stretch>
                        </pic:blipFill>
                        <pic:spPr bwMode="auto">
                          <a:xfrm>
                            <a:off x="0" y="0"/>
                            <a:ext cx="5334000" cy="37726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Vérification de l’hypothèse N°2 pour les années de développement</w:t>
            </w:r>
          </w:p>
          <w:bookmarkEnd w:id="353"/>
        </w:tc>
      </w:tr>
    </w:tbl>
    <w:p>
      <w:pPr>
        <w:pStyle w:val="BodyText"/>
      </w:pPr>
      <w:r>
        <w:t xml:space="preserve">On remarque bien, que pour toutes les années de développement, il y a une sorte de linéarité entre les années de développements. Ce qui prouve la deuxième hypothèse.</w:t>
      </w:r>
    </w:p>
    <w:bookmarkEnd w:id="3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https://www.acaps.ma/fr/l-acaps/missions</w:t>
      </w:r>
    </w:p>
  </w:footnote>
  <w:footnote w:id="25">
    <w:p>
      <w:pPr>
        <w:pStyle w:val="FootnoteText"/>
      </w:pPr>
      <w:r>
        <w:rPr>
          <w:rStyle w:val="FootnoteReference"/>
        </w:rPr>
        <w:footnoteRef/>
      </w:r>
      <w:r>
        <w:t xml:space="preserve"> </w:t>
      </w:r>
      <w:r>
        <w:t xml:space="preserve">https://www.atlas-mag.net/article/marche-africain-de-l-assurance-en-2019-chiffre-d-affaires-des-principaux-pays</w:t>
      </w:r>
    </w:p>
  </w:footnote>
  <w:footnote w:id="27">
    <w:p>
      <w:pPr>
        <w:pStyle w:val="FootnoteText"/>
      </w:pPr>
      <w:r>
        <w:rPr>
          <w:rStyle w:val="FootnoteReference"/>
        </w:rPr>
        <w:footnoteRef/>
      </w:r>
      <w:r>
        <w:t xml:space="preserve"> </w:t>
      </w:r>
      <w:r>
        <w:t xml:space="preserve">solvabilité basée sur les risques assurances Maroc , ACAPS</w:t>
      </w:r>
    </w:p>
  </w:footnote>
  <w:footnote w:id="28">
    <w:p>
      <w:pPr>
        <w:pStyle w:val="FootnoteText"/>
      </w:pPr>
      <w:r>
        <w:rPr>
          <w:rStyle w:val="FootnoteReference"/>
        </w:rPr>
        <w:footnoteRef/>
      </w:r>
      <w:r>
        <w:t xml:space="preserve"> </w:t>
      </w:r>
      <w:r>
        <w:t xml:space="preserve">https://fnh.ma/article/actualite-financiere-maroc/assurances-solvabilite-basee-sur-les-risques-les-seuils-minimums-fixes-en-janvier-2019</w:t>
      </w:r>
    </w:p>
  </w:footnote>
  <w:footnote w:id="29">
    <w:p>
      <w:pPr>
        <w:pStyle w:val="FootnoteText"/>
      </w:pPr>
      <w:r>
        <w:rPr>
          <w:rStyle w:val="FootnoteReference"/>
        </w:rPr>
        <w:footnoteRef/>
      </w:r>
      <w:r>
        <w:t xml:space="preserve"> </w:t>
      </w:r>
      <w:r>
        <w:t xml:space="preserve">ORSA : Own Risk and Solvency Assessment</w:t>
      </w:r>
    </w:p>
  </w:footnote>
  <w:footnote w:id="33">
    <w:p>
      <w:pPr>
        <w:pStyle w:val="FootnoteText"/>
      </w:pPr>
      <w:r>
        <w:rPr>
          <w:rStyle w:val="FootnoteReference"/>
        </w:rPr>
        <w:footnoteRef/>
      </w:r>
      <w:r>
        <w:t xml:space="preserve"> </w:t>
      </w:r>
      <w:hyperlink r:id="rId34">
        <w:r>
          <w:rPr>
            <w:rStyle w:val="Hyperlink"/>
          </w:rPr>
          <w:t xml:space="preserve">Ciculaire en préparation concernant le second pilier relatif à la gouvernance</w:t>
        </w:r>
      </w:hyperlink>
    </w:p>
  </w:footnote>
  <w:footnote w:id="40">
    <w:p>
      <w:pPr>
        <w:pStyle w:val="FootnoteText"/>
      </w:pPr>
      <w:r>
        <w:rPr>
          <w:rStyle w:val="FootnoteReference"/>
        </w:rPr>
        <w:footnoteRef/>
      </w:r>
      <w:r>
        <w:t xml:space="preserve"> </w:t>
      </w:r>
      <w:r>
        <w:t xml:space="preserve">La métrique de risque n’est pas encore défini</w:t>
      </w:r>
      <w:r>
        <w:t xml:space="preserve"> </w:t>
      </w:r>
      <w:r>
        <w:t xml:space="preserve">dans le projet marocain</w:t>
      </w:r>
      <w:r>
        <w:t xml:space="preserve"> </w:t>
      </w:r>
      <m:oMath>
        <m:r>
          <m:t>S</m:t>
        </m:r>
        <m:r>
          <m:t>B</m:t>
        </m:r>
        <m:r>
          <m:t>R</m:t>
        </m:r>
      </m:oMath>
    </w:p>
  </w:footnote>
  <w:footnote w:id="65">
    <w:p>
      <w:pPr>
        <w:pStyle w:val="FootnoteText"/>
      </w:pPr>
      <w:r>
        <w:rPr>
          <w:rStyle w:val="FootnoteReference"/>
        </w:rPr>
        <w:footnoteRef/>
      </w:r>
      <w:r>
        <w:t xml:space="preserve"> </w:t>
      </w:r>
      <w:r>
        <w:t xml:space="preserve">Alonso Peña, Ph.D, C++ For Quantitative Finance</w:t>
      </w:r>
    </w:p>
  </w:footnote>
  <w:footnote w:id="148">
    <w:p>
      <w:pPr>
        <w:pStyle w:val="FootnoteText"/>
      </w:pPr>
      <w:r>
        <w:rPr>
          <w:rStyle w:val="FootnoteReference"/>
        </w:rPr>
        <w:footnoteRef/>
      </w:r>
      <w:r>
        <w:t xml:space="preserve"> </w:t>
      </w:r>
      <w:r>
        <w:t xml:space="preserve">The Actuary and IBNR publié en 1972</w:t>
      </w:r>
    </w:p>
  </w:footnote>
  <w:footnote w:id="149">
    <w:p>
      <w:pPr>
        <w:pStyle w:val="FootnoteText"/>
      </w:pPr>
      <w:r>
        <w:rPr>
          <w:rStyle w:val="FootnoteReference"/>
        </w:rPr>
        <w:footnoteRef/>
      </w:r>
      <w:r>
        <w:t xml:space="preserve"> </w:t>
      </w:r>
      <w:r>
        <w:t xml:space="preserve">CNAM 2002-2003, Mathématiques actuarielles fondamentales (assurance non vie), Eléments de cours – 24 mars 2003 – liquidation des sinistres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png" /><Relationship Type="http://schemas.openxmlformats.org/officeDocument/2006/relationships/image" Id="rId30" Target="media/rId30.png" /><Relationship Type="http://schemas.openxmlformats.org/officeDocument/2006/relationships/image" Id="rId297" Target="media/rId297.png" /><Relationship Type="http://schemas.openxmlformats.org/officeDocument/2006/relationships/image" Id="rId312" Target="media/rId312.png" /><Relationship Type="http://schemas.openxmlformats.org/officeDocument/2006/relationships/image" Id="rId41" Target="media/rId41.png" /><Relationship Type="http://schemas.openxmlformats.org/officeDocument/2006/relationships/image" Id="rId325" Target="media/rId325.png" /><Relationship Type="http://schemas.openxmlformats.org/officeDocument/2006/relationships/image" Id="rId266" Target="media/rId266.png" /><Relationship Type="http://schemas.openxmlformats.org/officeDocument/2006/relationships/image" Id="rId83" Target="media/rId83.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250" Target="media/rId250.png" /><Relationship Type="http://schemas.openxmlformats.org/officeDocument/2006/relationships/image" Id="rId87" Target="media/rId87.png" /><Relationship Type="http://schemas.openxmlformats.org/officeDocument/2006/relationships/image" Id="rId182" Target="media/rId182.png" /><Relationship Type="http://schemas.openxmlformats.org/officeDocument/2006/relationships/image" Id="rId79" Target="media/rId79.png" /><Relationship Type="http://schemas.openxmlformats.org/officeDocument/2006/relationships/image" Id="rId270" Target="media/rId270.png" /><Relationship Type="http://schemas.openxmlformats.org/officeDocument/2006/relationships/image" Id="rId293" Target="media/rId293.png" /><Relationship Type="http://schemas.openxmlformats.org/officeDocument/2006/relationships/image" Id="rId317" Target="media/rId317.png" /><Relationship Type="http://schemas.openxmlformats.org/officeDocument/2006/relationships/image" Id="rId256" Target="media/rId256.png" /><Relationship Type="http://schemas.openxmlformats.org/officeDocument/2006/relationships/image" Id="rId302" Target="media/rId302.png" /><Relationship Type="http://schemas.openxmlformats.org/officeDocument/2006/relationships/image" Id="rId280" Target="media/rId280.png" /><Relationship Type="http://schemas.openxmlformats.org/officeDocument/2006/relationships/image" Id="rId284" Target="media/rId284.png" /><Relationship Type="http://schemas.openxmlformats.org/officeDocument/2006/relationships/image" Id="rId261" Target="media/rId261.png" /><Relationship Type="http://schemas.openxmlformats.org/officeDocument/2006/relationships/image" Id="rId35" Target="media/rId35.png" /><Relationship Type="http://schemas.openxmlformats.org/officeDocument/2006/relationships/image" Id="rId274" Target="media/rId274.png" /><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5" Target="https://rinterface.github.io/bs4Dash/index.html" TargetMode="External" /><Relationship Type="http://schemas.openxmlformats.org/officeDocument/2006/relationships/hyperlink" Id="rId254"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_rels/footnotes.xml.rels><?xml version="1.0" encoding="UTF-8"?><Relationships xmlns="http://schemas.openxmlformats.org/package/2006/relationships"><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5" Target="https://rinterface.github.io/bs4Dash/index.html" TargetMode="External" /><Relationship Type="http://schemas.openxmlformats.org/officeDocument/2006/relationships/hyperlink" Id="rId254"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dcterms:created xsi:type="dcterms:W3CDTF">2023-06-14T14:35:09Z</dcterms:created>
  <dcterms:modified xsi:type="dcterms:W3CDTF">2023-06-14T14:35:09Z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