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29.png" ContentType="image/png"/>
  <Override PartName="/word/media/rId50.png" ContentType="image/png"/>
  <Override PartName="/word/media/rId40.png" ContentType="image/png"/>
  <Override PartName="/word/media/rId59.png" ContentType="image/png"/>
  <Override PartName="/word/media/rId136.png" ContentType="image/png"/>
  <Override PartName="/word/media/rId55.png" ContentType="image/png"/>
  <Override PartName="/word/media/rId63.png" ContentType="image/png"/>
  <Override PartName="/word/media/rId3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liste-des-abréviations"/>
    <w:p>
      <w:pPr>
        <w:pStyle w:val="Heading2"/>
      </w:pPr>
      <w:r>
        <w:t xml:space="preserve">1 Liste des abréviations: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Abréviation</w:t>
            </w:r>
          </w:p>
        </w:tc>
        <w:tc>
          <w:tcPr/>
          <w:p>
            <w:pPr>
              <w:pStyle w:val="Compact"/>
              <w:jc w:val="left"/>
            </w:pPr>
            <w:r>
              <w:t xml:space="preserve">Désignation</w:t>
            </w:r>
          </w:p>
        </w:tc>
      </w:tr>
      <w:tr>
        <w:tc>
          <w:tcPr/>
          <w:p>
            <w:pPr>
              <w:pStyle w:val="Compact"/>
              <w:jc w:val="left"/>
            </w:pPr>
            <w:r>
              <w:t xml:space="preserve">SBR</w:t>
            </w:r>
          </w:p>
        </w:tc>
        <w:tc>
          <w:tcPr/>
          <w:p>
            <w:pPr>
              <w:pStyle w:val="Compact"/>
              <w:jc w:val="left"/>
            </w:pPr>
            <w:r>
              <w:t xml:space="preserve">Solvabilité Basée sur les risques</w:t>
            </w:r>
          </w:p>
        </w:tc>
      </w:tr>
      <w:tr>
        <w:tc>
          <w:tcPr/>
          <w:p>
            <w:pPr>
              <w:pStyle w:val="Compact"/>
              <w:jc w:val="left"/>
            </w:pPr>
            <w:r>
              <w:t xml:space="preserve">ACAPS</w:t>
            </w:r>
          </w:p>
        </w:tc>
        <w:tc>
          <w:tcPr/>
          <w:p>
            <w:pPr>
              <w:pStyle w:val="Compact"/>
              <w:jc w:val="left"/>
            </w:pPr>
            <w:r>
              <w:t xml:space="preserve">Autorité de contrôle des Assurances et de la Prévoyance Sociale</w:t>
            </w:r>
          </w:p>
        </w:tc>
      </w:tr>
      <w:tr>
        <w:tc>
          <w:tcPr/>
          <w:p>
            <w:pPr>
              <w:pStyle w:val="Compact"/>
              <w:jc w:val="left"/>
            </w:pPr>
            <w:r>
              <w:t xml:space="preserve">AT</w:t>
            </w:r>
          </w:p>
        </w:tc>
        <w:tc>
          <w:tcPr/>
          <w:p>
            <w:pPr>
              <w:pStyle w:val="Compact"/>
              <w:jc w:val="left"/>
            </w:pPr>
            <w:r>
              <w:t xml:space="preserve">Accident de travail</w:t>
            </w:r>
          </w:p>
        </w:tc>
      </w:tr>
      <w:tr>
        <w:tc>
          <w:tcPr/>
          <w:p>
            <w:pPr>
              <w:pStyle w:val="Compact"/>
              <w:jc w:val="left"/>
            </w:pPr>
            <w:r>
              <w:t xml:space="preserve">RNN</w:t>
            </w:r>
          </w:p>
        </w:tc>
        <w:tc>
          <w:tcPr/>
          <w:p>
            <w:pPr>
              <w:pStyle w:val="Compact"/>
              <w:jc w:val="left"/>
            </w:pPr>
            <w:r>
              <w:t xml:space="preserve">Réseaux de neurones récurrents</w:t>
            </w:r>
          </w:p>
        </w:tc>
      </w:tr>
      <w:tr>
        <w:tc>
          <w:tcPr/>
          <w:p>
            <w:pPr>
              <w:pStyle w:val="Compact"/>
              <w:jc w:val="left"/>
            </w:pPr>
            <w:r>
              <w:t xml:space="preserve">LSTM</w:t>
            </w:r>
          </w:p>
        </w:tc>
        <w:tc>
          <w:tcPr/>
          <w:p>
            <w:pPr>
              <w:pStyle w:val="Compact"/>
              <w:jc w:val="left"/>
            </w:pPr>
            <w:r>
              <w:t xml:space="preserve">Long short-term memory</w:t>
            </w:r>
          </w:p>
        </w:tc>
      </w:tr>
      <w:tr>
        <w:tc>
          <w:tcPr/>
          <w:p>
            <w:pPr>
              <w:pStyle w:val="Compact"/>
              <w:jc w:val="left"/>
            </w:pPr>
            <w:r>
              <w:t xml:space="preserve">MASI</w:t>
            </w:r>
          </w:p>
        </w:tc>
        <w:tc>
          <w:tcPr/>
          <w:p>
            <w:pPr>
              <w:pStyle w:val="Compact"/>
              <w:jc w:val="left"/>
            </w:pPr>
            <w:r>
              <w:t xml:space="preserve">Moroccan All Shares index</w:t>
            </w:r>
          </w:p>
        </w:tc>
      </w:tr>
      <w:tr>
        <w:tc>
          <w:tcPr/>
          <w:p>
            <w:pPr>
              <w:pStyle w:val="Compact"/>
              <w:jc w:val="left"/>
            </w:pPr>
            <w:r>
              <w:t xml:space="preserve">CSR</w:t>
            </w:r>
          </w:p>
        </w:tc>
        <w:tc>
          <w:tcPr/>
          <w:p>
            <w:pPr>
              <w:pStyle w:val="Compact"/>
              <w:jc w:val="left"/>
            </w:pPr>
            <w:r>
              <w:t xml:space="preserve">Capital de Solvabilité Requis</w:t>
            </w:r>
          </w:p>
        </w:tc>
      </w:tr>
      <w:tr>
        <w:tc>
          <w:tcPr/>
          <w:p>
            <w:pPr>
              <w:pStyle w:val="Compact"/>
              <w:jc w:val="left"/>
            </w:pPr>
            <w:r>
              <w:t xml:space="preserve">BE</w:t>
            </w:r>
          </w:p>
        </w:tc>
        <w:tc>
          <w:tcPr/>
          <w:p>
            <w:pPr>
              <w:pStyle w:val="Compact"/>
              <w:jc w:val="left"/>
            </w:pPr>
            <w:r>
              <w:t xml:space="preserve">Best Estimate</w:t>
            </w:r>
          </w:p>
        </w:tc>
      </w:tr>
      <w:tr>
        <w:tc>
          <w:tcPr/>
          <w:p>
            <w:pPr>
              <w:pStyle w:val="Compact"/>
              <w:jc w:val="left"/>
            </w:pPr>
            <w:r>
              <w:t xml:space="preserve">PPNA</w:t>
            </w:r>
          </w:p>
        </w:tc>
        <w:tc>
          <w:tcPr/>
          <w:p>
            <w:pPr>
              <w:pStyle w:val="Compact"/>
              <w:jc w:val="left"/>
            </w:pPr>
            <w:r>
              <w:t xml:space="preserve">Provision pour primes non Acquises</w:t>
            </w:r>
          </w:p>
        </w:tc>
      </w:tr>
      <w:tr>
        <w:tc>
          <w:tcPr/>
          <w:p>
            <w:pPr>
              <w:pStyle w:val="Compact"/>
              <w:jc w:val="left"/>
            </w:pPr>
            <w:r>
              <w:t xml:space="preserve">PSAP</w:t>
            </w:r>
          </w:p>
        </w:tc>
        <w:tc>
          <w:tcPr/>
          <w:p>
            <w:pPr>
              <w:pStyle w:val="Compact"/>
              <w:jc w:val="left"/>
            </w:pPr>
            <w:r>
              <w:t xml:space="preserve">Provision pour Sinistre à Payer</w:t>
            </w:r>
          </w:p>
        </w:tc>
      </w:tr>
      <w:tr>
        <w:tc>
          <w:tcPr/>
          <w:p>
            <w:pPr>
              <w:pStyle w:val="Compact"/>
              <w:jc w:val="left"/>
            </w:pPr>
            <w:r>
              <w:t xml:space="preserve">BAM</w:t>
            </w:r>
          </w:p>
        </w:tc>
        <w:tc>
          <w:tcPr/>
          <w:p>
            <w:pPr>
              <w:pStyle w:val="Compact"/>
              <w:jc w:val="left"/>
            </w:pPr>
            <w:r>
              <w:t xml:space="preserve">Bank Al Maghrib</w:t>
            </w:r>
          </w:p>
        </w:tc>
      </w:tr>
      <w:tr>
        <w:tc>
          <w:tcPr/>
          <w:p>
            <w:pPr>
              <w:pStyle w:val="Compact"/>
              <w:jc w:val="left"/>
            </w:pPr>
            <w:r>
              <w:t xml:space="preserve">CSRB</w:t>
            </w:r>
          </w:p>
        </w:tc>
        <w:tc>
          <w:tcPr/>
          <w:p>
            <w:pPr>
              <w:pStyle w:val="Compact"/>
              <w:jc w:val="left"/>
            </w:pPr>
            <w:r>
              <w:t xml:space="preserve">Capital de solvabilité requis de base</w:t>
            </w:r>
          </w:p>
        </w:tc>
      </w:tr>
      <w:tr>
        <w:tc>
          <w:tcPr/>
          <w:p>
            <w:pPr>
              <w:pStyle w:val="Compact"/>
              <w:jc w:val="left"/>
            </w:pPr>
            <w:r>
              <w:t xml:space="preserve">CSRO</w:t>
            </w:r>
          </w:p>
        </w:tc>
        <w:tc>
          <w:tcPr/>
          <w:p>
            <w:pPr>
              <w:pStyle w:val="Compact"/>
              <w:jc w:val="left"/>
            </w:pPr>
            <w:r>
              <w:t xml:space="preserve">Capital de solvabilité requis de base relative au risque Operationnel</w:t>
            </w:r>
          </w:p>
        </w:tc>
      </w:tr>
      <w:tr>
        <w:tc>
          <w:tcPr/>
          <w:p>
            <w:pPr>
              <w:pStyle w:val="Compact"/>
              <w:jc w:val="left"/>
            </w:pPr>
            <w:r>
              <w:t xml:space="preserve">MR</w:t>
            </w:r>
          </w:p>
        </w:tc>
        <w:tc>
          <w:tcPr/>
          <w:p>
            <w:pPr>
              <w:pStyle w:val="Compact"/>
              <w:jc w:val="left"/>
            </w:pPr>
            <w:r>
              <w:t xml:space="preserve">Marge de Risque</w:t>
            </w:r>
          </w:p>
        </w:tc>
      </w:tr>
      <w:tr>
        <w:tc>
          <w:tcPr/>
          <w:p>
            <w:pPr>
              <w:pStyle w:val="Compact"/>
              <w:jc w:val="left"/>
            </w:pPr>
            <w:r>
              <w:t xml:space="preserve">EDS</w:t>
            </w:r>
          </w:p>
        </w:tc>
        <w:tc>
          <w:tcPr/>
          <w:p>
            <w:pPr>
              <w:pStyle w:val="Compact"/>
              <w:jc w:val="left"/>
            </w:pPr>
            <w:r>
              <w:t xml:space="preserve">Equation Différentielle Stochastique</w:t>
            </w:r>
          </w:p>
        </w:tc>
      </w:tr>
      <w:tr>
        <w:tc>
          <w:tcPr/>
          <w:p>
            <w:pPr>
              <w:pStyle w:val="Compact"/>
              <w:jc w:val="left"/>
            </w:pPr>
            <w:r>
              <w:t xml:space="preserve">GBM</w:t>
            </w:r>
          </w:p>
        </w:tc>
        <w:tc>
          <w:tcPr/>
          <w:p>
            <w:pPr>
              <w:pStyle w:val="Compact"/>
              <w:jc w:val="left"/>
            </w:pPr>
            <w:r>
              <w:t xml:space="preserve">Geometric Brownian Motion</w:t>
            </w:r>
          </w:p>
        </w:tc>
      </w:tr>
      <w:tr>
        <w:tc>
          <w:tcPr/>
          <w:p>
            <w:pPr>
              <w:pStyle w:val="Compact"/>
              <w:jc w:val="left"/>
            </w:pPr>
            <w:r>
              <w:t xml:space="preserve">OPCVM</w:t>
            </w:r>
          </w:p>
        </w:tc>
        <w:tc>
          <w:tcPr/>
          <w:p>
            <w:pPr>
              <w:pStyle w:val="Compact"/>
              <w:jc w:val="left"/>
            </w:pPr>
            <w:r>
              <w:t xml:space="preserve">Organisme de Placement Collectif en Valeurs Mobilières</w:t>
            </w:r>
          </w:p>
        </w:tc>
      </w:tr>
      <w:tr>
        <w:tc>
          <w:tcPr/>
          <w:p>
            <w:pPr>
              <w:pStyle w:val="Compact"/>
              <w:jc w:val="left"/>
            </w:pPr>
            <w:r>
              <w:t xml:space="preserve">OPCI</w:t>
            </w:r>
          </w:p>
        </w:tc>
        <w:tc>
          <w:tcPr/>
          <w:p>
            <w:pPr>
              <w:pStyle w:val="Compact"/>
              <w:jc w:val="left"/>
            </w:pPr>
            <w:r>
              <w:t xml:space="preserve">Organisme de Placement Collectif Immobilier</w:t>
            </w:r>
          </w:p>
        </w:tc>
      </w:tr>
      <w:tr>
        <w:tc>
          <w:tcPr/>
          <w:p>
            <w:pPr>
              <w:pStyle w:val="Compact"/>
              <w:jc w:val="left"/>
            </w:pPr>
            <w:r>
              <w:t xml:space="preserve">OPCC</w:t>
            </w:r>
          </w:p>
        </w:tc>
        <w:tc>
          <w:tcPr/>
          <w:p>
            <w:pPr>
              <w:pStyle w:val="Compact"/>
              <w:jc w:val="left"/>
            </w:pPr>
            <w:r>
              <w:t xml:space="preserve">Organismes de Placement Collectif en Capital</w:t>
            </w:r>
          </w:p>
        </w:tc>
      </w:tr>
      <w:tr>
        <w:tc>
          <w:tcPr/>
          <w:p>
            <w:pPr>
              <w:pStyle w:val="Compact"/>
              <w:jc w:val="left"/>
            </w:pPr>
            <w:r>
              <w:t xml:space="preserve">FPCT</w:t>
            </w:r>
          </w:p>
        </w:tc>
        <w:tc>
          <w:tcPr/>
          <w:p>
            <w:pPr>
              <w:pStyle w:val="Compact"/>
              <w:jc w:val="left"/>
            </w:pPr>
            <w:r>
              <w:t xml:space="preserve">Fonds de Placement Collectifs en Titrisation</w:t>
            </w:r>
          </w:p>
        </w:tc>
      </w:tr>
    </w:tbl>
    <w:bookmarkEnd w:id="20"/>
    <w:bookmarkStart w:id="22" w:name="introduction"/>
    <w:p>
      <w:pPr>
        <w:pStyle w:val="Heading2"/>
      </w:pPr>
      <w:r>
        <w:t xml:space="preserve">2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1"/>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2"/>
    <w:bookmarkStart w:id="38" w:name="cadre-réglementaire-marocain"/>
    <w:p>
      <w:pPr>
        <w:pStyle w:val="Heading2"/>
      </w:pPr>
      <w:r>
        <w:t xml:space="preserve">3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3">
        <w:r>
          <w:rPr>
            <w:rStyle w:val="Hyperlink"/>
          </w:rPr>
          <w:t xml:space="preserve">Atlas Mag</w:t>
        </w:r>
      </w:hyperlink>
      <w:r>
        <w:rPr>
          <w:rStyle w:val="FootnoteReference"/>
        </w:rPr>
        <w:footnoteReference w:id="24"/>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5"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5"/>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6"/>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7"/>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8"/>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1\RStudio\RESOUR~1\app\bin\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2"/>
      </w:r>
      <w:r>
        <w:t xml:space="preserve">.</w:t>
      </w:r>
    </w:p>
    <w:tbl>
      <w:tblPr>
        <w:tblStyle w:val="Table"/>
        <w:tblW w:type="pct" w:w="5000"/>
        <w:tblLook w:firstRow="0" w:lastRow="0" w:firstColumn="0" w:lastColumn="0" w:noHBand="0" w:noVBand="0" w:val="0000"/>
      </w:tblPr>
      <w:tblGrid>
        <w:gridCol w:w="7920"/>
      </w:tblGrid>
      <w:tr>
        <w:tc>
          <w:tcPr/>
          <w:bookmarkStart w:id="37" w:name="fig-piliers"/>
          <w:p>
            <w:pPr>
              <w:pStyle w:val="Figure"/>
              <w:jc w:val="center"/>
            </w:pPr>
            <w:r>
              <w:drawing>
                <wp:inline>
                  <wp:extent cx="5334000" cy="3000375"/>
                  <wp:effectExtent b="0" l="0" r="0" t="0"/>
                  <wp:docPr descr="" title="" id="35" name="Picture"/>
                  <a:graphic>
                    <a:graphicData uri="http://schemas.openxmlformats.org/drawingml/2006/picture">
                      <pic:pic>
                        <pic:nvPicPr>
                          <pic:cNvPr descr="Rapport-PFE_files/figure-html/piliers.png" id="36"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7"/>
        </w:tc>
      </w:tr>
    </w:tbl>
    <w:bookmarkEnd w:id="38"/>
    <w:bookmarkStart w:id="44" w:name="piliers-1-exigences-quantitatives"/>
    <w:p>
      <w:pPr>
        <w:pStyle w:val="Heading2"/>
      </w:pPr>
      <w:r>
        <w:t xml:space="preserve">4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9"/>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3" w:name="fig-bilan"/>
          <w:p>
            <w:pPr>
              <w:pStyle w:val="Figure"/>
              <w:jc w:val="center"/>
            </w:pPr>
            <w:r>
              <w:drawing>
                <wp:inline>
                  <wp:extent cx="5334000" cy="2993010"/>
                  <wp:effectExtent b="0" l="0" r="0" t="0"/>
                  <wp:docPr descr="" title="" id="41" name="Picture"/>
                  <a:graphic>
                    <a:graphicData uri="http://schemas.openxmlformats.org/drawingml/2006/picture">
                      <pic:pic>
                        <pic:nvPicPr>
                          <pic:cNvPr descr="Rapport-PFE_files/figure-html/Bilan.png" id="42" name="Picture"/>
                          <pic:cNvPicPr>
                            <a:picLocks noChangeArrowheads="1" noChangeAspect="1"/>
                          </pic:cNvPicPr>
                        </pic:nvPicPr>
                        <pic:blipFill>
                          <a:blip r:embed="rId40"/>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3"/>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4"/>
    <w:bookmarkStart w:id="73" w:name="valorisation-de-lactif"/>
    <w:p>
      <w:pPr>
        <w:pStyle w:val="Heading2"/>
      </w:pPr>
      <w:r>
        <w:t xml:space="preserve">5 Valorisation de l’actif:</w:t>
      </w:r>
    </w:p>
    <w:p>
      <w:pPr>
        <w:pStyle w:val="FirstParagraph"/>
      </w:pPr>
      <w:r>
        <w:t xml:space="preserve">Selon les directions de l’autorité de contrôle des Assurances et de la Prévoyance Sociale, les actifs doivent être évaluer comme suit :</w:t>
      </w:r>
    </w:p>
    <w:p>
      <w:pPr>
        <w:numPr>
          <w:ilvl w:val="0"/>
          <w:numId w:val="1007"/>
        </w:numPr>
        <w:pStyle w:val="Compact"/>
      </w:pPr>
      <w:r>
        <w:t xml:space="preserve">Titres OPCVM et OPCI : Dernière valeur liquidative.</w:t>
      </w:r>
    </w:p>
    <w:p>
      <w:pPr>
        <w:numPr>
          <w:ilvl w:val="0"/>
          <w:numId w:val="1007"/>
        </w:numPr>
        <w:pStyle w:val="Compact"/>
      </w:pPr>
      <w:r>
        <w:t xml:space="preserve">Titres OPCC et FPCT : Dernière valeur connue.</w:t>
      </w:r>
    </w:p>
    <w:p>
      <w:pPr>
        <w:numPr>
          <w:ilvl w:val="0"/>
          <w:numId w:val="1007"/>
        </w:numPr>
        <w:pStyle w:val="Compact"/>
      </w:pPr>
      <w:r>
        <w:t xml:space="preserve">Titres de créances négociables, obligations et bons : Valeur de marché.</w:t>
      </w:r>
    </w:p>
    <w:p>
      <w:pPr>
        <w:numPr>
          <w:ilvl w:val="0"/>
          <w:numId w:val="1007"/>
        </w:numPr>
        <w:pStyle w:val="Compact"/>
      </w:pPr>
      <w:r>
        <w:t xml:space="preserve">Immobilisations corporelles : Valeur comptable.</w:t>
      </w:r>
    </w:p>
    <w:p>
      <w:pPr>
        <w:numPr>
          <w:ilvl w:val="0"/>
          <w:numId w:val="1007"/>
        </w:numPr>
        <w:pStyle w:val="Compact"/>
      </w:pPr>
      <w:r>
        <w:t xml:space="preserve">Autres créances : Valeur comptable.</w:t>
      </w:r>
    </w:p>
    <w:p>
      <w:pPr>
        <w:numPr>
          <w:ilvl w:val="0"/>
          <w:numId w:val="1007"/>
        </w:numPr>
        <w:pStyle w:val="Compact"/>
      </w:pPr>
      <w:r>
        <w:t xml:space="preserve">Immobilisations en non-valeur : Valeur nulle.</w:t>
      </w:r>
    </w:p>
    <w:p>
      <w:pPr>
        <w:numPr>
          <w:ilvl w:val="0"/>
          <w:numId w:val="1007"/>
        </w:numPr>
        <w:pStyle w:val="Compact"/>
      </w:pPr>
      <w:r>
        <w:t xml:space="preserve">Immobilisations incorporelles : Valeur nulle.</w:t>
      </w:r>
    </w:p>
    <w:p>
      <w:pPr>
        <w:numPr>
          <w:ilvl w:val="0"/>
          <w:numId w:val="1007"/>
        </w:numPr>
        <w:pStyle w:val="Compact"/>
      </w:pPr>
      <w:r>
        <w:t xml:space="preserve">Actifs immobiliers hors OPCI : Valeur de transaction (sinon valeur comptable).</w:t>
      </w:r>
    </w:p>
    <w:p>
      <w:pPr>
        <w:numPr>
          <w:ilvl w:val="0"/>
          <w:numId w:val="1007"/>
        </w:numPr>
        <w:pStyle w:val="Compact"/>
      </w:pPr>
      <w:r>
        <w:t xml:space="preserve">Autres actifs : Valeur d’expert (sinon valeur comptable)</w:t>
      </w:r>
    </w:p>
    <w:p>
      <w:pPr>
        <w:pStyle w:val="FirstParagraph"/>
      </w:pPr>
      <w:r>
        <w:t xml:space="preserve">Pour les actions cotées à la bourse de Casablanca,ils sont valorisées à leur dernier cours coté avant la date d’inventaire, ou le moyenne des cours côtés des trois derniers mois précédant la date d’inventaire, si le volume ou la quantité journaliers moyens des transactions sur les 3 derniers mois précédant la date d’inventaire sont inférieurs aux seuils fixés par L’ACAPS.</w:t>
      </w:r>
    </w:p>
    <w:bookmarkStart w:id="72" w:name="actions-cotées-à-la-bourse"/>
    <w:p>
      <w:pPr>
        <w:pStyle w:val="Heading3"/>
      </w:pPr>
      <w:r>
        <w:t xml:space="preserve">5.1 Actions cotées à la bourse:</w:t>
      </w:r>
    </w:p>
    <w:p>
      <w:pPr>
        <w:pStyle w:val="FirstParagraph"/>
      </w:pPr>
      <w:r>
        <w:t xml:space="preserve">Dans ce qui suit, on va on va présente les méthodes qu’on a utilisées pour la valorisation des actions cotées à la bourse de Casablanca. La première méthode était le modèle classique de Black &amp; Scholes.</w:t>
      </w:r>
    </w:p>
    <w:p>
      <w:pPr>
        <w:pStyle w:val="BodyText"/>
      </w:pPr>
      <w:r>
        <w:t xml:space="preserve">Pour la deuxième méthode, on a choisi d’entraîner un module de réseaux de neurones récurrents, plus précisément le module LSTM, avec des données historiques afin de prédire les cours futurs.</w:t>
      </w:r>
    </w:p>
    <w:bookmarkStart w:id="54" w:name="modélisation-du-prix-des-actions"/>
    <w:p>
      <w:pPr>
        <w:pStyle w:val="Heading4"/>
      </w:pPr>
      <w:r>
        <w:t xml:space="preserve">5.1.1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3" w:name="modèle-de-black-scholes"/>
    <w:p>
      <w:pPr>
        <w:pStyle w:val="Heading5"/>
      </w:pPr>
      <w:r>
        <w:t xml:space="preserve">5.1.1.1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5"/>
      </w:r>
    </w:p>
    <w:p>
      <w:pPr>
        <w:pStyle w:val="BodyText"/>
      </w:pPr>
      <w:bookmarkStart w:id="46"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6"/>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7"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7"/>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8"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8"/>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9"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9"/>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1" name="Picture"/>
                  <a:graphic>
                    <a:graphicData uri="http://schemas.openxmlformats.org/drawingml/2006/picture">
                      <pic:pic>
                        <pic:nvPicPr>
                          <pic:cNvPr descr="Rapport-PFE_files/figure-docx/unnamed-chunk-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3"/>
    <w:bookmarkEnd w:id="54"/>
    <w:bookmarkStart w:id="71" w:name="réseaux-de-neurones-récurrents"/>
    <w:p>
      <w:pPr>
        <w:pStyle w:val="Heading4"/>
      </w:pPr>
      <w:r>
        <w:t xml:space="preserve">5.1.2 Réseaux de neurones récurrents:</w:t>
      </w:r>
    </w:p>
    <w:p>
      <w:pPr>
        <w:pStyle w:val="FirstParagraph"/>
      </w:pPr>
      <w:r>
        <w:t xml:space="preserve">Dans cette partie on va s’intéressé à l’entrainement d’un module de réseaux de neurones récurrents, spécifiquement le module LSTM (Long short-term memory) avec des données historiques de l’indice MASI (Moroccan All Shares index) afin de préparer un module efficace pour la prédiction des cours journaliers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 …</w:t>
      </w:r>
    </w:p>
    <w:p>
      <w:pPr>
        <w:pStyle w:val="BodyText"/>
      </w:pPr>
      <w:r>
        <w:t xml:space="preserve">Les réseaux de neurones récurrents utilisent des données de formation pour apprendre. Ils se distinguent par leur</w:t>
      </w:r>
      <w:r>
        <w:t xml:space="preserve"> </w:t>
      </w:r>
      <w:r>
        <w:t xml:space="preserve">“</w:t>
      </w:r>
      <w:r>
        <w:t xml:space="preserve">mémoire</w:t>
      </w:r>
      <w:r>
        <w:t xml:space="preserve">”</w:t>
      </w:r>
      <w:r>
        <w:t xml:space="preserve"> </w:t>
      </w:r>
      <w:r>
        <w:t xml:space="preserve">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 des réseaux de neurones artificiels qui traitent les informations dans une seule direction »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tblPr>
      <w:tblGrid>
        <w:gridCol w:w="7920"/>
      </w:tblGrid>
      <w:tr>
        <w:tc>
          <w:tcPr/>
          <w:bookmarkStart w:id="58" w:name="fig-piliers"/>
          <w:p>
            <w:pPr>
              <w:pStyle w:val="Figure"/>
              <w:jc w:val="center"/>
            </w:pPr>
            <w:r>
              <w:drawing>
                <wp:inline>
                  <wp:extent cx="5334000" cy="2051050"/>
                  <wp:effectExtent b="0" l="0" r="0" t="0"/>
                  <wp:docPr descr="" title="" id="56" name="Picture"/>
                  <a:graphic>
                    <a:graphicData uri="http://schemas.openxmlformats.org/drawingml/2006/picture">
                      <pic:pic>
                        <pic:nvPicPr>
                          <pic:cNvPr descr="Rapport-PFE_files/figure-html/Shema_RNN.png" id="57" name="Picture"/>
                          <pic:cNvPicPr>
                            <a:picLocks noChangeArrowheads="1" noChangeAspect="1"/>
                          </pic:cNvPicPr>
                        </pic:nvPicPr>
                        <pic:blipFill>
                          <a:blip r:embed="rId55"/>
                          <a:stretch>
                            <a:fillRect/>
                          </a:stretch>
                        </pic:blipFill>
                        <pic:spPr bwMode="auto">
                          <a:xfrm>
                            <a:off x="0" y="0"/>
                            <a:ext cx="5334000" cy="2051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58"/>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possédons d’une base de données historiques de l’indice MASI pour une durée de 5000 jours et contienne 6 colonnes, telle que la signification de chaque variable est la suivante :</w:t>
      </w:r>
    </w:p>
    <w:p>
      <w:pPr>
        <w:numPr>
          <w:ilvl w:val="0"/>
          <w:numId w:val="1008"/>
        </w:numPr>
        <w:pStyle w:val="Compact"/>
      </w:pPr>
      <w:r>
        <w:t xml:space="preserve">Date : la date d’observation.</w:t>
      </w:r>
    </w:p>
    <w:p>
      <w:pPr>
        <w:numPr>
          <w:ilvl w:val="0"/>
          <w:numId w:val="1008"/>
        </w:numPr>
        <w:pStyle w:val="Compact"/>
      </w:pPr>
      <w:r>
        <w:t xml:space="preserve">Dernier : le cours de clôture de la journée.</w:t>
      </w:r>
    </w:p>
    <w:p>
      <w:pPr>
        <w:numPr>
          <w:ilvl w:val="0"/>
          <w:numId w:val="1008"/>
        </w:numPr>
        <w:pStyle w:val="Compact"/>
      </w:pPr>
      <w:r>
        <w:t xml:space="preserve">Ouverture : le cours d’ouverture de la journée.</w:t>
      </w:r>
    </w:p>
    <w:p>
      <w:pPr>
        <w:numPr>
          <w:ilvl w:val="0"/>
          <w:numId w:val="1008"/>
        </w:numPr>
        <w:pStyle w:val="Compact"/>
      </w:pPr>
      <w:r>
        <w:t xml:space="preserve">PlusHaut : la valeur de cours la plus grand dans la journée.</w:t>
      </w:r>
    </w:p>
    <w:p>
      <w:pPr>
        <w:numPr>
          <w:ilvl w:val="0"/>
          <w:numId w:val="1008"/>
        </w:numPr>
        <w:pStyle w:val="Compact"/>
      </w:pPr>
      <w:r>
        <w:t xml:space="preserve">PlusBas : la valeur de cours la plus bas dans la journée.</w:t>
      </w:r>
    </w:p>
    <w:p>
      <w:pPr>
        <w:numPr>
          <w:ilvl w:val="0"/>
          <w:numId w:val="1008"/>
        </w:numPr>
        <w:pStyle w:val="Compact"/>
      </w:pPr>
      <w:r>
        <w:t xml:space="preserve">Variation : la variation des cours entre deux dates successives.</w:t>
      </w:r>
    </w:p>
    <w:p>
      <w:pPr>
        <w:pStyle w:val="FirstParagraph"/>
      </w:pPr>
      <w:r>
        <w:t xml:space="preserve">Apres le nettoyage des donnes qu’on a collectées, nous avons présenté premièrement le cours historique de clôture « Dernier » en fonction de temps, afin de voir le développement de cours par le temps, aussi prendre une idée sur la variation à long terme et à court terme pour cet indice.</w:t>
      </w:r>
    </w:p>
    <w:tbl>
      <w:tblPr>
        <w:tblStyle w:val="Table"/>
        <w:tblW w:type="pct" w:w="5000"/>
        <w:tblLook w:firstRow="0" w:lastRow="0" w:firstColumn="0" w:lastColumn="0" w:noHBand="0" w:noVBand="0" w:val="0000"/>
      </w:tblPr>
      <w:tblGrid>
        <w:gridCol w:w="7920"/>
      </w:tblGrid>
      <w:tr>
        <w:tc>
          <w:tcPr/>
          <w:bookmarkStart w:id="62" w:name="fig-piliers"/>
          <w:p>
            <w:pPr>
              <w:pStyle w:val="Figure"/>
              <w:jc w:val="center"/>
            </w:pPr>
            <w:r>
              <w:drawing>
                <wp:inline>
                  <wp:extent cx="5334000" cy="3739736"/>
                  <wp:effectExtent b="0" l="0" r="0" t="0"/>
                  <wp:docPr descr="" title="" id="60" name="Picture"/>
                  <a:graphic>
                    <a:graphicData uri="http://schemas.openxmlformats.org/drawingml/2006/picture">
                      <pic:pic>
                        <pic:nvPicPr>
                          <pic:cNvPr descr="Rapport-PFE_files/figure-html/Cloture_masi.png" id="61" name="Picture"/>
                          <pic:cNvPicPr>
                            <a:picLocks noChangeArrowheads="1" noChangeAspect="1"/>
                          </pic:cNvPicPr>
                        </pic:nvPicPr>
                        <pic:blipFill>
                          <a:blip r:embed="rId59"/>
                          <a:stretch>
                            <a:fillRect/>
                          </a:stretch>
                        </pic:blipFill>
                        <pic:spPr bwMode="auto">
                          <a:xfrm>
                            <a:off x="0" y="0"/>
                            <a:ext cx="5334000" cy="37397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 cours Historiques de Clôture pour l’indice MASI</w:t>
            </w:r>
          </w:p>
          <w:bookmarkEnd w:id="62"/>
        </w:tc>
      </w:tr>
    </w:tbl>
    <w:p>
      <w:pPr>
        <w:pStyle w:val="BodyText"/>
      </w:pPr>
      <w:r>
        <w:t xml:space="preserve">Une fois les données sont préparées, nous avons effectué une normalisation des valeurs numériques pour les mettre à l’échelle.</w:t>
      </w:r>
      <w:r>
        <w:t xml:space="preserve"> </w:t>
      </w:r>
      <w:r>
        <w:t xml:space="preserve">Deuxièmement, nous les avons transformées en tenseurs, qui sont des tableaux multidimensionnels. Cette étape est cruciale lors de l’entraînement d’un module LSTM, Pour cela, chaque séquence de données doit être découpée en fenêtres temporelles, où chaque fenêtre contient un certain nombre de pas de temps. Chaque pas de temps représente une observation individuelle dans la séquence.</w:t>
      </w:r>
    </w:p>
    <w:p>
      <w:pPr>
        <w:pStyle w:val="BodyText"/>
      </w:pPr>
      <w:r>
        <w:t xml:space="preserve">Ensuite, on a divisé les données en deux ensembles, une pour l’entraînement, et la deuxième pour le test. L’ensemble d’entraînement est utilisé pour entrainer et ajuster les poids du module LSTM, tandis que l’ensemble de test permet d’évaluer les performances finales du modèle sur des données inconnues.</w:t>
      </w:r>
      <w:r>
        <w:t xml:space="preserve"> </w:t>
      </w:r>
      <w:r>
        <w:t xml:space="preserve">Une fois qu’on a terminé ces étapes, les données sont utilisées pour entraîner notre module LSTM, qui va nous permettre de prédire des cours futures.</w:t>
      </w:r>
    </w:p>
    <w:p>
      <w:pPr>
        <w:pStyle w:val="BodyText"/>
      </w:pPr>
      <w:r>
        <w:t xml:space="preserve">Les représentations graphiques suivantes montrent les états d’entraînement et de test de notre module. On remarque donc une cohérence entre les résultats de prédiction et les valeurs réelles. De plus, le RMSE (racine de l’erreur quadratique moyenne) de notre module est de 27, tandis que les valeurs estimées se situent autour de dix milliers. La chose qui preuve l’efficacité de notre module LSTM.</w:t>
      </w:r>
    </w:p>
    <w:tbl>
      <w:tblPr>
        <w:tblStyle w:val="Table"/>
        <w:tblW w:type="pct" w:w="5000"/>
        <w:tblLook w:firstRow="0" w:lastRow="0" w:firstColumn="0" w:lastColumn="0" w:noHBand="0" w:noVBand="0" w:val="0000"/>
      </w:tblPr>
      <w:tblGrid>
        <w:gridCol w:w="7920"/>
      </w:tblGrid>
      <w:tr>
        <w:tc>
          <w:tcPr/>
          <w:bookmarkStart w:id="66" w:name="fig-piliers"/>
          <w:p>
            <w:pPr>
              <w:pStyle w:val="Figure"/>
              <w:jc w:val="center"/>
            </w:pPr>
            <w:r>
              <w:drawing>
                <wp:inline>
                  <wp:extent cx="5334000" cy="3659763"/>
                  <wp:effectExtent b="0" l="0" r="0" t="0"/>
                  <wp:docPr descr="" title="" id="64" name="Picture"/>
                  <a:graphic>
                    <a:graphicData uri="http://schemas.openxmlformats.org/drawingml/2006/picture">
                      <pic:pic>
                        <pic:nvPicPr>
                          <pic:cNvPr descr="Rapport-PFE_files/figure-html/entrainement.png" id="65" name="Picture"/>
                          <pic:cNvPicPr>
                            <a:picLocks noChangeArrowheads="1" noChangeAspect="1"/>
                          </pic:cNvPicPr>
                        </pic:nvPicPr>
                        <pic:blipFill>
                          <a:blip r:embed="rId63"/>
                          <a:stretch>
                            <a:fillRect/>
                          </a:stretch>
                        </pic:blipFill>
                        <pic:spPr bwMode="auto">
                          <a:xfrm>
                            <a:off x="0" y="0"/>
                            <a:ext cx="5334000" cy="36597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Courbes de cours entraîné et cours réel</w:t>
            </w:r>
          </w:p>
          <w:bookmarkEnd w:id="66"/>
        </w:tc>
      </w:tr>
    </w:tbl>
    <w:tbl>
      <w:tblPr>
        <w:tblStyle w:val="Table"/>
        <w:tblW w:type="pct" w:w="5000"/>
        <w:tblLook w:firstRow="0" w:lastRow="0" w:firstColumn="0" w:lastColumn="0" w:noHBand="0" w:noVBand="0" w:val="0000"/>
      </w:tblPr>
      <w:tblGrid>
        <w:gridCol w:w="7920"/>
      </w:tblGrid>
      <w:tr>
        <w:tc>
          <w:tcPr/>
          <w:bookmarkStart w:id="70" w:name="fig-piliers"/>
          <w:p>
            <w:pPr>
              <w:pStyle w:val="Figure"/>
              <w:jc w:val="center"/>
            </w:pPr>
            <w:r>
              <w:drawing>
                <wp:inline>
                  <wp:extent cx="5334000" cy="3793840"/>
                  <wp:effectExtent b="0" l="0" r="0" t="0"/>
                  <wp:docPr descr="" title="" id="68" name="Picture"/>
                  <a:graphic>
                    <a:graphicData uri="http://schemas.openxmlformats.org/drawingml/2006/picture">
                      <pic:pic>
                        <pic:nvPicPr>
                          <pic:cNvPr descr="Rapport-PFE_files/figure-html/predection.png" id="69" name="Picture"/>
                          <pic:cNvPicPr>
                            <a:picLocks noChangeArrowheads="1" noChangeAspect="1"/>
                          </pic:cNvPicPr>
                        </pic:nvPicPr>
                        <pic:blipFill>
                          <a:blip r:embed="rId67"/>
                          <a:stretch>
                            <a:fillRect/>
                          </a:stretch>
                        </pic:blipFill>
                        <pic:spPr bwMode="auto">
                          <a:xfrm>
                            <a:off x="0" y="0"/>
                            <a:ext cx="5334000" cy="3793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Courbes de cours prédit et cours réel</w:t>
            </w:r>
          </w:p>
          <w:bookmarkEnd w:id="70"/>
        </w:tc>
      </w:tr>
    </w:tbl>
    <w:bookmarkEnd w:id="71"/>
    <w:bookmarkEnd w:id="72"/>
    <w:bookmarkEnd w:id="73"/>
    <w:bookmarkStart w:id="83" w:name="X07868ea8b9ac752e9889fc2a9eede4b2fc4d338"/>
    <w:p>
      <w:pPr>
        <w:pStyle w:val="Heading2"/>
      </w:pPr>
      <w:r>
        <w:t xml:space="preserve">6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74">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75"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13/01/2023</w:t>
            </w:r>
          </w:p>
        </w:tc>
        <w:tc>
          <w:tcPr/>
          <w:p>
            <w:pPr>
              <w:pStyle w:val="Compact"/>
              <w:jc w:val="left"/>
            </w:pPr>
            <w:r>
              <w:t xml:space="preserve">322,40</w:t>
            </w:r>
          </w:p>
        </w:tc>
        <w:tc>
          <w:tcPr/>
          <w:p>
            <w:pPr>
              <w:pStyle w:val="Compact"/>
              <w:jc w:val="right"/>
            </w:pPr>
            <w:r>
              <w:t xml:space="preserve">0.02948</w:t>
            </w:r>
          </w:p>
        </w:tc>
        <w:tc>
          <w:tcPr/>
          <w:p>
            <w:pPr>
              <w:pStyle w:val="Compact"/>
              <w:jc w:val="left"/>
            </w:pPr>
            <w:r>
              <w:t xml:space="preserve">2,948 %</w:t>
            </w:r>
          </w:p>
        </w:tc>
        <w:tc>
          <w:tcPr/>
          <w:p>
            <w:pPr>
              <w:pStyle w:val="Compact"/>
              <w:jc w:val="left"/>
            </w:pPr>
            <w:r>
              <w:t xml:space="preserve">30/12/2022</w:t>
            </w:r>
          </w:p>
        </w:tc>
        <w:tc>
          <w:tcPr/>
          <w:p>
            <w:pPr>
              <w:pStyle w:val="Compact"/>
              <w:jc w:val="right"/>
            </w:pPr>
            <w:r>
              <w:t xml:space="preserve">0.039</w:t>
            </w:r>
          </w:p>
        </w:tc>
      </w:tr>
      <w:tr>
        <w:tc>
          <w:tcPr/>
          <w:p>
            <w:pPr>
              <w:pStyle w:val="Compact"/>
              <w:jc w:val="left"/>
            </w:pPr>
            <w:r>
              <w:t xml:space="preserve">23/01/2023</w:t>
            </w:r>
          </w:p>
        </w:tc>
        <w:tc>
          <w:tcPr/>
          <w:p>
            <w:pPr>
              <w:pStyle w:val="Compact"/>
              <w:jc w:val="left"/>
            </w:pPr>
            <w:r>
              <w:t xml:space="preserve">120,47</w:t>
            </w:r>
          </w:p>
        </w:tc>
        <w:tc>
          <w:tcPr/>
          <w:p>
            <w:pPr>
              <w:pStyle w:val="Compact"/>
              <w:jc w:val="right"/>
            </w:pPr>
            <w:r>
              <w:t xml:space="preserve">0.02930</w:t>
            </w:r>
          </w:p>
        </w:tc>
        <w:tc>
          <w:tcPr/>
          <w:p>
            <w:pPr>
              <w:pStyle w:val="Compact"/>
              <w:jc w:val="left"/>
            </w:pPr>
            <w:r>
              <w:t xml:space="preserve">2,930 %</w:t>
            </w:r>
          </w:p>
        </w:tc>
        <w:tc>
          <w:tcPr/>
          <w:p>
            <w:pPr>
              <w:pStyle w:val="Compact"/>
              <w:jc w:val="left"/>
            </w:pPr>
            <w:r>
              <w:t xml:space="preserve">30/12/2022</w:t>
            </w:r>
          </w:p>
        </w:tc>
        <w:tc>
          <w:tcPr/>
          <w:p>
            <w:pPr>
              <w:pStyle w:val="Compact"/>
              <w:jc w:val="right"/>
            </w:pPr>
            <w:r>
              <w:t xml:space="preserve">0.067</w:t>
            </w:r>
          </w:p>
        </w:tc>
      </w:tr>
      <w:tr>
        <w:tc>
          <w:tcPr/>
          <w:p>
            <w:pPr>
              <w:pStyle w:val="Compact"/>
              <w:jc w:val="left"/>
            </w:pPr>
            <w:r>
              <w:t xml:space="preserve">06/03/2023</w:t>
            </w:r>
          </w:p>
        </w:tc>
        <w:tc>
          <w:tcPr/>
          <w:p>
            <w:pPr>
              <w:pStyle w:val="Compact"/>
              <w:jc w:val="left"/>
            </w:pPr>
            <w:r>
              <w:t xml:space="preserve">30,15</w:t>
            </w:r>
          </w:p>
        </w:tc>
        <w:tc>
          <w:tcPr/>
          <w:p>
            <w:pPr>
              <w:pStyle w:val="Compact"/>
              <w:jc w:val="right"/>
            </w:pPr>
            <w:r>
              <w:t xml:space="preserve">0.02942</w:t>
            </w:r>
          </w:p>
        </w:tc>
        <w:tc>
          <w:tcPr/>
          <w:p>
            <w:pPr>
              <w:pStyle w:val="Compact"/>
              <w:jc w:val="left"/>
            </w:pPr>
            <w:r>
              <w:t xml:space="preserve">2,942 %</w:t>
            </w:r>
          </w:p>
        </w:tc>
        <w:tc>
          <w:tcPr/>
          <w:p>
            <w:pPr>
              <w:pStyle w:val="Compact"/>
              <w:jc w:val="left"/>
            </w:pPr>
            <w:r>
              <w:t xml:space="preserve">30/12/2022</w:t>
            </w:r>
          </w:p>
        </w:tc>
        <w:tc>
          <w:tcPr/>
          <w:p>
            <w:pPr>
              <w:pStyle w:val="Compact"/>
              <w:jc w:val="right"/>
            </w:pPr>
            <w:r>
              <w:t xml:space="preserve">0.183</w:t>
            </w:r>
          </w:p>
        </w:tc>
      </w:tr>
      <w:tr>
        <w:tc>
          <w:tcPr/>
          <w:p>
            <w:pPr>
              <w:pStyle w:val="Compact"/>
              <w:jc w:val="left"/>
            </w:pPr>
            <w:r>
              <w:t xml:space="preserve">22/05/2023</w:t>
            </w:r>
          </w:p>
        </w:tc>
        <w:tc>
          <w:tcPr/>
          <w:p>
            <w:pPr>
              <w:pStyle w:val="Compact"/>
              <w:jc w:val="left"/>
            </w:pPr>
            <w:r>
              <w:t xml:space="preserve">168,01</w:t>
            </w:r>
          </w:p>
        </w:tc>
        <w:tc>
          <w:tcPr/>
          <w:p>
            <w:pPr>
              <w:pStyle w:val="Compact"/>
              <w:jc w:val="right"/>
            </w:pPr>
            <w:r>
              <w:t xml:space="preserve">0.03172</w:t>
            </w:r>
          </w:p>
        </w:tc>
        <w:tc>
          <w:tcPr/>
          <w:p>
            <w:pPr>
              <w:pStyle w:val="Compact"/>
              <w:jc w:val="left"/>
            </w:pPr>
            <w:r>
              <w:t xml:space="preserve">3,172 %</w:t>
            </w:r>
          </w:p>
        </w:tc>
        <w:tc>
          <w:tcPr/>
          <w:p>
            <w:pPr>
              <w:pStyle w:val="Compact"/>
              <w:jc w:val="left"/>
            </w:pPr>
            <w:r>
              <w:t xml:space="preserve">30/12/2022</w:t>
            </w:r>
          </w:p>
        </w:tc>
        <w:tc>
          <w:tcPr/>
          <w:p>
            <w:pPr>
              <w:pStyle w:val="Compact"/>
              <w:jc w:val="right"/>
            </w:pPr>
            <w:r>
              <w:t xml:space="preserve">0.397</w:t>
            </w:r>
          </w:p>
        </w:tc>
      </w:tr>
      <w:tr>
        <w:tc>
          <w:tcPr/>
          <w:p>
            <w:pPr>
              <w:pStyle w:val="Compact"/>
              <w:jc w:val="left"/>
            </w:pPr>
            <w:r>
              <w:t xml:space="preserve">19/06/2023</w:t>
            </w:r>
          </w:p>
        </w:tc>
        <w:tc>
          <w:tcPr/>
          <w:p>
            <w:pPr>
              <w:pStyle w:val="Compact"/>
              <w:jc w:val="left"/>
            </w:pPr>
            <w:r>
              <w:t xml:space="preserve">829,46</w:t>
            </w:r>
          </w:p>
        </w:tc>
        <w:tc>
          <w:tcPr/>
          <w:p>
            <w:pPr>
              <w:pStyle w:val="Compact"/>
              <w:jc w:val="right"/>
            </w:pPr>
            <w:r>
              <w:t xml:space="preserve">0.03008</w:t>
            </w:r>
          </w:p>
        </w:tc>
        <w:tc>
          <w:tcPr/>
          <w:p>
            <w:pPr>
              <w:pStyle w:val="Compact"/>
              <w:jc w:val="left"/>
            </w:pPr>
            <w:r>
              <w:t xml:space="preserve">3,008 %</w:t>
            </w:r>
          </w:p>
        </w:tc>
        <w:tc>
          <w:tcPr/>
          <w:p>
            <w:pPr>
              <w:pStyle w:val="Compact"/>
              <w:jc w:val="left"/>
            </w:pPr>
            <w:r>
              <w:t xml:space="preserve">30/12/2022</w:t>
            </w:r>
          </w:p>
        </w:tc>
        <w:tc>
          <w:tcPr/>
          <w:p>
            <w:pPr>
              <w:pStyle w:val="Compact"/>
              <w:jc w:val="right"/>
            </w:pPr>
            <w:r>
              <w:t xml:space="preserve">0.475</w:t>
            </w:r>
          </w:p>
        </w:tc>
      </w:tr>
      <w:tr>
        <w:tc>
          <w:tcPr/>
          <w:p>
            <w:pPr>
              <w:pStyle w:val="Compact"/>
              <w:jc w:val="left"/>
            </w:pPr>
            <w:r>
              <w:t xml:space="preserve">17/07/2023</w:t>
            </w:r>
          </w:p>
        </w:tc>
        <w:tc>
          <w:tcPr/>
          <w:p>
            <w:pPr>
              <w:pStyle w:val="Compact"/>
              <w:jc w:val="left"/>
            </w:pPr>
            <w:r>
              <w:t xml:space="preserve">210,28</w:t>
            </w:r>
          </w:p>
        </w:tc>
        <w:tc>
          <w:tcPr/>
          <w:p>
            <w:pPr>
              <w:pStyle w:val="Compact"/>
              <w:jc w:val="right"/>
            </w:pPr>
            <w:r>
              <w:t xml:space="preserve">0.03002</w:t>
            </w:r>
          </w:p>
        </w:tc>
        <w:tc>
          <w:tcPr/>
          <w:p>
            <w:pPr>
              <w:pStyle w:val="Compact"/>
              <w:jc w:val="left"/>
            </w:pPr>
            <w:r>
              <w:t xml:space="preserve">3,002 %</w:t>
            </w:r>
          </w:p>
        </w:tc>
        <w:tc>
          <w:tcPr/>
          <w:p>
            <w:pPr>
              <w:pStyle w:val="Compact"/>
              <w:jc w:val="left"/>
            </w:pPr>
            <w:r>
              <w:t xml:space="preserve">30/12/2022</w:t>
            </w:r>
          </w:p>
        </w:tc>
        <w:tc>
          <w:tcPr/>
          <w:p>
            <w:pPr>
              <w:pStyle w:val="Compact"/>
              <w:jc w:val="right"/>
            </w:pPr>
            <w:r>
              <w:t xml:space="preserve">0.553</w:t>
            </w:r>
          </w:p>
        </w:tc>
      </w:tr>
      <w:tr>
        <w:tc>
          <w:tcPr/>
          <w:p>
            <w:pPr>
              <w:pStyle w:val="Compact"/>
              <w:jc w:val="left"/>
            </w:pPr>
            <w:r>
              <w:t xml:space="preserve">05/08/2023</w:t>
            </w:r>
          </w:p>
        </w:tc>
        <w:tc>
          <w:tcPr/>
          <w:p>
            <w:pPr>
              <w:pStyle w:val="Compact"/>
              <w:jc w:val="left"/>
            </w:pPr>
            <w:r>
              <w:t xml:space="preserve">116,18</w:t>
            </w:r>
          </w:p>
        </w:tc>
        <w:tc>
          <w:tcPr/>
          <w:p>
            <w:pPr>
              <w:pStyle w:val="Compact"/>
              <w:jc w:val="right"/>
            </w:pPr>
            <w:r>
              <w:t xml:space="preserve">0.03016</w:t>
            </w:r>
          </w:p>
        </w:tc>
        <w:tc>
          <w:tcPr/>
          <w:p>
            <w:pPr>
              <w:pStyle w:val="Compact"/>
              <w:jc w:val="left"/>
            </w:pPr>
            <w:r>
              <w:t xml:space="preserve">3,016 %</w:t>
            </w:r>
          </w:p>
        </w:tc>
        <w:tc>
          <w:tcPr/>
          <w:p>
            <w:pPr>
              <w:pStyle w:val="Compact"/>
              <w:jc w:val="left"/>
            </w:pPr>
            <w:r>
              <w:t xml:space="preserve">30/12/2022</w:t>
            </w:r>
          </w:p>
        </w:tc>
        <w:tc>
          <w:tcPr/>
          <w:p>
            <w:pPr>
              <w:pStyle w:val="Compact"/>
              <w:jc w:val="right"/>
            </w:pPr>
            <w:r>
              <w:t xml:space="preserve">0.606</w:t>
            </w:r>
          </w:p>
        </w:tc>
      </w:tr>
      <w:tr>
        <w:tc>
          <w:tcPr/>
          <w:p>
            <w:pPr>
              <w:pStyle w:val="Compact"/>
              <w:jc w:val="left"/>
            </w:pPr>
            <w:r>
              <w:t xml:space="preserve">11/09/2023</w:t>
            </w:r>
          </w:p>
        </w:tc>
        <w:tc>
          <w:tcPr/>
          <w:p>
            <w:pPr>
              <w:pStyle w:val="Compact"/>
              <w:jc w:val="left"/>
            </w:pPr>
            <w:r>
              <w:t xml:space="preserve">349,31</w:t>
            </w:r>
          </w:p>
        </w:tc>
        <w:tc>
          <w:tcPr/>
          <w:p>
            <w:pPr>
              <w:pStyle w:val="Compact"/>
              <w:jc w:val="right"/>
            </w:pPr>
            <w:r>
              <w:t xml:space="preserve">0.03045</w:t>
            </w:r>
          </w:p>
        </w:tc>
        <w:tc>
          <w:tcPr/>
          <w:p>
            <w:pPr>
              <w:pStyle w:val="Compact"/>
              <w:jc w:val="left"/>
            </w:pPr>
            <w:r>
              <w:t xml:space="preserve">3,045 %</w:t>
            </w:r>
          </w:p>
        </w:tc>
        <w:tc>
          <w:tcPr/>
          <w:p>
            <w:pPr>
              <w:pStyle w:val="Compact"/>
              <w:jc w:val="left"/>
            </w:pPr>
            <w:r>
              <w:t xml:space="preserve">30/12/2022</w:t>
            </w:r>
          </w:p>
        </w:tc>
        <w:tc>
          <w:tcPr/>
          <w:p>
            <w:pPr>
              <w:pStyle w:val="Compact"/>
              <w:jc w:val="right"/>
            </w:pPr>
            <w:r>
              <w:t xml:space="preserve">0.708</w:t>
            </w:r>
          </w:p>
        </w:tc>
      </w:tr>
      <w:tr>
        <w:tc>
          <w:tcPr/>
          <w:p>
            <w:pPr>
              <w:pStyle w:val="Compact"/>
              <w:jc w:val="left"/>
            </w:pPr>
            <w:r>
              <w:t xml:space="preserve">16/10/2023</w:t>
            </w:r>
          </w:p>
        </w:tc>
        <w:tc>
          <w:tcPr/>
          <w:p>
            <w:pPr>
              <w:pStyle w:val="Compact"/>
              <w:jc w:val="left"/>
            </w:pPr>
            <w:r>
              <w:t xml:space="preserve">57,86</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30/12/2022</w:t>
            </w:r>
          </w:p>
        </w:tc>
        <w:tc>
          <w:tcPr/>
          <w:p>
            <w:pPr>
              <w:pStyle w:val="Compact"/>
              <w:jc w:val="right"/>
            </w:pPr>
            <w:r>
              <w:t xml:space="preserve">0.806</w:t>
            </w:r>
          </w:p>
        </w:tc>
      </w:tr>
      <w:tr>
        <w:tc>
          <w:tcPr/>
          <w:p>
            <w:pPr>
              <w:pStyle w:val="Compact"/>
              <w:jc w:val="left"/>
            </w:pPr>
            <w:r>
              <w:t xml:space="preserve">15/01/2024</w:t>
            </w:r>
          </w:p>
        </w:tc>
        <w:tc>
          <w:tcPr/>
          <w:p>
            <w:pPr>
              <w:pStyle w:val="Compact"/>
              <w:jc w:val="left"/>
            </w:pPr>
            <w:r>
              <w:t xml:space="preserve">62,41</w:t>
            </w:r>
          </w:p>
        </w:tc>
        <w:tc>
          <w:tcPr/>
          <w:p>
            <w:pPr>
              <w:pStyle w:val="Compact"/>
              <w:jc w:val="right"/>
            </w:pPr>
            <w:r>
              <w:t xml:space="preserve">0.02967</w:t>
            </w:r>
          </w:p>
        </w:tc>
        <w:tc>
          <w:tcPr/>
          <w:p>
            <w:pPr>
              <w:pStyle w:val="Compact"/>
              <w:jc w:val="left"/>
            </w:pPr>
            <w:r>
              <w:t xml:space="preserve">2,967 %</w:t>
            </w:r>
          </w:p>
        </w:tc>
        <w:tc>
          <w:tcPr/>
          <w:p>
            <w:pPr>
              <w:pStyle w:val="Compact"/>
              <w:jc w:val="left"/>
            </w:pPr>
            <w:r>
              <w:t xml:space="preserve">30/12/2022</w:t>
            </w:r>
          </w:p>
        </w:tc>
        <w:tc>
          <w:tcPr/>
          <w:p>
            <w:pPr>
              <w:pStyle w:val="Compact"/>
              <w:jc w:val="right"/>
            </w:pPr>
            <w:r>
              <w:t xml:space="preserve">1.058</w:t>
            </w:r>
          </w:p>
        </w:tc>
      </w:tr>
    </w:tbl>
    <w:bookmarkEnd w:id="75"/>
    <w:p>
      <w:pPr>
        <w:pStyle w:val="BodyText"/>
      </w:pPr>
      <w:r>
        <w:t xml:space="preserve">Pour cette raison on va suivre les étapes suivantes pour la construction de la courbe des taux zéro-coupon :</w:t>
      </w:r>
    </w:p>
    <w:p>
      <w:pPr>
        <w:numPr>
          <w:ilvl w:val="0"/>
          <w:numId w:val="1009"/>
        </w:numPr>
        <w:pStyle w:val="Compact"/>
      </w:pPr>
      <w:r>
        <w:t xml:space="preserve">1ere étape : Transformation des taux monétaires en taux actuariels.</w:t>
      </w:r>
    </w:p>
    <w:p>
      <w:pPr>
        <w:numPr>
          <w:ilvl w:val="0"/>
          <w:numId w:val="1009"/>
        </w:numPr>
        <w:pStyle w:val="Compact"/>
      </w:pPr>
      <w:r>
        <w:t xml:space="preserve">2eme étape : Interpolation linéaire afin d’obtenir des taux actuariels pour des maturités pleines.</w:t>
      </w:r>
    </w:p>
    <w:p>
      <w:pPr>
        <w:numPr>
          <w:ilvl w:val="0"/>
          <w:numId w:val="1009"/>
        </w:numPr>
        <w:pStyle w:val="Compact"/>
      </w:pPr>
      <w:r>
        <w:t xml:space="preserve">3eme étape : Calcule des taux zéro coupons à partir des taux actuariels des maturités pleines par la Méthode du Bootstrap.</w:t>
      </w:r>
    </w:p>
    <w:p>
      <w:pPr>
        <w:numPr>
          <w:ilvl w:val="0"/>
          <w:numId w:val="1009"/>
        </w:numPr>
        <w:pStyle w:val="Compact"/>
      </w:pPr>
      <w:r>
        <w:t xml:space="preserve">4eme étape : Extrapolation de la courbe des taux zéro-coupon pour des maturités non observées lointaines par la méthode de Smith-Wilson</w:t>
      </w:r>
    </w:p>
    <w:bookmarkStart w:id="77" w:name="Xcbe522a13d0cf3ed962fdea859902dd7c035635"/>
    <w:p>
      <w:pPr>
        <w:pStyle w:val="Heading3"/>
      </w:pPr>
      <w:r>
        <w:t xml:space="preserve">6.1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76"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0.039</w:t>
            </w:r>
          </w:p>
        </w:tc>
        <w:tc>
          <w:tcPr/>
          <w:p>
            <w:pPr>
              <w:pStyle w:val="Compact"/>
              <w:jc w:val="right"/>
            </w:pPr>
            <w:r>
              <w:t xml:space="preserve">0.03032</w:t>
            </w:r>
          </w:p>
        </w:tc>
        <w:tc>
          <w:tcPr/>
          <w:p>
            <w:pPr>
              <w:pStyle w:val="Compact"/>
              <w:jc w:val="left"/>
            </w:pPr>
            <w:r>
              <w:t xml:space="preserve">3,032%</w:t>
            </w:r>
          </w:p>
        </w:tc>
      </w:tr>
      <w:tr>
        <w:tc>
          <w:tcPr/>
          <w:p>
            <w:pPr>
              <w:pStyle w:val="Compact"/>
              <w:jc w:val="right"/>
            </w:pPr>
            <w:r>
              <w:t xml:space="preserve">0.067</w:t>
            </w:r>
          </w:p>
        </w:tc>
        <w:tc>
          <w:tcPr/>
          <w:p>
            <w:pPr>
              <w:pStyle w:val="Compact"/>
              <w:jc w:val="right"/>
            </w:pPr>
            <w:r>
              <w:t xml:space="preserve">0.03012</w:t>
            </w:r>
          </w:p>
        </w:tc>
        <w:tc>
          <w:tcPr/>
          <w:p>
            <w:pPr>
              <w:pStyle w:val="Compact"/>
              <w:jc w:val="left"/>
            </w:pPr>
            <w:r>
              <w:t xml:space="preserve">3,012%</w:t>
            </w:r>
          </w:p>
        </w:tc>
      </w:tr>
      <w:tr>
        <w:tc>
          <w:tcPr/>
          <w:p>
            <w:pPr>
              <w:pStyle w:val="Compact"/>
              <w:jc w:val="right"/>
            </w:pPr>
            <w:r>
              <w:t xml:space="preserve">0.183</w:t>
            </w:r>
          </w:p>
        </w:tc>
        <w:tc>
          <w:tcPr/>
          <w:p>
            <w:pPr>
              <w:pStyle w:val="Compact"/>
              <w:jc w:val="right"/>
            </w:pPr>
            <w:r>
              <w:t xml:space="preserve">0.03020</w:t>
            </w:r>
          </w:p>
        </w:tc>
        <w:tc>
          <w:tcPr/>
          <w:p>
            <w:pPr>
              <w:pStyle w:val="Compact"/>
              <w:jc w:val="left"/>
            </w:pPr>
            <w:r>
              <w:t xml:space="preserve">3,02%</w:t>
            </w:r>
          </w:p>
        </w:tc>
      </w:tr>
      <w:tr>
        <w:tc>
          <w:tcPr/>
          <w:p>
            <w:pPr>
              <w:pStyle w:val="Compact"/>
              <w:jc w:val="right"/>
            </w:pPr>
            <w:r>
              <w:t xml:space="preserve">0.397</w:t>
            </w:r>
          </w:p>
        </w:tc>
        <w:tc>
          <w:tcPr/>
          <w:p>
            <w:pPr>
              <w:pStyle w:val="Compact"/>
              <w:jc w:val="right"/>
            </w:pPr>
            <w:r>
              <w:t xml:space="preserve">0.03248</w:t>
            </w:r>
          </w:p>
        </w:tc>
        <w:tc>
          <w:tcPr/>
          <w:p>
            <w:pPr>
              <w:pStyle w:val="Compact"/>
              <w:jc w:val="left"/>
            </w:pPr>
            <w:r>
              <w:t xml:space="preserve">3,248%</w:t>
            </w:r>
          </w:p>
        </w:tc>
      </w:tr>
      <w:tr>
        <w:tc>
          <w:tcPr/>
          <w:p>
            <w:pPr>
              <w:pStyle w:val="Compact"/>
              <w:jc w:val="right"/>
            </w:pPr>
            <w:r>
              <w:t xml:space="preserve">0.475</w:t>
            </w:r>
          </w:p>
        </w:tc>
        <w:tc>
          <w:tcPr/>
          <w:p>
            <w:pPr>
              <w:pStyle w:val="Compact"/>
              <w:jc w:val="right"/>
            </w:pPr>
            <w:r>
              <w:t xml:space="preserve">0.03075</w:t>
            </w:r>
          </w:p>
        </w:tc>
        <w:tc>
          <w:tcPr/>
          <w:p>
            <w:pPr>
              <w:pStyle w:val="Compact"/>
              <w:jc w:val="left"/>
            </w:pPr>
            <w:r>
              <w:t xml:space="preserve">3,075%</w:t>
            </w:r>
          </w:p>
        </w:tc>
      </w:tr>
      <w:tr>
        <w:tc>
          <w:tcPr/>
          <w:p>
            <w:pPr>
              <w:pStyle w:val="Compact"/>
              <w:jc w:val="right"/>
            </w:pPr>
            <w:r>
              <w:t xml:space="preserve">0.553</w:t>
            </w:r>
          </w:p>
        </w:tc>
        <w:tc>
          <w:tcPr/>
          <w:p>
            <w:pPr>
              <w:pStyle w:val="Compact"/>
              <w:jc w:val="right"/>
            </w:pPr>
            <w:r>
              <w:t xml:space="preserve">0.03065</w:t>
            </w:r>
          </w:p>
        </w:tc>
        <w:tc>
          <w:tcPr/>
          <w:p>
            <w:pPr>
              <w:pStyle w:val="Compact"/>
              <w:jc w:val="left"/>
            </w:pPr>
            <w:r>
              <w:t xml:space="preserve">3,065%</w:t>
            </w:r>
          </w:p>
        </w:tc>
      </w:tr>
      <w:tr>
        <w:tc>
          <w:tcPr/>
          <w:p>
            <w:pPr>
              <w:pStyle w:val="Compact"/>
              <w:jc w:val="right"/>
            </w:pPr>
            <w:r>
              <w:t xml:space="preserve">0.606</w:t>
            </w:r>
          </w:p>
        </w:tc>
        <w:tc>
          <w:tcPr/>
          <w:p>
            <w:pPr>
              <w:pStyle w:val="Compact"/>
              <w:jc w:val="right"/>
            </w:pPr>
            <w:r>
              <w:t xml:space="preserve">0.03077</w:t>
            </w:r>
          </w:p>
        </w:tc>
        <w:tc>
          <w:tcPr/>
          <w:p>
            <w:pPr>
              <w:pStyle w:val="Compact"/>
              <w:jc w:val="left"/>
            </w:pPr>
            <w:r>
              <w:t xml:space="preserve">3,077%</w:t>
            </w:r>
          </w:p>
        </w:tc>
      </w:tr>
      <w:tr>
        <w:tc>
          <w:tcPr/>
          <w:p>
            <w:pPr>
              <w:pStyle w:val="Compact"/>
              <w:jc w:val="right"/>
            </w:pPr>
            <w:r>
              <w:t xml:space="preserve">0.708</w:t>
            </w:r>
          </w:p>
        </w:tc>
        <w:tc>
          <w:tcPr/>
          <w:p>
            <w:pPr>
              <w:pStyle w:val="Compact"/>
              <w:jc w:val="right"/>
            </w:pPr>
            <w:r>
              <w:t xml:space="preserve">0.03102</w:t>
            </w:r>
          </w:p>
        </w:tc>
        <w:tc>
          <w:tcPr/>
          <w:p>
            <w:pPr>
              <w:pStyle w:val="Compact"/>
              <w:jc w:val="left"/>
            </w:pPr>
            <w:r>
              <w:t xml:space="preserve">3,102%</w:t>
            </w:r>
          </w:p>
        </w:tc>
      </w:tr>
      <w:tr>
        <w:tc>
          <w:tcPr/>
          <w:p>
            <w:pPr>
              <w:pStyle w:val="Compact"/>
              <w:jc w:val="right"/>
            </w:pPr>
            <w:r>
              <w:t xml:space="preserve">0.806</w:t>
            </w:r>
          </w:p>
        </w:tc>
        <w:tc>
          <w:tcPr/>
          <w:p>
            <w:pPr>
              <w:pStyle w:val="Compact"/>
              <w:jc w:val="right"/>
            </w:pPr>
            <w:r>
              <w:t xml:space="preserve">0.03184</w:t>
            </w:r>
          </w:p>
        </w:tc>
        <w:tc>
          <w:tcPr/>
          <w:p>
            <w:pPr>
              <w:pStyle w:val="Compact"/>
              <w:jc w:val="left"/>
            </w:pPr>
            <w:r>
              <w:t xml:space="preserve">3,184%</w:t>
            </w:r>
          </w:p>
        </w:tc>
      </w:tr>
      <w:tr>
        <w:tc>
          <w:tcPr/>
          <w:p>
            <w:pPr>
              <w:pStyle w:val="Compact"/>
              <w:jc w:val="right"/>
            </w:pPr>
            <w:r>
              <w:t xml:space="preserve">1.058</w:t>
            </w:r>
          </w:p>
        </w:tc>
        <w:tc>
          <w:tcPr/>
          <w:p>
            <w:pPr>
              <w:pStyle w:val="Compact"/>
              <w:jc w:val="right"/>
            </w:pPr>
            <w:r>
              <w:t xml:space="preserve">0.02967</w:t>
            </w:r>
          </w:p>
        </w:tc>
        <w:tc>
          <w:tcPr/>
          <w:p>
            <w:pPr>
              <w:pStyle w:val="Compact"/>
              <w:jc w:val="left"/>
            </w:pPr>
            <w:r>
              <w:t xml:space="preserve">2,967%</w:t>
            </w:r>
          </w:p>
        </w:tc>
      </w:tr>
    </w:tbl>
    <w:bookmarkEnd w:id="76"/>
    <w:bookmarkEnd w:id="77"/>
    <w:bookmarkStart w:id="79" w:name="X96b896b92b42645ba88a707007c4252bf9e5cd7"/>
    <w:p>
      <w:pPr>
        <w:pStyle w:val="Heading3"/>
      </w:pPr>
      <w:r>
        <w:t xml:space="preserve">6.2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78"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0.02968</w:t>
            </w:r>
          </w:p>
        </w:tc>
        <w:tc>
          <w:tcPr/>
          <w:p>
            <w:pPr>
              <w:pStyle w:val="Compact"/>
              <w:jc w:val="left"/>
            </w:pPr>
            <w:r>
              <w:t xml:space="preserve">2,968%</w:t>
            </w:r>
          </w:p>
        </w:tc>
      </w:tr>
      <w:tr>
        <w:tc>
          <w:tcPr/>
          <w:p>
            <w:pPr>
              <w:pStyle w:val="Compact"/>
              <w:jc w:val="right"/>
            </w:pPr>
            <w:r>
              <w:t xml:space="preserve">4</w:t>
            </w:r>
          </w:p>
        </w:tc>
        <w:tc>
          <w:tcPr/>
          <w:p>
            <w:pPr>
              <w:pStyle w:val="Compact"/>
              <w:jc w:val="right"/>
            </w:pPr>
            <w:r>
              <w:t xml:space="preserve">0.02954</w:t>
            </w:r>
          </w:p>
        </w:tc>
        <w:tc>
          <w:tcPr/>
          <w:p>
            <w:pPr>
              <w:pStyle w:val="Compact"/>
              <w:jc w:val="left"/>
            </w:pPr>
            <w:r>
              <w:t xml:space="preserve">2,954%</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0.02995</w:t>
            </w:r>
          </w:p>
        </w:tc>
        <w:tc>
          <w:tcPr/>
          <w:p>
            <w:pPr>
              <w:pStyle w:val="Compact"/>
              <w:jc w:val="left"/>
            </w:pPr>
            <w:r>
              <w:t xml:space="preserve">2,995%</w:t>
            </w:r>
          </w:p>
        </w:tc>
      </w:tr>
      <w:tr>
        <w:tc>
          <w:tcPr/>
          <w:p>
            <w:pPr>
              <w:pStyle w:val="Compact"/>
              <w:jc w:val="right"/>
            </w:pPr>
            <w:r>
              <w:t xml:space="preserve">7</w:t>
            </w:r>
          </w:p>
        </w:tc>
        <w:tc>
          <w:tcPr/>
          <w:p>
            <w:pPr>
              <w:pStyle w:val="Compact"/>
              <w:jc w:val="right"/>
            </w:pPr>
            <w:r>
              <w:t xml:space="preserve">0.03036</w:t>
            </w:r>
          </w:p>
        </w:tc>
        <w:tc>
          <w:tcPr/>
          <w:p>
            <w:pPr>
              <w:pStyle w:val="Compact"/>
              <w:jc w:val="left"/>
            </w:pPr>
            <w:r>
              <w:t xml:space="preserve">3,036%</w:t>
            </w:r>
          </w:p>
        </w:tc>
      </w:tr>
      <w:tr>
        <w:tc>
          <w:tcPr/>
          <w:p>
            <w:pPr>
              <w:pStyle w:val="Compact"/>
              <w:jc w:val="right"/>
            </w:pPr>
            <w:r>
              <w:t xml:space="preserve">8</w:t>
            </w:r>
          </w:p>
        </w:tc>
        <w:tc>
          <w:tcPr/>
          <w:p>
            <w:pPr>
              <w:pStyle w:val="Compact"/>
              <w:jc w:val="right"/>
            </w:pPr>
            <w:r>
              <w:t xml:space="preserve">0.03093</w:t>
            </w:r>
          </w:p>
        </w:tc>
        <w:tc>
          <w:tcPr/>
          <w:p>
            <w:pPr>
              <w:pStyle w:val="Compact"/>
              <w:jc w:val="left"/>
            </w:pPr>
            <w:r>
              <w:t xml:space="preserve">3,093%</w:t>
            </w:r>
          </w:p>
        </w:tc>
      </w:tr>
      <w:tr>
        <w:tc>
          <w:tcPr/>
          <w:p>
            <w:pPr>
              <w:pStyle w:val="Compact"/>
              <w:jc w:val="right"/>
            </w:pPr>
            <w:r>
              <w:t xml:space="preserve">9</w:t>
            </w:r>
          </w:p>
        </w:tc>
        <w:tc>
          <w:tcPr/>
          <w:p>
            <w:pPr>
              <w:pStyle w:val="Compact"/>
              <w:jc w:val="right"/>
            </w:pPr>
            <w:r>
              <w:t xml:space="preserve">0.03143</w:t>
            </w:r>
          </w:p>
        </w:tc>
        <w:tc>
          <w:tcPr/>
          <w:p>
            <w:pPr>
              <w:pStyle w:val="Compact"/>
              <w:jc w:val="left"/>
            </w:pPr>
            <w:r>
              <w:t xml:space="preserve">3,143%</w:t>
            </w:r>
          </w:p>
        </w:tc>
      </w:tr>
      <w:tr>
        <w:tc>
          <w:tcPr/>
          <w:p>
            <w:pPr>
              <w:pStyle w:val="Compact"/>
              <w:jc w:val="right"/>
            </w:pPr>
            <w:r>
              <w:t xml:space="preserve">10</w:t>
            </w:r>
          </w:p>
        </w:tc>
        <w:tc>
          <w:tcPr/>
          <w:p>
            <w:pPr>
              <w:pStyle w:val="Compact"/>
              <w:jc w:val="right"/>
            </w:pPr>
            <w:r>
              <w:t xml:space="preserve">0.03183</w:t>
            </w:r>
          </w:p>
        </w:tc>
        <w:tc>
          <w:tcPr/>
          <w:p>
            <w:pPr>
              <w:pStyle w:val="Compact"/>
              <w:jc w:val="left"/>
            </w:pPr>
            <w:r>
              <w:t xml:space="preserve">3,183%</w:t>
            </w:r>
          </w:p>
        </w:tc>
      </w:tr>
    </w:tbl>
    <w:bookmarkEnd w:id="78"/>
    <w:bookmarkEnd w:id="79"/>
    <w:bookmarkStart w:id="81" w:name="la-méthode-de-bootstrap"/>
    <w:p>
      <w:pPr>
        <w:pStyle w:val="Heading3"/>
      </w:pPr>
      <w:r>
        <w:t xml:space="preserve">6.3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10"/>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1"/>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80"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0.03017</w:t>
            </w:r>
          </w:p>
        </w:tc>
        <w:tc>
          <w:tcPr/>
          <w:p>
            <w:pPr>
              <w:pStyle w:val="Compact"/>
              <w:jc w:val="left"/>
            </w:pPr>
            <w:r>
              <w:t xml:space="preserve">3,017%</w:t>
            </w:r>
          </w:p>
        </w:tc>
      </w:tr>
      <w:tr>
        <w:tc>
          <w:tcPr/>
          <w:p>
            <w:pPr>
              <w:pStyle w:val="Compact"/>
              <w:jc w:val="right"/>
            </w:pPr>
            <w:r>
              <w:t xml:space="preserve">2</w:t>
            </w:r>
          </w:p>
        </w:tc>
        <w:tc>
          <w:tcPr/>
          <w:p>
            <w:pPr>
              <w:pStyle w:val="Compact"/>
              <w:jc w:val="right"/>
            </w:pPr>
            <w:r>
              <w:t xml:space="preserve">0.03034</w:t>
            </w:r>
          </w:p>
        </w:tc>
        <w:tc>
          <w:tcPr/>
          <w:p>
            <w:pPr>
              <w:pStyle w:val="Compact"/>
              <w:jc w:val="left"/>
            </w:pPr>
            <w:r>
              <w:t xml:space="preserve">3,034%</w:t>
            </w:r>
          </w:p>
        </w:tc>
      </w:tr>
      <w:tr>
        <w:tc>
          <w:tcPr/>
          <w:p>
            <w:pPr>
              <w:pStyle w:val="Compact"/>
              <w:jc w:val="right"/>
            </w:pPr>
            <w:r>
              <w:t xml:space="preserve">3</w:t>
            </w:r>
          </w:p>
        </w:tc>
        <w:tc>
          <w:tcPr/>
          <w:p>
            <w:pPr>
              <w:pStyle w:val="Compact"/>
              <w:jc w:val="right"/>
            </w:pPr>
            <w:r>
              <w:t xml:space="preserve">0.02966</w:t>
            </w:r>
          </w:p>
        </w:tc>
        <w:tc>
          <w:tcPr/>
          <w:p>
            <w:pPr>
              <w:pStyle w:val="Compact"/>
              <w:jc w:val="left"/>
            </w:pPr>
            <w:r>
              <w:t xml:space="preserve">2,966%</w:t>
            </w:r>
          </w:p>
        </w:tc>
      </w:tr>
      <w:tr>
        <w:tc>
          <w:tcPr/>
          <w:p>
            <w:pPr>
              <w:pStyle w:val="Compact"/>
              <w:jc w:val="right"/>
            </w:pPr>
            <w:r>
              <w:t xml:space="preserve">4</w:t>
            </w:r>
          </w:p>
        </w:tc>
        <w:tc>
          <w:tcPr/>
          <w:p>
            <w:pPr>
              <w:pStyle w:val="Compact"/>
              <w:jc w:val="right"/>
            </w:pPr>
            <w:r>
              <w:t xml:space="preserve">0.02952</w:t>
            </w:r>
          </w:p>
        </w:tc>
        <w:tc>
          <w:tcPr/>
          <w:p>
            <w:pPr>
              <w:pStyle w:val="Compact"/>
              <w:jc w:val="left"/>
            </w:pPr>
            <w:r>
              <w:t xml:space="preserve">2,952%</w:t>
            </w:r>
          </w:p>
        </w:tc>
      </w:tr>
      <w:tr>
        <w:tc>
          <w:tcPr/>
          <w:p>
            <w:pPr>
              <w:pStyle w:val="Compact"/>
              <w:jc w:val="right"/>
            </w:pPr>
            <w:r>
              <w:t xml:space="preserve">5</w:t>
            </w:r>
          </w:p>
        </w:tc>
        <w:tc>
          <w:tcPr/>
          <w:p>
            <w:pPr>
              <w:pStyle w:val="Compact"/>
              <w:jc w:val="right"/>
            </w:pPr>
            <w:r>
              <w:t xml:space="preserve">0.02975</w:t>
            </w:r>
          </w:p>
        </w:tc>
        <w:tc>
          <w:tcPr/>
          <w:p>
            <w:pPr>
              <w:pStyle w:val="Compact"/>
              <w:jc w:val="left"/>
            </w:pPr>
            <w:r>
              <w:t xml:space="preserve">2,975%</w:t>
            </w:r>
          </w:p>
        </w:tc>
      </w:tr>
      <w:tr>
        <w:tc>
          <w:tcPr/>
          <w:p>
            <w:pPr>
              <w:pStyle w:val="Compact"/>
              <w:jc w:val="right"/>
            </w:pPr>
            <w:r>
              <w:t xml:space="preserve">6</w:t>
            </w:r>
          </w:p>
        </w:tc>
        <w:tc>
          <w:tcPr/>
          <w:p>
            <w:pPr>
              <w:pStyle w:val="Compact"/>
              <w:jc w:val="right"/>
            </w:pPr>
            <w:r>
              <w:t xml:space="preserve">0.02996</w:t>
            </w:r>
          </w:p>
        </w:tc>
        <w:tc>
          <w:tcPr/>
          <w:p>
            <w:pPr>
              <w:pStyle w:val="Compact"/>
              <w:jc w:val="left"/>
            </w:pPr>
            <w:r>
              <w:t xml:space="preserve">2,996%</w:t>
            </w:r>
          </w:p>
        </w:tc>
      </w:tr>
      <w:tr>
        <w:tc>
          <w:tcPr/>
          <w:p>
            <w:pPr>
              <w:pStyle w:val="Compact"/>
              <w:jc w:val="right"/>
            </w:pPr>
            <w:r>
              <w:t xml:space="preserve">7</w:t>
            </w:r>
          </w:p>
        </w:tc>
        <w:tc>
          <w:tcPr/>
          <w:p>
            <w:pPr>
              <w:pStyle w:val="Compact"/>
              <w:jc w:val="right"/>
            </w:pPr>
            <w:r>
              <w:t xml:space="preserve">0.03041</w:t>
            </w:r>
          </w:p>
        </w:tc>
        <w:tc>
          <w:tcPr/>
          <w:p>
            <w:pPr>
              <w:pStyle w:val="Compact"/>
              <w:jc w:val="left"/>
            </w:pPr>
            <w:r>
              <w:t xml:space="preserve">3,041%</w:t>
            </w:r>
          </w:p>
        </w:tc>
      </w:tr>
      <w:tr>
        <w:tc>
          <w:tcPr/>
          <w:p>
            <w:pPr>
              <w:pStyle w:val="Compact"/>
              <w:jc w:val="right"/>
            </w:pPr>
            <w:r>
              <w:t xml:space="preserve">8</w:t>
            </w:r>
          </w:p>
        </w:tc>
        <w:tc>
          <w:tcPr/>
          <w:p>
            <w:pPr>
              <w:pStyle w:val="Compact"/>
              <w:jc w:val="right"/>
            </w:pPr>
            <w:r>
              <w:t xml:space="preserve">0.03104</w:t>
            </w:r>
          </w:p>
        </w:tc>
        <w:tc>
          <w:tcPr/>
          <w:p>
            <w:pPr>
              <w:pStyle w:val="Compact"/>
              <w:jc w:val="left"/>
            </w:pPr>
            <w:r>
              <w:t xml:space="preserve">3,104%</w:t>
            </w:r>
          </w:p>
        </w:tc>
      </w:tr>
      <w:tr>
        <w:tc>
          <w:tcPr/>
          <w:p>
            <w:pPr>
              <w:pStyle w:val="Compact"/>
              <w:jc w:val="right"/>
            </w:pPr>
            <w:r>
              <w:t xml:space="preserve">9</w:t>
            </w:r>
          </w:p>
        </w:tc>
        <w:tc>
          <w:tcPr/>
          <w:p>
            <w:pPr>
              <w:pStyle w:val="Compact"/>
              <w:jc w:val="right"/>
            </w:pPr>
            <w:r>
              <w:t xml:space="preserve">0.03160</w:t>
            </w:r>
          </w:p>
        </w:tc>
        <w:tc>
          <w:tcPr/>
          <w:p>
            <w:pPr>
              <w:pStyle w:val="Compact"/>
              <w:jc w:val="left"/>
            </w:pPr>
            <w:r>
              <w:t xml:space="preserve">3,16%</w:t>
            </w:r>
          </w:p>
        </w:tc>
      </w:tr>
      <w:tr>
        <w:tc>
          <w:tcPr/>
          <w:p>
            <w:pPr>
              <w:pStyle w:val="Compact"/>
              <w:jc w:val="right"/>
            </w:pPr>
            <w:r>
              <w:t xml:space="preserve">10</w:t>
            </w:r>
          </w:p>
        </w:tc>
        <w:tc>
          <w:tcPr/>
          <w:p>
            <w:pPr>
              <w:pStyle w:val="Compact"/>
              <w:jc w:val="right"/>
            </w:pPr>
            <w:r>
              <w:t xml:space="preserve">0.03205</w:t>
            </w:r>
          </w:p>
        </w:tc>
        <w:tc>
          <w:tcPr/>
          <w:p>
            <w:pPr>
              <w:pStyle w:val="Compact"/>
              <w:jc w:val="left"/>
            </w:pPr>
            <w:r>
              <w:t xml:space="preserve">3,205%</w:t>
            </w:r>
          </w:p>
        </w:tc>
      </w:tr>
    </w:tbl>
    <w:bookmarkEnd w:id="80"/>
    <w:bookmarkEnd w:id="81"/>
    <w:bookmarkStart w:id="82" w:name="X336f36db0687334b747abecf8d379445810500d"/>
    <w:p>
      <w:pPr>
        <w:pStyle w:val="Heading3"/>
      </w:pPr>
      <w:r>
        <w:t xml:space="preserve">6.4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2"/>
        </w:numPr>
        <w:pStyle w:val="Compact"/>
      </w:pPr>
      <w:r>
        <w:t xml:space="preserve">le UFR (Ultimate Forward Rate)</w:t>
      </w:r>
    </w:p>
    <w:p>
      <w:pPr>
        <w:numPr>
          <w:ilvl w:val="0"/>
          <w:numId w:val="1012"/>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3"/>
        </w:numPr>
        <w:pStyle w:val="Compact"/>
      </w:pPr>
      <m:oMath>
        <m:r>
          <m:t>W</m:t>
        </m:r>
      </m:oMath>
      <w:r>
        <w:t xml:space="preserve"> </w:t>
      </w:r>
      <w:r>
        <w:t xml:space="preserve">représente un ensemble de fonctions à noyau pour chaque prix d’obligation observable d’entrée.</w:t>
      </w:r>
    </w:p>
    <w:p>
      <w:pPr>
        <w:numPr>
          <w:ilvl w:val="0"/>
          <w:numId w:val="1013"/>
        </w:numPr>
        <w:pStyle w:val="Compact"/>
      </w:pPr>
      <m:oMath>
        <m:r>
          <m:t>α</m:t>
        </m:r>
      </m:oMath>
      <w:r>
        <w:t xml:space="preserve"> </w:t>
      </w:r>
      <w:r>
        <w:t xml:space="preserve">: la vitesse de convergence vers le UFR.</w:t>
      </w:r>
    </w:p>
    <w:p>
      <w:pPr>
        <w:numPr>
          <w:ilvl w:val="0"/>
          <w:numId w:val="1013"/>
        </w:numPr>
        <w:pStyle w:val="Compact"/>
      </w:pPr>
      <m:oMath>
        <m:r>
          <m:t>N</m:t>
        </m:r>
      </m:oMath>
      <w:r>
        <w:t xml:space="preserve">: le nombre d’obligations ZC dont le prix est observésur le marché.</w:t>
      </w:r>
    </w:p>
    <w:p>
      <w:pPr>
        <w:numPr>
          <w:ilvl w:val="0"/>
          <w:numId w:val="1013"/>
        </w:numPr>
        <w:pStyle w:val="Compact"/>
      </w:pPr>
      <m:oMath>
        <m:sSub>
          <m:e>
            <m:r>
              <m:t>u</m:t>
            </m:r>
          </m:e>
          <m:sub>
            <m:r>
              <m:t>j</m:t>
            </m:r>
          </m:sub>
        </m:sSub>
      </m:oMath>
      <w:r>
        <w:t xml:space="preserve">: la j-ème maturité disponible. .</w:t>
      </w:r>
    </w:p>
    <w:p>
      <w:pPr>
        <w:numPr>
          <w:ilvl w:val="0"/>
          <w:numId w:val="1013"/>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82"/>
    <w:bookmarkEnd w:id="83"/>
    <w:bookmarkStart w:id="135" w:name="X3c86a714d03aed139a19db084b97b445aa0c8e4"/>
    <w:p>
      <w:pPr>
        <w:pStyle w:val="Heading2"/>
      </w:pPr>
      <w:r>
        <w:t xml:space="preserve">7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sub>
          </m:sSub>
          <m:r>
            <m:rPr>
              <m:sty m:val="p"/>
            </m:rPr>
            <m:t>+</m:t>
          </m:r>
          <m:r>
            <m:t>B</m:t>
          </m:r>
          <m:r>
            <m:t>E</m:t>
          </m:r>
          <m:r>
            <m:t>F</m:t>
          </m:r>
          <m:r>
            <m:t>G</m:t>
          </m:r>
          <m:r>
            <m:rPr>
              <m:sty m:val="p"/>
            </m:rPr>
            <m:t>+</m:t>
          </m:r>
          <m:r>
            <m:t>M</m:t>
          </m:r>
          <m:r>
            <m:t>R</m:t>
          </m:r>
        </m:oMath>
      </m:oMathPara>
    </w:p>
    <w:p>
      <w:pPr>
        <w:pStyle w:val="FirstParagraph"/>
      </w:pPr>
      <w:r>
        <w:t xml:space="preserve">Avec :</w:t>
      </w:r>
    </w:p>
    <w:p>
      <w:pPr>
        <w:numPr>
          <w:ilvl w:val="0"/>
          <w:numId w:val="1014"/>
        </w:numPr>
      </w:pPr>
      <m:oMath>
        <m:r>
          <m:t>P</m:t>
        </m:r>
        <m:r>
          <m:t>T</m:t>
        </m:r>
      </m:oMath>
      <w:r>
        <w:t xml:space="preserve"> </w:t>
      </w:r>
      <w:r>
        <w:t xml:space="preserve">: la provision technique</w:t>
      </w:r>
    </w:p>
    <w:p>
      <w:pPr>
        <w:numPr>
          <w:ilvl w:val="0"/>
          <w:numId w:val="1014"/>
        </w:numPr>
      </w:pPr>
      <m:oMath>
        <m:r>
          <m:t>B</m:t>
        </m:r>
        <m:sSub>
          <m:e>
            <m:r>
              <m:t>E</m:t>
            </m:r>
          </m:e>
          <m:sub>
            <m:r>
              <m:t>e</m:t>
            </m:r>
            <m:r>
              <m:t>n</m:t>
            </m:r>
            <m:r>
              <m:t>g</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4"/>
        </w:numPr>
      </w:pPr>
      <m:oMath>
        <m:r>
          <m:t>B</m:t>
        </m:r>
        <m:r>
          <m:t>E</m:t>
        </m:r>
        <m:r>
          <m:t>F</m:t>
        </m:r>
        <m:r>
          <m:t>G</m:t>
        </m:r>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4"/>
        </w:numPr>
      </w:pPr>
      <m:oMath>
        <m:r>
          <m:t>M</m:t>
        </m:r>
        <m:r>
          <m:t>R</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93" w:name="X32462c7e3a0a11848884f7548d4747bc280232c"/>
    <w:p>
      <w:pPr>
        <w:pStyle w:val="Heading3"/>
      </w:pPr>
      <w:r>
        <w:t xml:space="preserve">7.1 Opérations d’assurance vie, décès ou capitalisation:</w:t>
      </w:r>
    </w:p>
    <w:bookmarkStart w:id="91" w:name="Xeb1f9d92a4c5859eacf38eb19f2fdc8a983fcd5"/>
    <w:p>
      <w:pPr>
        <w:pStyle w:val="Heading4"/>
      </w:pPr>
      <w:r>
        <w:t xml:space="preserve">7.1.1 Meilleure estimations des engagements (</w:t>
      </w:r>
      <m:oMath>
        <m:r>
          <m:t>B</m:t>
        </m:r>
        <m:sSub>
          <m:e>
            <m:r>
              <m:t>E</m:t>
            </m:r>
          </m:e>
          <m:sub>
            <m:r>
              <m:t>e</m:t>
            </m:r>
            <m:r>
              <m:t>n</m:t>
            </m:r>
            <m:r>
              <m:t>g</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r>
            <m:t>B</m:t>
          </m:r>
          <m:sSub>
            <m:e>
              <m:r>
                <m:t>E</m:t>
              </m:r>
            </m:e>
            <m:sub>
              <m:r>
                <m:t>e</m:t>
              </m:r>
              <m:r>
                <m:t>n</m:t>
              </m:r>
              <m:r>
                <m:t>g</m:t>
              </m:r>
            </m:sub>
          </m:sSub>
          <m:r>
            <m:rPr>
              <m:sty m:val="p"/>
            </m:rPr>
            <m:t>=</m:t>
          </m:r>
          <m:r>
            <m:t>B</m:t>
          </m:r>
          <m:r>
            <m:t>E</m:t>
          </m:r>
          <m:r>
            <m:t>G</m:t>
          </m:r>
          <m:r>
            <m:t>P</m:t>
          </m:r>
          <m:r>
            <m:rPr>
              <m:sty m:val="p"/>
            </m:rPr>
            <m:t>+</m:t>
          </m:r>
          <m:r>
            <m:t>B</m:t>
          </m:r>
          <m:r>
            <m:t>D</m:t>
          </m:r>
          <m:r>
            <m:t>F</m:t>
          </m:r>
        </m:oMath>
      </m:oMathPara>
    </w:p>
    <w:p>
      <w:pPr>
        <w:pStyle w:val="FirstParagraph"/>
      </w:pPr>
      <w:r>
        <w:t xml:space="preserve">Avec :</w:t>
      </w:r>
    </w:p>
    <w:p>
      <w:pPr>
        <w:numPr>
          <w:ilvl w:val="0"/>
          <w:numId w:val="1015"/>
        </w:numPr>
        <w:pStyle w:val="Compact"/>
      </w:pPr>
      <m:oMath>
        <m:r>
          <m:t>B</m:t>
        </m:r>
        <m:r>
          <m:t>E</m:t>
        </m:r>
        <m:r>
          <m:t>G</m:t>
        </m:r>
        <m:r>
          <m:t>P</m:t>
        </m:r>
      </m:oMath>
      <w:r>
        <w:t xml:space="preserve">: la meilleure estimation des garanties probabilisées.</w:t>
      </w:r>
    </w:p>
    <w:p>
      <w:pPr>
        <w:numPr>
          <w:ilvl w:val="0"/>
          <w:numId w:val="1015"/>
        </w:numPr>
        <w:pStyle w:val="Compact"/>
      </w:pPr>
      <m:oMath>
        <m:r>
          <m:t>B</m:t>
        </m:r>
        <m:r>
          <m:t>D</m:t>
        </m:r>
        <m:r>
          <m:t>F</m:t>
        </m:r>
      </m:oMath>
      <w:r>
        <w:t xml:space="preserve">: les bénéfices discrétionnaires futurs.</w:t>
      </w:r>
    </w:p>
    <w:bookmarkStart w:id="89" w:name="sec-MEGP"/>
    <w:p>
      <w:pPr>
        <w:pStyle w:val="Heading5"/>
      </w:pPr>
      <w:r>
        <w:t xml:space="preserve">7.1.1.1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r>
            <m:t>E</m:t>
          </m:r>
          <m:r>
            <m:t>G</m:t>
          </m:r>
          <m:r>
            <m:t>P</m:t>
          </m:r>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D</m:t>
                      </m:r>
                      <m:r>
                        <m:t>e</m:t>
                      </m:r>
                      <m:sSub>
                        <m:e>
                          <m:r>
                            <m:t>c</m:t>
                          </m:r>
                        </m:e>
                        <m:sub>
                          <m:r>
                            <m:t>t</m:t>
                          </m:r>
                        </m:sub>
                      </m:sSub>
                      <m:r>
                        <m:rPr>
                          <m:sty m:val="p"/>
                        </m:rPr>
                        <m:t>−</m:t>
                      </m:r>
                      <m:r>
                        <m:t>E</m:t>
                      </m:r>
                      <m:r>
                        <m:t>n</m:t>
                      </m:r>
                      <m:sSub>
                        <m:e>
                          <m:r>
                            <m:t>c</m:t>
                          </m:r>
                        </m:e>
                        <m:sub>
                          <m:r>
                            <m:t>t</m:t>
                          </m:r>
                        </m:sub>
                      </m:sSub>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6"/>
        </w:numPr>
      </w:pPr>
      <m:oMath>
        <m:r>
          <m:t>E</m:t>
        </m:r>
        <m:r>
          <m:t>n</m:t>
        </m:r>
        <m:sSub>
          <m:e>
            <m:r>
              <m:t>c</m:t>
            </m:r>
          </m:e>
          <m:sub>
            <m:r>
              <m:t>t</m:t>
            </m:r>
          </m:sub>
        </m:sSub>
      </m:oMath>
      <w:r>
        <w:t xml:space="preserve">: Les encaissements à la date</w:t>
      </w:r>
      <w:r>
        <w:t xml:space="preserve"> </w:t>
      </w:r>
      <m:oMath>
        <m:r>
          <m:t>t</m:t>
        </m:r>
      </m:oMath>
      <w:r>
        <w:t xml:space="preserve"> </w:t>
      </w:r>
      <w:r>
        <w:t xml:space="preserve">qui correspondent aux engagements des assurés.</w:t>
      </w:r>
    </w:p>
    <w:p>
      <w:pPr>
        <w:numPr>
          <w:ilvl w:val="0"/>
          <w:numId w:val="1016"/>
        </w:numPr>
      </w:pPr>
      <m:oMath>
        <m:r>
          <m:t>D</m:t>
        </m:r>
        <m:r>
          <m:t>e</m:t>
        </m:r>
        <m:sSub>
          <m:e>
            <m:r>
              <m:t>c</m:t>
            </m:r>
          </m:e>
          <m:sub>
            <m:r>
              <m:t>t</m:t>
            </m:r>
          </m:sub>
        </m:sSub>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6"/>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6"/>
        </w:numPr>
      </w:pPr>
      <w:r>
        <w:rPr>
          <w:bCs/>
          <w:b/>
        </w:rPr>
        <w:t xml:space="preserve">La table de rachat en montant</w:t>
      </w:r>
      <w:r>
        <w:t xml:space="preserve">.</w:t>
      </w:r>
    </w:p>
    <w:p>
      <w:pPr>
        <w:numPr>
          <w:ilvl w:val="0"/>
          <w:numId w:val="1016"/>
        </w:numPr>
      </w:pPr>
      <w:r>
        <w:rPr>
          <w:bCs/>
          <w:b/>
        </w:rPr>
        <w:t xml:space="preserve">La table de résiliation</w:t>
      </w:r>
      <w:r>
        <w:t xml:space="preserve">.</w:t>
      </w:r>
    </w:p>
    <w:p>
      <w:pPr>
        <w:numPr>
          <w:ilvl w:val="0"/>
          <w:numId w:val="1016"/>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C:\PROGRA~1\RStudio\RESOUR~1\app\bin\quarto\share\formats\docx\tip.png" id="8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C:\PROGRA~1\RStudio\RESOUR~1\app\bin\quarto\share\formats\docx\tip.png" id="8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88"/>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sSub>
                <m:e>
                  <m:r>
                    <m:t>P</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r>
                  <m:t>D</m:t>
                </m:r>
                <m:r>
                  <m:t>e</m:t>
                </m:r>
                <m:sSub>
                  <m:e>
                    <m:r>
                      <m:t>c</m:t>
                    </m:r>
                  </m:e>
                  <m:sub>
                    <m:r>
                      <m:t>t</m:t>
                    </m:r>
                  </m:sub>
                </m:sSub>
                <m:r>
                  <m:rPr>
                    <m:sty m:val="p"/>
                  </m:rPr>
                  <m:t>=</m:t>
                </m:r>
                <m:r>
                  <m:t>K</m:t>
                </m:r>
                <m:r>
                  <m:rPr>
                    <m:sty m:val="p"/>
                  </m:rPr>
                  <m:t>×</m:t>
                </m:r>
                <m:r>
                  <m:t>N</m:t>
                </m:r>
                <m:r>
                  <m:t>b</m:t>
                </m:r>
                <m:sSub>
                  <m:e>
                    <m:r>
                      <m:t>P</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89"/>
    <w:bookmarkStart w:id="90" w:name="bénéfices-discrétionnaires-futurs"/>
    <w:p>
      <w:pPr>
        <w:pStyle w:val="Heading5"/>
      </w:pPr>
      <w:r>
        <w:t xml:space="preserve">7.1.1.2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bar>
            <m:barPr>
              <m:pos m:val="top"/>
            </m:barPr>
            <m:e>
              <m:r>
                <m:t>T</m:t>
              </m:r>
              <m:r>
                <m:t>P</m:t>
              </m:r>
              <m:r>
                <m:t>B</m:t>
              </m:r>
            </m:e>
          </m:bar>
          <m:r>
            <m:rPr>
              <m:sty m:val="p"/>
            </m:rPr>
            <m:t>×</m:t>
          </m:r>
          <m:d>
            <m:dPr>
              <m:begChr m:val="("/>
              <m:endChr m:val=")"/>
              <m:sepChr m:val=""/>
              <m:grow/>
            </m:dPr>
            <m:e>
              <m:r>
                <m:t>S</m:t>
              </m:r>
              <m:r>
                <m:t>T</m:t>
              </m:r>
              <m:r>
                <m:rPr>
                  <m:sty m:val="p"/>
                </m:rPr>
                <m:t>+</m:t>
              </m:r>
              <m:r>
                <m:t>S</m:t>
              </m:r>
              <m:r>
                <m:t>F</m:t>
              </m:r>
            </m:e>
          </m:d>
          <m:r>
            <m:rPr>
              <m:sty m:val="p"/>
            </m:rPr>
            <m:t>×</m:t>
          </m:r>
          <m:sSub>
            <m:e>
              <m:r>
                <m:rPr>
                  <m:sty m:val="b"/>
                </m:rPr>
                <m:t>1</m:t>
              </m:r>
            </m:e>
            <m:sub>
              <m:d>
                <m:dPr>
                  <m:begChr m:val="("/>
                  <m:endChr m:val=")"/>
                  <m:sepChr m:val=""/>
                  <m:grow/>
                </m:dPr>
                <m:e>
                  <m:r>
                    <m:t>S</m:t>
                  </m:r>
                  <m:r>
                    <m:t>T</m:t>
                  </m:r>
                  <m:r>
                    <m:rPr>
                      <m:sty m:val="p"/>
                    </m:rPr>
                    <m:t>+</m:t>
                  </m:r>
                  <m:r>
                    <m:t>S</m:t>
                  </m:r>
                  <m:r>
                    <m:t>F</m:t>
                  </m:r>
                </m:e>
              </m:d>
              <m:r>
                <m:rPr>
                  <m:sty m:val="p"/>
                </m:rPr>
                <m:t>&gt;</m:t>
              </m:r>
              <m:r>
                <m:t>0</m:t>
              </m:r>
            </m:sub>
          </m:sSub>
        </m:oMath>
      </m:oMathPara>
    </w:p>
    <w:p>
      <w:pPr>
        <w:pStyle w:val="FirstParagraph"/>
      </w:pPr>
      <w:r>
        <w:t xml:space="preserve">Avec :</w:t>
      </w:r>
    </w:p>
    <w:p>
      <w:pPr>
        <w:numPr>
          <w:ilvl w:val="0"/>
          <w:numId w:val="1017"/>
        </w:numPr>
      </w:pPr>
      <m:oMath>
        <m:r>
          <m:t>P</m:t>
        </m:r>
        <m:r>
          <m:t>P</m:t>
        </m:r>
        <m:r>
          <m:t>B</m:t>
        </m:r>
      </m:oMath>
      <w:r>
        <w:t xml:space="preserve"> </w:t>
      </w:r>
      <w:r>
        <w:t xml:space="preserve">: Le montant de la provision pour participation aux bénéfices, évaluée à la valeur comptable;</w:t>
      </w:r>
    </w:p>
    <w:p>
      <w:pPr>
        <w:numPr>
          <w:ilvl w:val="0"/>
          <w:numId w:val="1017"/>
        </w:numPr>
      </w:pPr>
      <m:oMath>
        <m:r>
          <m:t>S</m:t>
        </m:r>
        <m:r>
          <m:t>T</m:t>
        </m:r>
      </m:oMath>
      <w:r>
        <w:t xml:space="preserve"> </w:t>
      </w:r>
      <w:r>
        <w:t xml:space="preserve">: Somme des soldes techniques.</w:t>
      </w:r>
    </w:p>
    <w:p>
      <w:pPr>
        <w:numPr>
          <w:ilvl w:val="0"/>
          <w:numId w:val="1017"/>
        </w:numPr>
      </w:pPr>
      <m:oMath>
        <m:bar>
          <m:barPr>
            <m:pos m:val="top"/>
          </m:barPr>
          <m:e>
            <m:r>
              <m:t>T</m:t>
            </m:r>
            <m:r>
              <m:t>P</m:t>
            </m:r>
            <m:r>
              <m:t>B</m:t>
            </m:r>
          </m:e>
        </m:bar>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bar>
            <m:barPr>
              <m:pos m:val="top"/>
            </m:barPr>
            <m:e>
              <m:r>
                <m:t>T</m:t>
              </m:r>
              <m:r>
                <m:t>P</m:t>
              </m:r>
              <m:r>
                <m:t>B</m:t>
              </m:r>
            </m:e>
          </m:bar>
          <m:r>
            <m:rPr>
              <m:sty m:val="p"/>
            </m:rPr>
            <m:t>=</m:t>
          </m:r>
          <m:f>
            <m:fPr>
              <m:type m:val="bar"/>
            </m:fPr>
            <m:num>
              <m:r>
                <m:t>D</m:t>
              </m:r>
              <m:r>
                <m:t>o</m:t>
              </m:r>
              <m:r>
                <m:t>t</m:t>
              </m:r>
            </m:num>
            <m:den>
              <m:r>
                <m:t>R</m:t>
              </m:r>
              <m:r>
                <m:t>T</m:t>
              </m:r>
              <m:r>
                <m:rPr>
                  <m:sty m:val="p"/>
                </m:rPr>
                <m:t>+</m:t>
              </m:r>
              <m:r>
                <m:t>R</m:t>
              </m:r>
              <m:r>
                <m:t>F</m:t>
              </m:r>
            </m:den>
          </m:f>
        </m:oMath>
      </m:oMathPara>
    </w:p>
    <w:p>
      <w:pPr>
        <w:pStyle w:val="FirstParagraph"/>
      </w:pPr>
      <w:r>
        <w:t xml:space="preserve">Avec :</w:t>
      </w:r>
    </w:p>
    <w:p>
      <w:pPr>
        <w:numPr>
          <w:ilvl w:val="0"/>
          <w:numId w:val="1018"/>
        </w:numPr>
        <w:pStyle w:val="Compact"/>
      </w:pPr>
      <m:oMath>
        <m:r>
          <m:t>D</m:t>
        </m:r>
        <m:r>
          <m:t>o</m:t>
        </m:r>
        <m:r>
          <m:t>t</m:t>
        </m:r>
      </m:oMath>
      <w:r>
        <w:t xml:space="preserve"> </w:t>
      </w:r>
      <w:r>
        <w:t xml:space="preserve">: somme des dotations au titre, des trois derniers exercices clos au moins.</w:t>
      </w:r>
    </w:p>
    <w:p>
      <w:pPr>
        <w:numPr>
          <w:ilvl w:val="0"/>
          <w:numId w:val="1018"/>
        </w:numPr>
        <w:pStyle w:val="Compact"/>
      </w:pPr>
      <m:oMath>
        <m:r>
          <m:t>R</m:t>
        </m:r>
        <m:r>
          <m:t>T</m:t>
        </m:r>
      </m:oMath>
      <w:r>
        <w:t xml:space="preserve"> </w:t>
      </w:r>
      <w:r>
        <w:t xml:space="preserve">:les résultats techniques.</w:t>
      </w:r>
    </w:p>
    <w:p>
      <w:pPr>
        <w:numPr>
          <w:ilvl w:val="0"/>
          <w:numId w:val="1018"/>
        </w:numPr>
        <w:pStyle w:val="Compact"/>
      </w:pPr>
      <m:oMath>
        <m:r>
          <m:t>R</m:t>
        </m:r>
        <m:r>
          <m:t>F</m:t>
        </m:r>
      </m:oMath>
      <w:r>
        <w:t xml:space="preserve"> </w:t>
      </w:r>
      <w:r>
        <w:t xml:space="preserve">:les résultats financiers.</w:t>
      </w:r>
    </w:p>
    <w:bookmarkEnd w:id="90"/>
    <w:bookmarkEnd w:id="91"/>
    <w:bookmarkStart w:id="92" w:name="X0dedfd34ddaeaf1baa3793d4b4da364b43b18e0"/>
    <w:p>
      <w:pPr>
        <w:pStyle w:val="Heading4"/>
      </w:pPr>
      <w:r>
        <w:t xml:space="preserve">7.1.2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r>
            <m:t>E</m:t>
          </m:r>
          <m:r>
            <m:t>F</m:t>
          </m:r>
          <m:r>
            <m:t>G</m:t>
          </m:r>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sSub>
            <m:e>
              <m:r>
                <m:t>C</m:t>
              </m:r>
            </m:e>
            <m:sub>
              <m:r>
                <m:t>t</m:t>
              </m:r>
            </m:sub>
          </m:sSub>
          <m:r>
            <m:rPr>
              <m:sty m:val="p"/>
            </m:rPr>
            <m:t>×</m:t>
          </m:r>
          <m:bar>
            <m:barPr>
              <m:pos m:val="top"/>
            </m:barPr>
            <m:e>
              <m:r>
                <m:t>F</m:t>
              </m:r>
              <m:r>
                <m:t>G</m:t>
              </m:r>
              <m:sSub>
                <m:e>
                  <m:r>
                    <m:t>U</m:t>
                  </m:r>
                </m:e>
                <m:sub>
                  <m:r>
                    <m:t>t</m:t>
                  </m:r>
                </m:sub>
              </m:sSub>
            </m:e>
          </m:bar>
        </m:oMath>
      </m:oMathPara>
    </w:p>
    <w:p>
      <w:pPr>
        <w:pStyle w:val="FirstParagraph"/>
      </w:pPr>
      <w:r>
        <w:t xml:space="preserve">Avec :</w:t>
      </w:r>
    </w:p>
    <w:p>
      <w:pPr>
        <w:numPr>
          <w:ilvl w:val="0"/>
          <w:numId w:val="1019"/>
        </w:numPr>
        <w:pStyle w:val="Compact"/>
      </w:pPr>
      <m:oMath>
        <m:sSub>
          <m:e>
            <m:acc>
              <m:accPr>
                <m:chr m:val="‾"/>
              </m:accPr>
              <m:e>
                <m:r>
                  <m:t>F</m:t>
                </m:r>
                <m:r>
                  <m:t>G</m:t>
                </m:r>
                <m:r>
                  <m:t>U</m:t>
                </m:r>
              </m:e>
            </m:acc>
          </m:e>
          <m:sub>
            <m:r>
              <m:t>t</m:t>
            </m:r>
          </m:sub>
        </m:sSub>
      </m:oMath>
      <w:r>
        <w:t xml:space="preserve"> </w:t>
      </w:r>
      <w:r>
        <w:t xml:space="preserve">: Le montant de frais de gestion unitaire moyen est estimé en considérant la moyenne sur les trois derniers exercices clos des montants de frais de gestion unitaires.</w:t>
      </w:r>
    </w:p>
    <w:p>
      <w:pPr>
        <w:numPr>
          <w:ilvl w:val="0"/>
          <w:numId w:val="1019"/>
        </w:numPr>
        <w:pStyle w:val="Compact"/>
      </w:pPr>
      <m:oMath>
        <m:r>
          <m:t>N</m:t>
        </m:r>
        <m:r>
          <m:t>b</m:t>
        </m:r>
        <m:sSub>
          <m:e>
            <m:r>
              <m:t>C</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9"/>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bar>
            <m:barPr>
              <m:pos m:val="top"/>
            </m:barPr>
            <m:e>
              <m:r>
                <m:t>F</m:t>
              </m:r>
              <m:r>
                <m:t>G</m:t>
              </m:r>
              <m:sSub>
                <m:e>
                  <m:r>
                    <m:t>U</m:t>
                  </m:r>
                </m:e>
                <m:sub>
                  <m:r>
                    <m:t>t</m:t>
                  </m:r>
                </m:sub>
              </m:sSub>
            </m:e>
          </m:bar>
          <m:r>
            <m:rPr>
              <m:sty m:val="p"/>
            </m:rPr>
            <m:t>=</m:t>
          </m:r>
          <m:f>
            <m:fPr>
              <m:type m:val="bar"/>
            </m:fPr>
            <m:num>
              <m:f>
                <m:fPr>
                  <m:type m:val="bar"/>
                </m:fPr>
                <m:num>
                  <m:r>
                    <m:t>F</m:t>
                  </m:r>
                  <m:sSub>
                    <m:e>
                      <m:r>
                        <m:t>G</m:t>
                      </m:r>
                    </m:e>
                    <m:sub>
                      <m:r>
                        <m:t>t</m:t>
                      </m:r>
                      <m:r>
                        <m:rPr>
                          <m:sty m:val="p"/>
                        </m:rPr>
                        <m:t>−</m:t>
                      </m:r>
                      <m:r>
                        <m:t>1</m:t>
                      </m:r>
                    </m:sub>
                  </m:sSub>
                </m:num>
                <m:den>
                  <m:r>
                    <m:t>N</m:t>
                  </m:r>
                  <m:r>
                    <m:t>b</m:t>
                  </m:r>
                  <m:sSub>
                    <m:e>
                      <m:r>
                        <m:t>C</m:t>
                      </m:r>
                    </m:e>
                    <m:sub>
                      <m:r>
                        <m:t>t</m:t>
                      </m:r>
                      <m:r>
                        <m:rPr>
                          <m:sty m:val="p"/>
                        </m:rPr>
                        <m:t>−</m:t>
                      </m:r>
                      <m:r>
                        <m:t>1</m:t>
                      </m:r>
                    </m:sub>
                  </m:sSub>
                </m:den>
              </m:f>
              <m:r>
                <m:rPr>
                  <m:sty m:val="p"/>
                </m:rPr>
                <m:t>+</m:t>
              </m:r>
              <m:f>
                <m:fPr>
                  <m:type m:val="bar"/>
                </m:fPr>
                <m:num>
                  <m:r>
                    <m:t>F</m:t>
                  </m:r>
                  <m:sSub>
                    <m:e>
                      <m:r>
                        <m:t>G</m:t>
                      </m:r>
                    </m:e>
                    <m:sub>
                      <m:r>
                        <m:t>t</m:t>
                      </m:r>
                      <m:r>
                        <m:rPr>
                          <m:sty m:val="p"/>
                        </m:rPr>
                        <m:t>−</m:t>
                      </m:r>
                      <m:r>
                        <m:t>2</m:t>
                      </m:r>
                    </m:sub>
                  </m:sSub>
                </m:num>
                <m:den>
                  <m:r>
                    <m:t>N</m:t>
                  </m:r>
                  <m:r>
                    <m:t>b</m:t>
                  </m:r>
                  <m:sSub>
                    <m:e>
                      <m:r>
                        <m:t>C</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sSub>
                    <m:e>
                      <m:r>
                        <m:t>C</m:t>
                      </m:r>
                    </m:e>
                    <m:sub>
                      <m:r>
                        <m:t>t</m:t>
                      </m:r>
                      <m:r>
                        <m:rPr>
                          <m:sty m:val="p"/>
                        </m:rPr>
                        <m:t>−</m:t>
                      </m:r>
                      <m:r>
                        <m:t>3</m:t>
                      </m:r>
                    </m:sub>
                  </m:sSub>
                </m:den>
              </m:f>
            </m:num>
            <m:den>
              <m:r>
                <m:t>3</m:t>
              </m:r>
            </m:den>
          </m:f>
        </m:oMath>
      </m:oMathPara>
    </w:p>
    <w:bookmarkEnd w:id="92"/>
    <w:bookmarkEnd w:id="93"/>
    <w:bookmarkStart w:id="94" w:name="rentes-découlants-des-opérations-non-vie"/>
    <w:p>
      <w:pPr>
        <w:pStyle w:val="Heading3"/>
      </w:pPr>
      <w:r>
        <w:t xml:space="preserve">7.2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e</m:t>
              </m:r>
              <m:r>
                <m:t>n</m:t>
              </m:r>
              <m:r>
                <m:t>g</m:t>
              </m:r>
            </m:sub>
          </m:sSub>
          <m:r>
            <m:rPr>
              <m:sty m:val="p"/>
            </m:rPr>
            <m:t>=</m:t>
          </m:r>
          <m:r>
            <m:t>B</m:t>
          </m:r>
          <m:r>
            <m:t>E</m:t>
          </m:r>
          <m:r>
            <m:t>G</m:t>
          </m:r>
          <m:r>
            <m:t>P</m:t>
          </m:r>
        </m:oMath>
      </m:oMathPara>
    </w:p>
    <w:p>
      <w:pPr>
        <w:pStyle w:val="FirstParagraph"/>
      </w:pPr>
      <w:r>
        <w:t xml:space="preserve">Avec :</w:t>
      </w:r>
    </w:p>
    <w:p>
      <w:pPr>
        <w:numPr>
          <w:ilvl w:val="0"/>
          <w:numId w:val="1020"/>
        </w:numPr>
        <w:pStyle w:val="Compact"/>
      </w:pPr>
      <m:oMath>
        <m:r>
          <m:t>B</m:t>
        </m:r>
        <m:sSub>
          <m:e>
            <m:r>
              <m:t>E</m:t>
            </m:r>
          </m:e>
          <m:sub>
            <m:r>
              <m:t>e</m:t>
            </m:r>
            <m:r>
              <m:t>n</m:t>
            </m:r>
            <m:r>
              <m:t>g</m:t>
            </m:r>
          </m:sub>
        </m:sSub>
      </m:oMath>
      <w:r>
        <w:t xml:space="preserve"> </w:t>
      </w:r>
      <w:r>
        <w:t xml:space="preserve">: la meilleure estimation rentes découlant des opérations d’assurance non vie.</w:t>
      </w:r>
    </w:p>
    <w:p>
      <w:pPr>
        <w:numPr>
          <w:ilvl w:val="0"/>
          <w:numId w:val="1020"/>
        </w:numPr>
        <w:pStyle w:val="Compact"/>
      </w:pPr>
      <m:oMath>
        <m:r>
          <m:t>B</m:t>
        </m:r>
        <m:r>
          <m:t>E</m:t>
        </m:r>
        <m:r>
          <m:t>G</m:t>
        </m:r>
        <m:r>
          <m:t>P</m:t>
        </m:r>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94"/>
    <w:bookmarkStart w:id="123" w:name="X95164bc6af2e862e4c417e49c6d46de2a1b5d80"/>
    <w:p>
      <w:pPr>
        <w:pStyle w:val="Heading3"/>
      </w:pPr>
      <w:r>
        <w:t xml:space="preserve">7.3 Opérations d’assurance non vie hors rentes:</w:t>
      </w:r>
    </w:p>
    <w:bookmarkStart w:id="121" w:name="la-meilleure-estimation-des-engagements"/>
    <w:p>
      <w:pPr>
        <w:pStyle w:val="Heading4"/>
      </w:pPr>
      <w:r>
        <w:t xml:space="preserve">7.3.1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r>
            <m:t>B</m:t>
          </m:r>
          <m:sSub>
            <m:e>
              <m:r>
                <m:t>E</m:t>
              </m:r>
            </m:e>
            <m:sub>
              <m:r>
                <m:t>e</m:t>
              </m:r>
              <m:r>
                <m:t>n</m:t>
              </m:r>
              <m:r>
                <m:t>g</m:t>
              </m:r>
            </m:sub>
          </m:sSub>
          <m:r>
            <m:rPr>
              <m:sty m:val="p"/>
            </m:rPr>
            <m:t>=</m:t>
          </m:r>
          <m:r>
            <m:t>B</m:t>
          </m:r>
          <m:sSubSup>
            <m:e>
              <m:r>
                <m:t>E</m:t>
              </m:r>
            </m:e>
            <m:sub>
              <m:r>
                <m:t>e</m:t>
              </m:r>
              <m:r>
                <m:t>n</m:t>
              </m:r>
              <m:r>
                <m:t>g</m:t>
              </m:r>
            </m:sub>
            <m:sup>
              <m:r>
                <m:t>s</m:t>
              </m:r>
              <m:r>
                <m:t>i</m:t>
              </m:r>
              <m:r>
                <m:t>n</m:t>
              </m:r>
              <m:r>
                <m:t>i</m:t>
              </m:r>
              <m:r>
                <m:t>s</m:t>
              </m:r>
              <m:r>
                <m:t>t</m:t>
              </m:r>
              <m:r>
                <m:t>r</m:t>
              </m:r>
              <m:r>
                <m:t>e</m:t>
              </m:r>
              <m:r>
                <m:t>s</m:t>
              </m:r>
            </m:sup>
          </m:sSubSup>
          <m:r>
            <m:rPr>
              <m:sty m:val="p"/>
            </m:rPr>
            <m:t>+</m:t>
          </m:r>
          <m:r>
            <m:t>B</m:t>
          </m:r>
          <m:sSubSup>
            <m:e>
              <m:r>
                <m:t>E</m:t>
              </m:r>
            </m:e>
            <m:sub>
              <m:r>
                <m:t>e</m:t>
              </m:r>
              <m:r>
                <m:t>n</m:t>
              </m:r>
              <m:r>
                <m:t>g</m:t>
              </m:r>
            </m:sub>
            <m:sup>
              <m:r>
                <m:t>p</m:t>
              </m:r>
              <m:r>
                <m:t>r</m:t>
              </m:r>
              <m:r>
                <m:t>i</m:t>
              </m:r>
              <m:r>
                <m:t>m</m:t>
              </m:r>
              <m:r>
                <m:t>e</m:t>
              </m:r>
              <m:r>
                <m:t>s</m:t>
              </m:r>
            </m:sup>
          </m:sSubSup>
        </m:oMath>
      </m:oMathPara>
    </w:p>
    <w:bookmarkStart w:id="95" w:name="X56af061193cea9b2e2ce6b95dd7e468b62b6f19"/>
    <w:p>
      <w:pPr>
        <w:pStyle w:val="Heading5"/>
      </w:pPr>
      <w:r>
        <w:t xml:space="preserve">7.3.1.1 La meilleure estimation des engagements pour primes(</w:t>
      </w:r>
      <m:oMath>
        <m:sSub>
          <m:e>
            <m:r>
              <m:t>​</m:t>
            </m:r>
          </m:e>
          <m:sub>
            <m:r>
              <m:t>n</m:t>
            </m:r>
            <m:r>
              <m:t>v</m:t>
            </m:r>
            <m:r>
              <m:t>h</m:t>
            </m:r>
            <m:r>
              <m:t>r</m:t>
            </m:r>
          </m:sub>
        </m:sSub>
        <m:r>
          <m:t>B</m:t>
        </m:r>
        <m:sSubSup>
          <m:e>
            <m:r>
              <m:t>E</m:t>
            </m:r>
          </m:e>
          <m:sub>
            <m:r>
              <m:t>e</m:t>
            </m:r>
            <m:r>
              <m:t>n</m:t>
            </m:r>
            <m:r>
              <m:t>g</m:t>
            </m:r>
          </m:sub>
          <m:sup>
            <m:r>
              <m:t>p</m:t>
            </m:r>
            <m:r>
              <m:t>r</m:t>
            </m:r>
            <m:r>
              <m:t>i</m:t>
            </m:r>
            <m:r>
              <m:t>m</m:t>
            </m:r>
            <m:r>
              <m:t>e</m:t>
            </m:r>
            <m:r>
              <m:t>s</m:t>
            </m:r>
          </m:sup>
        </m:sSubSup>
      </m:oMath>
      <w:r>
        <w:t xml:space="preserve">):</w:t>
      </w:r>
    </w:p>
    <w:p>
      <w:pPr>
        <w:pStyle w:val="FirstParagraph"/>
      </w:pPr>
      <w:r>
        <w:t xml:space="preserve">La meilleure estimation des engagements pour primes correspond à la différence entre :</w:t>
      </w:r>
    </w:p>
    <w:p>
      <w:pPr>
        <w:numPr>
          <w:ilvl w:val="0"/>
          <w:numId w:val="1021"/>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1"/>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r>
            <m:t>B</m:t>
          </m:r>
          <m:sSubSup>
            <m:e>
              <m:r>
                <m:t>E</m:t>
              </m:r>
            </m:e>
            <m:sub>
              <m:r>
                <m:t>e</m:t>
              </m:r>
              <m:r>
                <m:t>n</m:t>
              </m:r>
              <m:r>
                <m:t>g</m:t>
              </m:r>
            </m:sub>
            <m:sup>
              <m:r>
                <m:t>p</m:t>
              </m:r>
              <m:r>
                <m:t>r</m:t>
              </m:r>
              <m:r>
                <m:t>i</m:t>
              </m:r>
              <m:r>
                <m:t>m</m:t>
              </m:r>
              <m:r>
                <m:t>e</m:t>
              </m:r>
              <m:r>
                <m:t>s</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2"/>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2"/>
        </w:numPr>
        <w:pStyle w:val="Compact"/>
      </w:pPr>
      <m:oMath>
        <m:r>
          <m:t>P</m:t>
        </m:r>
        <m:r>
          <m:t>F</m:t>
        </m:r>
        <m:r>
          <m:t>P</m:t>
        </m:r>
      </m:oMath>
      <w:r>
        <w:t xml:space="preserve">: Le montant des primes futures probabilisé.</w:t>
      </w:r>
    </w:p>
    <w:p>
      <w:pPr>
        <w:numPr>
          <w:ilvl w:val="0"/>
          <w:numId w:val="1022"/>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r>
            <m:t>L</m:t>
          </m:r>
          <m:r>
            <m:rPr>
              <m:sty m:val="p"/>
            </m:rPr>
            <m:t>*</m:t>
          </m:r>
          <m:r>
            <m:t>R</m:t>
          </m:r>
          <m:r>
            <m:t>S</m:t>
          </m:r>
          <m:r>
            <m:t>M</m:t>
          </m:r>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3"/>
        </w:numPr>
      </w:pPr>
      <m:oMath>
        <m:r>
          <m:t>T</m:t>
        </m:r>
        <m:r>
          <m:t>L</m:t>
        </m:r>
      </m:oMath>
      <w:r>
        <w:t xml:space="preserve">: le taux de liquidation,il est estimé en fonction de la cadence de liquidation des engagements pour sinistres survenus.</w:t>
      </w:r>
    </w:p>
    <w:p>
      <w:pPr>
        <w:numPr>
          <w:ilvl w:val="0"/>
          <w:numId w:val="1023"/>
        </w:numPr>
      </w:pPr>
      <m:oMath>
        <m:r>
          <m:t>R</m:t>
        </m:r>
        <m:r>
          <m:t>S</m:t>
        </m:r>
        <m:r>
          <m:t>M</m:t>
        </m:r>
      </m:oMath>
      <w:r>
        <w:t xml:space="preserve">: le ratio de sinistralité moyen telle que:</w:t>
      </w:r>
    </w:p>
    <w:p>
      <w:pPr>
        <w:pStyle w:val="BodyText"/>
      </w:pPr>
      <m:oMathPara>
        <m:oMathParaPr>
          <m:jc m:val="center"/>
        </m:oMathParaPr>
        <m:oMath>
          <m:r>
            <m:t>R</m:t>
          </m:r>
          <m:r>
            <m:t>S</m:t>
          </m:r>
          <m:sSub>
            <m:e>
              <m:r>
                <m:t>M</m:t>
              </m:r>
            </m:e>
            <m:sub>
              <m:r>
                <m:t>t</m:t>
              </m:r>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3"/>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3"/>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sSub>
            <m:e>
              <m:r>
                <m:t>C</m:t>
              </m:r>
            </m:e>
            <m:sub>
              <m:r>
                <m:t>t</m:t>
              </m:r>
            </m:sub>
          </m:sSub>
          <m:r>
            <m:rPr>
              <m:sty m:val="p"/>
            </m:rPr>
            <m:t>+</m:t>
          </m:r>
          <m:r>
            <m:t>R</m:t>
          </m:r>
          <m:sSub>
            <m:e>
              <m:r>
                <m:t>F</m:t>
              </m:r>
            </m:e>
            <m:sub>
              <m:r>
                <m:t>t</m:t>
              </m:r>
            </m:sub>
          </m:sSub>
        </m:oMath>
      </m:oMathPara>
    </w:p>
    <w:p>
      <w:pPr>
        <w:numPr>
          <w:ilvl w:val="0"/>
          <w:numId w:val="1024"/>
        </w:numPr>
        <w:pStyle w:val="Compact"/>
      </w:pPr>
      <m:oMath>
        <m:r>
          <m:t>R</m:t>
        </m:r>
        <m:sSub>
          <m:e>
            <m:r>
              <m:t>C</m:t>
            </m:r>
          </m:e>
          <m:sub>
            <m:r>
              <m:t>t</m:t>
            </m:r>
          </m:sub>
        </m:sSub>
      </m:oMath>
      <w:r>
        <w:t xml:space="preserve"> </w:t>
      </w:r>
      <w:r>
        <w:t xml:space="preserve">: les règlements cumulés</w:t>
      </w:r>
    </w:p>
    <w:p>
      <w:pPr>
        <w:numPr>
          <w:ilvl w:val="0"/>
          <w:numId w:val="1024"/>
        </w:numPr>
        <w:pStyle w:val="Compact"/>
      </w:pPr>
      <m:oMath>
        <m:r>
          <m:t>R</m:t>
        </m:r>
        <m:sSub>
          <m:e>
            <m:r>
              <m:t>F</m:t>
            </m:r>
          </m:e>
          <m:sub>
            <m:r>
              <m:t>t</m:t>
            </m:r>
          </m:sub>
        </m:sSub>
      </m:oMath>
      <w:r>
        <w:t xml:space="preserve">: les règlements futurs</w:t>
      </w:r>
    </w:p>
    <w:p>
      <w:pPr>
        <w:numPr>
          <w:ilvl w:val="0"/>
          <w:numId w:val="1024"/>
        </w:numPr>
        <w:pStyle w:val="Compact"/>
      </w:pPr>
      <m:oMath>
        <m:r>
          <m:t>P</m:t>
        </m:r>
        <m:r>
          <m:t>P</m:t>
        </m:r>
        <m:r>
          <m:t>N</m:t>
        </m:r>
        <m:r>
          <m:t>A</m:t>
        </m:r>
      </m:oMath>
      <w:r>
        <w:t xml:space="preserve">: La provision pour primes non acquises.</w:t>
      </w:r>
    </w:p>
    <w:p>
      <w:pPr>
        <w:numPr>
          <w:ilvl w:val="0"/>
          <w:numId w:val="1024"/>
        </w:numPr>
        <w:pStyle w:val="Compact"/>
      </w:pPr>
      <m:oMath>
        <m:r>
          <m:t>P</m:t>
        </m:r>
        <m:r>
          <m:t>F</m:t>
        </m:r>
        <m:r>
          <m:t>P</m:t>
        </m:r>
      </m:oMath>
      <w:r>
        <w:t xml:space="preserve">: Le montant des primes futures probabilisé.</w:t>
      </w:r>
    </w:p>
    <w:bookmarkEnd w:id="95"/>
    <w:bookmarkStart w:id="96" w:name="X3edbf5e1227433cf91f7fc096d666a633ac2f09"/>
    <w:p>
      <w:pPr>
        <w:pStyle w:val="Heading5"/>
      </w:pPr>
      <w:r>
        <w:t xml:space="preserve">7.3.1.2 La meilleure estimation des engagements pour sinistres nets (</w:t>
      </w:r>
      <m:oMath>
        <m:r>
          <m:t>B</m:t>
        </m:r>
        <m:sSubSup>
          <m:e>
            <m:r>
              <m:t>E</m:t>
            </m:r>
          </m:e>
          <m:sub>
            <m:r>
              <m:t>e</m:t>
            </m:r>
            <m:r>
              <m:t>n</m:t>
            </m:r>
            <m:r>
              <m:t>g</m:t>
            </m:r>
          </m:sub>
          <m:sup>
            <m:r>
              <m:t>s</m:t>
            </m:r>
            <m:r>
              <m:t>i</m:t>
            </m:r>
            <m:r>
              <m:t>n</m:t>
            </m:r>
            <m:r>
              <m:t>i</m:t>
            </m:r>
            <m:r>
              <m:t>s</m:t>
            </m:r>
            <m:r>
              <m:t>t</m:t>
            </m:r>
            <m:r>
              <m:t>r</m:t>
            </m:r>
            <m:r>
              <m:t>e</m:t>
            </m:r>
            <m:r>
              <m:t>s</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r>
            <m:t>B</m:t>
          </m:r>
          <m:sSubSup>
            <m:e>
              <m:r>
                <m:t>E</m:t>
              </m:r>
            </m:e>
            <m:sub>
              <m:r>
                <m:t>e</m:t>
              </m:r>
              <m:r>
                <m:t>n</m:t>
              </m:r>
              <m:r>
                <m:t>g</m:t>
              </m:r>
            </m:sub>
            <m:sup>
              <m:r>
                <m:t>s</m:t>
              </m:r>
              <m:r>
                <m:t>i</m:t>
              </m:r>
              <m:r>
                <m:t>n</m:t>
              </m:r>
              <m:r>
                <m:t>i</m:t>
              </m:r>
              <m:r>
                <m:t>s</m:t>
              </m:r>
              <m:r>
                <m:t>t</m:t>
              </m:r>
              <m:r>
                <m:t>r</m:t>
              </m:r>
              <m:r>
                <m:t>e</m:t>
              </m:r>
              <m:r>
                <m:t>s</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5"/>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96"/>
    <w:bookmarkStart w:id="97" w:name="X574a46407ada84d5774a3057497baf873ebb70b"/>
    <w:p>
      <w:pPr>
        <w:pStyle w:val="Heading5"/>
      </w:pPr>
      <w:r>
        <w:t xml:space="preserve">7.3.1.3 Méthode de calcul des flux de réglements futurs probabilisés pour les opérations non-vie hors rentes</w:t>
      </w:r>
    </w:p>
    <w:bookmarkEnd w:id="97"/>
    <w:bookmarkStart w:id="113" w:name="méthode-des-cadences-chain-ladder"/>
    <w:p>
      <w:pPr>
        <w:pStyle w:val="Heading5"/>
      </w:pPr>
      <w:r>
        <w:t xml:space="preserve">7.3.1.4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C:\PROGRA~1\RStudio\RESOUR~1\app\bin\quarto\share\formats\docx\note.png" id="100"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PROGRA~1\RStudio\RESOUR~1\app\bin\quarto\share\formats\docx\note.png" id="102"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3" name="Picture"/>
                  <a:graphic>
                    <a:graphicData uri="http://schemas.openxmlformats.org/drawingml/2006/picture">
                      <pic:pic>
                        <pic:nvPicPr>
                          <pic:cNvPr descr="C:\PROGRA~1\RStudio\RESOUR~1\app\bin\quarto\share\formats\docx\note.png" id="104"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6"/>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7"/>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C:\PROGRA~1\RStudio\RESOUR~1\app\bin\quarto\share\formats\docx\note.png" id="106"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C:\PROGRA~1\RStudio\RESOUR~1\app\bin\quarto\share\formats\docx\note.png" id="108"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1\RStudio\RESOUR~1\app\bin\quarto\share\formats\docx\note.png" id="110"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C:\PROGRA~1\RStudio\RESOUR~1\app\bin\quarto\share\formats\docx\note.png" id="112"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13"/>
    <w:bookmarkStart w:id="114" w:name="méthode-des-cadences-avec-inflation"/>
    <w:p>
      <w:pPr>
        <w:pStyle w:val="Heading5"/>
      </w:pPr>
      <w:r>
        <w:t xml:space="preserve">7.3.1.5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14"/>
    <w:bookmarkStart w:id="115" w:name="la-méthode-du-ratio-de-paiement"/>
    <w:p>
      <w:pPr>
        <w:pStyle w:val="Heading5"/>
      </w:pPr>
      <w:r>
        <w:t xml:space="preserve">7.3.1.6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115"/>
    <w:bookmarkStart w:id="120" w:name="la-méthode-du-ratio-de-paiement-1"/>
    <w:p>
      <w:pPr>
        <w:pStyle w:val="Heading5"/>
      </w:pPr>
      <w:r>
        <w:t xml:space="preserve">7.3.1.7 La méthode du ratio de paiement</w:t>
      </w:r>
    </w:p>
    <w:p>
      <w:pPr>
        <w:pStyle w:val="FirstParagraph"/>
      </w:pPr>
      <w:r>
        <w:t xml:space="preserve">La méthode de Bornhuetter-Ferguson</w:t>
      </w:r>
      <w:r>
        <w:rPr>
          <w:rStyle w:val="FootnoteReference"/>
        </w:rPr>
        <w:footnoteReference w:id="116"/>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17"/>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8"/>
        </w:numPr>
        <w:pStyle w:val="Compact"/>
      </w:pPr>
      <m:oMath>
        <m:r>
          <m:t>L</m:t>
        </m:r>
      </m:oMath>
      <w:r>
        <w:t xml:space="preserve"> </w:t>
      </w:r>
      <w:r>
        <w:t xml:space="preserve">: coût total estimé par cette méthode.</w:t>
      </w:r>
    </w:p>
    <w:p>
      <w:pPr>
        <w:numPr>
          <w:ilvl w:val="0"/>
          <w:numId w:val="1028"/>
        </w:numPr>
        <w:pStyle w:val="Compact"/>
      </w:pPr>
      <m:oMath>
        <m:r>
          <m:t>D</m:t>
        </m:r>
      </m:oMath>
      <w:r>
        <w:t xml:space="preserve"> </w:t>
      </w:r>
      <w:r>
        <w:t xml:space="preserve">: coût total estimé en fonction des sinistres connues.</w:t>
      </w:r>
    </w:p>
    <w:p>
      <w:pPr>
        <w:numPr>
          <w:ilvl w:val="0"/>
          <w:numId w:val="1028"/>
        </w:numPr>
        <w:pStyle w:val="Compact"/>
      </w:pPr>
      <m:oMath>
        <m:r>
          <m:t>A</m:t>
        </m:r>
      </m:oMath>
      <w:r>
        <w:t xml:space="preserve"> </w:t>
      </w:r>
      <w:r>
        <w:t xml:space="preserve">: coût total (connus + tardifs) attendu a priori.</w:t>
      </w:r>
    </w:p>
    <w:p>
      <w:pPr>
        <w:numPr>
          <w:ilvl w:val="0"/>
          <w:numId w:val="1028"/>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18" name="Picture"/>
                  <a:graphic>
                    <a:graphicData uri="http://schemas.openxmlformats.org/drawingml/2006/picture">
                      <pic:pic>
                        <pic:nvPicPr>
                          <pic:cNvPr descr="C:\PROGRA~1\RStudio\RESOUR~1\app\bin\quarto\share\formats\docx\tip.png" id="11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20"/>
    <w:bookmarkEnd w:id="121"/>
    <w:bookmarkStart w:id="122" w:name="X7e63ab4301a770f99d7cb8d654e83cd2564e4b4"/>
    <w:p>
      <w:pPr>
        <w:pStyle w:val="Heading4"/>
      </w:pPr>
      <w:r>
        <w:t xml:space="preserve">7.3.2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r>
            <m:t>B</m:t>
          </m:r>
          <m:r>
            <m:t>E</m:t>
          </m:r>
          <m:r>
            <m:t>F</m:t>
          </m:r>
          <m:r>
            <m:t>G</m:t>
          </m:r>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9"/>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r>
            <m:t>F</m:t>
          </m:r>
          <m:r>
            <m:t>G</m:t>
          </m:r>
          <m:r>
            <m:t>M</m:t>
          </m:r>
          <m:r>
            <m:rPr>
              <m:sty m:val="p"/>
            </m:rPr>
            <m:t>*</m:t>
          </m:r>
          <m:d>
            <m:dPr>
              <m:begChr m:val="("/>
              <m:endChr m:val=")"/>
              <m:sepChr m:val=""/>
              <m:grow/>
            </m:dPr>
            <m:e>
              <m:r>
                <m:t>B</m:t>
              </m:r>
              <m:sSubSup>
                <m:e>
                  <m:r>
                    <m:t>E</m:t>
                  </m:r>
                </m:e>
                <m:sub>
                  <m:r>
                    <m:t>e</m:t>
                  </m:r>
                  <m:r>
                    <m:t>n</m:t>
                  </m:r>
                  <m:r>
                    <m:t>g</m:t>
                  </m:r>
                </m:sub>
                <m:sup>
                  <m:r>
                    <m:t>s</m:t>
                  </m:r>
                  <m:r>
                    <m:t>i</m:t>
                  </m:r>
                  <m:r>
                    <m:t>n</m:t>
                  </m:r>
                  <m:r>
                    <m:t>i</m:t>
                  </m:r>
                  <m:r>
                    <m:t>s</m:t>
                  </m:r>
                  <m:r>
                    <m:t>t</m:t>
                  </m:r>
                  <m:r>
                    <m:t>r</m:t>
                  </m:r>
                  <m:r>
                    <m:t>e</m:t>
                  </m:r>
                  <m:r>
                    <m:t>s</m:t>
                  </m:r>
                </m:sup>
              </m:sSubSup>
              <m:r>
                <m:rPr>
                  <m:sty m:val="p"/>
                </m:rPr>
                <m:t>+</m:t>
              </m:r>
              <m:r>
                <m:t>B</m:t>
              </m:r>
              <m:sSubSup>
                <m:e>
                  <m:r>
                    <m:t>E</m:t>
                  </m:r>
                </m:e>
                <m:sub>
                  <m:r>
                    <m:t>e</m:t>
                  </m:r>
                  <m:r>
                    <m:t>n</m:t>
                  </m:r>
                  <m:r>
                    <m:t>g</m:t>
                  </m:r>
                </m:sub>
                <m:sup>
                  <m:r>
                    <m:t>p</m:t>
                  </m:r>
                  <m:r>
                    <m:t>r</m:t>
                  </m:r>
                  <m:r>
                    <m:t>i</m:t>
                  </m:r>
                  <m:r>
                    <m:t>m</m:t>
                  </m:r>
                  <m:r>
                    <m:t>e</m:t>
                  </m:r>
                  <m:r>
                    <m:t>s</m:t>
                  </m:r>
                </m:sup>
              </m:sSubSup>
            </m:e>
          </m:d>
        </m:oMath>
      </m:oMathPara>
    </w:p>
    <w:p>
      <w:pPr>
        <w:pStyle w:val="FirstParagraph"/>
      </w:pPr>
      <w:r>
        <w:t xml:space="preserve">et:</w:t>
      </w:r>
    </w:p>
    <w:p>
      <w:pPr>
        <w:numPr>
          <w:ilvl w:val="0"/>
          <w:numId w:val="1030"/>
        </w:numPr>
        <w:pStyle w:val="Compact"/>
      </w:pPr>
      <m:oMath>
        <m:r>
          <m:t>T</m:t>
        </m:r>
        <m:r>
          <m:t>F</m:t>
        </m:r>
        <m:r>
          <m:t>G</m:t>
        </m:r>
        <m:r>
          <m:t>M</m:t>
        </m:r>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r>
            <m:t>T</m:t>
          </m:r>
          <m:r>
            <m:t>F</m:t>
          </m:r>
          <m:r>
            <m:t>G</m:t>
          </m:r>
          <m:r>
            <m:t>M</m:t>
          </m:r>
          <m:r>
            <m:rPr>
              <m:sty m:val="p"/>
            </m:rPr>
            <m:t>=</m:t>
          </m:r>
          <m:f>
            <m:fPr>
              <m:type m:val="bar"/>
            </m:fPr>
            <m:num>
              <m:r>
                <m:t>T</m:t>
              </m:r>
              <m:r>
                <m:t>F</m:t>
              </m:r>
              <m:sSub>
                <m:e>
                  <m:r>
                    <m:t>G</m:t>
                  </m:r>
                </m:e>
                <m:sub>
                  <m:r>
                    <m:t>t</m:t>
                  </m:r>
                </m:sub>
              </m:sSub>
              <m:r>
                <m:rPr>
                  <m:sty m:val="p"/>
                </m:rPr>
                <m:t>+</m:t>
              </m:r>
              <m:r>
                <m:t>T</m:t>
              </m:r>
              <m:r>
                <m:t>F</m:t>
              </m:r>
              <m:sSub>
                <m:e>
                  <m:r>
                    <m:t>G</m:t>
                  </m:r>
                </m:e>
                <m:sub>
                  <m:r>
                    <m:t>t</m:t>
                  </m:r>
                  <m:r>
                    <m:rPr>
                      <m:sty m:val="p"/>
                    </m:rPr>
                    <m:t>−</m:t>
                  </m:r>
                  <m:r>
                    <m:t>1</m:t>
                  </m:r>
                </m:sub>
              </m:sSub>
              <m:r>
                <m:rPr>
                  <m:sty m:val="p"/>
                </m:rPr>
                <m:t>+</m:t>
              </m:r>
              <m:r>
                <m:t>T</m:t>
              </m:r>
              <m:r>
                <m:t>F</m:t>
              </m:r>
              <m:sSub>
                <m:e>
                  <m:r>
                    <m:t>G</m:t>
                  </m:r>
                </m:e>
                <m:sub>
                  <m:r>
                    <m:t>t</m:t>
                  </m:r>
                  <m:r>
                    <m:rPr>
                      <m:sty m:val="p"/>
                    </m:rPr>
                    <m:t>−</m:t>
                  </m:r>
                  <m:r>
                    <m:t>2</m:t>
                  </m:r>
                </m:sub>
              </m:sSub>
            </m:num>
            <m:den>
              <m:r>
                <m:t>3</m:t>
              </m:r>
            </m:den>
          </m:f>
        </m:oMath>
      </m:oMathPara>
    </w:p>
    <w:p>
      <w:pPr>
        <w:pStyle w:val="FirstParagraph"/>
      </w:pPr>
      <w:r>
        <w:t xml:space="preserve">ainsi que :</w:t>
      </w:r>
    </w:p>
    <w:p>
      <w:pPr>
        <w:pStyle w:val="BodyText"/>
      </w:pPr>
      <m:oMathPara>
        <m:oMathParaPr>
          <m:jc m:val="center"/>
        </m:oMathParaPr>
        <m:oMath>
          <m:r>
            <m:t>T</m:t>
          </m:r>
          <m:r>
            <m:t>F</m:t>
          </m:r>
          <m:sSub>
            <m:e>
              <m:r>
                <m:t>G</m:t>
              </m:r>
            </m:e>
            <m:sub>
              <m:r>
                <m:t>t</m:t>
              </m:r>
            </m:sub>
          </m:sSub>
          <m:r>
            <m:rPr>
              <m:sty m:val="p"/>
            </m:rPr>
            <m:t>=</m:t>
          </m:r>
          <m:f>
            <m:fPr>
              <m:type m:val="bar"/>
            </m:fPr>
            <m:num>
              <m:r>
                <m:t>F</m:t>
              </m:r>
              <m:r>
                <m:t>G</m:t>
              </m:r>
            </m:num>
            <m:den>
              <m:r>
                <m:t>B</m:t>
              </m:r>
              <m:sSubSup>
                <m:e>
                  <m:r>
                    <m:t>E</m:t>
                  </m:r>
                </m:e>
                <m:sub>
                  <m:r>
                    <m:t>e</m:t>
                  </m:r>
                  <m:r>
                    <m:t>n</m:t>
                  </m:r>
                  <m:r>
                    <m:t>g</m:t>
                  </m:r>
                </m:sub>
                <m:sup>
                  <m:r>
                    <m:t>s</m:t>
                  </m:r>
                  <m:r>
                    <m:t>i</m:t>
                  </m:r>
                  <m:r>
                    <m:t>n</m:t>
                  </m:r>
                  <m:r>
                    <m:t>i</m:t>
                  </m:r>
                  <m:r>
                    <m:t>s</m:t>
                  </m:r>
                  <m:r>
                    <m:t>t</m:t>
                  </m:r>
                  <m:r>
                    <m:t>r</m:t>
                  </m:r>
                  <m:r>
                    <m:t>e</m:t>
                  </m:r>
                  <m:r>
                    <m:t>s</m:t>
                  </m:r>
                </m:sup>
              </m:sSubSup>
              <m:r>
                <m:rPr>
                  <m:sty m:val="p"/>
                </m:rPr>
                <m:t>+</m:t>
              </m:r>
              <m:r>
                <m:t>R</m:t>
              </m:r>
              <m:r>
                <m:t>E</m:t>
              </m:r>
              <m:r>
                <m:t>C</m:t>
              </m:r>
            </m:den>
          </m:f>
        </m:oMath>
      </m:oMathPara>
    </w:p>
    <w:p>
      <w:pPr>
        <w:numPr>
          <w:ilvl w:val="0"/>
          <w:numId w:val="1031"/>
        </w:numPr>
        <w:pStyle w:val="Compact"/>
      </w:pPr>
      <m:oMath>
        <m:r>
          <m:t>F</m:t>
        </m:r>
        <m:r>
          <m:t>G</m:t>
        </m:r>
      </m:oMath>
      <w:r>
        <w:t xml:space="preserve">: le montant frais de gestion.</w:t>
      </w:r>
    </w:p>
    <w:p>
      <w:pPr>
        <w:numPr>
          <w:ilvl w:val="0"/>
          <w:numId w:val="1031"/>
        </w:numPr>
        <w:pStyle w:val="Compact"/>
      </w:pPr>
      <m:oMath>
        <m:r>
          <m:t>R</m:t>
        </m:r>
        <m:r>
          <m:t>E</m:t>
        </m:r>
        <m:r>
          <m:t>C</m:t>
        </m:r>
      </m:oMath>
      <w:r>
        <w:t xml:space="preserve"> </w:t>
      </w:r>
      <w:r>
        <w:t xml:space="preserve">: les règlements au titre de l’exercice clos.</w:t>
      </w:r>
    </w:p>
    <w:bookmarkEnd w:id="122"/>
    <w:bookmarkEnd w:id="123"/>
    <w:bookmarkStart w:id="134" w:name="Xf3f8abd7a5710234231d4d992dd0ccf8ee2969b"/>
    <w:p>
      <w:pPr>
        <w:pStyle w:val="Heading3"/>
      </w:pPr>
      <w:r>
        <w:t xml:space="preserve">7.4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C</m:t>
          </m:r>
          <m:r>
            <m:rPr>
              <m:sty m:val="p"/>
            </m:rPr>
            <m:t>=</m:t>
          </m:r>
          <m:r>
            <m:t>B</m:t>
          </m:r>
          <m:sSubSup>
            <m:e>
              <m:r>
                <m:t>E</m:t>
              </m:r>
            </m:e>
            <m:sub>
              <m:r>
                <m:t>e</m:t>
              </m:r>
              <m:r>
                <m:t>n</m:t>
              </m:r>
              <m:r>
                <m:t>g</m:t>
              </m:r>
            </m:sub>
            <m:sup>
              <m:r>
                <m:t>c</m:t>
              </m:r>
              <m:r>
                <m:t>e</m:t>
              </m:r>
              <m:r>
                <m:t>d</m:t>
              </m:r>
              <m:r>
                <m:t>e</m:t>
              </m:r>
              <m:r>
                <m:t>s</m:t>
              </m:r>
            </m:sup>
          </m:sSubSup>
          <m:r>
            <m:rPr>
              <m:sty m:val="p"/>
            </m:rPr>
            <m:t>−</m:t>
          </m:r>
          <m:r>
            <m:t>A</m:t>
          </m:r>
          <m:r>
            <m:t>d</m:t>
          </m:r>
          <m:r>
            <m:t>j</m:t>
          </m:r>
        </m:oMath>
      </m:oMathPara>
    </w:p>
    <w:bookmarkStart w:id="126" w:name="X2a1b8cf2422c04aac5fbeb38e9044a51a42d991"/>
    <w:p>
      <w:pPr>
        <w:pStyle w:val="Heading4"/>
      </w:pPr>
      <w:r>
        <w:t xml:space="preserve">7.4.1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24"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m:oMathPara>
        <m:oMathParaPr>
          <m:jc m:val="center"/>
        </m:oMathParaPr>
        <m:oMath>
          <m:r>
            <m:t>B</m:t>
          </m:r>
          <m:sSubSup>
            <m:e>
              <m:r>
                <m:t>E</m:t>
              </m:r>
            </m:e>
            <m:sub>
              <m:r>
                <m:t>e</m:t>
              </m:r>
              <m:r>
                <m:t>n</m:t>
              </m:r>
              <m:r>
                <m:t>g</m:t>
              </m:r>
            </m:sub>
            <m:sup>
              <m:r>
                <m:t>c</m:t>
              </m:r>
              <m:r>
                <m:t>e</m:t>
              </m:r>
              <m:r>
                <m:t>d</m:t>
              </m:r>
              <m:r>
                <m:t>e</m:t>
              </m:r>
              <m:r>
                <m:t>s</m:t>
              </m:r>
            </m:sup>
          </m:sSubSup>
          <m:r>
            <m:rPr>
              <m:sty m:val="p"/>
            </m:rPr>
            <m:t>=</m:t>
          </m:r>
          <m:r>
            <m:t>T</m:t>
          </m:r>
          <m:r>
            <m:t>C</m:t>
          </m:r>
          <m:r>
            <m:rPr>
              <m:sty m:val="p"/>
            </m:rPr>
            <m:t>×</m:t>
          </m:r>
          <m:r>
            <m:t>B</m:t>
          </m:r>
          <m:sSub>
            <m:e>
              <m:r>
                <m:t>E</m:t>
              </m:r>
            </m:e>
            <m:sub>
              <m:r>
                <m:t>e</m:t>
              </m:r>
              <m:r>
                <m:t>n</m:t>
              </m:r>
              <m:r>
                <m:t>g</m:t>
              </m:r>
            </m:sub>
          </m:sSub>
        </m:oMath>
      </m:oMathPara>
    </w:p>
    <w:p>
      <w:pPr>
        <w:pStyle w:val="FirstParagraph"/>
      </w:pPr>
      <w:r>
        <w:t xml:space="preserve">Avec :</w:t>
      </w:r>
    </w:p>
    <w:p>
      <w:pPr>
        <w:numPr>
          <w:ilvl w:val="0"/>
          <w:numId w:val="1032"/>
        </w:numPr>
        <w:pStyle w:val="Compact"/>
      </w:pPr>
      <m:oMath>
        <m:r>
          <m:t>T</m:t>
        </m:r>
        <m:r>
          <m:t>C</m:t>
        </m:r>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24"/>
    <w:bookmarkStart w:id="125"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r>
            <m:t>B</m:t>
          </m:r>
          <m:sSubSup>
            <m:e>
              <m:r>
                <m:t>E</m:t>
              </m:r>
            </m:e>
            <m:sub>
              <m:r>
                <m:t>e</m:t>
              </m:r>
              <m:r>
                <m:t>n</m:t>
              </m:r>
              <m:r>
                <m:t>g</m:t>
              </m:r>
            </m:sub>
            <m:sup>
              <m:r>
                <m:t>c</m:t>
              </m:r>
              <m:r>
                <m:t>e</m:t>
              </m:r>
              <m:r>
                <m:t>d</m:t>
              </m:r>
              <m:r>
                <m:t>e</m:t>
              </m:r>
              <m:r>
                <m:t>s</m:t>
              </m:r>
            </m:sup>
          </m:sSubSup>
          <m:r>
            <m:rPr>
              <m:sty m:val="p"/>
            </m:rPr>
            <m:t>=</m:t>
          </m:r>
          <m:r>
            <m:t> </m:t>
          </m:r>
          <m:r>
            <m:t>B</m:t>
          </m:r>
          <m:sSubSup>
            <m:e>
              <m:r>
                <m:t>E</m:t>
              </m:r>
            </m:e>
            <m:sub>
              <m:r>
                <m:t>s</m:t>
              </m:r>
              <m:r>
                <m:t>i</m:t>
              </m:r>
              <m:r>
                <m:t>n</m:t>
              </m:r>
              <m:r>
                <m:t>s</m:t>
              </m:r>
              <m:r>
                <m:t>i</m:t>
              </m:r>
              <m:r>
                <m:t>t</m:t>
              </m:r>
              <m:r>
                <m:t>r</m:t>
              </m:r>
              <m:r>
                <m:t>e</m:t>
              </m:r>
              <m:r>
                <m:t>s</m:t>
              </m:r>
            </m:sub>
            <m:sup>
              <m:r>
                <m:t>c</m:t>
              </m:r>
              <m:r>
                <m:t>e</m:t>
              </m:r>
              <m:r>
                <m:t>d</m:t>
              </m:r>
              <m:r>
                <m:t>e</m:t>
              </m:r>
              <m:r>
                <m:t>s</m:t>
              </m:r>
            </m:sup>
          </m:sSubSup>
          <m:r>
            <m:rPr>
              <m:sty m:val="p"/>
            </m:rPr>
            <m:t>+</m:t>
          </m:r>
          <m:r>
            <m:t> </m:t>
          </m:r>
          <m:r>
            <m:t>B</m:t>
          </m:r>
          <m:sSubSup>
            <m:e>
              <m:r>
                <m:t>E</m:t>
              </m:r>
            </m:e>
            <m:sub>
              <m:r>
                <m:t>p</m:t>
              </m:r>
              <m:r>
                <m:t>r</m:t>
              </m:r>
              <m:r>
                <m:t>i</m:t>
              </m:r>
              <m:r>
                <m:t>m</m:t>
              </m:r>
              <m:r>
                <m:t>e</m:t>
              </m:r>
              <m:r>
                <m:t>s</m:t>
              </m:r>
            </m:sub>
            <m:sup>
              <m:r>
                <m:t>c</m:t>
              </m:r>
              <m:r>
                <m:t>e</m:t>
              </m:r>
              <m:r>
                <m:t>d</m:t>
              </m:r>
              <m:r>
                <m:t>e</m:t>
              </m:r>
              <m:r>
                <m:t>s</m:t>
              </m:r>
            </m:sup>
          </m:sSubSup>
        </m:oMath>
      </m:oMathPara>
    </w:p>
    <w:p>
      <w:pPr>
        <w:pStyle w:val="FirstParagraph"/>
      </w:pPr>
      <w:r>
        <w:t xml:space="preserve">Avec :</w:t>
      </w:r>
    </w:p>
    <w:p>
      <w:pPr>
        <w:pStyle w:val="BlockText"/>
      </w:pPr>
      <m:oMath>
        <m:r>
          <m:t>B</m:t>
        </m:r>
        <m:sSubSup>
          <m:e>
            <m:r>
              <m:t>E</m:t>
            </m:r>
          </m:e>
          <m:sub>
            <m:r>
              <m:t>s</m:t>
            </m:r>
            <m:r>
              <m:t>i</m:t>
            </m:r>
            <m:r>
              <m:t>n</m:t>
            </m:r>
            <m:r>
              <m:t>s</m:t>
            </m:r>
            <m:r>
              <m:t>i</m:t>
            </m:r>
            <m:r>
              <m:t>t</m:t>
            </m:r>
            <m:r>
              <m:t>r</m:t>
            </m:r>
            <m:r>
              <m:t>e</m:t>
            </m:r>
            <m:r>
              <m:t>s</m:t>
            </m:r>
          </m:sub>
          <m:sup>
            <m:r>
              <m:t>c</m:t>
            </m:r>
            <m:r>
              <m:t>e</m:t>
            </m:r>
            <m:r>
              <m:t>d</m:t>
            </m:r>
            <m:r>
              <m:t>e</m:t>
            </m:r>
            <m:r>
              <m:t>s</m:t>
            </m:r>
          </m:sup>
        </m:sSubSup>
        <m:r>
          <m:rPr>
            <m:sty m:val="p"/>
          </m:rPr>
          <m:t>=</m:t>
        </m:r>
        <m:r>
          <m:t>T</m:t>
        </m:r>
        <m:sSub>
          <m:e>
            <m:r>
              <m:t>C</m:t>
            </m:r>
          </m:e>
          <m:sub>
            <m:r>
              <m:t>s</m:t>
            </m:r>
            <m:r>
              <m:t>i</m:t>
            </m:r>
            <m:r>
              <m:t>n</m:t>
            </m:r>
            <m:r>
              <m:t>s</m:t>
            </m:r>
            <m:r>
              <m:t>i</m:t>
            </m:r>
            <m:r>
              <m:t>t</m:t>
            </m:r>
            <m:r>
              <m:t>r</m:t>
            </m:r>
            <m:r>
              <m:t>e</m:t>
            </m:r>
            <m:r>
              <m:t>s</m:t>
            </m:r>
          </m:sub>
        </m:sSub>
        <m:r>
          <m:rPr>
            <m:sty m:val="p"/>
          </m:rPr>
          <m:t>×</m:t>
        </m:r>
        <m:r>
          <m:t>B</m:t>
        </m:r>
        <m:sSubSup>
          <m:e>
            <m:r>
              <m:t>E</m:t>
            </m:r>
          </m:e>
          <m:sub>
            <m:r>
              <m:t>e</m:t>
            </m:r>
            <m:r>
              <m:t>n</m:t>
            </m:r>
            <m:r>
              <m:t>g</m:t>
            </m:r>
          </m:sub>
          <m:sup>
            <m:r>
              <m:t>s</m:t>
            </m:r>
            <m:r>
              <m:t>i</m:t>
            </m:r>
            <m:r>
              <m:t>n</m:t>
            </m:r>
            <m:r>
              <m:t>s</m:t>
            </m:r>
            <m:r>
              <m:t>i</m:t>
            </m:r>
            <m:r>
              <m:t>t</m:t>
            </m:r>
            <m:r>
              <m:t>r</m:t>
            </m:r>
            <m:r>
              <m:t>e</m:t>
            </m:r>
            <m:r>
              <m:t>s</m:t>
            </m:r>
          </m:sup>
        </m:sSubSup>
      </m:oMath>
      <w:r>
        <w:t xml:space="preserve"> </w:t>
      </w:r>
      <w:r>
        <w:t xml:space="preserve">: La meilleure estimation des engagements pour sinistres cédés visée à la spécification technique 33 est évaluée en multipliant la meilleure estimation des engagements pour sinistres nets de recours par (</w:t>
      </w:r>
      <m:oMath>
        <m:r>
          <m:t>T</m:t>
        </m:r>
        <m:sSub>
          <m:e>
            <m:r>
              <m:t>C</m:t>
            </m:r>
          </m:e>
          <m:sub>
            <m:r>
              <m:t>s</m:t>
            </m:r>
            <m:r>
              <m:t>i</m:t>
            </m:r>
            <m:r>
              <m:t>n</m:t>
            </m:r>
            <m:r>
              <m:t>s</m:t>
            </m:r>
            <m:r>
              <m:t>i</m:t>
            </m:r>
            <m:r>
              <m:t>t</m:t>
            </m:r>
            <m:r>
              <m:t>r</m:t>
            </m:r>
            <m:r>
              <m:t>e</m:t>
            </m:r>
            <m:r>
              <m:t>s</m:t>
            </m:r>
          </m:sub>
        </m:sSub>
      </m:oMath>
      <w:r>
        <w:t xml:space="preserve">) le rapport entre la part des cessionnaires dans les provisions pour sinistres à payer et la provision pour sinistres à payer brute de réassurance.</w:t>
      </w:r>
    </w:p>
    <w:p>
      <w:pPr>
        <w:pStyle w:val="BlockText"/>
      </w:pPr>
      <m:oMath>
        <m:r>
          <m:t>B</m:t>
        </m:r>
        <m:sSubSup>
          <m:e>
            <m:r>
              <m:t>E</m:t>
            </m:r>
          </m:e>
          <m:sub>
            <m:r>
              <m:t>p</m:t>
            </m:r>
            <m:r>
              <m:t>r</m:t>
            </m:r>
            <m:r>
              <m:t>i</m:t>
            </m:r>
            <m:r>
              <m:t>m</m:t>
            </m:r>
            <m:r>
              <m:t>e</m:t>
            </m:r>
            <m:r>
              <m:t>s</m:t>
            </m:r>
          </m:sub>
          <m:sup>
            <m:r>
              <m:t>c</m:t>
            </m:r>
            <m:r>
              <m:t>e</m:t>
            </m:r>
            <m:r>
              <m:t>d</m:t>
            </m:r>
            <m:r>
              <m:t>e</m:t>
            </m:r>
            <m:r>
              <m:t>s</m:t>
            </m:r>
          </m:sup>
        </m:sSubSup>
        <m:r>
          <m:rPr>
            <m:sty m:val="p"/>
          </m:rPr>
          <m:t>=</m:t>
        </m:r>
        <m:r>
          <m:t>T</m:t>
        </m:r>
        <m:sSub>
          <m:e>
            <m:r>
              <m:t>C</m:t>
            </m:r>
          </m:e>
          <m:sub>
            <m:r>
              <m:t>p</m:t>
            </m:r>
            <m:r>
              <m:t>r</m:t>
            </m:r>
            <m:r>
              <m:t>i</m:t>
            </m:r>
            <m:r>
              <m:t>m</m:t>
            </m:r>
            <m:r>
              <m:t>e</m:t>
            </m:r>
            <m:r>
              <m:t>s</m:t>
            </m:r>
          </m:sub>
        </m:sSub>
        <m:r>
          <m:rPr>
            <m:sty m:val="p"/>
          </m:rPr>
          <m:t>×</m:t>
        </m:r>
        <m:r>
          <m:t>B</m:t>
        </m:r>
        <m:sSubSup>
          <m:e>
            <m:r>
              <m:t>E</m:t>
            </m:r>
          </m:e>
          <m:sub>
            <m:r>
              <m:t>e</m:t>
            </m:r>
            <m:r>
              <m:t>n</m:t>
            </m:r>
            <m:r>
              <m:t>g</m:t>
            </m:r>
          </m:sub>
          <m:sup>
            <m:r>
              <m:t>p</m:t>
            </m:r>
            <m:r>
              <m:t>r</m:t>
            </m:r>
            <m:r>
              <m:t>i</m:t>
            </m:r>
            <m:r>
              <m:t>m</m:t>
            </m:r>
            <m:r>
              <m:t>e</m:t>
            </m:r>
            <m:r>
              <m:t>s</m:t>
            </m:r>
          </m:sup>
        </m:sSubSup>
      </m:oMath>
      <w:r>
        <w:t xml:space="preserve"> </w:t>
      </w:r>
      <w:r>
        <w:t xml:space="preserve">: La meilleure estimation des engagements pour primes cédés est évaluée en multipliant la meilleure estimation des engagements pour primes par le taux de cession de primes. Le taux de cession (</w:t>
      </w:r>
      <m:oMath>
        <m:r>
          <m:t>T</m:t>
        </m:r>
        <m:sSub>
          <m:e>
            <m:r>
              <m:t>C</m:t>
            </m:r>
          </m:e>
          <m:sub>
            <m:r>
              <m:t>p</m:t>
            </m:r>
            <m:r>
              <m:t>r</m:t>
            </m:r>
            <m:r>
              <m:t>i</m:t>
            </m:r>
            <m:r>
              <m:t>m</m:t>
            </m:r>
            <m:r>
              <m:t>e</m:t>
            </m:r>
            <m:r>
              <m:t>s</m:t>
            </m:r>
          </m:sub>
        </m:sSub>
      </m:oMath>
      <w:r>
        <w:t xml:space="preserve">) de primes précité correspond au rapport entre les primes brutes non vie (cessions) et les primes émises de l’exercice.</w:t>
      </w:r>
    </w:p>
    <w:bookmarkEnd w:id="125"/>
    <w:bookmarkEnd w:id="126"/>
    <w:bookmarkStart w:id="133" w:name="lajustement-pour-défaut-de-contrepartie"/>
    <w:p>
      <w:pPr>
        <w:pStyle w:val="Heading4"/>
      </w:pPr>
      <w:r>
        <w:t xml:space="preserve">7.4.2 L’ajustement pour défaut de contrepartie:</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C:\PROGRA~1\RStudio\RESOUR~1\app\bin\quarto\share\formats\docx\note.png" id="128"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B</m:t>
                </m:r>
                <m:sSubSup>
                  <m:e>
                    <m:r>
                      <m:t>E</m:t>
                    </m:r>
                  </m:e>
                  <m:sub>
                    <m:r>
                      <m:t>e</m:t>
                    </m:r>
                    <m:r>
                      <m:t>n</m:t>
                    </m:r>
                    <m:r>
                      <m:t>g</m:t>
                    </m:r>
                    <m:r>
                      <m:t> </m:t>
                    </m:r>
                    <m:r>
                      <m:t>i</m:t>
                    </m:r>
                  </m:sub>
                  <m:sup>
                    <m:r>
                      <m:t> </m:t>
                    </m:r>
                    <m:r>
                      <m:t>c</m:t>
                    </m:r>
                    <m:r>
                      <m:t>é</m:t>
                    </m:r>
                    <m:r>
                      <m:t>d</m:t>
                    </m:r>
                    <m:r>
                      <m:t>è</m:t>
                    </m:r>
                    <m:r>
                      <m:t>s</m:t>
                    </m:r>
                  </m:sup>
                </m:sSubSup>
                <m:r>
                  <m:rPr>
                    <m:sty m:val="p"/>
                  </m:rPr>
                  <m:t>=</m:t>
                </m:r>
                <m:d>
                  <m:dPr>
                    <m:begChr m:val="("/>
                    <m:endChr m:val=")"/>
                    <m:sepChr m:val=""/>
                    <m:grow/>
                  </m:dPr>
                  <m:e>
                    <m:r>
                      <m:t>B</m:t>
                    </m:r>
                    <m:sSubSup>
                      <m:e>
                        <m:r>
                          <m:t>E</m:t>
                        </m:r>
                      </m:e>
                      <m:sub>
                        <m:r>
                          <m:t>e</m:t>
                        </m:r>
                        <m:r>
                          <m:t>n</m:t>
                        </m:r>
                        <m:r>
                          <m:t>g</m:t>
                        </m:r>
                        <m:r>
                          <m:t> </m:t>
                        </m:r>
                        <m:r>
                          <m:t>i</m:t>
                        </m:r>
                      </m:sub>
                      <m:sup>
                        <m:r>
                          <m:t>s</m:t>
                        </m:r>
                        <m:r>
                          <m:t>i</m:t>
                        </m:r>
                        <m:r>
                          <m:t>n</m:t>
                        </m:r>
                        <m:r>
                          <m:t>s</m:t>
                        </m:r>
                        <m:r>
                          <m:t>i</m:t>
                        </m:r>
                        <m:r>
                          <m:t>t</m:t>
                        </m:r>
                        <m:r>
                          <m:t>r</m:t>
                        </m:r>
                        <m:r>
                          <m:t>e</m:t>
                        </m:r>
                        <m:r>
                          <m:t>s</m:t>
                        </m:r>
                      </m:sup>
                    </m:sSubSup>
                    <m:r>
                      <m:rPr>
                        <m:sty m:val="p"/>
                      </m:rPr>
                      <m:t>×</m:t>
                    </m:r>
                    <m:r>
                      <m:t>R</m:t>
                    </m:r>
                    <m:sSub>
                      <m:e>
                        <m:r>
                          <m:t>S</m:t>
                        </m:r>
                      </m:e>
                      <m:sub>
                        <m:r>
                          <m:t>0</m:t>
                        </m:r>
                      </m:sub>
                    </m:sSub>
                    <m:r>
                      <m:rPr>
                        <m:sty m:val="p"/>
                      </m:rPr>
                      <m:t>+</m:t>
                    </m:r>
                    <m:r>
                      <m:t>B</m:t>
                    </m:r>
                    <m:sSubSup>
                      <m:e>
                        <m:r>
                          <m:t>E</m:t>
                        </m:r>
                      </m:e>
                      <m:sub>
                        <m:r>
                          <m:t>e</m:t>
                        </m:r>
                        <m:r>
                          <m:t>n</m:t>
                        </m:r>
                        <m:r>
                          <m:t>g</m:t>
                        </m:r>
                        <m:r>
                          <m:t> </m:t>
                        </m:r>
                        <m:r>
                          <m:t>i</m:t>
                        </m:r>
                      </m:sub>
                      <m:sup>
                        <m:r>
                          <m:t>p</m:t>
                        </m:r>
                        <m:r>
                          <m:t>r</m:t>
                        </m:r>
                        <m:r>
                          <m:t>i</m:t>
                        </m:r>
                        <m:r>
                          <m:t>m</m:t>
                        </m:r>
                        <m:r>
                          <m:t>e</m:t>
                        </m:r>
                        <m:r>
                          <m:t>s</m:t>
                        </m:r>
                      </m:sup>
                    </m:sSubSup>
                    <m:r>
                      <m:rPr>
                        <m:sty m:val="p"/>
                      </m:rPr>
                      <m:t>×</m:t>
                    </m:r>
                    <m:r>
                      <m:t>R</m:t>
                    </m:r>
                    <m:sSub>
                      <m:e>
                        <m:r>
                          <m:t>P</m:t>
                        </m:r>
                      </m:e>
                      <m:sub>
                        <m:r>
                          <m:t>0</m:t>
                        </m:r>
                      </m:sub>
                    </m:sSub>
                  </m:e>
                </m:d>
              </m:oMath>
            </m:oMathPara>
          </w:p>
          <w:p>
            <w:pPr>
              <w:pStyle w:val="FirstParagraph"/>
            </w:pPr>
            <w:r>
              <w:t xml:space="preserve">Où:</w:t>
            </w:r>
          </w:p>
          <w:p>
            <w:pPr>
              <w:numPr>
                <w:ilvl w:val="0"/>
                <w:numId w:val="1033"/>
              </w:numPr>
              <w:pStyle w:val="Compact"/>
            </w:pPr>
            <m:oMath>
              <m:r>
                <m:t>B</m:t>
              </m:r>
              <m:sSubSup>
                <m:e>
                  <m:r>
                    <m:t>E</m:t>
                  </m:r>
                </m:e>
                <m:sub>
                  <m:r>
                    <m:t>e</m:t>
                  </m:r>
                  <m:r>
                    <m:t>n</m:t>
                  </m:r>
                  <m:r>
                    <m:t>g</m:t>
                  </m:r>
                  <m:r>
                    <m:t> </m:t>
                  </m:r>
                  <m:r>
                    <m:t>i</m:t>
                  </m:r>
                </m:sub>
                <m:sup>
                  <m:r>
                    <m:t>s</m:t>
                  </m:r>
                  <m:r>
                    <m:t>i</m:t>
                  </m:r>
                  <m:r>
                    <m:t>n</m:t>
                  </m:r>
                  <m:r>
                    <m:t>s</m:t>
                  </m:r>
                  <m:r>
                    <m:t>i</m:t>
                  </m:r>
                  <m:r>
                    <m:t>t</m:t>
                  </m:r>
                  <m:r>
                    <m:t>r</m:t>
                  </m:r>
                  <m:r>
                    <m:t>e</m:t>
                  </m:r>
                  <m:r>
                    <m:t>s</m:t>
                  </m:r>
                </m:sup>
              </m:sSubSup>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3"/>
              </w:numPr>
              <w:pStyle w:val="Compact"/>
            </w:pPr>
            <m:oMath>
              <m:r>
                <m:t>B</m:t>
              </m:r>
              <m:sSubSup>
                <m:e>
                  <m:r>
                    <m:t>E</m:t>
                  </m:r>
                </m:e>
                <m:sub>
                  <m:r>
                    <m:t>e</m:t>
                  </m:r>
                  <m:r>
                    <m:t>n</m:t>
                  </m:r>
                  <m:r>
                    <m:t>g</m:t>
                  </m:r>
                  <m:r>
                    <m:t> </m:t>
                  </m:r>
                  <m:r>
                    <m:t>i</m:t>
                  </m:r>
                </m:sub>
                <m:sup>
                  <m:r>
                    <m:t>p</m:t>
                  </m:r>
                  <m:r>
                    <m:t>r</m:t>
                  </m:r>
                  <m:r>
                    <m:t>i</m:t>
                  </m:r>
                  <m:r>
                    <m:t>m</m:t>
                  </m:r>
                  <m:r>
                    <m:t>e</m:t>
                  </m:r>
                  <m:r>
                    <m:t>s</m:t>
                  </m:r>
                </m:sup>
              </m:sSubSup>
            </m:oMath>
            <w:r>
              <w:t xml:space="preserve">: correspond à la meilleure estimation des engagements pour primes projetée à la date i.</w:t>
            </w:r>
          </w:p>
          <w:p>
            <w:pPr>
              <w:numPr>
                <w:ilvl w:val="0"/>
                <w:numId w:val="1033"/>
              </w:numPr>
              <w:pStyle w:val="Compact"/>
            </w:pPr>
            <w:r>
              <w:t xml:space="preserve">Les termes</w:t>
            </w:r>
            <w:r>
              <w:t xml:space="preserve"> </w:t>
            </w:r>
            <m:oMath>
              <m:r>
                <m:t>R</m:t>
              </m:r>
              <m:sSub>
                <m:e>
                  <m:r>
                    <m:t>S</m:t>
                  </m:r>
                </m:e>
                <m:sub>
                  <m:r>
                    <m:t>0</m:t>
                  </m:r>
                </m:sub>
              </m:sSub>
            </m:oMath>
            <w:r>
              <w:t xml:space="preserve"> </w:t>
            </w:r>
            <w:r>
              <w:t xml:space="preserve">et</w:t>
            </w:r>
            <w:r>
              <w:t xml:space="preserve"> </w:t>
            </w:r>
            <m:oMath>
              <m:r>
                <m:t>R</m:t>
              </m:r>
              <m:sSub>
                <m:e>
                  <m:r>
                    <m:t>P</m:t>
                  </m:r>
                </m:e>
                <m:sub>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B</m:t>
                </m:r>
                <m:sSubSup>
                  <m:e>
                    <m:r>
                      <m:t>E</m:t>
                    </m:r>
                  </m:e>
                  <m:sub>
                    <m:r>
                      <m:t>e</m:t>
                    </m:r>
                    <m:r>
                      <m:t>n</m:t>
                    </m:r>
                    <m:r>
                      <m:t>g</m:t>
                    </m:r>
                    <m:r>
                      <m:t> </m:t>
                    </m:r>
                    <m:r>
                      <m:t>i</m:t>
                    </m:r>
                  </m:sub>
                  <m:sup>
                    <m:r>
                      <m:t> </m:t>
                    </m:r>
                    <m:r>
                      <m:t>c</m:t>
                    </m:r>
                    <m:r>
                      <m:t>é</m:t>
                    </m:r>
                    <m:r>
                      <m:t>d</m:t>
                    </m:r>
                    <m:r>
                      <m:t>è</m:t>
                    </m:r>
                    <m:r>
                      <m:t>s</m:t>
                    </m:r>
                  </m:sup>
                </m:sSubSup>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sSub>
                  <m:e>
                    <m:r>
                      <m:t>R</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B</m:t>
                </m:r>
                <m:sSubSup>
                  <m:e>
                    <m:r>
                      <m:t>E</m:t>
                    </m:r>
                  </m:e>
                  <m:sub>
                    <m:r>
                      <m:t>e</m:t>
                    </m:r>
                    <m:r>
                      <m:t>n</m:t>
                    </m:r>
                    <m:r>
                      <m:t>g</m:t>
                    </m:r>
                    <m:r>
                      <m:t> </m:t>
                    </m:r>
                    <m:r>
                      <m:t>i</m:t>
                    </m:r>
                  </m:sub>
                  <m:sup>
                    <m:r>
                      <m:t>c</m:t>
                    </m:r>
                    <m:r>
                      <m:t>é</m:t>
                    </m:r>
                    <m:r>
                      <m:t>d</m:t>
                    </m:r>
                    <m:r>
                      <m:t>è</m:t>
                    </m:r>
                    <m:r>
                      <m:t>s</m:t>
                    </m:r>
                  </m:sup>
                </m:sSubSup>
                <m:r>
                  <m:rPr>
                    <m:sty m:val="p"/>
                  </m:rPr>
                  <m:t>=</m:t>
                </m:r>
                <m:r>
                  <m:t>M</m:t>
                </m:r>
                <m:r>
                  <m:t>E</m:t>
                </m:r>
                <m:r>
                  <m:t>G</m:t>
                </m:r>
                <m:sSub>
                  <m:e>
                    <m:r>
                      <m:t>P</m:t>
                    </m:r>
                  </m:e>
                  <m:sub>
                    <m:r>
                      <m:t>i</m:t>
                    </m:r>
                  </m:sub>
                </m:sSub>
                <m:r>
                  <m:rPr>
                    <m:sty m:val="p"/>
                  </m:rPr>
                  <m:t>×</m:t>
                </m:r>
                <m:sSub>
                  <m:e>
                    <m:r>
                      <m:t>R</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sSub>
                <m:e>
                  <m:r>
                    <m:t>R</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9" name="Picture"/>
                  <a:graphic>
                    <a:graphicData uri="http://schemas.openxmlformats.org/drawingml/2006/picture">
                      <pic:pic>
                        <pic:nvPicPr>
                          <pic:cNvPr descr="C:\PROGRA~1\RStudio\RESOUR~1\app\bin\quarto\share\formats\docx\note.png" id="130"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B</m:t>
                    </m:r>
                    <m:sSubSup>
                      <m:e>
                        <m:r>
                          <m:t>E</m:t>
                        </m:r>
                      </m:e>
                      <m:sub>
                        <m:r>
                          <m:t>e</m:t>
                        </m:r>
                        <m:r>
                          <m:t>n</m:t>
                        </m:r>
                        <m:r>
                          <m:t>g</m:t>
                        </m:r>
                        <m:r>
                          <m:t> </m:t>
                        </m:r>
                        <m:r>
                          <m:t>i</m:t>
                        </m:r>
                      </m:sub>
                      <m:sup>
                        <m:r>
                          <m:t>c</m:t>
                        </m:r>
                        <m:r>
                          <m:t>é</m:t>
                        </m:r>
                        <m:r>
                          <m:t>d</m:t>
                        </m:r>
                        <m:r>
                          <m:t>è</m:t>
                        </m:r>
                        <m:r>
                          <m:t>s</m:t>
                        </m:r>
                      </m:sup>
                    </m:sSubSup>
                    <m:r>
                      <m:rPr>
                        <m:sty m:val="p"/>
                      </m:rPr>
                      <m:t>−</m:t>
                    </m:r>
                    <m:r>
                      <m:t>D</m:t>
                    </m:r>
                    <m:r>
                      <m:t>E</m:t>
                    </m:r>
                    <m:r>
                      <m:t>V</m:t>
                    </m:r>
                    <m:r>
                      <m:rPr>
                        <m:sty m:val="p"/>
                      </m:rPr>
                      <m:t>+</m:t>
                    </m:r>
                    <m:r>
                      <m:t>S</m:t>
                    </m:r>
                    <m:r>
                      <m:t>D</m:t>
                    </m:r>
                    <m:r>
                      <m:t>R</m:t>
                    </m:r>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avec:</w:t>
            </w:r>
          </w:p>
          <w:p>
            <w:pPr>
              <w:numPr>
                <w:ilvl w:val="0"/>
                <w:numId w:val="1034"/>
              </w:numPr>
              <w:pStyle w:val="Compact"/>
            </w:pPr>
            <w:r>
              <w:t xml:space="preserve">DEV :dépôtven espèces et en valeurs.</w:t>
            </w:r>
          </w:p>
          <w:p>
            <w:pPr>
              <w:numPr>
                <w:ilvl w:val="0"/>
                <w:numId w:val="1034"/>
              </w:numPr>
              <w:pStyle w:val="Compact"/>
            </w:pPr>
            <w:r>
              <w:t xml:space="preserve">SDR :solde de réassurance</w:t>
            </w:r>
          </w:p>
          <w:p>
            <w:pPr>
              <w:pStyle w:val="FirstParagraph"/>
            </w:pPr>
            <w:pPr>
              <w:spacing w:after="16"/>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1" name="Picture"/>
                  <a:graphic>
                    <a:graphicData uri="http://schemas.openxmlformats.org/drawingml/2006/picture">
                      <pic:pic>
                        <pic:nvPicPr>
                          <pic:cNvPr descr="C:\PROGRA~1\RStudio\RESOUR~1\app\bin\quarto\share\formats\docx\note.png" id="132"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d</m:t>
                </m:r>
                <m:sSub>
                  <m:e>
                    <m:r>
                      <m:t>j</m:t>
                    </m:r>
                  </m:e>
                  <m:sub>
                    <m:r>
                      <m:t>D</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33"/>
    <w:bookmarkEnd w:id="134"/>
    <w:bookmarkEnd w:id="135"/>
    <w:bookmarkStart w:id="167" w:name="capital-de-solvabilité-requis"/>
    <w:p>
      <w:pPr>
        <w:pStyle w:val="Heading2"/>
      </w:pPr>
      <w:r>
        <w:t xml:space="preserve">8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5"/>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5"/>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5"/>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5"/>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5"/>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5"/>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39" w:name="fig-piliers"/>
          <w:p>
            <w:pPr>
              <w:pStyle w:val="Figure"/>
              <w:jc w:val="center"/>
            </w:pPr>
            <w:r>
              <w:drawing>
                <wp:inline>
                  <wp:extent cx="5334000" cy="3015219"/>
                  <wp:effectExtent b="0" l="0" r="0" t="0"/>
                  <wp:docPr descr="" title="" id="137" name="Picture"/>
                  <a:graphic>
                    <a:graphicData uri="http://schemas.openxmlformats.org/drawingml/2006/picture">
                      <pic:pic>
                        <pic:nvPicPr>
                          <pic:cNvPr descr="Rapport-PFE_files/figure-html/Risques.png" id="138" name="Picture"/>
                          <pic:cNvPicPr>
                            <a:picLocks noChangeArrowheads="1" noChangeAspect="1"/>
                          </pic:cNvPicPr>
                        </pic:nvPicPr>
                        <pic:blipFill>
                          <a:blip r:embed="rId136"/>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Présentation des risques</w:t>
            </w:r>
          </w:p>
          <w:bookmarkEnd w:id="139"/>
        </w:tc>
      </w:tr>
    </w:tbl>
    <w:p>
      <w:pPr>
        <w:pStyle w:val="BodyText"/>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6"/>
        </w:numPr>
      </w:pPr>
      <w:r>
        <w:t xml:space="preserve">Le capital de solvabilité requis de base.</w:t>
      </w:r>
    </w:p>
    <w:p>
      <w:pPr>
        <w:numPr>
          <w:ilvl w:val="0"/>
          <w:numId w:val="1036"/>
        </w:numPr>
      </w:pPr>
      <w:r>
        <w:t xml:space="preserve">L’exigence de capital relative au risque opérationnel.</w:t>
      </w:r>
    </w:p>
    <w:p>
      <w:pPr>
        <w:numPr>
          <w:ilvl w:val="0"/>
          <w:numId w:val="1036"/>
        </w:numPr>
      </w:pPr>
      <w:r>
        <w:t xml:space="preserve">L’ajustement visant à tenir compte de la capacité d’absorption des pertes par les assurés.</w:t>
      </w:r>
    </w:p>
    <w:p>
      <w:pPr>
        <w:numPr>
          <w:ilvl w:val="0"/>
          <w:numId w:val="1036"/>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r>
            <m:t>R</m:t>
          </m:r>
          <m:r>
            <m:t>B</m:t>
          </m:r>
          <m:r>
            <m:rPr>
              <m:sty m:val="p"/>
            </m:rPr>
            <m:t>+</m:t>
          </m:r>
          <m:r>
            <m:t>C</m:t>
          </m:r>
          <m:r>
            <m:t>S</m:t>
          </m:r>
          <m:r>
            <m:t>R</m:t>
          </m:r>
          <m:r>
            <m:t>O</m:t>
          </m:r>
          <m:r>
            <m:rPr>
              <m:sty m:val="p"/>
            </m:rPr>
            <m:t>−</m:t>
          </m:r>
          <m:r>
            <m:t>m</m:t>
          </m:r>
          <m:r>
            <m:t>a</m:t>
          </m:r>
          <m:r>
            <m:t>x</m:t>
          </m:r>
          <m:d>
            <m:dPr>
              <m:begChr m:val="("/>
              <m:endChr m:val=")"/>
              <m:sepChr m:val=""/>
              <m:grow/>
            </m:dPr>
            <m:e>
              <m:r>
                <m:t>A</m:t>
              </m:r>
              <m:r>
                <m:t>d</m:t>
              </m:r>
              <m:r>
                <m:t>j</m:t>
              </m:r>
              <m:r>
                <m:rPr>
                  <m:sty m:val="p"/>
                </m:rPr>
                <m:t>,</m:t>
              </m:r>
              <m:r>
                <m:t>0</m:t>
              </m:r>
            </m:e>
          </m:d>
        </m:oMath>
      </m:oMathPara>
    </w:p>
    <w:bookmarkStart w:id="160" w:name="X0beb716fe9114a411569a04c6802232189d90bd"/>
    <w:p>
      <w:pPr>
        <w:pStyle w:val="Heading3"/>
      </w:pPr>
      <w:r>
        <w:t xml:space="preserve">8.1 Le capital de solvabilité requis de base (</w:t>
      </w:r>
      <m:oMath>
        <m:r>
          <m:t>C</m:t>
        </m:r>
        <m:r>
          <m:t>S</m:t>
        </m:r>
        <m:r>
          <m:t>R</m:t>
        </m:r>
        <m:r>
          <m:t>B</m:t>
        </m:r>
      </m:oMath>
      <w:r>
        <w:t xml:space="preserve">):</w:t>
      </w:r>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r>
            <m:t>R</m:t>
          </m:r>
          <m:r>
            <m:t>B</m:t>
          </m:r>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7"/>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7"/>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45" w:name="X7d0de4e6ff3ca13baeb836adc8c41f16eaa6dfb"/>
    <w:p>
      <w:pPr>
        <w:pStyle w:val="Heading4"/>
      </w:pPr>
      <w:r>
        <w:t xml:space="preserve">8.1.1 EXIGENCE DE CAPITAL RELATIVE AUX RISQUES DE MARCHE (</w:t>
      </w:r>
      <m:oMath>
        <m:r>
          <m:t>C</m:t>
        </m:r>
        <m:r>
          <m:t>S</m:t>
        </m:r>
        <m:sSub>
          <m:e>
            <m:r>
              <m:t>R</m:t>
            </m:r>
          </m:e>
          <m:sub>
            <m:r>
              <m:t>m</m:t>
            </m:r>
            <m:r>
              <m:t>a</m:t>
            </m:r>
            <m:r>
              <m:t>r</m:t>
            </m:r>
            <m:r>
              <m:t>c</m:t>
            </m:r>
            <m:r>
              <m:t>h</m:t>
            </m:r>
            <m:r>
              <m:t>e</m:t>
            </m:r>
          </m:sub>
        </m:sSub>
      </m:oMath>
      <w:r>
        <w:t xml:space="preserve">)</w:t>
      </w:r>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8"/>
        </w:numPr>
      </w:pPr>
      <w:r>
        <w:t xml:space="preserve">RM</w:t>
      </w:r>
      <w:r>
        <w:t xml:space="preserve"> </w:t>
      </w:r>
      <m:oMath>
        <m:r>
          <m:rPr>
            <m:sty m:val="p"/>
          </m:rPr>
          <m:t>∈</m:t>
        </m:r>
      </m:oMath>
      <w:r>
        <w:t xml:space="preserve"> </w:t>
      </w:r>
      <w:r>
        <w:t xml:space="preserve">{action, taux, immobilier, écart de taux et change}</w:t>
      </w:r>
    </w:p>
    <w:p>
      <w:pPr>
        <w:numPr>
          <w:ilvl w:val="0"/>
          <w:numId w:val="1038"/>
        </w:numPr>
      </w:pPr>
      <m:oMath>
        <m:r>
          <m:t>ρ</m:t>
        </m:r>
      </m:oMath>
      <w:r>
        <w:t xml:space="preserve"> </w:t>
      </w:r>
      <w:r>
        <w:t xml:space="preserve">: Coefficients de corrélations.</w:t>
      </w:r>
    </w:p>
    <w:bookmarkStart w:id="140" w:name="X3cf8c7738901705451aeaf1bf62340f8a8e3146"/>
    <w:p>
      <w:pPr>
        <w:pStyle w:val="Heading5"/>
      </w:pPr>
      <w:r>
        <w:t xml:space="preserve">8.1.1.1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40"/>
    <w:bookmarkStart w:id="141" w:name="X4731aa5458fe1c45bdb9bc7a63d0b9bdcef0af7"/>
    <w:p>
      <w:pPr>
        <w:pStyle w:val="Heading5"/>
      </w:pPr>
      <w:r>
        <w:t xml:space="preserve">8.1.1.2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41"/>
    <w:bookmarkStart w:id="142" w:name="X40fb47ea19ba513da95205d89bb9da70a68e95c"/>
    <w:p>
      <w:pPr>
        <w:pStyle w:val="Heading5"/>
      </w:pPr>
      <w:r>
        <w:t xml:space="preserve">8.1.1.3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42"/>
    <w:bookmarkStart w:id="143" w:name="Xe8b0c02ffa4303d8ffd8ac356c32a420803f92c"/>
    <w:p>
      <w:pPr>
        <w:pStyle w:val="Heading5"/>
      </w:pPr>
      <w:r>
        <w:t xml:space="preserve">8.1.1.4 L’exigence de capital relative au risque d’écart de taux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43"/>
    <w:bookmarkStart w:id="144" w:name="X0b86f92798bd2d75800a724a913850a71127576"/>
    <w:p>
      <w:pPr>
        <w:pStyle w:val="Heading5"/>
      </w:pPr>
      <w:r>
        <w:t xml:space="preserve">8.1.1.5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9"/>
        </w:numPr>
        <w:pStyle w:val="Compact"/>
      </w:pPr>
      <w:r>
        <w:t xml:space="preserve">l’exigence de capital pour risque d’augmentation de la valeur de la devise étrangère par rapport au dirham.</w:t>
      </w:r>
    </w:p>
    <w:p>
      <w:pPr>
        <w:numPr>
          <w:ilvl w:val="0"/>
          <w:numId w:val="1039"/>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44"/>
    <w:bookmarkEnd w:id="145"/>
    <w:bookmarkStart w:id="148" w:name="X9c0184a5ab36aa780ba8e9d38716205766fa364"/>
    <w:p>
      <w:pPr>
        <w:pStyle w:val="Heading4"/>
      </w:pPr>
      <w:r>
        <w:t xml:space="preserve">8.1.2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46" w:name="X303ad4190ba297cc4664f228835544b0eb3361f"/>
    <w:p>
      <w:pPr>
        <w:pStyle w:val="Heading5"/>
      </w:pPr>
      <w:r>
        <w:t xml:space="preserve">8.1.2.1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40"/>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41"/>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41"/>
        </w:numPr>
      </w:pPr>
      <m:oMath>
        <m:r>
          <m:t>L</m:t>
        </m:r>
        <m:r>
          <m:t>G</m:t>
        </m:r>
        <m:sSub>
          <m:e>
            <m:r>
              <m:t>D</m:t>
            </m:r>
          </m:e>
          <m:sub>
            <m:r>
              <m:t>i</m:t>
            </m:r>
          </m:sub>
        </m:sSub>
      </m:oMath>
      <w:r>
        <w:t xml:space="preserve"> </w:t>
      </w:r>
      <w:r>
        <w:t xml:space="preserve">: la perte en cas de défaut du cessionnaire i ;</w:t>
      </w:r>
    </w:p>
    <w:p>
      <w:pPr>
        <w:numPr>
          <w:ilvl w:val="0"/>
          <w:numId w:val="1041"/>
        </w:numPr>
      </w:pPr>
      <m:oMath>
        <m:r>
          <m:rPr>
            <m:nor/>
            <m:sty m:val="p"/>
          </m:rPr>
          <m:t>Depot en espèces ou en valeur</m:t>
        </m:r>
      </m:oMath>
      <w:r>
        <w:t xml:space="preserve"> </w:t>
      </w:r>
      <w:r>
        <w:t xml:space="preserve">: le montant des dépôts en espèces ou en valeurs du cessionnaire i ;</w:t>
      </w:r>
    </w:p>
    <w:p>
      <w:pPr>
        <w:numPr>
          <w:ilvl w:val="0"/>
          <w:numId w:val="1041"/>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41"/>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41"/>
        </w:numPr>
      </w:pPr>
      <m:oMath>
        <m:r>
          <m:t>L</m:t>
        </m:r>
        <m:r>
          <m:t>G</m:t>
        </m:r>
        <m:sSub>
          <m:e>
            <m:r>
              <m:t>D</m:t>
            </m:r>
          </m:e>
          <m:sub>
            <m:r>
              <m:t>i</m:t>
            </m:r>
          </m:sub>
        </m:sSub>
      </m:oMath>
      <w:r>
        <w:t xml:space="preserve">: la perte en cas de défaut de la cédante i ;</w:t>
      </w:r>
    </w:p>
    <w:p>
      <w:pPr>
        <w:numPr>
          <w:ilvl w:val="0"/>
          <w:numId w:val="1041"/>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41"/>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41"/>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2"/>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2"/>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2"/>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46"/>
    <w:bookmarkStart w:id="147" w:name="Xde70ab66fad04d143ab07d5ec8525e6812bbe93"/>
    <w:p>
      <w:pPr>
        <w:pStyle w:val="Heading5"/>
      </w:pPr>
      <w:r>
        <w:t xml:space="preserve">8.1.2.2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3"/>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3"/>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3"/>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47"/>
    <w:bookmarkEnd w:id="148"/>
    <w:bookmarkStart w:id="149" w:name="Xac2a78756e1947e45e0b443464340ca4e07c6ed"/>
    <w:p>
      <w:pPr>
        <w:pStyle w:val="Heading4"/>
      </w:pPr>
      <w:r>
        <w:t xml:space="preserve">8.1.3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49"/>
    <w:bookmarkStart w:id="155" w:name="X8bdc5d6c520394ae1ab3fd8ff0e20bf39ae18c3"/>
    <w:p>
      <w:pPr>
        <w:pStyle w:val="Heading4"/>
      </w:pPr>
      <w:r>
        <w:t xml:space="preserve">8.1.4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50" w:name="X70ec578e7130a57a8c8842c95b63e70e295ba28"/>
    <w:p>
      <w:pPr>
        <w:pStyle w:val="Heading5"/>
      </w:pPr>
      <w:r>
        <w:t xml:space="preserve">8.1.4.1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50"/>
    <w:bookmarkStart w:id="151" w:name="X92ef2d5d6d1f309ee4dc38a892eea4151c6a010"/>
    <w:p>
      <w:pPr>
        <w:pStyle w:val="Heading5"/>
      </w:pPr>
      <w:r>
        <w:t xml:space="preserve">8.1.4.2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51"/>
    <w:bookmarkStart w:id="152" w:name="Xe142ffdc5761a23c812b30051e7ff3529769432"/>
    <w:p>
      <w:pPr>
        <w:pStyle w:val="Heading5"/>
      </w:pPr>
      <w:r>
        <w:t xml:space="preserve">8.1.4.3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4"/>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5"/>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52"/>
    <w:bookmarkStart w:id="153" w:name="X2ad39c1112d69d7cc07addd7e09c4a1062144f3"/>
    <w:p>
      <w:pPr>
        <w:pStyle w:val="Heading5"/>
      </w:pPr>
      <w:r>
        <w:t xml:space="preserve">8.1.4.4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6"/>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6"/>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53"/>
    <w:bookmarkStart w:id="154" w:name="X7a733b5774bbec975e5e71b96ffb3b71cffef89"/>
    <w:p>
      <w:pPr>
        <w:pStyle w:val="Heading5"/>
      </w:pPr>
      <w:r>
        <w:t xml:space="preserve">8.1.4.5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54"/>
    <w:bookmarkEnd w:id="155"/>
    <w:bookmarkStart w:id="159" w:name="X1b6aa8fc00d4f5599dfcf10f97be846d7f67a01"/>
    <w:p>
      <w:pPr>
        <w:pStyle w:val="Heading4"/>
      </w:pPr>
      <w:r>
        <w:t xml:space="preserve">8.1.5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56" w:name="Xaf5135c38b35f3935e7fbb38292cb902ba10fce"/>
    <w:p>
      <w:pPr>
        <w:pStyle w:val="Heading5"/>
      </w:pPr>
      <w:r>
        <w:t xml:space="preserve">8.1.5.1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56"/>
    <w:bookmarkStart w:id="157" w:name="X97c27c4f6aaa2dc3a04acf8f040871c5ebd6f65"/>
    <w:p>
      <w:pPr>
        <w:pStyle w:val="Heading5"/>
      </w:pPr>
      <w:r>
        <w:t xml:space="preserve">8.1.5.2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57"/>
    <w:bookmarkStart w:id="158" w:name="X2d899550002a89faf70685e2ededa357230b7ec"/>
    <w:p>
      <w:pPr>
        <w:pStyle w:val="Heading5"/>
      </w:pPr>
      <w:r>
        <w:t xml:space="preserve">8.1.5.3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7"/>
        </w:numPr>
        <w:pStyle w:val="Compact"/>
      </w:pPr>
      <w:r>
        <w:t xml:space="preserve">Individuelles accidents et Invalidité ;</w:t>
      </w:r>
    </w:p>
    <w:p>
      <w:pPr>
        <w:numPr>
          <w:ilvl w:val="0"/>
          <w:numId w:val="1047"/>
        </w:numPr>
        <w:pStyle w:val="Compact"/>
      </w:pPr>
      <w:r>
        <w:t xml:space="preserve">Maladie;</w:t>
      </w:r>
    </w:p>
    <w:p>
      <w:pPr>
        <w:numPr>
          <w:ilvl w:val="0"/>
          <w:numId w:val="1047"/>
        </w:numPr>
        <w:pStyle w:val="Compact"/>
      </w:pPr>
      <w:r>
        <w:t xml:space="preserve">Accidents du travail et maladies professionnelles ;</w:t>
      </w:r>
    </w:p>
    <w:p>
      <w:pPr>
        <w:numPr>
          <w:ilvl w:val="0"/>
          <w:numId w:val="1047"/>
        </w:numPr>
        <w:pStyle w:val="Compact"/>
      </w:pPr>
      <w:r>
        <w:t xml:space="preserve">Responsabilité civile automobile des véhicules terrestres à moteur;</w:t>
      </w:r>
    </w:p>
    <w:p>
      <w:pPr>
        <w:numPr>
          <w:ilvl w:val="0"/>
          <w:numId w:val="1047"/>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7"/>
        </w:numPr>
        <w:pStyle w:val="Compact"/>
      </w:pPr>
      <w:r>
        <w:t xml:space="preserve">Incendie ;</w:t>
      </w:r>
    </w:p>
    <w:p>
      <w:pPr>
        <w:numPr>
          <w:ilvl w:val="0"/>
          <w:numId w:val="1047"/>
        </w:numPr>
        <w:pStyle w:val="Compact"/>
      </w:pPr>
      <w:r>
        <w:t xml:space="preserve">Maritime corps, facultés et responsabilité civile résultant de l’emploi de véhicules fluviaux et maritimes ;</w:t>
      </w:r>
    </w:p>
    <w:p>
      <w:pPr>
        <w:numPr>
          <w:ilvl w:val="0"/>
          <w:numId w:val="1047"/>
        </w:numPr>
        <w:pStyle w:val="Compact"/>
      </w:pPr>
      <w:r>
        <w:t xml:space="preserve">Aviation corps et responsabilité civile résultant de l’emploi des aéronefs ;</w:t>
      </w:r>
    </w:p>
    <w:p>
      <w:pPr>
        <w:numPr>
          <w:ilvl w:val="0"/>
          <w:numId w:val="1047"/>
        </w:numPr>
        <w:pStyle w:val="Compact"/>
      </w:pPr>
      <w:r>
        <w:t xml:space="preserve">Marchandises transportées par voie terrestre ;</w:t>
      </w:r>
    </w:p>
    <w:p>
      <w:pPr>
        <w:numPr>
          <w:ilvl w:val="0"/>
          <w:numId w:val="1047"/>
        </w:numPr>
        <w:pStyle w:val="Compact"/>
      </w:pPr>
      <w:r>
        <w:t xml:space="preserve">Assurance récolte, grêle ou gelée et éléments naturels ;</w:t>
      </w:r>
    </w:p>
    <w:p>
      <w:pPr>
        <w:numPr>
          <w:ilvl w:val="0"/>
          <w:numId w:val="1047"/>
        </w:numPr>
        <w:pStyle w:val="Compact"/>
      </w:pPr>
      <w:r>
        <w:t xml:space="preserve">Crédit et caution</w:t>
      </w:r>
    </w:p>
    <w:bookmarkEnd w:id="158"/>
    <w:bookmarkEnd w:id="159"/>
    <w:bookmarkEnd w:id="160"/>
    <w:bookmarkStart w:id="161" w:name="X784839fd8516b8df5730ae0da267f1818a874be"/>
    <w:p>
      <w:pPr>
        <w:pStyle w:val="Heading3"/>
      </w:pPr>
      <w:r>
        <w:t xml:space="preserve">8.2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61"/>
    <w:bookmarkStart w:id="166" w:name="X384c0c3c983e0c0cecb046cfdf19f3cf5bf77b3"/>
    <w:p>
      <w:pPr>
        <w:pStyle w:val="Heading3"/>
      </w:pPr>
      <w:r>
        <w:t xml:space="preserve">8.3 Ajustement du capital de solvabilité requis</w:t>
      </w:r>
    </w:p>
    <w:bookmarkStart w:id="162" w:name="X60f7df077bb6b37af80367e8ec055588dd69751"/>
    <w:p>
      <w:pPr>
        <w:pStyle w:val="Heading4"/>
      </w:pPr>
      <w:r>
        <w:t xml:space="preserve">8.3.1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62"/>
    <w:bookmarkStart w:id="165" w:name="Xbd336be1e04da1ede3fc1224bb2eedd17c6bfce"/>
    <w:p>
      <w:pPr>
        <w:pStyle w:val="Heading4"/>
      </w:pPr>
      <w:r>
        <w:t xml:space="preserve">8.3.2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C:\PROGRA~1\RStudio\RESOUR~1\app\bin\quarto\share\formats\docx\tip.png" id="16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65"/>
    <w:bookmarkEnd w:id="166"/>
    <w:bookmarkEnd w:id="167"/>
    <w:bookmarkStart w:id="170" w:name="Xec1a8240f33c78c61c9bf625a7d43ebee855295"/>
    <w:p>
      <w:pPr>
        <w:pStyle w:val="Heading2"/>
      </w:pPr>
      <w:r>
        <w:t xml:space="preserve">ANNEXE : Correspondance CORRESPONDANCE ENTRE ECHELLE DE NOTATION ET PROBABILITE DE DEFAUT</w:t>
      </w:r>
    </w:p>
    <w:bookmarkStart w:id="168" w:name="echelles-de-notation"/>
    <w:p>
      <w:pPr>
        <w:pStyle w:val="Heading3"/>
      </w:pPr>
      <w:r>
        <w:t xml:space="preserve">Echelles de notation</w:t>
      </w:r>
    </w:p>
    <w:p>
      <w:pPr>
        <w:numPr>
          <w:ilvl w:val="0"/>
          <w:numId w:val="1048"/>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9"/>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68"/>
    <w:bookmarkStart w:id="169"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https://www.acaps.ma/fr/l-acaps/missions</w:t>
      </w:r>
    </w:p>
  </w:footnote>
  <w:footnote w:id="24">
    <w:p>
      <w:pPr>
        <w:pStyle w:val="FootnoteText"/>
      </w:pPr>
      <w:r>
        <w:rPr>
          <w:rStyle w:val="FootnoteReference"/>
        </w:rPr>
        <w:footnoteRef/>
      </w:r>
      <w:r>
        <w:t xml:space="preserve"> </w:t>
      </w:r>
      <w:r>
        <w:t xml:space="preserve">https://www.atlas-mag.net/article/marche-africain-de-l-assurance-en-2019-chiffre-d-affaires-des-principaux-pays</w:t>
      </w:r>
    </w:p>
  </w:footnote>
  <w:footnote w:id="26">
    <w:p>
      <w:pPr>
        <w:pStyle w:val="FootnoteText"/>
      </w:pPr>
      <w:r>
        <w:rPr>
          <w:rStyle w:val="FootnoteReference"/>
        </w:rPr>
        <w:footnoteRef/>
      </w:r>
      <w:r>
        <w:t xml:space="preserve"> </w:t>
      </w:r>
      <w:r>
        <w:t xml:space="preserve">solvabilité basée sur les risques assurances maroc Acaps</w:t>
      </w:r>
    </w:p>
  </w:footnote>
  <w:footnote w:id="27">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8">
    <w:p>
      <w:pPr>
        <w:pStyle w:val="FootnoteText"/>
      </w:pPr>
      <w:r>
        <w:rPr>
          <w:rStyle w:val="FootnoteReference"/>
        </w:rPr>
        <w:footnoteRef/>
      </w:r>
      <w:r>
        <w:t xml:space="preserve"> </w:t>
      </w:r>
      <w:r>
        <w:t xml:space="preserve">ORSA Own Risk and Solvency Assessment</w:t>
      </w:r>
    </w:p>
  </w:footnote>
  <w:footnote w:id="32">
    <w:p>
      <w:pPr>
        <w:pStyle w:val="FootnoteText"/>
      </w:pPr>
      <w:r>
        <w:rPr>
          <w:rStyle w:val="FootnoteReference"/>
        </w:rPr>
        <w:footnoteRef/>
      </w:r>
      <w:r>
        <w:t xml:space="preserve"> </w:t>
      </w:r>
      <w:hyperlink r:id="rId33">
        <w:r>
          <w:rPr>
            <w:rStyle w:val="Hyperlink"/>
          </w:rPr>
          <w:t xml:space="preserve">Ciculaire en préparation concernant le second pilier relatif à la gouvernance</w:t>
        </w:r>
      </w:hyperlink>
    </w:p>
  </w:footnote>
  <w:footnote w:id="39">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5">
    <w:p>
      <w:pPr>
        <w:pStyle w:val="FootnoteText"/>
      </w:pPr>
      <w:r>
        <w:rPr>
          <w:rStyle w:val="FootnoteReference"/>
        </w:rPr>
        <w:footnoteRef/>
      </w:r>
      <w:r>
        <w:t xml:space="preserve"> </w:t>
      </w:r>
      <w:r>
        <w:t xml:space="preserve">Alonso Peña, Ph.D, C++ For Quantitative Finance</w:t>
      </w:r>
    </w:p>
  </w:footnote>
  <w:footnote w:id="88">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16">
    <w:p>
      <w:pPr>
        <w:pStyle w:val="FootnoteText"/>
      </w:pPr>
      <w:r>
        <w:rPr>
          <w:rStyle w:val="FootnoteReference"/>
        </w:rPr>
        <w:footnoteRef/>
      </w:r>
      <w:r>
        <w:t xml:space="preserve"> </w:t>
      </w:r>
      <w:r>
        <w:t xml:space="preserve">The Actuary and IBNR publié en 1972</w:t>
      </w:r>
    </w:p>
  </w:footnote>
  <w:footnote w:id="117">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9" Target="media/rId59.png" /><Relationship Type="http://schemas.openxmlformats.org/officeDocument/2006/relationships/image" Id="rId136" Target="media/rId136.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34" Target="media/rId34.png" /><Relationship Type="http://schemas.openxmlformats.org/officeDocument/2006/relationships/image" Id="rId67" Target="media/rId67.png" /><Relationship Type="http://schemas.openxmlformats.org/officeDocument/2006/relationships/hyperlink" Id="rId33" Target="https://fnh.ma/article/actualite-financiere-maroc/assurances-sbr-un-projet-de-circulaire-en-preparation" TargetMode="External" /><Relationship Type="http://schemas.openxmlformats.org/officeDocument/2006/relationships/hyperlink" Id="rId23" Target="https://www.atlas-mag.net/article/marche-africain-de-l-assurance-en-2019-chiffre-d-affaires-des-principaux-pays" TargetMode="External" /><Relationship Type="http://schemas.openxmlformats.org/officeDocument/2006/relationships/hyperlink" Id="rId74"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33" Target="https://fnh.ma/article/actualite-financiere-maroc/assurances-sbr-un-projet-de-circulaire-en-preparation" TargetMode="External" /><Relationship Type="http://schemas.openxmlformats.org/officeDocument/2006/relationships/hyperlink" Id="rId23" Target="https://www.atlas-mag.net/article/marche-africain-de-l-assurance-en-2019-chiffre-d-affaires-des-principaux-pays" TargetMode="External" /><Relationship Type="http://schemas.openxmlformats.org/officeDocument/2006/relationships/hyperlink" Id="rId74"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2023-06-09T10:34:48Z</dcterms:created>
  <dcterms:modified xsi:type="dcterms:W3CDTF">2023-06-09T10:34:48Z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