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82.png" ContentType="image/png"/>
  <Override PartName="/word/media/rId2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29"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 La SBR vient en ce sens renforcer cette dynamique. Elle s’établit sur trois piliers :</w:t>
      </w:r>
    </w:p>
    <w:tbl>
      <w:tblPr>
        <w:tblStyle w:val="Table"/>
        <w:tblW w:type="pct" w:w="5000"/>
        <w:tblLook w:firstRow="0" w:lastRow="0" w:firstColumn="0" w:lastColumn="0" w:noHBand="0" w:noVBand="0" w:val="0000"/>
      </w:tblPr>
      <w:tblGrid>
        <w:gridCol w:w="7920"/>
      </w:tblGrid>
      <w:tr>
        <w:tc>
          <w:tcPr/>
          <w:bookmarkStart w:id="28" w:name="fig-piliers"/>
          <w:p>
            <w:pPr>
              <w:pStyle w:val="Figure"/>
              <w:jc w:val="center"/>
            </w:pPr>
            <w:r>
              <w:drawing>
                <wp:inline>
                  <wp:extent cx="5334000" cy="2998910"/>
                  <wp:effectExtent b="0" l="0" r="0" t="0"/>
                  <wp:docPr descr="" title="" id="26" name="Picture"/>
                  <a:graphic>
                    <a:graphicData uri="http://schemas.openxmlformats.org/drawingml/2006/picture">
                      <pic:pic>
                        <pic:nvPicPr>
                          <pic:cNvPr descr="Rapport%20PFE_files/piliers.png" id="27"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28"/>
        </w:tc>
      </w:tr>
    </w:tbl>
    <w:bookmarkEnd w:id="29"/>
    <w:bookmarkStart w:id="41" w:name="valorisation-de-lactif"/>
    <w:p>
      <w:pPr>
        <w:pStyle w:val="Heading2"/>
      </w:pPr>
      <w:r>
        <w:t xml:space="preserve">3 Valorisation de l’actif</w:t>
      </w:r>
    </w:p>
    <w:bookmarkStart w:id="40" w:name="actions-cotées-à-la-bourse"/>
    <w:p>
      <w:pPr>
        <w:pStyle w:val="Heading3"/>
      </w:pPr>
      <w:r>
        <w:t xml:space="preserve">3.1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2"/>
        </w:numPr>
        <w:pStyle w:val="Compact"/>
      </w:pPr>
      <w:r>
        <w:t xml:space="preserve">Dernier coté avant la date d’inventaire</w:t>
      </w:r>
    </w:p>
    <w:p>
      <w:pPr>
        <w:numPr>
          <w:ilvl w:val="0"/>
          <w:numId w:val="1002"/>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39" w:name="modélisation-du-prix-des-actions"/>
    <w:p>
      <w:pPr>
        <w:pStyle w:val="Heading4"/>
      </w:pPr>
      <w:r>
        <w:t xml:space="preserve">3.1.1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38" w:name="modèle-de-black-scholes"/>
    <w:p>
      <w:pPr>
        <w:pStyle w:val="Heading5"/>
      </w:pPr>
      <w:r>
        <w:t xml:space="preserve">3.1.1.1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30"/>
      </w:r>
    </w:p>
    <w:p>
      <w:pPr>
        <w:pStyle w:val="BodyText"/>
      </w:pPr>
      <w:bookmarkStart w:id="31"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31"/>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32"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32"/>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33"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33"/>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34"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34"/>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6" name="Picture"/>
                  <a:graphic>
                    <a:graphicData uri="http://schemas.openxmlformats.org/drawingml/2006/picture">
                      <pic:pic>
                        <pic:nvPicPr>
                          <pic:cNvPr descr="Rapport-PFE_files/figure-docx/unnamed-chunk-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38"/>
    <w:bookmarkEnd w:id="39"/>
    <w:bookmarkEnd w:id="40"/>
    <w:bookmarkEnd w:id="41"/>
    <w:bookmarkStart w:id="51" w:name="X07868ea8b9ac752e9889fc2a9eede4b2fc4d338"/>
    <w:p>
      <w:pPr>
        <w:pStyle w:val="Heading2"/>
      </w:pPr>
      <w:r>
        <w:t xml:space="preserve">4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42">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43"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r>
        <w:tc>
          <w:tcPr/>
          <w:p>
            <w:pPr>
              <w:pStyle w:val="Compact"/>
              <w:jc w:val="left"/>
            </w:pPr>
            <w:r>
              <w:t xml:space="preserve">03/04/2023</w:t>
            </w:r>
          </w:p>
        </w:tc>
        <w:tc>
          <w:tcPr/>
          <w:p>
            <w:pPr>
              <w:pStyle w:val="Compact"/>
              <w:jc w:val="left"/>
            </w:pPr>
            <w:r>
              <w:t xml:space="preserve">314,15</w:t>
            </w:r>
          </w:p>
        </w:tc>
        <w:tc>
          <w:tcPr/>
          <w:p>
            <w:pPr>
              <w:pStyle w:val="Compact"/>
              <w:jc w:val="right"/>
            </w:pPr>
            <w:r>
              <w:t xml:space="preserve">0.01638</w:t>
            </w:r>
          </w:p>
        </w:tc>
        <w:tc>
          <w:tcPr/>
          <w:p>
            <w:pPr>
              <w:pStyle w:val="Compact"/>
              <w:jc w:val="left"/>
            </w:pPr>
            <w:r>
              <w:t xml:space="preserve">1,638 %</w:t>
            </w:r>
          </w:p>
        </w:tc>
        <w:tc>
          <w:tcPr/>
          <w:p>
            <w:pPr>
              <w:pStyle w:val="Compact"/>
              <w:jc w:val="left"/>
            </w:pPr>
            <w:r>
              <w:t xml:space="preserve">30/12/2021</w:t>
            </w:r>
          </w:p>
        </w:tc>
        <w:tc>
          <w:tcPr/>
          <w:p>
            <w:pPr>
              <w:pStyle w:val="Compact"/>
              <w:jc w:val="right"/>
            </w:pPr>
            <w:r>
              <w:t xml:space="preserve">1.275</w:t>
            </w:r>
          </w:p>
        </w:tc>
      </w:tr>
      <w:tr>
        <w:tc>
          <w:tcPr/>
          <w:p>
            <w:pPr>
              <w:pStyle w:val="Compact"/>
              <w:jc w:val="left"/>
            </w:pPr>
            <w:r>
              <w:t xml:space="preserve">15/05/2023</w:t>
            </w:r>
          </w:p>
        </w:tc>
        <w:tc>
          <w:tcPr/>
          <w:p>
            <w:pPr>
              <w:pStyle w:val="Compact"/>
              <w:jc w:val="left"/>
            </w:pPr>
            <w:r>
              <w:t xml:space="preserve">193,17</w:t>
            </w:r>
          </w:p>
        </w:tc>
        <w:tc>
          <w:tcPr/>
          <w:p>
            <w:pPr>
              <w:pStyle w:val="Compact"/>
              <w:jc w:val="right"/>
            </w:pPr>
            <w:r>
              <w:t xml:space="preserve">0.01661</w:t>
            </w:r>
          </w:p>
        </w:tc>
        <w:tc>
          <w:tcPr/>
          <w:p>
            <w:pPr>
              <w:pStyle w:val="Compact"/>
              <w:jc w:val="left"/>
            </w:pPr>
            <w:r>
              <w:t xml:space="preserve">1,661 %</w:t>
            </w:r>
          </w:p>
        </w:tc>
        <w:tc>
          <w:tcPr/>
          <w:p>
            <w:pPr>
              <w:pStyle w:val="Compact"/>
              <w:jc w:val="left"/>
            </w:pPr>
            <w:r>
              <w:t xml:space="preserve">30/12/2021</w:t>
            </w:r>
          </w:p>
        </w:tc>
        <w:tc>
          <w:tcPr/>
          <w:p>
            <w:pPr>
              <w:pStyle w:val="Compact"/>
              <w:jc w:val="right"/>
            </w:pPr>
            <w:r>
              <w:t xml:space="preserve">1.392</w:t>
            </w:r>
          </w:p>
        </w:tc>
      </w:tr>
      <w:tr>
        <w:tc>
          <w:tcPr/>
          <w:p>
            <w:pPr>
              <w:pStyle w:val="Compact"/>
              <w:jc w:val="left"/>
            </w:pPr>
            <w:r>
              <w:t xml:space="preserve">19/06/2023</w:t>
            </w:r>
          </w:p>
        </w:tc>
        <w:tc>
          <w:tcPr/>
          <w:p>
            <w:pPr>
              <w:pStyle w:val="Compact"/>
              <w:jc w:val="left"/>
            </w:pPr>
            <w:r>
              <w:t xml:space="preserve">219,32</w:t>
            </w:r>
          </w:p>
        </w:tc>
        <w:tc>
          <w:tcPr/>
          <w:p>
            <w:pPr>
              <w:pStyle w:val="Compact"/>
              <w:jc w:val="right"/>
            </w:pPr>
            <w:r>
              <w:t xml:space="preserve">0.01667</w:t>
            </w:r>
          </w:p>
        </w:tc>
        <w:tc>
          <w:tcPr/>
          <w:p>
            <w:pPr>
              <w:pStyle w:val="Compact"/>
              <w:jc w:val="left"/>
            </w:pPr>
            <w:r>
              <w:t xml:space="preserve">1,667 %</w:t>
            </w:r>
          </w:p>
        </w:tc>
        <w:tc>
          <w:tcPr/>
          <w:p>
            <w:pPr>
              <w:pStyle w:val="Compact"/>
              <w:jc w:val="left"/>
            </w:pPr>
            <w:r>
              <w:t xml:space="preserve">30/12/2021</w:t>
            </w:r>
          </w:p>
        </w:tc>
        <w:tc>
          <w:tcPr/>
          <w:p>
            <w:pPr>
              <w:pStyle w:val="Compact"/>
              <w:jc w:val="right"/>
            </w:pPr>
            <w:r>
              <w:t xml:space="preserve">1.489</w:t>
            </w:r>
          </w:p>
        </w:tc>
      </w:tr>
      <w:tr>
        <w:tc>
          <w:tcPr/>
          <w:p>
            <w:pPr>
              <w:pStyle w:val="Compact"/>
              <w:jc w:val="left"/>
            </w:pPr>
            <w:r>
              <w:t xml:space="preserve">17/07/2023</w:t>
            </w:r>
          </w:p>
        </w:tc>
        <w:tc>
          <w:tcPr/>
          <w:p>
            <w:pPr>
              <w:pStyle w:val="Compact"/>
              <w:jc w:val="left"/>
            </w:pPr>
            <w:r>
              <w:t xml:space="preserve">154,92</w:t>
            </w:r>
          </w:p>
        </w:tc>
        <w:tc>
          <w:tcPr/>
          <w:p>
            <w:pPr>
              <w:pStyle w:val="Compact"/>
              <w:jc w:val="right"/>
            </w:pPr>
            <w:r>
              <w:t xml:space="preserve">0.01670</w:t>
            </w:r>
          </w:p>
        </w:tc>
        <w:tc>
          <w:tcPr/>
          <w:p>
            <w:pPr>
              <w:pStyle w:val="Compact"/>
              <w:jc w:val="left"/>
            </w:pPr>
            <w:r>
              <w:t xml:space="preserve">1,670 %</w:t>
            </w:r>
          </w:p>
        </w:tc>
        <w:tc>
          <w:tcPr/>
          <w:p>
            <w:pPr>
              <w:pStyle w:val="Compact"/>
              <w:jc w:val="left"/>
            </w:pPr>
            <w:r>
              <w:t xml:space="preserve">30/12/2021</w:t>
            </w:r>
          </w:p>
        </w:tc>
        <w:tc>
          <w:tcPr/>
          <w:p>
            <w:pPr>
              <w:pStyle w:val="Compact"/>
              <w:jc w:val="right"/>
            </w:pPr>
            <w:r>
              <w:t xml:space="preserve">1.567</w:t>
            </w:r>
          </w:p>
        </w:tc>
      </w:tr>
      <w:tr>
        <w:tc>
          <w:tcPr/>
          <w:p>
            <w:pPr>
              <w:pStyle w:val="Compact"/>
              <w:jc w:val="left"/>
            </w:pPr>
            <w:r>
              <w:t xml:space="preserve">16/10/2023</w:t>
            </w:r>
          </w:p>
        </w:tc>
        <w:tc>
          <w:tcPr/>
          <w:p>
            <w:pPr>
              <w:pStyle w:val="Compact"/>
              <w:jc w:val="left"/>
            </w:pPr>
            <w:r>
              <w:t xml:space="preserve">151,80</w:t>
            </w:r>
          </w:p>
        </w:tc>
        <w:tc>
          <w:tcPr/>
          <w:p>
            <w:pPr>
              <w:pStyle w:val="Compact"/>
              <w:jc w:val="right"/>
            </w:pPr>
            <w:r>
              <w:t xml:space="preserve">0.01701</w:t>
            </w:r>
          </w:p>
        </w:tc>
        <w:tc>
          <w:tcPr/>
          <w:p>
            <w:pPr>
              <w:pStyle w:val="Compact"/>
              <w:jc w:val="left"/>
            </w:pPr>
            <w:r>
              <w:t xml:space="preserve">1,701 %</w:t>
            </w:r>
          </w:p>
        </w:tc>
        <w:tc>
          <w:tcPr/>
          <w:p>
            <w:pPr>
              <w:pStyle w:val="Compact"/>
              <w:jc w:val="left"/>
            </w:pPr>
            <w:r>
              <w:t xml:space="preserve">30/12/2021</w:t>
            </w:r>
          </w:p>
        </w:tc>
        <w:tc>
          <w:tcPr/>
          <w:p>
            <w:pPr>
              <w:pStyle w:val="Compact"/>
              <w:jc w:val="right"/>
            </w:pPr>
            <w:r>
              <w:t xml:space="preserve">1.819</w:t>
            </w:r>
          </w:p>
        </w:tc>
      </w:tr>
      <w:tr>
        <w:tc>
          <w:tcPr/>
          <w:p>
            <w:pPr>
              <w:pStyle w:val="Compact"/>
              <w:jc w:val="left"/>
            </w:pPr>
            <w:r>
              <w:t xml:space="preserve">15/01/2024</w:t>
            </w:r>
          </w:p>
        </w:tc>
        <w:tc>
          <w:tcPr/>
          <w:p>
            <w:pPr>
              <w:pStyle w:val="Compact"/>
              <w:jc w:val="left"/>
            </w:pPr>
            <w:r>
              <w:t xml:space="preserve">100,32</w:t>
            </w:r>
          </w:p>
        </w:tc>
        <w:tc>
          <w:tcPr/>
          <w:p>
            <w:pPr>
              <w:pStyle w:val="Compact"/>
              <w:jc w:val="right"/>
            </w:pPr>
            <w:r>
              <w:t xml:space="preserve">0.01744</w:t>
            </w:r>
          </w:p>
        </w:tc>
        <w:tc>
          <w:tcPr/>
          <w:p>
            <w:pPr>
              <w:pStyle w:val="Compact"/>
              <w:jc w:val="left"/>
            </w:pPr>
            <w:r>
              <w:t xml:space="preserve">1,744 %</w:t>
            </w:r>
          </w:p>
        </w:tc>
        <w:tc>
          <w:tcPr/>
          <w:p>
            <w:pPr>
              <w:pStyle w:val="Compact"/>
              <w:jc w:val="left"/>
            </w:pPr>
            <w:r>
              <w:t xml:space="preserve">30/12/2021</w:t>
            </w:r>
          </w:p>
        </w:tc>
        <w:tc>
          <w:tcPr/>
          <w:p>
            <w:pPr>
              <w:pStyle w:val="Compact"/>
              <w:jc w:val="right"/>
            </w:pPr>
            <w:r>
              <w:t xml:space="preserve">2.072</w:t>
            </w:r>
          </w:p>
        </w:tc>
      </w:tr>
      <w:tr>
        <w:tc>
          <w:tcPr/>
          <w:p>
            <w:pPr>
              <w:pStyle w:val="Compact"/>
              <w:jc w:val="left"/>
            </w:pPr>
            <w:r>
              <w:t xml:space="preserve">20/10/2025</w:t>
            </w:r>
          </w:p>
        </w:tc>
        <w:tc>
          <w:tcPr/>
          <w:p>
            <w:pPr>
              <w:pStyle w:val="Compact"/>
              <w:jc w:val="left"/>
            </w:pPr>
            <w:r>
              <w:t xml:space="preserve">514,97</w:t>
            </w:r>
          </w:p>
        </w:tc>
        <w:tc>
          <w:tcPr/>
          <w:p>
            <w:pPr>
              <w:pStyle w:val="Compact"/>
              <w:jc w:val="right"/>
            </w:pPr>
            <w:r>
              <w:t xml:space="preserve">0.01896</w:t>
            </w:r>
          </w:p>
        </w:tc>
        <w:tc>
          <w:tcPr/>
          <w:p>
            <w:pPr>
              <w:pStyle w:val="Compact"/>
              <w:jc w:val="left"/>
            </w:pPr>
            <w:r>
              <w:t xml:space="preserve">1,896 %</w:t>
            </w:r>
          </w:p>
        </w:tc>
        <w:tc>
          <w:tcPr/>
          <w:p>
            <w:pPr>
              <w:pStyle w:val="Compact"/>
              <w:jc w:val="left"/>
            </w:pPr>
            <w:r>
              <w:t xml:space="preserve">30/12/2021</w:t>
            </w:r>
          </w:p>
        </w:tc>
        <w:tc>
          <w:tcPr/>
          <w:p>
            <w:pPr>
              <w:pStyle w:val="Compact"/>
              <w:jc w:val="right"/>
            </w:pPr>
            <w:r>
              <w:t xml:space="preserve">3.861</w:t>
            </w:r>
          </w:p>
        </w:tc>
      </w:tr>
      <w:tr>
        <w:tc>
          <w:tcPr/>
          <w:p>
            <w:pPr>
              <w:pStyle w:val="Compact"/>
              <w:jc w:val="left"/>
            </w:pPr>
            <w:r>
              <w:t xml:space="preserve">20/04/2026</w:t>
            </w:r>
          </w:p>
        </w:tc>
        <w:tc>
          <w:tcPr/>
          <w:p>
            <w:pPr>
              <w:pStyle w:val="Compact"/>
              <w:jc w:val="left"/>
            </w:pPr>
            <w:r>
              <w:t xml:space="preserve">317,39</w:t>
            </w:r>
          </w:p>
        </w:tc>
        <w:tc>
          <w:tcPr/>
          <w:p>
            <w:pPr>
              <w:pStyle w:val="Compact"/>
              <w:jc w:val="right"/>
            </w:pPr>
            <w:r>
              <w:t xml:space="preserve">0.01941</w:t>
            </w:r>
          </w:p>
        </w:tc>
        <w:tc>
          <w:tcPr/>
          <w:p>
            <w:pPr>
              <w:pStyle w:val="Compact"/>
              <w:jc w:val="left"/>
            </w:pPr>
            <w:r>
              <w:t xml:space="preserve">1,941 %</w:t>
            </w:r>
          </w:p>
        </w:tc>
        <w:tc>
          <w:tcPr/>
          <w:p>
            <w:pPr>
              <w:pStyle w:val="Compact"/>
              <w:jc w:val="left"/>
            </w:pPr>
            <w:r>
              <w:t xml:space="preserve">30/12/2021</w:t>
            </w:r>
          </w:p>
        </w:tc>
        <w:tc>
          <w:tcPr/>
          <w:p>
            <w:pPr>
              <w:pStyle w:val="Compact"/>
              <w:jc w:val="right"/>
            </w:pPr>
            <w:r>
              <w:t xml:space="preserve">4.367</w:t>
            </w:r>
          </w:p>
        </w:tc>
      </w:tr>
      <w:tr>
        <w:tc>
          <w:tcPr/>
          <w:p>
            <w:pPr>
              <w:pStyle w:val="Compact"/>
              <w:jc w:val="left"/>
            </w:pPr>
            <w:r>
              <w:t xml:space="preserve">15/06/2026</w:t>
            </w:r>
          </w:p>
        </w:tc>
        <w:tc>
          <w:tcPr/>
          <w:p>
            <w:pPr>
              <w:pStyle w:val="Compact"/>
              <w:jc w:val="left"/>
            </w:pPr>
            <w:r>
              <w:t xml:space="preserve">216,94</w:t>
            </w:r>
          </w:p>
        </w:tc>
        <w:tc>
          <w:tcPr/>
          <w:p>
            <w:pPr>
              <w:pStyle w:val="Compact"/>
              <w:jc w:val="right"/>
            </w:pPr>
            <w:r>
              <w:t xml:space="preserve">0.01945</w:t>
            </w:r>
          </w:p>
        </w:tc>
        <w:tc>
          <w:tcPr/>
          <w:p>
            <w:pPr>
              <w:pStyle w:val="Compact"/>
              <w:jc w:val="left"/>
            </w:pPr>
            <w:r>
              <w:t xml:space="preserve">1,945 %</w:t>
            </w:r>
          </w:p>
        </w:tc>
        <w:tc>
          <w:tcPr/>
          <w:p>
            <w:pPr>
              <w:pStyle w:val="Compact"/>
              <w:jc w:val="left"/>
            </w:pPr>
            <w:r>
              <w:t xml:space="preserve">30/12/2021</w:t>
            </w:r>
          </w:p>
        </w:tc>
        <w:tc>
          <w:tcPr/>
          <w:p>
            <w:pPr>
              <w:pStyle w:val="Compact"/>
              <w:jc w:val="right"/>
            </w:pPr>
            <w:r>
              <w:t xml:space="preserve">4.522</w:t>
            </w:r>
          </w:p>
        </w:tc>
      </w:tr>
      <w:tr>
        <w:tc>
          <w:tcPr/>
          <w:p>
            <w:pPr>
              <w:pStyle w:val="Compact"/>
              <w:jc w:val="left"/>
            </w:pPr>
            <w:r>
              <w:t xml:space="preserve">19/10/2026</w:t>
            </w:r>
          </w:p>
        </w:tc>
        <w:tc>
          <w:tcPr/>
          <w:p>
            <w:pPr>
              <w:pStyle w:val="Compact"/>
              <w:jc w:val="left"/>
            </w:pPr>
            <w:r>
              <w:t xml:space="preserve">374,56</w:t>
            </w:r>
          </w:p>
        </w:tc>
        <w:tc>
          <w:tcPr/>
          <w:p>
            <w:pPr>
              <w:pStyle w:val="Compact"/>
              <w:jc w:val="right"/>
            </w:pPr>
            <w:r>
              <w:t xml:space="preserve">0.01965</w:t>
            </w:r>
          </w:p>
        </w:tc>
        <w:tc>
          <w:tcPr/>
          <w:p>
            <w:pPr>
              <w:pStyle w:val="Compact"/>
              <w:jc w:val="left"/>
            </w:pPr>
            <w:r>
              <w:t xml:space="preserve">1,965 %</w:t>
            </w:r>
          </w:p>
        </w:tc>
        <w:tc>
          <w:tcPr/>
          <w:p>
            <w:pPr>
              <w:pStyle w:val="Compact"/>
              <w:jc w:val="left"/>
            </w:pPr>
            <w:r>
              <w:t xml:space="preserve">30/12/2021</w:t>
            </w:r>
          </w:p>
        </w:tc>
        <w:tc>
          <w:tcPr/>
          <w:p>
            <w:pPr>
              <w:pStyle w:val="Compact"/>
              <w:jc w:val="right"/>
            </w:pPr>
            <w:r>
              <w:t xml:space="preserve">4.872</w:t>
            </w:r>
          </w:p>
        </w:tc>
      </w:tr>
      <w:tr>
        <w:tc>
          <w:tcPr/>
          <w:p>
            <w:pPr>
              <w:pStyle w:val="Compact"/>
              <w:jc w:val="left"/>
            </w:pPr>
            <w:r>
              <w:t xml:space="preserve">19/04/2027</w:t>
            </w:r>
          </w:p>
        </w:tc>
        <w:tc>
          <w:tcPr/>
          <w:p>
            <w:pPr>
              <w:pStyle w:val="Compact"/>
              <w:jc w:val="left"/>
            </w:pPr>
            <w:r>
              <w:t xml:space="preserve">91,98</w:t>
            </w:r>
          </w:p>
        </w:tc>
        <w:tc>
          <w:tcPr/>
          <w:p>
            <w:pPr>
              <w:pStyle w:val="Compact"/>
              <w:jc w:val="right"/>
            </w:pPr>
            <w:r>
              <w:t xml:space="preserve">0.02010</w:t>
            </w:r>
          </w:p>
        </w:tc>
        <w:tc>
          <w:tcPr/>
          <w:p>
            <w:pPr>
              <w:pStyle w:val="Compact"/>
              <w:jc w:val="left"/>
            </w:pPr>
            <w:r>
              <w:t xml:space="preserve">2,010 %</w:t>
            </w:r>
          </w:p>
        </w:tc>
        <w:tc>
          <w:tcPr/>
          <w:p>
            <w:pPr>
              <w:pStyle w:val="Compact"/>
              <w:jc w:val="left"/>
            </w:pPr>
            <w:r>
              <w:t xml:space="preserve">30/12/2021</w:t>
            </w:r>
          </w:p>
        </w:tc>
        <w:tc>
          <w:tcPr/>
          <w:p>
            <w:pPr>
              <w:pStyle w:val="Compact"/>
              <w:jc w:val="right"/>
            </w:pPr>
            <w:r>
              <w:t xml:space="preserve">5.378</w:t>
            </w:r>
          </w:p>
        </w:tc>
      </w:tr>
      <w:tr>
        <w:tc>
          <w:tcPr/>
          <w:p>
            <w:pPr>
              <w:pStyle w:val="Compact"/>
              <w:jc w:val="left"/>
            </w:pPr>
            <w:r>
              <w:t xml:space="preserve">17/05/2027</w:t>
            </w:r>
          </w:p>
        </w:tc>
        <w:tc>
          <w:tcPr/>
          <w:p>
            <w:pPr>
              <w:pStyle w:val="Compact"/>
              <w:jc w:val="left"/>
            </w:pPr>
            <w:r>
              <w:t xml:space="preserve">80,08</w:t>
            </w:r>
          </w:p>
        </w:tc>
        <w:tc>
          <w:tcPr/>
          <w:p>
            <w:pPr>
              <w:pStyle w:val="Compact"/>
              <w:jc w:val="right"/>
            </w:pPr>
            <w:r>
              <w:t xml:space="preserve">0.02025</w:t>
            </w:r>
          </w:p>
        </w:tc>
        <w:tc>
          <w:tcPr/>
          <w:p>
            <w:pPr>
              <w:pStyle w:val="Compact"/>
              <w:jc w:val="left"/>
            </w:pPr>
            <w:r>
              <w:t xml:space="preserve">2,025 %</w:t>
            </w:r>
          </w:p>
        </w:tc>
        <w:tc>
          <w:tcPr/>
          <w:p>
            <w:pPr>
              <w:pStyle w:val="Compact"/>
              <w:jc w:val="left"/>
            </w:pPr>
            <w:r>
              <w:t xml:space="preserve">30/12/2021</w:t>
            </w:r>
          </w:p>
        </w:tc>
        <w:tc>
          <w:tcPr/>
          <w:p>
            <w:pPr>
              <w:pStyle w:val="Compact"/>
              <w:jc w:val="right"/>
            </w:pPr>
            <w:r>
              <w:t xml:space="preserve">5.456</w:t>
            </w:r>
          </w:p>
        </w:tc>
      </w:tr>
      <w:tr>
        <w:tc>
          <w:tcPr/>
          <w:p>
            <w:pPr>
              <w:pStyle w:val="Compact"/>
              <w:jc w:val="left"/>
            </w:pPr>
            <w:r>
              <w:t xml:space="preserve">14/06/2027</w:t>
            </w:r>
          </w:p>
        </w:tc>
        <w:tc>
          <w:tcPr/>
          <w:p>
            <w:pPr>
              <w:pStyle w:val="Compact"/>
              <w:jc w:val="left"/>
            </w:pPr>
            <w:r>
              <w:t xml:space="preserve">430,04</w:t>
            </w:r>
          </w:p>
        </w:tc>
        <w:tc>
          <w:tcPr/>
          <w:p>
            <w:pPr>
              <w:pStyle w:val="Compact"/>
              <w:jc w:val="right"/>
            </w:pPr>
            <w:r>
              <w:t xml:space="preserve">0.02070</w:t>
            </w:r>
          </w:p>
        </w:tc>
        <w:tc>
          <w:tcPr/>
          <w:p>
            <w:pPr>
              <w:pStyle w:val="Compact"/>
              <w:jc w:val="left"/>
            </w:pPr>
            <w:r>
              <w:t xml:space="preserve">2,070 %</w:t>
            </w:r>
          </w:p>
        </w:tc>
        <w:tc>
          <w:tcPr/>
          <w:p>
            <w:pPr>
              <w:pStyle w:val="Compact"/>
              <w:jc w:val="left"/>
            </w:pPr>
            <w:r>
              <w:t xml:space="preserve">30/12/2021</w:t>
            </w:r>
          </w:p>
        </w:tc>
        <w:tc>
          <w:tcPr/>
          <w:p>
            <w:pPr>
              <w:pStyle w:val="Compact"/>
              <w:jc w:val="right"/>
            </w:pPr>
            <w:r>
              <w:t xml:space="preserve">5.533</w:t>
            </w:r>
          </w:p>
        </w:tc>
      </w:tr>
      <w:tr>
        <w:tc>
          <w:tcPr/>
          <w:p>
            <w:pPr>
              <w:pStyle w:val="Compact"/>
              <w:jc w:val="left"/>
            </w:pPr>
            <w:r>
              <w:t xml:space="preserve">19/06/2028</w:t>
            </w:r>
          </w:p>
        </w:tc>
        <w:tc>
          <w:tcPr/>
          <w:p>
            <w:pPr>
              <w:pStyle w:val="Compact"/>
              <w:jc w:val="left"/>
            </w:pPr>
            <w:r>
              <w:t xml:space="preserve">108,96</w:t>
            </w:r>
          </w:p>
        </w:tc>
        <w:tc>
          <w:tcPr/>
          <w:p>
            <w:pPr>
              <w:pStyle w:val="Compact"/>
              <w:jc w:val="right"/>
            </w:pPr>
            <w:r>
              <w:t xml:space="preserve">0.02095</w:t>
            </w:r>
          </w:p>
        </w:tc>
        <w:tc>
          <w:tcPr/>
          <w:p>
            <w:pPr>
              <w:pStyle w:val="Compact"/>
              <w:jc w:val="left"/>
            </w:pPr>
            <w:r>
              <w:t xml:space="preserve">2,095 %</w:t>
            </w:r>
          </w:p>
        </w:tc>
        <w:tc>
          <w:tcPr/>
          <w:p>
            <w:pPr>
              <w:pStyle w:val="Compact"/>
              <w:jc w:val="left"/>
            </w:pPr>
            <w:r>
              <w:t xml:space="preserve">30/12/2021</w:t>
            </w:r>
          </w:p>
        </w:tc>
        <w:tc>
          <w:tcPr/>
          <w:p>
            <w:pPr>
              <w:pStyle w:val="Compact"/>
              <w:jc w:val="right"/>
            </w:pPr>
            <w:r>
              <w:t xml:space="preserve">6.564</w:t>
            </w:r>
          </w:p>
        </w:tc>
      </w:tr>
      <w:tr>
        <w:tc>
          <w:tcPr/>
          <w:p>
            <w:pPr>
              <w:pStyle w:val="Compact"/>
              <w:jc w:val="left"/>
            </w:pPr>
            <w:r>
              <w:t xml:space="preserve">14/08/2028</w:t>
            </w:r>
          </w:p>
        </w:tc>
        <w:tc>
          <w:tcPr/>
          <w:p>
            <w:pPr>
              <w:pStyle w:val="Compact"/>
              <w:jc w:val="left"/>
            </w:pPr>
            <w:r>
              <w:t xml:space="preserve">121,13</w:t>
            </w:r>
          </w:p>
        </w:tc>
        <w:tc>
          <w:tcPr/>
          <w:p>
            <w:pPr>
              <w:pStyle w:val="Compact"/>
              <w:jc w:val="right"/>
            </w:pPr>
            <w:r>
              <w:t xml:space="preserve">0.02119</w:t>
            </w:r>
          </w:p>
        </w:tc>
        <w:tc>
          <w:tcPr/>
          <w:p>
            <w:pPr>
              <w:pStyle w:val="Compact"/>
              <w:jc w:val="left"/>
            </w:pPr>
            <w:r>
              <w:t xml:space="preserve">2,119 %</w:t>
            </w:r>
          </w:p>
        </w:tc>
        <w:tc>
          <w:tcPr/>
          <w:p>
            <w:pPr>
              <w:pStyle w:val="Compact"/>
              <w:jc w:val="left"/>
            </w:pPr>
            <w:r>
              <w:t xml:space="preserve">30/12/2021</w:t>
            </w:r>
          </w:p>
        </w:tc>
        <w:tc>
          <w:tcPr/>
          <w:p>
            <w:pPr>
              <w:pStyle w:val="Compact"/>
              <w:jc w:val="right"/>
            </w:pPr>
            <w:r>
              <w:t xml:space="preserve">6.719</w:t>
            </w:r>
          </w:p>
        </w:tc>
      </w:tr>
      <w:tr>
        <w:tc>
          <w:tcPr/>
          <w:p>
            <w:pPr>
              <w:pStyle w:val="Compact"/>
              <w:jc w:val="left"/>
            </w:pPr>
            <w:r>
              <w:t xml:space="preserve">16/04/2029</w:t>
            </w:r>
          </w:p>
        </w:tc>
        <w:tc>
          <w:tcPr/>
          <w:p>
            <w:pPr>
              <w:pStyle w:val="Compact"/>
              <w:jc w:val="left"/>
            </w:pPr>
            <w:r>
              <w:t xml:space="preserve">362,36</w:t>
            </w:r>
          </w:p>
        </w:tc>
        <w:tc>
          <w:tcPr/>
          <w:p>
            <w:pPr>
              <w:pStyle w:val="Compact"/>
              <w:jc w:val="right"/>
            </w:pPr>
            <w:r>
              <w:t xml:space="preserve">0.02114</w:t>
            </w:r>
          </w:p>
        </w:tc>
        <w:tc>
          <w:tcPr/>
          <w:p>
            <w:pPr>
              <w:pStyle w:val="Compact"/>
              <w:jc w:val="left"/>
            </w:pPr>
            <w:r>
              <w:t xml:space="preserve">2,114 %</w:t>
            </w:r>
          </w:p>
        </w:tc>
        <w:tc>
          <w:tcPr/>
          <w:p>
            <w:pPr>
              <w:pStyle w:val="Compact"/>
              <w:jc w:val="left"/>
            </w:pPr>
            <w:r>
              <w:t xml:space="preserve">30/12/2021</w:t>
            </w:r>
          </w:p>
        </w:tc>
        <w:tc>
          <w:tcPr/>
          <w:p>
            <w:pPr>
              <w:pStyle w:val="Compact"/>
              <w:jc w:val="right"/>
            </w:pPr>
            <w:r>
              <w:t xml:space="preserve">7.400</w:t>
            </w:r>
          </w:p>
        </w:tc>
      </w:tr>
      <w:tr>
        <w:tc>
          <w:tcPr/>
          <w:p>
            <w:pPr>
              <w:pStyle w:val="Compact"/>
              <w:jc w:val="left"/>
            </w:pPr>
            <w:r>
              <w:t xml:space="preserve">18/06/2029</w:t>
            </w:r>
          </w:p>
        </w:tc>
        <w:tc>
          <w:tcPr/>
          <w:p>
            <w:pPr>
              <w:pStyle w:val="Compact"/>
              <w:jc w:val="left"/>
            </w:pPr>
            <w:r>
              <w:t xml:space="preserve">308,38</w:t>
            </w:r>
          </w:p>
        </w:tc>
        <w:tc>
          <w:tcPr/>
          <w:p>
            <w:pPr>
              <w:pStyle w:val="Compact"/>
              <w:jc w:val="right"/>
            </w:pPr>
            <w:r>
              <w:t xml:space="preserve">0.02128</w:t>
            </w:r>
          </w:p>
        </w:tc>
        <w:tc>
          <w:tcPr/>
          <w:p>
            <w:pPr>
              <w:pStyle w:val="Compact"/>
              <w:jc w:val="left"/>
            </w:pPr>
            <w:r>
              <w:t xml:space="preserve">2,128 %</w:t>
            </w:r>
          </w:p>
        </w:tc>
        <w:tc>
          <w:tcPr/>
          <w:p>
            <w:pPr>
              <w:pStyle w:val="Compact"/>
              <w:jc w:val="left"/>
            </w:pPr>
            <w:r>
              <w:t xml:space="preserve">30/12/2021</w:t>
            </w:r>
          </w:p>
        </w:tc>
        <w:tc>
          <w:tcPr/>
          <w:p>
            <w:pPr>
              <w:pStyle w:val="Compact"/>
              <w:jc w:val="right"/>
            </w:pPr>
            <w:r>
              <w:t xml:space="preserve">7.575</w:t>
            </w:r>
          </w:p>
        </w:tc>
      </w:tr>
      <w:tr>
        <w:tc>
          <w:tcPr/>
          <w:p>
            <w:pPr>
              <w:pStyle w:val="Compact"/>
              <w:jc w:val="left"/>
            </w:pPr>
            <w:r>
              <w:t xml:space="preserve">06/08/2029</w:t>
            </w:r>
          </w:p>
        </w:tc>
        <w:tc>
          <w:tcPr/>
          <w:p>
            <w:pPr>
              <w:pStyle w:val="Compact"/>
              <w:jc w:val="left"/>
            </w:pPr>
            <w:r>
              <w:t xml:space="preserve">232,55</w:t>
            </w:r>
          </w:p>
        </w:tc>
        <w:tc>
          <w:tcPr/>
          <w:p>
            <w:pPr>
              <w:pStyle w:val="Compact"/>
              <w:jc w:val="right"/>
            </w:pPr>
            <w:r>
              <w:t xml:space="preserve">0.02131</w:t>
            </w:r>
          </w:p>
        </w:tc>
        <w:tc>
          <w:tcPr/>
          <w:p>
            <w:pPr>
              <w:pStyle w:val="Compact"/>
              <w:jc w:val="left"/>
            </w:pPr>
            <w:r>
              <w:t xml:space="preserve">2,131 %</w:t>
            </w:r>
          </w:p>
        </w:tc>
        <w:tc>
          <w:tcPr/>
          <w:p>
            <w:pPr>
              <w:pStyle w:val="Compact"/>
              <w:jc w:val="left"/>
            </w:pPr>
            <w:r>
              <w:t xml:space="preserve">30/12/2021</w:t>
            </w:r>
          </w:p>
        </w:tc>
        <w:tc>
          <w:tcPr/>
          <w:p>
            <w:pPr>
              <w:pStyle w:val="Compact"/>
              <w:jc w:val="right"/>
            </w:pPr>
            <w:r>
              <w:t xml:space="preserve">7.711</w:t>
            </w:r>
          </w:p>
        </w:tc>
      </w:tr>
      <w:tr>
        <w:tc>
          <w:tcPr/>
          <w:p>
            <w:pPr>
              <w:pStyle w:val="Compact"/>
              <w:jc w:val="left"/>
            </w:pPr>
            <w:r>
              <w:t xml:space="preserve">16/06/2031</w:t>
            </w:r>
          </w:p>
        </w:tc>
        <w:tc>
          <w:tcPr/>
          <w:p>
            <w:pPr>
              <w:pStyle w:val="Compact"/>
              <w:jc w:val="left"/>
            </w:pPr>
            <w:r>
              <w:t xml:space="preserve">127,58</w:t>
            </w:r>
          </w:p>
        </w:tc>
        <w:tc>
          <w:tcPr/>
          <w:p>
            <w:pPr>
              <w:pStyle w:val="Compact"/>
              <w:jc w:val="right"/>
            </w:pPr>
            <w:r>
              <w:t xml:space="preserve">0.02300</w:t>
            </w:r>
          </w:p>
        </w:tc>
        <w:tc>
          <w:tcPr/>
          <w:p>
            <w:pPr>
              <w:pStyle w:val="Compact"/>
              <w:jc w:val="left"/>
            </w:pPr>
            <w:r>
              <w:t xml:space="preserve">2,300 %</w:t>
            </w:r>
          </w:p>
        </w:tc>
        <w:tc>
          <w:tcPr/>
          <w:p>
            <w:pPr>
              <w:pStyle w:val="Compact"/>
              <w:jc w:val="left"/>
            </w:pPr>
            <w:r>
              <w:t xml:space="preserve">30/12/2021</w:t>
            </w:r>
          </w:p>
        </w:tc>
        <w:tc>
          <w:tcPr/>
          <w:p>
            <w:pPr>
              <w:pStyle w:val="Compact"/>
              <w:jc w:val="right"/>
            </w:pPr>
            <w:r>
              <w:t xml:space="preserve">9.597</w:t>
            </w:r>
          </w:p>
        </w:tc>
      </w:tr>
      <w:tr>
        <w:tc>
          <w:tcPr/>
          <w:p>
            <w:pPr>
              <w:pStyle w:val="Compact"/>
              <w:jc w:val="left"/>
            </w:pPr>
            <w:r>
              <w:t xml:space="preserve">18/07/2031</w:t>
            </w:r>
          </w:p>
        </w:tc>
        <w:tc>
          <w:tcPr/>
          <w:p>
            <w:pPr>
              <w:pStyle w:val="Compact"/>
              <w:jc w:val="left"/>
            </w:pPr>
            <w:r>
              <w:t xml:space="preserve">196,33</w:t>
            </w:r>
          </w:p>
        </w:tc>
        <w:tc>
          <w:tcPr/>
          <w:p>
            <w:pPr>
              <w:pStyle w:val="Compact"/>
              <w:jc w:val="right"/>
            </w:pPr>
            <w:r>
              <w:t xml:space="preserve">0.02300</w:t>
            </w:r>
          </w:p>
        </w:tc>
        <w:tc>
          <w:tcPr/>
          <w:p>
            <w:pPr>
              <w:pStyle w:val="Compact"/>
              <w:jc w:val="left"/>
            </w:pPr>
            <w:r>
              <w:t xml:space="preserve">2,300 %</w:t>
            </w:r>
          </w:p>
        </w:tc>
        <w:tc>
          <w:tcPr/>
          <w:p>
            <w:pPr>
              <w:pStyle w:val="Compact"/>
              <w:jc w:val="left"/>
            </w:pPr>
            <w:r>
              <w:t xml:space="preserve">30/12/2021</w:t>
            </w:r>
          </w:p>
        </w:tc>
        <w:tc>
          <w:tcPr/>
          <w:p>
            <w:pPr>
              <w:pStyle w:val="Compact"/>
              <w:jc w:val="right"/>
            </w:pPr>
            <w:r>
              <w:t xml:space="preserve">9.686</w:t>
            </w:r>
          </w:p>
        </w:tc>
      </w:tr>
      <w:tr>
        <w:tc>
          <w:tcPr/>
          <w:p>
            <w:pPr>
              <w:pStyle w:val="Compact"/>
              <w:jc w:val="left"/>
            </w:pPr>
            <w:r>
              <w:t xml:space="preserve">18/07/2033</w:t>
            </w:r>
          </w:p>
        </w:tc>
        <w:tc>
          <w:tcPr/>
          <w:p>
            <w:pPr>
              <w:pStyle w:val="Compact"/>
              <w:jc w:val="left"/>
            </w:pPr>
            <w:r>
              <w:t xml:space="preserve">216,97</w:t>
            </w:r>
          </w:p>
        </w:tc>
        <w:tc>
          <w:tcPr/>
          <w:p>
            <w:pPr>
              <w:pStyle w:val="Compact"/>
              <w:jc w:val="right"/>
            </w:pPr>
            <w:r>
              <w:t xml:space="preserve">0.02419</w:t>
            </w:r>
          </w:p>
        </w:tc>
        <w:tc>
          <w:tcPr/>
          <w:p>
            <w:pPr>
              <w:pStyle w:val="Compact"/>
              <w:jc w:val="left"/>
            </w:pPr>
            <w:r>
              <w:t xml:space="preserve">2,419 %</w:t>
            </w:r>
          </w:p>
        </w:tc>
        <w:tc>
          <w:tcPr/>
          <w:p>
            <w:pPr>
              <w:pStyle w:val="Compact"/>
              <w:jc w:val="left"/>
            </w:pPr>
            <w:r>
              <w:t xml:space="preserve">30/12/2021</w:t>
            </w:r>
          </w:p>
        </w:tc>
        <w:tc>
          <w:tcPr/>
          <w:p>
            <w:pPr>
              <w:pStyle w:val="Compact"/>
              <w:jc w:val="right"/>
            </w:pPr>
            <w:r>
              <w:t xml:space="preserve">11.717</w:t>
            </w:r>
          </w:p>
        </w:tc>
      </w:tr>
      <w:tr>
        <w:tc>
          <w:tcPr/>
          <w:p>
            <w:pPr>
              <w:pStyle w:val="Compact"/>
              <w:jc w:val="left"/>
            </w:pPr>
            <w:r>
              <w:t xml:space="preserve">31/03/2034</w:t>
            </w:r>
          </w:p>
        </w:tc>
        <w:tc>
          <w:tcPr/>
          <w:p>
            <w:pPr>
              <w:pStyle w:val="Compact"/>
              <w:jc w:val="left"/>
            </w:pPr>
            <w:r>
              <w:t xml:space="preserve">41,84</w:t>
            </w:r>
          </w:p>
        </w:tc>
        <w:tc>
          <w:tcPr/>
          <w:p>
            <w:pPr>
              <w:pStyle w:val="Compact"/>
              <w:jc w:val="right"/>
            </w:pPr>
            <w:r>
              <w:t xml:space="preserve">0.02492</w:t>
            </w:r>
          </w:p>
        </w:tc>
        <w:tc>
          <w:tcPr/>
          <w:p>
            <w:pPr>
              <w:pStyle w:val="Compact"/>
              <w:jc w:val="left"/>
            </w:pPr>
            <w:r>
              <w:t xml:space="preserve">2,492 %</w:t>
            </w:r>
          </w:p>
        </w:tc>
        <w:tc>
          <w:tcPr/>
          <w:p>
            <w:pPr>
              <w:pStyle w:val="Compact"/>
              <w:jc w:val="left"/>
            </w:pPr>
            <w:r>
              <w:t xml:space="preserve">30/12/2021</w:t>
            </w:r>
          </w:p>
        </w:tc>
        <w:tc>
          <w:tcPr/>
          <w:p>
            <w:pPr>
              <w:pStyle w:val="Compact"/>
              <w:jc w:val="right"/>
            </w:pPr>
            <w:r>
              <w:t xml:space="preserve">12.428</w:t>
            </w:r>
          </w:p>
        </w:tc>
      </w:tr>
      <w:tr>
        <w:tc>
          <w:tcPr/>
          <w:p>
            <w:pPr>
              <w:pStyle w:val="Compact"/>
              <w:jc w:val="left"/>
            </w:pPr>
            <w:r>
              <w:t xml:space="preserve">17/07/2034</w:t>
            </w:r>
          </w:p>
        </w:tc>
        <w:tc>
          <w:tcPr/>
          <w:p>
            <w:pPr>
              <w:pStyle w:val="Compact"/>
              <w:jc w:val="left"/>
            </w:pPr>
            <w:r>
              <w:t xml:space="preserve">136,56</w:t>
            </w:r>
          </w:p>
        </w:tc>
        <w:tc>
          <w:tcPr/>
          <w:p>
            <w:pPr>
              <w:pStyle w:val="Compact"/>
              <w:jc w:val="right"/>
            </w:pPr>
            <w:r>
              <w:t xml:space="preserve">0.02445</w:t>
            </w:r>
          </w:p>
        </w:tc>
        <w:tc>
          <w:tcPr/>
          <w:p>
            <w:pPr>
              <w:pStyle w:val="Compact"/>
              <w:jc w:val="left"/>
            </w:pPr>
            <w:r>
              <w:t xml:space="preserve">2,445 %</w:t>
            </w:r>
          </w:p>
        </w:tc>
        <w:tc>
          <w:tcPr/>
          <w:p>
            <w:pPr>
              <w:pStyle w:val="Compact"/>
              <w:jc w:val="left"/>
            </w:pPr>
            <w:r>
              <w:t xml:space="preserve">30/12/2021</w:t>
            </w:r>
          </w:p>
        </w:tc>
        <w:tc>
          <w:tcPr/>
          <w:p>
            <w:pPr>
              <w:pStyle w:val="Compact"/>
              <w:jc w:val="right"/>
            </w:pPr>
            <w:r>
              <w:t xml:space="preserve">12.728</w:t>
            </w:r>
          </w:p>
        </w:tc>
      </w:tr>
      <w:tr>
        <w:tc>
          <w:tcPr/>
          <w:p>
            <w:pPr>
              <w:pStyle w:val="Compact"/>
              <w:jc w:val="left"/>
            </w:pPr>
            <w:r>
              <w:t xml:space="preserve">19/02/2035</w:t>
            </w:r>
          </w:p>
        </w:tc>
        <w:tc>
          <w:tcPr/>
          <w:p>
            <w:pPr>
              <w:pStyle w:val="Compact"/>
              <w:jc w:val="left"/>
            </w:pPr>
            <w:r>
              <w:t xml:space="preserve">408,04</w:t>
            </w:r>
          </w:p>
        </w:tc>
        <w:tc>
          <w:tcPr/>
          <w:p>
            <w:pPr>
              <w:pStyle w:val="Compact"/>
              <w:jc w:val="right"/>
            </w:pPr>
            <w:r>
              <w:t xml:space="preserve">0.02430</w:t>
            </w:r>
          </w:p>
        </w:tc>
        <w:tc>
          <w:tcPr/>
          <w:p>
            <w:pPr>
              <w:pStyle w:val="Compact"/>
              <w:jc w:val="left"/>
            </w:pPr>
            <w:r>
              <w:t xml:space="preserve">2,430 %</w:t>
            </w:r>
          </w:p>
        </w:tc>
        <w:tc>
          <w:tcPr/>
          <w:p>
            <w:pPr>
              <w:pStyle w:val="Compact"/>
              <w:jc w:val="left"/>
            </w:pPr>
            <w:r>
              <w:t xml:space="preserve">30/12/2021</w:t>
            </w:r>
          </w:p>
        </w:tc>
        <w:tc>
          <w:tcPr/>
          <w:p>
            <w:pPr>
              <w:pStyle w:val="Compact"/>
              <w:jc w:val="right"/>
            </w:pPr>
            <w:r>
              <w:t xml:space="preserve">13.331</w:t>
            </w:r>
          </w:p>
        </w:tc>
      </w:tr>
      <w:tr>
        <w:tc>
          <w:tcPr/>
          <w:p>
            <w:pPr>
              <w:pStyle w:val="Compact"/>
              <w:jc w:val="left"/>
            </w:pPr>
            <w:r>
              <w:t xml:space="preserve">16/07/2035</w:t>
            </w:r>
          </w:p>
        </w:tc>
        <w:tc>
          <w:tcPr/>
          <w:p>
            <w:pPr>
              <w:pStyle w:val="Compact"/>
              <w:jc w:val="left"/>
            </w:pPr>
            <w:r>
              <w:t xml:space="preserve">195,08</w:t>
            </w:r>
          </w:p>
        </w:tc>
        <w:tc>
          <w:tcPr/>
          <w:p>
            <w:pPr>
              <w:pStyle w:val="Compact"/>
              <w:jc w:val="right"/>
            </w:pPr>
            <w:r>
              <w:t xml:space="preserve">0.02473</w:t>
            </w:r>
          </w:p>
        </w:tc>
        <w:tc>
          <w:tcPr/>
          <w:p>
            <w:pPr>
              <w:pStyle w:val="Compact"/>
              <w:jc w:val="left"/>
            </w:pPr>
            <w:r>
              <w:t xml:space="preserve">2,473 %</w:t>
            </w:r>
          </w:p>
        </w:tc>
        <w:tc>
          <w:tcPr/>
          <w:p>
            <w:pPr>
              <w:pStyle w:val="Compact"/>
              <w:jc w:val="left"/>
            </w:pPr>
            <w:r>
              <w:t xml:space="preserve">30/12/2021</w:t>
            </w:r>
          </w:p>
        </w:tc>
        <w:tc>
          <w:tcPr/>
          <w:p>
            <w:pPr>
              <w:pStyle w:val="Compact"/>
              <w:jc w:val="right"/>
            </w:pPr>
            <w:r>
              <w:t xml:space="preserve">13.739</w:t>
            </w:r>
          </w:p>
        </w:tc>
      </w:tr>
      <w:tr>
        <w:tc>
          <w:tcPr/>
          <w:p>
            <w:pPr>
              <w:pStyle w:val="Compact"/>
              <w:jc w:val="left"/>
            </w:pPr>
            <w:r>
              <w:t xml:space="preserve">16/08/2038</w:t>
            </w:r>
          </w:p>
        </w:tc>
        <w:tc>
          <w:tcPr/>
          <w:p>
            <w:pPr>
              <w:pStyle w:val="Compact"/>
              <w:jc w:val="left"/>
            </w:pPr>
            <w:r>
              <w:t xml:space="preserve">356,86</w:t>
            </w:r>
          </w:p>
        </w:tc>
        <w:tc>
          <w:tcPr/>
          <w:p>
            <w:pPr>
              <w:pStyle w:val="Compact"/>
              <w:jc w:val="right"/>
            </w:pPr>
            <w:r>
              <w:t xml:space="preserve">0.02637</w:t>
            </w:r>
          </w:p>
        </w:tc>
        <w:tc>
          <w:tcPr/>
          <w:p>
            <w:pPr>
              <w:pStyle w:val="Compact"/>
              <w:jc w:val="left"/>
            </w:pPr>
            <w:r>
              <w:t xml:space="preserve">2,637 %</w:t>
            </w:r>
          </w:p>
        </w:tc>
        <w:tc>
          <w:tcPr/>
          <w:p>
            <w:pPr>
              <w:pStyle w:val="Compact"/>
              <w:jc w:val="left"/>
            </w:pPr>
            <w:r>
              <w:t xml:space="preserve">30/12/2021</w:t>
            </w:r>
          </w:p>
        </w:tc>
        <w:tc>
          <w:tcPr/>
          <w:p>
            <w:pPr>
              <w:pStyle w:val="Compact"/>
              <w:jc w:val="right"/>
            </w:pPr>
            <w:r>
              <w:t xml:space="preserve">16.869</w:t>
            </w:r>
          </w:p>
        </w:tc>
      </w:tr>
      <w:tr>
        <w:tc>
          <w:tcPr/>
          <w:p>
            <w:pPr>
              <w:pStyle w:val="Compact"/>
              <w:jc w:val="left"/>
            </w:pPr>
            <w:r>
              <w:t xml:space="preserve">16/04/2040</w:t>
            </w:r>
          </w:p>
        </w:tc>
        <w:tc>
          <w:tcPr/>
          <w:p>
            <w:pPr>
              <w:pStyle w:val="Compact"/>
              <w:jc w:val="left"/>
            </w:pPr>
            <w:r>
              <w:t xml:space="preserve">55,96</w:t>
            </w:r>
          </w:p>
        </w:tc>
        <w:tc>
          <w:tcPr/>
          <w:p>
            <w:pPr>
              <w:pStyle w:val="Compact"/>
              <w:jc w:val="right"/>
            </w:pPr>
            <w:r>
              <w:t xml:space="preserve">0.02829</w:t>
            </w:r>
          </w:p>
        </w:tc>
        <w:tc>
          <w:tcPr/>
          <w:p>
            <w:pPr>
              <w:pStyle w:val="Compact"/>
              <w:jc w:val="left"/>
            </w:pPr>
            <w:r>
              <w:t xml:space="preserve">2,829 %</w:t>
            </w:r>
          </w:p>
        </w:tc>
        <w:tc>
          <w:tcPr/>
          <w:p>
            <w:pPr>
              <w:pStyle w:val="Compact"/>
              <w:jc w:val="left"/>
            </w:pPr>
            <w:r>
              <w:t xml:space="preserve">30/12/2021</w:t>
            </w:r>
          </w:p>
        </w:tc>
        <w:tc>
          <w:tcPr/>
          <w:p>
            <w:pPr>
              <w:pStyle w:val="Compact"/>
              <w:jc w:val="right"/>
            </w:pPr>
            <w:r>
              <w:t xml:space="preserve">18.561</w:t>
            </w:r>
          </w:p>
        </w:tc>
      </w:tr>
      <w:tr>
        <w:tc>
          <w:tcPr/>
          <w:p>
            <w:pPr>
              <w:pStyle w:val="Compact"/>
              <w:jc w:val="left"/>
            </w:pPr>
            <w:r>
              <w:t xml:space="preserve">14/02/2050</w:t>
            </w:r>
          </w:p>
        </w:tc>
        <w:tc>
          <w:tcPr/>
          <w:p>
            <w:pPr>
              <w:pStyle w:val="Compact"/>
              <w:jc w:val="left"/>
            </w:pPr>
            <w:r>
              <w:t xml:space="preserve">168,87</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30/12/2021</w:t>
            </w:r>
          </w:p>
        </w:tc>
        <w:tc>
          <w:tcPr/>
          <w:p>
            <w:pPr>
              <w:pStyle w:val="Compact"/>
              <w:jc w:val="right"/>
            </w:pPr>
            <w:r>
              <w:t xml:space="preserve">28.536</w:t>
            </w:r>
          </w:p>
        </w:tc>
      </w:tr>
      <w:tr>
        <w:tc>
          <w:tcPr/>
          <w:p>
            <w:pPr>
              <w:pStyle w:val="Compact"/>
              <w:jc w:val="left"/>
            </w:pPr>
            <w:r>
              <w:t xml:space="preserve">20/02/2051</w:t>
            </w:r>
          </w:p>
        </w:tc>
        <w:tc>
          <w:tcPr/>
          <w:p>
            <w:pPr>
              <w:pStyle w:val="Compact"/>
              <w:jc w:val="left"/>
            </w:pPr>
            <w:r>
              <w:t xml:space="preserve">396,43</w:t>
            </w:r>
          </w:p>
        </w:tc>
        <w:tc>
          <w:tcPr/>
          <w:p>
            <w:pPr>
              <w:pStyle w:val="Compact"/>
              <w:jc w:val="right"/>
            </w:pPr>
            <w:r>
              <w:t xml:space="preserve">0.03223</w:t>
            </w:r>
          </w:p>
        </w:tc>
        <w:tc>
          <w:tcPr/>
          <w:p>
            <w:pPr>
              <w:pStyle w:val="Compact"/>
              <w:jc w:val="left"/>
            </w:pPr>
            <w:r>
              <w:t xml:space="preserve">3,223 %</w:t>
            </w:r>
          </w:p>
        </w:tc>
        <w:tc>
          <w:tcPr/>
          <w:p>
            <w:pPr>
              <w:pStyle w:val="Compact"/>
              <w:jc w:val="left"/>
            </w:pPr>
            <w:r>
              <w:t xml:space="preserve">30/12/2021</w:t>
            </w:r>
          </w:p>
        </w:tc>
        <w:tc>
          <w:tcPr/>
          <w:p>
            <w:pPr>
              <w:pStyle w:val="Compact"/>
              <w:jc w:val="right"/>
            </w:pPr>
            <w:r>
              <w:t xml:space="preserve">29.567</w:t>
            </w:r>
          </w:p>
        </w:tc>
      </w:tr>
    </w:tbl>
    <w:bookmarkEnd w:id="43"/>
    <w:p>
      <w:pPr>
        <w:pStyle w:val="BodyText"/>
      </w:pPr>
      <w:r>
        <w:t xml:space="preserve">Pour cette raison on va suivre les étapes suivantes pour la construction de la courbe des taux zéro-coupon :</w:t>
      </w:r>
    </w:p>
    <w:p>
      <w:pPr>
        <w:numPr>
          <w:ilvl w:val="0"/>
          <w:numId w:val="1003"/>
        </w:numPr>
        <w:pStyle w:val="Compact"/>
      </w:pPr>
      <w:r>
        <w:t xml:space="preserve">1ere étape : Transformation des taux monétaires en taux actuariels.</w:t>
      </w:r>
    </w:p>
    <w:p>
      <w:pPr>
        <w:numPr>
          <w:ilvl w:val="0"/>
          <w:numId w:val="1003"/>
        </w:numPr>
        <w:pStyle w:val="Compact"/>
      </w:pPr>
      <w:r>
        <w:t xml:space="preserve">2eme étape : Interpolation linéaire afin d’obtenir des taux actuariels pour des maturités pleines.</w:t>
      </w:r>
    </w:p>
    <w:p>
      <w:pPr>
        <w:numPr>
          <w:ilvl w:val="0"/>
          <w:numId w:val="1003"/>
        </w:numPr>
        <w:pStyle w:val="Compact"/>
      </w:pPr>
      <w:r>
        <w:t xml:space="preserve">3eme étape : Calcule des taux zéro coupons à partir des taux actuariels des maturités pleines par la Méthode du Bootstrap.</w:t>
      </w:r>
    </w:p>
    <w:p>
      <w:pPr>
        <w:numPr>
          <w:ilvl w:val="0"/>
          <w:numId w:val="1003"/>
        </w:numPr>
        <w:pStyle w:val="Compact"/>
      </w:pPr>
      <w:r>
        <w:t xml:space="preserve">4eme étape : Extrapolation de la courbe des taux zéro-coupon pour des maturités non observées lointaines par la méthode de Smith-Wilson</w:t>
      </w:r>
    </w:p>
    <w:bookmarkStart w:id="45" w:name="Xcbe522a13d0cf3ed962fdea859902dd7c035635"/>
    <w:p>
      <w:pPr>
        <w:pStyle w:val="Heading3"/>
      </w:pPr>
      <w:r>
        <w:t xml:space="preserve">4.1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44"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r>
        <w:tc>
          <w:tcPr/>
          <w:p>
            <w:pPr>
              <w:pStyle w:val="Compact"/>
              <w:jc w:val="right"/>
            </w:pPr>
            <w:r>
              <w:t xml:space="preserve">1.275</w:t>
            </w:r>
          </w:p>
        </w:tc>
        <w:tc>
          <w:tcPr/>
          <w:p>
            <w:pPr>
              <w:pStyle w:val="Compact"/>
              <w:jc w:val="right"/>
            </w:pPr>
            <w:r>
              <w:t xml:space="preserve">0.01638</w:t>
            </w:r>
          </w:p>
        </w:tc>
        <w:tc>
          <w:tcPr/>
          <w:p>
            <w:pPr>
              <w:pStyle w:val="Compact"/>
              <w:jc w:val="left"/>
            </w:pPr>
            <w:r>
              <w:t xml:space="preserve">1,638%</w:t>
            </w:r>
          </w:p>
        </w:tc>
      </w:tr>
      <w:tr>
        <w:tc>
          <w:tcPr/>
          <w:p>
            <w:pPr>
              <w:pStyle w:val="Compact"/>
              <w:jc w:val="right"/>
            </w:pPr>
            <w:r>
              <w:t xml:space="preserve">1.392</w:t>
            </w:r>
          </w:p>
        </w:tc>
        <w:tc>
          <w:tcPr/>
          <w:p>
            <w:pPr>
              <w:pStyle w:val="Compact"/>
              <w:jc w:val="right"/>
            </w:pPr>
            <w:r>
              <w:t xml:space="preserve">0.01661</w:t>
            </w:r>
          </w:p>
        </w:tc>
        <w:tc>
          <w:tcPr/>
          <w:p>
            <w:pPr>
              <w:pStyle w:val="Compact"/>
              <w:jc w:val="left"/>
            </w:pPr>
            <w:r>
              <w:t xml:space="preserve">1,661%</w:t>
            </w:r>
          </w:p>
        </w:tc>
      </w:tr>
      <w:tr>
        <w:tc>
          <w:tcPr/>
          <w:p>
            <w:pPr>
              <w:pStyle w:val="Compact"/>
              <w:jc w:val="right"/>
            </w:pPr>
            <w:r>
              <w:t xml:space="preserve">1.489</w:t>
            </w:r>
          </w:p>
        </w:tc>
        <w:tc>
          <w:tcPr/>
          <w:p>
            <w:pPr>
              <w:pStyle w:val="Compact"/>
              <w:jc w:val="right"/>
            </w:pPr>
            <w:r>
              <w:t xml:space="preserve">0.01667</w:t>
            </w:r>
          </w:p>
        </w:tc>
        <w:tc>
          <w:tcPr/>
          <w:p>
            <w:pPr>
              <w:pStyle w:val="Compact"/>
              <w:jc w:val="left"/>
            </w:pPr>
            <w:r>
              <w:t xml:space="preserve">1,667%</w:t>
            </w:r>
          </w:p>
        </w:tc>
      </w:tr>
      <w:tr>
        <w:tc>
          <w:tcPr/>
          <w:p>
            <w:pPr>
              <w:pStyle w:val="Compact"/>
              <w:jc w:val="right"/>
            </w:pPr>
            <w:r>
              <w:t xml:space="preserve">1.567</w:t>
            </w:r>
          </w:p>
        </w:tc>
        <w:tc>
          <w:tcPr/>
          <w:p>
            <w:pPr>
              <w:pStyle w:val="Compact"/>
              <w:jc w:val="right"/>
            </w:pPr>
            <w:r>
              <w:t xml:space="preserve">0.01670</w:t>
            </w:r>
          </w:p>
        </w:tc>
        <w:tc>
          <w:tcPr/>
          <w:p>
            <w:pPr>
              <w:pStyle w:val="Compact"/>
              <w:jc w:val="left"/>
            </w:pPr>
            <w:r>
              <w:t xml:space="preserve">1,67%</w:t>
            </w:r>
          </w:p>
        </w:tc>
      </w:tr>
      <w:tr>
        <w:tc>
          <w:tcPr/>
          <w:p>
            <w:pPr>
              <w:pStyle w:val="Compact"/>
              <w:jc w:val="right"/>
            </w:pPr>
            <w:r>
              <w:t xml:space="preserve">1.819</w:t>
            </w:r>
          </w:p>
        </w:tc>
        <w:tc>
          <w:tcPr/>
          <w:p>
            <w:pPr>
              <w:pStyle w:val="Compact"/>
              <w:jc w:val="right"/>
            </w:pPr>
            <w:r>
              <w:t xml:space="preserve">0.01701</w:t>
            </w:r>
          </w:p>
        </w:tc>
        <w:tc>
          <w:tcPr/>
          <w:p>
            <w:pPr>
              <w:pStyle w:val="Compact"/>
              <w:jc w:val="left"/>
            </w:pPr>
            <w:r>
              <w:t xml:space="preserve">1,701%</w:t>
            </w:r>
          </w:p>
        </w:tc>
      </w:tr>
      <w:tr>
        <w:tc>
          <w:tcPr/>
          <w:p>
            <w:pPr>
              <w:pStyle w:val="Compact"/>
              <w:jc w:val="right"/>
            </w:pPr>
            <w:r>
              <w:t xml:space="preserve">2.072</w:t>
            </w:r>
          </w:p>
        </w:tc>
        <w:tc>
          <w:tcPr/>
          <w:p>
            <w:pPr>
              <w:pStyle w:val="Compact"/>
              <w:jc w:val="right"/>
            </w:pPr>
            <w:r>
              <w:t xml:space="preserve">0.01744</w:t>
            </w:r>
          </w:p>
        </w:tc>
        <w:tc>
          <w:tcPr/>
          <w:p>
            <w:pPr>
              <w:pStyle w:val="Compact"/>
              <w:jc w:val="left"/>
            </w:pPr>
            <w:r>
              <w:t xml:space="preserve">1,744%</w:t>
            </w:r>
          </w:p>
        </w:tc>
      </w:tr>
      <w:tr>
        <w:tc>
          <w:tcPr/>
          <w:p>
            <w:pPr>
              <w:pStyle w:val="Compact"/>
              <w:jc w:val="right"/>
            </w:pPr>
            <w:r>
              <w:t xml:space="preserve">3.861</w:t>
            </w:r>
          </w:p>
        </w:tc>
        <w:tc>
          <w:tcPr/>
          <w:p>
            <w:pPr>
              <w:pStyle w:val="Compact"/>
              <w:jc w:val="right"/>
            </w:pPr>
            <w:r>
              <w:t xml:space="preserve">0.01896</w:t>
            </w:r>
          </w:p>
        </w:tc>
        <w:tc>
          <w:tcPr/>
          <w:p>
            <w:pPr>
              <w:pStyle w:val="Compact"/>
              <w:jc w:val="left"/>
            </w:pPr>
            <w:r>
              <w:t xml:space="preserve">1,896%</w:t>
            </w:r>
          </w:p>
        </w:tc>
      </w:tr>
      <w:tr>
        <w:tc>
          <w:tcPr/>
          <w:p>
            <w:pPr>
              <w:pStyle w:val="Compact"/>
              <w:jc w:val="right"/>
            </w:pPr>
            <w:r>
              <w:t xml:space="preserve">4.367</w:t>
            </w:r>
          </w:p>
        </w:tc>
        <w:tc>
          <w:tcPr/>
          <w:p>
            <w:pPr>
              <w:pStyle w:val="Compact"/>
              <w:jc w:val="right"/>
            </w:pPr>
            <w:r>
              <w:t xml:space="preserve">0.01941</w:t>
            </w:r>
          </w:p>
        </w:tc>
        <w:tc>
          <w:tcPr/>
          <w:p>
            <w:pPr>
              <w:pStyle w:val="Compact"/>
              <w:jc w:val="left"/>
            </w:pPr>
            <w:r>
              <w:t xml:space="preserve">1,941%</w:t>
            </w:r>
          </w:p>
        </w:tc>
      </w:tr>
      <w:tr>
        <w:tc>
          <w:tcPr/>
          <w:p>
            <w:pPr>
              <w:pStyle w:val="Compact"/>
              <w:jc w:val="right"/>
            </w:pPr>
            <w:r>
              <w:t xml:space="preserve">4.522</w:t>
            </w:r>
          </w:p>
        </w:tc>
        <w:tc>
          <w:tcPr/>
          <w:p>
            <w:pPr>
              <w:pStyle w:val="Compact"/>
              <w:jc w:val="right"/>
            </w:pPr>
            <w:r>
              <w:t xml:space="preserve">0.01945</w:t>
            </w:r>
          </w:p>
        </w:tc>
        <w:tc>
          <w:tcPr/>
          <w:p>
            <w:pPr>
              <w:pStyle w:val="Compact"/>
              <w:jc w:val="left"/>
            </w:pPr>
            <w:r>
              <w:t xml:space="preserve">1,945%</w:t>
            </w:r>
          </w:p>
        </w:tc>
      </w:tr>
      <w:tr>
        <w:tc>
          <w:tcPr/>
          <w:p>
            <w:pPr>
              <w:pStyle w:val="Compact"/>
              <w:jc w:val="right"/>
            </w:pPr>
            <w:r>
              <w:t xml:space="preserve">4.872</w:t>
            </w:r>
          </w:p>
        </w:tc>
        <w:tc>
          <w:tcPr/>
          <w:p>
            <w:pPr>
              <w:pStyle w:val="Compact"/>
              <w:jc w:val="right"/>
            </w:pPr>
            <w:r>
              <w:t xml:space="preserve">0.01965</w:t>
            </w:r>
          </w:p>
        </w:tc>
        <w:tc>
          <w:tcPr/>
          <w:p>
            <w:pPr>
              <w:pStyle w:val="Compact"/>
              <w:jc w:val="left"/>
            </w:pPr>
            <w:r>
              <w:t xml:space="preserve">1,965%</w:t>
            </w:r>
          </w:p>
        </w:tc>
      </w:tr>
      <w:tr>
        <w:tc>
          <w:tcPr/>
          <w:p>
            <w:pPr>
              <w:pStyle w:val="Compact"/>
              <w:jc w:val="right"/>
            </w:pPr>
            <w:r>
              <w:t xml:space="preserve">5.378</w:t>
            </w:r>
          </w:p>
        </w:tc>
        <w:tc>
          <w:tcPr/>
          <w:p>
            <w:pPr>
              <w:pStyle w:val="Compact"/>
              <w:jc w:val="right"/>
            </w:pPr>
            <w:r>
              <w:t xml:space="preserve">0.02010</w:t>
            </w:r>
          </w:p>
        </w:tc>
        <w:tc>
          <w:tcPr/>
          <w:p>
            <w:pPr>
              <w:pStyle w:val="Compact"/>
              <w:jc w:val="left"/>
            </w:pPr>
            <w:r>
              <w:t xml:space="preserve">2,01%</w:t>
            </w:r>
          </w:p>
        </w:tc>
      </w:tr>
      <w:tr>
        <w:tc>
          <w:tcPr/>
          <w:p>
            <w:pPr>
              <w:pStyle w:val="Compact"/>
              <w:jc w:val="right"/>
            </w:pPr>
            <w:r>
              <w:t xml:space="preserve">5.456</w:t>
            </w:r>
          </w:p>
        </w:tc>
        <w:tc>
          <w:tcPr/>
          <w:p>
            <w:pPr>
              <w:pStyle w:val="Compact"/>
              <w:jc w:val="right"/>
            </w:pPr>
            <w:r>
              <w:t xml:space="preserve">0.02025</w:t>
            </w:r>
          </w:p>
        </w:tc>
        <w:tc>
          <w:tcPr/>
          <w:p>
            <w:pPr>
              <w:pStyle w:val="Compact"/>
              <w:jc w:val="left"/>
            </w:pPr>
            <w:r>
              <w:t xml:space="preserve">2,025%</w:t>
            </w:r>
          </w:p>
        </w:tc>
      </w:tr>
      <w:tr>
        <w:tc>
          <w:tcPr/>
          <w:p>
            <w:pPr>
              <w:pStyle w:val="Compact"/>
              <w:jc w:val="right"/>
            </w:pPr>
            <w:r>
              <w:t xml:space="preserve">5.533</w:t>
            </w:r>
          </w:p>
        </w:tc>
        <w:tc>
          <w:tcPr/>
          <w:p>
            <w:pPr>
              <w:pStyle w:val="Compact"/>
              <w:jc w:val="right"/>
            </w:pPr>
            <w:r>
              <w:t xml:space="preserve">0.02070</w:t>
            </w:r>
          </w:p>
        </w:tc>
        <w:tc>
          <w:tcPr/>
          <w:p>
            <w:pPr>
              <w:pStyle w:val="Compact"/>
              <w:jc w:val="left"/>
            </w:pPr>
            <w:r>
              <w:t xml:space="preserve">2,07%</w:t>
            </w:r>
          </w:p>
        </w:tc>
      </w:tr>
      <w:tr>
        <w:tc>
          <w:tcPr/>
          <w:p>
            <w:pPr>
              <w:pStyle w:val="Compact"/>
              <w:jc w:val="right"/>
            </w:pPr>
            <w:r>
              <w:t xml:space="preserve">6.564</w:t>
            </w:r>
          </w:p>
        </w:tc>
        <w:tc>
          <w:tcPr/>
          <w:p>
            <w:pPr>
              <w:pStyle w:val="Compact"/>
              <w:jc w:val="right"/>
            </w:pPr>
            <w:r>
              <w:t xml:space="preserve">0.02095</w:t>
            </w:r>
          </w:p>
        </w:tc>
        <w:tc>
          <w:tcPr/>
          <w:p>
            <w:pPr>
              <w:pStyle w:val="Compact"/>
              <w:jc w:val="left"/>
            </w:pPr>
            <w:r>
              <w:t xml:space="preserve">2,095%</w:t>
            </w:r>
          </w:p>
        </w:tc>
      </w:tr>
      <w:tr>
        <w:tc>
          <w:tcPr/>
          <w:p>
            <w:pPr>
              <w:pStyle w:val="Compact"/>
              <w:jc w:val="right"/>
            </w:pPr>
            <w:r>
              <w:t xml:space="preserve">6.719</w:t>
            </w:r>
          </w:p>
        </w:tc>
        <w:tc>
          <w:tcPr/>
          <w:p>
            <w:pPr>
              <w:pStyle w:val="Compact"/>
              <w:jc w:val="right"/>
            </w:pPr>
            <w:r>
              <w:t xml:space="preserve">0.02119</w:t>
            </w:r>
          </w:p>
        </w:tc>
        <w:tc>
          <w:tcPr/>
          <w:p>
            <w:pPr>
              <w:pStyle w:val="Compact"/>
              <w:jc w:val="left"/>
            </w:pPr>
            <w:r>
              <w:t xml:space="preserve">2,119%</w:t>
            </w:r>
          </w:p>
        </w:tc>
      </w:tr>
      <w:tr>
        <w:tc>
          <w:tcPr/>
          <w:p>
            <w:pPr>
              <w:pStyle w:val="Compact"/>
              <w:jc w:val="right"/>
            </w:pPr>
            <w:r>
              <w:t xml:space="preserve">7.400</w:t>
            </w:r>
          </w:p>
        </w:tc>
        <w:tc>
          <w:tcPr/>
          <w:p>
            <w:pPr>
              <w:pStyle w:val="Compact"/>
              <w:jc w:val="right"/>
            </w:pPr>
            <w:r>
              <w:t xml:space="preserve">0.02114</w:t>
            </w:r>
          </w:p>
        </w:tc>
        <w:tc>
          <w:tcPr/>
          <w:p>
            <w:pPr>
              <w:pStyle w:val="Compact"/>
              <w:jc w:val="left"/>
            </w:pPr>
            <w:r>
              <w:t xml:space="preserve">2,114%</w:t>
            </w:r>
          </w:p>
        </w:tc>
      </w:tr>
      <w:tr>
        <w:tc>
          <w:tcPr/>
          <w:p>
            <w:pPr>
              <w:pStyle w:val="Compact"/>
              <w:jc w:val="right"/>
            </w:pPr>
            <w:r>
              <w:t xml:space="preserve">7.575</w:t>
            </w:r>
          </w:p>
        </w:tc>
        <w:tc>
          <w:tcPr/>
          <w:p>
            <w:pPr>
              <w:pStyle w:val="Compact"/>
              <w:jc w:val="right"/>
            </w:pPr>
            <w:r>
              <w:t xml:space="preserve">0.02128</w:t>
            </w:r>
          </w:p>
        </w:tc>
        <w:tc>
          <w:tcPr/>
          <w:p>
            <w:pPr>
              <w:pStyle w:val="Compact"/>
              <w:jc w:val="left"/>
            </w:pPr>
            <w:r>
              <w:t xml:space="preserve">2,128%</w:t>
            </w:r>
          </w:p>
        </w:tc>
      </w:tr>
      <w:tr>
        <w:tc>
          <w:tcPr/>
          <w:p>
            <w:pPr>
              <w:pStyle w:val="Compact"/>
              <w:jc w:val="right"/>
            </w:pPr>
            <w:r>
              <w:t xml:space="preserve">7.711</w:t>
            </w:r>
          </w:p>
        </w:tc>
        <w:tc>
          <w:tcPr/>
          <w:p>
            <w:pPr>
              <w:pStyle w:val="Compact"/>
              <w:jc w:val="right"/>
            </w:pPr>
            <w:r>
              <w:t xml:space="preserve">0.02131</w:t>
            </w:r>
          </w:p>
        </w:tc>
        <w:tc>
          <w:tcPr/>
          <w:p>
            <w:pPr>
              <w:pStyle w:val="Compact"/>
              <w:jc w:val="left"/>
            </w:pPr>
            <w:r>
              <w:t xml:space="preserve">2,131%</w:t>
            </w:r>
          </w:p>
        </w:tc>
      </w:tr>
      <w:tr>
        <w:tc>
          <w:tcPr/>
          <w:p>
            <w:pPr>
              <w:pStyle w:val="Compact"/>
              <w:jc w:val="right"/>
            </w:pPr>
            <w:r>
              <w:t xml:space="preserve">9.597</w:t>
            </w:r>
          </w:p>
        </w:tc>
        <w:tc>
          <w:tcPr/>
          <w:p>
            <w:pPr>
              <w:pStyle w:val="Compact"/>
              <w:jc w:val="right"/>
            </w:pPr>
            <w:r>
              <w:t xml:space="preserve">0.02300</w:t>
            </w:r>
          </w:p>
        </w:tc>
        <w:tc>
          <w:tcPr/>
          <w:p>
            <w:pPr>
              <w:pStyle w:val="Compact"/>
              <w:jc w:val="left"/>
            </w:pPr>
            <w:r>
              <w:t xml:space="preserve">2,3%</w:t>
            </w:r>
          </w:p>
        </w:tc>
      </w:tr>
      <w:tr>
        <w:tc>
          <w:tcPr/>
          <w:p>
            <w:pPr>
              <w:pStyle w:val="Compact"/>
              <w:jc w:val="right"/>
            </w:pPr>
            <w:r>
              <w:t xml:space="preserve">9.686</w:t>
            </w:r>
          </w:p>
        </w:tc>
        <w:tc>
          <w:tcPr/>
          <w:p>
            <w:pPr>
              <w:pStyle w:val="Compact"/>
              <w:jc w:val="right"/>
            </w:pPr>
            <w:r>
              <w:t xml:space="preserve">0.02300</w:t>
            </w:r>
          </w:p>
        </w:tc>
        <w:tc>
          <w:tcPr/>
          <w:p>
            <w:pPr>
              <w:pStyle w:val="Compact"/>
              <w:jc w:val="left"/>
            </w:pPr>
            <w:r>
              <w:t xml:space="preserve">2,3%</w:t>
            </w:r>
          </w:p>
        </w:tc>
      </w:tr>
      <w:tr>
        <w:tc>
          <w:tcPr/>
          <w:p>
            <w:pPr>
              <w:pStyle w:val="Compact"/>
              <w:jc w:val="right"/>
            </w:pPr>
            <w:r>
              <w:t xml:space="preserve">11.717</w:t>
            </w:r>
          </w:p>
        </w:tc>
        <w:tc>
          <w:tcPr/>
          <w:p>
            <w:pPr>
              <w:pStyle w:val="Compact"/>
              <w:jc w:val="right"/>
            </w:pPr>
            <w:r>
              <w:t xml:space="preserve">0.02419</w:t>
            </w:r>
          </w:p>
        </w:tc>
        <w:tc>
          <w:tcPr/>
          <w:p>
            <w:pPr>
              <w:pStyle w:val="Compact"/>
              <w:jc w:val="left"/>
            </w:pPr>
            <w:r>
              <w:t xml:space="preserve">2,419%</w:t>
            </w:r>
          </w:p>
        </w:tc>
      </w:tr>
      <w:tr>
        <w:tc>
          <w:tcPr/>
          <w:p>
            <w:pPr>
              <w:pStyle w:val="Compact"/>
              <w:jc w:val="right"/>
            </w:pPr>
            <w:r>
              <w:t xml:space="preserve">12.428</w:t>
            </w:r>
          </w:p>
        </w:tc>
        <w:tc>
          <w:tcPr/>
          <w:p>
            <w:pPr>
              <w:pStyle w:val="Compact"/>
              <w:jc w:val="right"/>
            </w:pPr>
            <w:r>
              <w:t xml:space="preserve">0.02492</w:t>
            </w:r>
          </w:p>
        </w:tc>
        <w:tc>
          <w:tcPr/>
          <w:p>
            <w:pPr>
              <w:pStyle w:val="Compact"/>
              <w:jc w:val="left"/>
            </w:pPr>
            <w:r>
              <w:t xml:space="preserve">2,492%</w:t>
            </w:r>
          </w:p>
        </w:tc>
      </w:tr>
      <w:tr>
        <w:tc>
          <w:tcPr/>
          <w:p>
            <w:pPr>
              <w:pStyle w:val="Compact"/>
              <w:jc w:val="right"/>
            </w:pPr>
            <w:r>
              <w:t xml:space="preserve">12.728</w:t>
            </w:r>
          </w:p>
        </w:tc>
        <w:tc>
          <w:tcPr/>
          <w:p>
            <w:pPr>
              <w:pStyle w:val="Compact"/>
              <w:jc w:val="right"/>
            </w:pPr>
            <w:r>
              <w:t xml:space="preserve">0.02445</w:t>
            </w:r>
          </w:p>
        </w:tc>
        <w:tc>
          <w:tcPr/>
          <w:p>
            <w:pPr>
              <w:pStyle w:val="Compact"/>
              <w:jc w:val="left"/>
            </w:pPr>
            <w:r>
              <w:t xml:space="preserve">2,445%</w:t>
            </w:r>
          </w:p>
        </w:tc>
      </w:tr>
      <w:tr>
        <w:tc>
          <w:tcPr/>
          <w:p>
            <w:pPr>
              <w:pStyle w:val="Compact"/>
              <w:jc w:val="right"/>
            </w:pPr>
            <w:r>
              <w:t xml:space="preserve">13.331</w:t>
            </w:r>
          </w:p>
        </w:tc>
        <w:tc>
          <w:tcPr/>
          <w:p>
            <w:pPr>
              <w:pStyle w:val="Compact"/>
              <w:jc w:val="right"/>
            </w:pPr>
            <w:r>
              <w:t xml:space="preserve">0.02430</w:t>
            </w:r>
          </w:p>
        </w:tc>
        <w:tc>
          <w:tcPr/>
          <w:p>
            <w:pPr>
              <w:pStyle w:val="Compact"/>
              <w:jc w:val="left"/>
            </w:pPr>
            <w:r>
              <w:t xml:space="preserve">2,43%</w:t>
            </w:r>
          </w:p>
        </w:tc>
      </w:tr>
      <w:tr>
        <w:tc>
          <w:tcPr/>
          <w:p>
            <w:pPr>
              <w:pStyle w:val="Compact"/>
              <w:jc w:val="right"/>
            </w:pPr>
            <w:r>
              <w:t xml:space="preserve">13.739</w:t>
            </w:r>
          </w:p>
        </w:tc>
        <w:tc>
          <w:tcPr/>
          <w:p>
            <w:pPr>
              <w:pStyle w:val="Compact"/>
              <w:jc w:val="right"/>
            </w:pPr>
            <w:r>
              <w:t xml:space="preserve">0.02473</w:t>
            </w:r>
          </w:p>
        </w:tc>
        <w:tc>
          <w:tcPr/>
          <w:p>
            <w:pPr>
              <w:pStyle w:val="Compact"/>
              <w:jc w:val="left"/>
            </w:pPr>
            <w:r>
              <w:t xml:space="preserve">2,473%</w:t>
            </w:r>
          </w:p>
        </w:tc>
      </w:tr>
      <w:tr>
        <w:tc>
          <w:tcPr/>
          <w:p>
            <w:pPr>
              <w:pStyle w:val="Compact"/>
              <w:jc w:val="right"/>
            </w:pPr>
            <w:r>
              <w:t xml:space="preserve">16.869</w:t>
            </w:r>
          </w:p>
        </w:tc>
        <w:tc>
          <w:tcPr/>
          <w:p>
            <w:pPr>
              <w:pStyle w:val="Compact"/>
              <w:jc w:val="right"/>
            </w:pPr>
            <w:r>
              <w:t xml:space="preserve">0.02637</w:t>
            </w:r>
          </w:p>
        </w:tc>
        <w:tc>
          <w:tcPr/>
          <w:p>
            <w:pPr>
              <w:pStyle w:val="Compact"/>
              <w:jc w:val="left"/>
            </w:pPr>
            <w:r>
              <w:t xml:space="preserve">2,637%</w:t>
            </w:r>
          </w:p>
        </w:tc>
      </w:tr>
      <w:tr>
        <w:tc>
          <w:tcPr/>
          <w:p>
            <w:pPr>
              <w:pStyle w:val="Compact"/>
              <w:jc w:val="right"/>
            </w:pPr>
            <w:r>
              <w:t xml:space="preserve">18.561</w:t>
            </w:r>
          </w:p>
        </w:tc>
        <w:tc>
          <w:tcPr/>
          <w:p>
            <w:pPr>
              <w:pStyle w:val="Compact"/>
              <w:jc w:val="right"/>
            </w:pPr>
            <w:r>
              <w:t xml:space="preserve">0.02829</w:t>
            </w:r>
          </w:p>
        </w:tc>
        <w:tc>
          <w:tcPr/>
          <w:p>
            <w:pPr>
              <w:pStyle w:val="Compact"/>
              <w:jc w:val="left"/>
            </w:pPr>
            <w:r>
              <w:t xml:space="preserve">2,829%</w:t>
            </w:r>
          </w:p>
        </w:tc>
      </w:tr>
      <w:tr>
        <w:tc>
          <w:tcPr/>
          <w:p>
            <w:pPr>
              <w:pStyle w:val="Compact"/>
              <w:jc w:val="right"/>
            </w:pPr>
            <w:r>
              <w:t xml:space="preserve">28.536</w:t>
            </w:r>
          </w:p>
        </w:tc>
        <w:tc>
          <w:tcPr/>
          <w:p>
            <w:pPr>
              <w:pStyle w:val="Compact"/>
              <w:jc w:val="right"/>
            </w:pPr>
            <w:r>
              <w:t xml:space="preserve">0.03130</w:t>
            </w:r>
          </w:p>
        </w:tc>
        <w:tc>
          <w:tcPr/>
          <w:p>
            <w:pPr>
              <w:pStyle w:val="Compact"/>
              <w:jc w:val="left"/>
            </w:pPr>
            <w:r>
              <w:t xml:space="preserve">3,13%</w:t>
            </w:r>
          </w:p>
        </w:tc>
      </w:tr>
      <w:tr>
        <w:tc>
          <w:tcPr/>
          <w:p>
            <w:pPr>
              <w:pStyle w:val="Compact"/>
              <w:jc w:val="right"/>
            </w:pPr>
            <w:r>
              <w:t xml:space="preserve">29.567</w:t>
            </w:r>
          </w:p>
        </w:tc>
        <w:tc>
          <w:tcPr/>
          <w:p>
            <w:pPr>
              <w:pStyle w:val="Compact"/>
              <w:jc w:val="right"/>
            </w:pPr>
            <w:r>
              <w:t xml:space="preserve">0.03223</w:t>
            </w:r>
          </w:p>
        </w:tc>
        <w:tc>
          <w:tcPr/>
          <w:p>
            <w:pPr>
              <w:pStyle w:val="Compact"/>
              <w:jc w:val="left"/>
            </w:pPr>
            <w:r>
              <w:t xml:space="preserve">3,223%</w:t>
            </w:r>
          </w:p>
        </w:tc>
      </w:tr>
    </w:tbl>
    <w:bookmarkEnd w:id="44"/>
    <w:bookmarkEnd w:id="45"/>
    <w:bookmarkStart w:id="47" w:name="X96b896b92b42645ba88a707007c4252bf9e5cd7"/>
    <w:p>
      <w:pPr>
        <w:pStyle w:val="Heading3"/>
      </w:pPr>
      <w:r>
        <w:t xml:space="preserve">4.2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46"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r>
        <w:tc>
          <w:tcPr/>
          <w:p>
            <w:pPr>
              <w:pStyle w:val="Compact"/>
              <w:jc w:val="right"/>
            </w:pPr>
            <w:r>
              <w:t xml:space="preserve">11</w:t>
            </w:r>
          </w:p>
        </w:tc>
        <w:tc>
          <w:tcPr/>
          <w:p>
            <w:pPr>
              <w:pStyle w:val="Compact"/>
              <w:jc w:val="right"/>
            </w:pPr>
            <w:r>
              <w:t xml:space="preserve">0.02377</w:t>
            </w:r>
          </w:p>
        </w:tc>
        <w:tc>
          <w:tcPr/>
          <w:p>
            <w:pPr>
              <w:pStyle w:val="Compact"/>
              <w:jc w:val="left"/>
            </w:pPr>
            <w:r>
              <w:t xml:space="preserve">2,377%</w:t>
            </w:r>
          </w:p>
        </w:tc>
      </w:tr>
      <w:tr>
        <w:tc>
          <w:tcPr/>
          <w:p>
            <w:pPr>
              <w:pStyle w:val="Compact"/>
              <w:jc w:val="right"/>
            </w:pPr>
            <w:r>
              <w:t xml:space="preserve">12</w:t>
            </w:r>
          </w:p>
        </w:tc>
        <w:tc>
          <w:tcPr/>
          <w:p>
            <w:pPr>
              <w:pStyle w:val="Compact"/>
              <w:jc w:val="right"/>
            </w:pPr>
            <w:r>
              <w:t xml:space="preserve">0.02448</w:t>
            </w:r>
          </w:p>
        </w:tc>
        <w:tc>
          <w:tcPr/>
          <w:p>
            <w:pPr>
              <w:pStyle w:val="Compact"/>
              <w:jc w:val="left"/>
            </w:pPr>
            <w:r>
              <w:t xml:space="preserve">2,448%</w:t>
            </w:r>
          </w:p>
        </w:tc>
      </w:tr>
      <w:tr>
        <w:tc>
          <w:tcPr/>
          <w:p>
            <w:pPr>
              <w:pStyle w:val="Compact"/>
              <w:jc w:val="right"/>
            </w:pPr>
            <w:r>
              <w:t xml:space="preserve">13</w:t>
            </w:r>
          </w:p>
        </w:tc>
        <w:tc>
          <w:tcPr/>
          <w:p>
            <w:pPr>
              <w:pStyle w:val="Compact"/>
              <w:jc w:val="right"/>
            </w:pPr>
            <w:r>
              <w:t xml:space="preserve">0.02438</w:t>
            </w:r>
          </w:p>
        </w:tc>
        <w:tc>
          <w:tcPr/>
          <w:p>
            <w:pPr>
              <w:pStyle w:val="Compact"/>
              <w:jc w:val="left"/>
            </w:pPr>
            <w:r>
              <w:t xml:space="preserve">2,438%</w:t>
            </w:r>
          </w:p>
        </w:tc>
      </w:tr>
      <w:tr>
        <w:tc>
          <w:tcPr/>
          <w:p>
            <w:pPr>
              <w:pStyle w:val="Compact"/>
              <w:jc w:val="right"/>
            </w:pPr>
            <w:r>
              <w:t xml:space="preserve">14</w:t>
            </w:r>
          </w:p>
        </w:tc>
        <w:tc>
          <w:tcPr/>
          <w:p>
            <w:pPr>
              <w:pStyle w:val="Compact"/>
              <w:jc w:val="right"/>
            </w:pPr>
            <w:r>
              <w:t xml:space="preserve">0.02487</w:t>
            </w:r>
          </w:p>
        </w:tc>
        <w:tc>
          <w:tcPr/>
          <w:p>
            <w:pPr>
              <w:pStyle w:val="Compact"/>
              <w:jc w:val="left"/>
            </w:pPr>
            <w:r>
              <w:t xml:space="preserve">2,487%</w:t>
            </w:r>
          </w:p>
        </w:tc>
      </w:tr>
      <w:tr>
        <w:tc>
          <w:tcPr/>
          <w:p>
            <w:pPr>
              <w:pStyle w:val="Compact"/>
              <w:jc w:val="right"/>
            </w:pPr>
            <w:r>
              <w:t xml:space="preserve">15</w:t>
            </w:r>
          </w:p>
        </w:tc>
        <w:tc>
          <w:tcPr/>
          <w:p>
            <w:pPr>
              <w:pStyle w:val="Compact"/>
              <w:jc w:val="right"/>
            </w:pPr>
            <w:r>
              <w:t xml:space="preserve">0.02539</w:t>
            </w:r>
          </w:p>
        </w:tc>
        <w:tc>
          <w:tcPr/>
          <w:p>
            <w:pPr>
              <w:pStyle w:val="Compact"/>
              <w:jc w:val="left"/>
            </w:pPr>
            <w:r>
              <w:t xml:space="preserve">2,539%</w:t>
            </w:r>
          </w:p>
        </w:tc>
      </w:tr>
      <w:tr>
        <w:tc>
          <w:tcPr/>
          <w:p>
            <w:pPr>
              <w:pStyle w:val="Compact"/>
              <w:jc w:val="right"/>
            </w:pPr>
            <w:r>
              <w:t xml:space="preserve">16</w:t>
            </w:r>
          </w:p>
        </w:tc>
        <w:tc>
          <w:tcPr/>
          <w:p>
            <w:pPr>
              <w:pStyle w:val="Compact"/>
              <w:jc w:val="right"/>
            </w:pPr>
            <w:r>
              <w:t xml:space="preserve">0.02591</w:t>
            </w:r>
          </w:p>
        </w:tc>
        <w:tc>
          <w:tcPr/>
          <w:p>
            <w:pPr>
              <w:pStyle w:val="Compact"/>
              <w:jc w:val="left"/>
            </w:pPr>
            <w:r>
              <w:t xml:space="preserve">2,591%</w:t>
            </w:r>
          </w:p>
        </w:tc>
      </w:tr>
      <w:tr>
        <w:tc>
          <w:tcPr/>
          <w:p>
            <w:pPr>
              <w:pStyle w:val="Compact"/>
              <w:jc w:val="right"/>
            </w:pPr>
            <w:r>
              <w:t xml:space="preserve">17</w:t>
            </w:r>
          </w:p>
        </w:tc>
        <w:tc>
          <w:tcPr/>
          <w:p>
            <w:pPr>
              <w:pStyle w:val="Compact"/>
              <w:jc w:val="right"/>
            </w:pPr>
            <w:r>
              <w:t xml:space="preserve">0.02652</w:t>
            </w:r>
          </w:p>
        </w:tc>
        <w:tc>
          <w:tcPr/>
          <w:p>
            <w:pPr>
              <w:pStyle w:val="Compact"/>
              <w:jc w:val="left"/>
            </w:pPr>
            <w:r>
              <w:t xml:space="preserve">2,652%</w:t>
            </w:r>
          </w:p>
        </w:tc>
      </w:tr>
      <w:tr>
        <w:tc>
          <w:tcPr/>
          <w:p>
            <w:pPr>
              <w:pStyle w:val="Compact"/>
              <w:jc w:val="right"/>
            </w:pPr>
            <w:r>
              <w:t xml:space="preserve">18</w:t>
            </w:r>
          </w:p>
        </w:tc>
        <w:tc>
          <w:tcPr/>
          <w:p>
            <w:pPr>
              <w:pStyle w:val="Compact"/>
              <w:jc w:val="right"/>
            </w:pPr>
            <w:r>
              <w:t xml:space="preserve">0.02765</w:t>
            </w:r>
          </w:p>
        </w:tc>
        <w:tc>
          <w:tcPr/>
          <w:p>
            <w:pPr>
              <w:pStyle w:val="Compact"/>
              <w:jc w:val="left"/>
            </w:pPr>
            <w:r>
              <w:t xml:space="preserve">2,765%</w:t>
            </w:r>
          </w:p>
        </w:tc>
      </w:tr>
      <w:tr>
        <w:tc>
          <w:tcPr/>
          <w:p>
            <w:pPr>
              <w:pStyle w:val="Compact"/>
              <w:jc w:val="right"/>
            </w:pPr>
            <w:r>
              <w:t xml:space="preserve">19</w:t>
            </w:r>
          </w:p>
        </w:tc>
        <w:tc>
          <w:tcPr/>
          <w:p>
            <w:pPr>
              <w:pStyle w:val="Compact"/>
              <w:jc w:val="right"/>
            </w:pPr>
            <w:r>
              <w:t xml:space="preserve">0.02842</w:t>
            </w:r>
          </w:p>
        </w:tc>
        <w:tc>
          <w:tcPr/>
          <w:p>
            <w:pPr>
              <w:pStyle w:val="Compact"/>
              <w:jc w:val="left"/>
            </w:pPr>
            <w:r>
              <w:t xml:space="preserve">2,842%</w:t>
            </w:r>
          </w:p>
        </w:tc>
      </w:tr>
      <w:tr>
        <w:tc>
          <w:tcPr/>
          <w:p>
            <w:pPr>
              <w:pStyle w:val="Compact"/>
              <w:jc w:val="right"/>
            </w:pPr>
            <w:r>
              <w:t xml:space="preserve">20</w:t>
            </w:r>
          </w:p>
        </w:tc>
        <w:tc>
          <w:tcPr/>
          <w:p>
            <w:pPr>
              <w:pStyle w:val="Compact"/>
              <w:jc w:val="right"/>
            </w:pPr>
            <w:r>
              <w:t xml:space="preserve">0.02872</w:t>
            </w:r>
          </w:p>
        </w:tc>
        <w:tc>
          <w:tcPr/>
          <w:p>
            <w:pPr>
              <w:pStyle w:val="Compact"/>
              <w:jc w:val="left"/>
            </w:pPr>
            <w:r>
              <w:t xml:space="preserve">2,872%</w:t>
            </w:r>
          </w:p>
        </w:tc>
      </w:tr>
      <w:tr>
        <w:tc>
          <w:tcPr/>
          <w:p>
            <w:pPr>
              <w:pStyle w:val="Compact"/>
              <w:jc w:val="right"/>
            </w:pPr>
            <w:r>
              <w:t xml:space="preserve">21</w:t>
            </w:r>
          </w:p>
        </w:tc>
        <w:tc>
          <w:tcPr/>
          <w:p>
            <w:pPr>
              <w:pStyle w:val="Compact"/>
              <w:jc w:val="right"/>
            </w:pPr>
            <w:r>
              <w:t xml:space="preserve">0.02903</w:t>
            </w:r>
          </w:p>
        </w:tc>
        <w:tc>
          <w:tcPr/>
          <w:p>
            <w:pPr>
              <w:pStyle w:val="Compact"/>
              <w:jc w:val="left"/>
            </w:pPr>
            <w:r>
              <w:t xml:space="preserve">2,903%</w:t>
            </w:r>
          </w:p>
        </w:tc>
      </w:tr>
      <w:tr>
        <w:tc>
          <w:tcPr/>
          <w:p>
            <w:pPr>
              <w:pStyle w:val="Compact"/>
              <w:jc w:val="right"/>
            </w:pPr>
            <w:r>
              <w:t xml:space="preserve">22</w:t>
            </w:r>
          </w:p>
        </w:tc>
        <w:tc>
          <w:tcPr/>
          <w:p>
            <w:pPr>
              <w:pStyle w:val="Compact"/>
              <w:jc w:val="right"/>
            </w:pPr>
            <w:r>
              <w:t xml:space="preserve">0.02933</w:t>
            </w:r>
          </w:p>
        </w:tc>
        <w:tc>
          <w:tcPr/>
          <w:p>
            <w:pPr>
              <w:pStyle w:val="Compact"/>
              <w:jc w:val="left"/>
            </w:pPr>
            <w:r>
              <w:t xml:space="preserve">2,933%</w:t>
            </w:r>
          </w:p>
        </w:tc>
      </w:tr>
      <w:tr>
        <w:tc>
          <w:tcPr/>
          <w:p>
            <w:pPr>
              <w:pStyle w:val="Compact"/>
              <w:jc w:val="right"/>
            </w:pPr>
            <w:r>
              <w:t xml:space="preserve">23</w:t>
            </w:r>
          </w:p>
        </w:tc>
        <w:tc>
          <w:tcPr/>
          <w:p>
            <w:pPr>
              <w:pStyle w:val="Compact"/>
              <w:jc w:val="right"/>
            </w:pPr>
            <w:r>
              <w:t xml:space="preserve">0.02963</w:t>
            </w:r>
          </w:p>
        </w:tc>
        <w:tc>
          <w:tcPr/>
          <w:p>
            <w:pPr>
              <w:pStyle w:val="Compact"/>
              <w:jc w:val="left"/>
            </w:pPr>
            <w:r>
              <w:t xml:space="preserve">2,963%</w:t>
            </w:r>
          </w:p>
        </w:tc>
      </w:tr>
      <w:tr>
        <w:tc>
          <w:tcPr/>
          <w:p>
            <w:pPr>
              <w:pStyle w:val="Compact"/>
              <w:jc w:val="right"/>
            </w:pPr>
            <w:r>
              <w:t xml:space="preserve">24</w:t>
            </w:r>
          </w:p>
        </w:tc>
        <w:tc>
          <w:tcPr/>
          <w:p>
            <w:pPr>
              <w:pStyle w:val="Compact"/>
              <w:jc w:val="right"/>
            </w:pPr>
            <w:r>
              <w:t xml:space="preserve">0.02993</w:t>
            </w:r>
          </w:p>
        </w:tc>
        <w:tc>
          <w:tcPr/>
          <w:p>
            <w:pPr>
              <w:pStyle w:val="Compact"/>
              <w:jc w:val="left"/>
            </w:pPr>
            <w:r>
              <w:t xml:space="preserve">2,993%</w:t>
            </w:r>
          </w:p>
        </w:tc>
      </w:tr>
      <w:tr>
        <w:tc>
          <w:tcPr/>
          <w:p>
            <w:pPr>
              <w:pStyle w:val="Compact"/>
              <w:jc w:val="right"/>
            </w:pPr>
            <w:r>
              <w:t xml:space="preserve">25</w:t>
            </w:r>
          </w:p>
        </w:tc>
        <w:tc>
          <w:tcPr/>
          <w:p>
            <w:pPr>
              <w:pStyle w:val="Compact"/>
              <w:jc w:val="right"/>
            </w:pPr>
            <w:r>
              <w:t xml:space="preserve">0.03023</w:t>
            </w:r>
          </w:p>
        </w:tc>
        <w:tc>
          <w:tcPr/>
          <w:p>
            <w:pPr>
              <w:pStyle w:val="Compact"/>
              <w:jc w:val="left"/>
            </w:pPr>
            <w:r>
              <w:t xml:space="preserve">3,023%</w:t>
            </w:r>
          </w:p>
        </w:tc>
      </w:tr>
      <w:tr>
        <w:tc>
          <w:tcPr/>
          <w:p>
            <w:pPr>
              <w:pStyle w:val="Compact"/>
              <w:jc w:val="right"/>
            </w:pPr>
            <w:r>
              <w:t xml:space="preserve">26</w:t>
            </w:r>
          </w:p>
        </w:tc>
        <w:tc>
          <w:tcPr/>
          <w:p>
            <w:pPr>
              <w:pStyle w:val="Compact"/>
              <w:jc w:val="right"/>
            </w:pPr>
            <w:r>
              <w:t xml:space="preserve">0.03053</w:t>
            </w:r>
          </w:p>
        </w:tc>
        <w:tc>
          <w:tcPr/>
          <w:p>
            <w:pPr>
              <w:pStyle w:val="Compact"/>
              <w:jc w:val="left"/>
            </w:pPr>
            <w:r>
              <w:t xml:space="preserve">3,053%</w:t>
            </w:r>
          </w:p>
        </w:tc>
      </w:tr>
      <w:tr>
        <w:tc>
          <w:tcPr/>
          <w:p>
            <w:pPr>
              <w:pStyle w:val="Compact"/>
              <w:jc w:val="right"/>
            </w:pPr>
            <w:r>
              <w:t xml:space="preserve">27</w:t>
            </w:r>
          </w:p>
        </w:tc>
        <w:tc>
          <w:tcPr/>
          <w:p>
            <w:pPr>
              <w:pStyle w:val="Compact"/>
              <w:jc w:val="right"/>
            </w:pPr>
            <w:r>
              <w:t xml:space="preserve">0.03084</w:t>
            </w:r>
          </w:p>
        </w:tc>
        <w:tc>
          <w:tcPr/>
          <w:p>
            <w:pPr>
              <w:pStyle w:val="Compact"/>
              <w:jc w:val="left"/>
            </w:pPr>
            <w:r>
              <w:t xml:space="preserve">3,084%</w:t>
            </w:r>
          </w:p>
        </w:tc>
      </w:tr>
      <w:tr>
        <w:tc>
          <w:tcPr/>
          <w:p>
            <w:pPr>
              <w:pStyle w:val="Compact"/>
              <w:jc w:val="right"/>
            </w:pPr>
            <w:r>
              <w:t xml:space="preserve">28</w:t>
            </w:r>
          </w:p>
        </w:tc>
        <w:tc>
          <w:tcPr/>
          <w:p>
            <w:pPr>
              <w:pStyle w:val="Compact"/>
              <w:jc w:val="right"/>
            </w:pPr>
            <w:r>
              <w:t xml:space="preserve">0.03114</w:t>
            </w:r>
          </w:p>
        </w:tc>
        <w:tc>
          <w:tcPr/>
          <w:p>
            <w:pPr>
              <w:pStyle w:val="Compact"/>
              <w:jc w:val="left"/>
            </w:pPr>
            <w:r>
              <w:t xml:space="preserve">3,114%</w:t>
            </w:r>
          </w:p>
        </w:tc>
      </w:tr>
      <w:tr>
        <w:tc>
          <w:tcPr/>
          <w:p>
            <w:pPr>
              <w:pStyle w:val="Compact"/>
              <w:jc w:val="right"/>
            </w:pPr>
            <w:r>
              <w:t xml:space="preserve">29</w:t>
            </w:r>
          </w:p>
        </w:tc>
        <w:tc>
          <w:tcPr/>
          <w:p>
            <w:pPr>
              <w:pStyle w:val="Compact"/>
              <w:jc w:val="right"/>
            </w:pPr>
            <w:r>
              <w:t xml:space="preserve">0.03172</w:t>
            </w:r>
          </w:p>
        </w:tc>
        <w:tc>
          <w:tcPr/>
          <w:p>
            <w:pPr>
              <w:pStyle w:val="Compact"/>
              <w:jc w:val="left"/>
            </w:pPr>
            <w:r>
              <w:t xml:space="preserve">3,172%</w:t>
            </w:r>
          </w:p>
        </w:tc>
      </w:tr>
    </w:tbl>
    <w:bookmarkEnd w:id="46"/>
    <w:bookmarkEnd w:id="47"/>
    <w:bookmarkStart w:id="49" w:name="la-méthode-de-bootstrap"/>
    <w:p>
      <w:pPr>
        <w:pStyle w:val="Heading3"/>
      </w:pPr>
      <w:r>
        <w:t xml:space="preserve">4.3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4"/>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5"/>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48"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r>
        <w:tc>
          <w:tcPr/>
          <w:p>
            <w:pPr>
              <w:pStyle w:val="Compact"/>
              <w:jc w:val="right"/>
            </w:pPr>
            <w:r>
              <w:t xml:space="preserve">11</w:t>
            </w:r>
          </w:p>
        </w:tc>
        <w:tc>
          <w:tcPr/>
          <w:p>
            <w:pPr>
              <w:pStyle w:val="Compact"/>
              <w:jc w:val="right"/>
            </w:pPr>
            <w:r>
              <w:t xml:space="preserve">0.02411</w:t>
            </w:r>
          </w:p>
        </w:tc>
        <w:tc>
          <w:tcPr/>
          <w:p>
            <w:pPr>
              <w:pStyle w:val="Compact"/>
              <w:jc w:val="left"/>
            </w:pPr>
            <w:r>
              <w:t xml:space="preserve">2,411%</w:t>
            </w:r>
          </w:p>
        </w:tc>
      </w:tr>
      <w:tr>
        <w:tc>
          <w:tcPr/>
          <w:p>
            <w:pPr>
              <w:pStyle w:val="Compact"/>
              <w:jc w:val="right"/>
            </w:pPr>
            <w:r>
              <w:t xml:space="preserve">12</w:t>
            </w:r>
          </w:p>
        </w:tc>
        <w:tc>
          <w:tcPr/>
          <w:p>
            <w:pPr>
              <w:pStyle w:val="Compact"/>
              <w:jc w:val="right"/>
            </w:pPr>
            <w:r>
              <w:t xml:space="preserve">0.02491</w:t>
            </w:r>
          </w:p>
        </w:tc>
        <w:tc>
          <w:tcPr/>
          <w:p>
            <w:pPr>
              <w:pStyle w:val="Compact"/>
              <w:jc w:val="left"/>
            </w:pPr>
            <w:r>
              <w:t xml:space="preserve">2,491%</w:t>
            </w:r>
          </w:p>
        </w:tc>
      </w:tr>
      <w:tr>
        <w:tc>
          <w:tcPr/>
          <w:p>
            <w:pPr>
              <w:pStyle w:val="Compact"/>
              <w:jc w:val="right"/>
            </w:pPr>
            <w:r>
              <w:t xml:space="preserve">13</w:t>
            </w:r>
          </w:p>
        </w:tc>
        <w:tc>
          <w:tcPr/>
          <w:p>
            <w:pPr>
              <w:pStyle w:val="Compact"/>
              <w:jc w:val="right"/>
            </w:pPr>
            <w:r>
              <w:t xml:space="preserve">0.02476</w:t>
            </w:r>
          </w:p>
        </w:tc>
        <w:tc>
          <w:tcPr/>
          <w:p>
            <w:pPr>
              <w:pStyle w:val="Compact"/>
              <w:jc w:val="left"/>
            </w:pPr>
            <w:r>
              <w:t xml:space="preserve">2,476%</w:t>
            </w:r>
          </w:p>
        </w:tc>
      </w:tr>
      <w:tr>
        <w:tc>
          <w:tcPr/>
          <w:p>
            <w:pPr>
              <w:pStyle w:val="Compact"/>
              <w:jc w:val="right"/>
            </w:pPr>
            <w:r>
              <w:t xml:space="preserve">14</w:t>
            </w:r>
          </w:p>
        </w:tc>
        <w:tc>
          <w:tcPr/>
          <w:p>
            <w:pPr>
              <w:pStyle w:val="Compact"/>
              <w:jc w:val="right"/>
            </w:pPr>
            <w:r>
              <w:t xml:space="preserve">0.02532</w:t>
            </w:r>
          </w:p>
        </w:tc>
        <w:tc>
          <w:tcPr/>
          <w:p>
            <w:pPr>
              <w:pStyle w:val="Compact"/>
              <w:jc w:val="left"/>
            </w:pPr>
            <w:r>
              <w:t xml:space="preserve">2,532%</w:t>
            </w:r>
          </w:p>
        </w:tc>
      </w:tr>
      <w:tr>
        <w:tc>
          <w:tcPr/>
          <w:p>
            <w:pPr>
              <w:pStyle w:val="Compact"/>
              <w:jc w:val="right"/>
            </w:pPr>
            <w:r>
              <w:t xml:space="preserve">15</w:t>
            </w:r>
          </w:p>
        </w:tc>
        <w:tc>
          <w:tcPr/>
          <w:p>
            <w:pPr>
              <w:pStyle w:val="Compact"/>
              <w:jc w:val="right"/>
            </w:pPr>
            <w:r>
              <w:t xml:space="preserve">0.02593</w:t>
            </w:r>
          </w:p>
        </w:tc>
        <w:tc>
          <w:tcPr/>
          <w:p>
            <w:pPr>
              <w:pStyle w:val="Compact"/>
              <w:jc w:val="left"/>
            </w:pPr>
            <w:r>
              <w:t xml:space="preserve">2,593%</w:t>
            </w:r>
          </w:p>
        </w:tc>
      </w:tr>
      <w:tr>
        <w:tc>
          <w:tcPr/>
          <w:p>
            <w:pPr>
              <w:pStyle w:val="Compact"/>
              <w:jc w:val="right"/>
            </w:pPr>
            <w:r>
              <w:t xml:space="preserve">16</w:t>
            </w:r>
          </w:p>
        </w:tc>
        <w:tc>
          <w:tcPr/>
          <w:p>
            <w:pPr>
              <w:pStyle w:val="Compact"/>
              <w:jc w:val="right"/>
            </w:pPr>
            <w:r>
              <w:t xml:space="preserve">0.02654</w:t>
            </w:r>
          </w:p>
        </w:tc>
        <w:tc>
          <w:tcPr/>
          <w:p>
            <w:pPr>
              <w:pStyle w:val="Compact"/>
              <w:jc w:val="left"/>
            </w:pPr>
            <w:r>
              <w:t xml:space="preserve">2,654%</w:t>
            </w:r>
          </w:p>
        </w:tc>
      </w:tr>
      <w:tr>
        <w:tc>
          <w:tcPr/>
          <w:p>
            <w:pPr>
              <w:pStyle w:val="Compact"/>
              <w:jc w:val="right"/>
            </w:pPr>
            <w:r>
              <w:t xml:space="preserve">17</w:t>
            </w:r>
          </w:p>
        </w:tc>
        <w:tc>
          <w:tcPr/>
          <w:p>
            <w:pPr>
              <w:pStyle w:val="Compact"/>
              <w:jc w:val="right"/>
            </w:pPr>
            <w:r>
              <w:t xml:space="preserve">0.02729</w:t>
            </w:r>
          </w:p>
        </w:tc>
        <w:tc>
          <w:tcPr/>
          <w:p>
            <w:pPr>
              <w:pStyle w:val="Compact"/>
              <w:jc w:val="left"/>
            </w:pPr>
            <w:r>
              <w:t xml:space="preserve">2,729%</w:t>
            </w:r>
          </w:p>
        </w:tc>
      </w:tr>
      <w:tr>
        <w:tc>
          <w:tcPr/>
          <w:p>
            <w:pPr>
              <w:pStyle w:val="Compact"/>
              <w:jc w:val="right"/>
            </w:pPr>
            <w:r>
              <w:t xml:space="preserve">18</w:t>
            </w:r>
          </w:p>
        </w:tc>
        <w:tc>
          <w:tcPr/>
          <w:p>
            <w:pPr>
              <w:pStyle w:val="Compact"/>
              <w:jc w:val="right"/>
            </w:pPr>
            <w:r>
              <w:t xml:space="preserve">0.02874</w:t>
            </w:r>
          </w:p>
        </w:tc>
        <w:tc>
          <w:tcPr/>
          <w:p>
            <w:pPr>
              <w:pStyle w:val="Compact"/>
              <w:jc w:val="left"/>
            </w:pPr>
            <w:r>
              <w:t xml:space="preserve">2,874%</w:t>
            </w:r>
          </w:p>
        </w:tc>
      </w:tr>
      <w:tr>
        <w:tc>
          <w:tcPr/>
          <w:p>
            <w:pPr>
              <w:pStyle w:val="Compact"/>
              <w:jc w:val="right"/>
            </w:pPr>
            <w:r>
              <w:t xml:space="preserve">19</w:t>
            </w:r>
          </w:p>
        </w:tc>
        <w:tc>
          <w:tcPr/>
          <w:p>
            <w:pPr>
              <w:pStyle w:val="Compact"/>
              <w:jc w:val="right"/>
            </w:pPr>
            <w:r>
              <w:t xml:space="preserve">0.02973</w:t>
            </w:r>
          </w:p>
        </w:tc>
        <w:tc>
          <w:tcPr/>
          <w:p>
            <w:pPr>
              <w:pStyle w:val="Compact"/>
              <w:jc w:val="left"/>
            </w:pPr>
            <w:r>
              <w:t xml:space="preserve">2,973%</w:t>
            </w:r>
          </w:p>
        </w:tc>
      </w:tr>
      <w:tr>
        <w:tc>
          <w:tcPr/>
          <w:p>
            <w:pPr>
              <w:pStyle w:val="Compact"/>
              <w:jc w:val="right"/>
            </w:pPr>
            <w:r>
              <w:t xml:space="preserve">20</w:t>
            </w:r>
          </w:p>
        </w:tc>
        <w:tc>
          <w:tcPr/>
          <w:p>
            <w:pPr>
              <w:pStyle w:val="Compact"/>
              <w:jc w:val="right"/>
            </w:pPr>
            <w:r>
              <w:t xml:space="preserve">0.03009</w:t>
            </w:r>
          </w:p>
        </w:tc>
        <w:tc>
          <w:tcPr/>
          <w:p>
            <w:pPr>
              <w:pStyle w:val="Compact"/>
              <w:jc w:val="left"/>
            </w:pPr>
            <w:r>
              <w:t xml:space="preserve">3,009%</w:t>
            </w:r>
          </w:p>
        </w:tc>
      </w:tr>
      <w:tr>
        <w:tc>
          <w:tcPr/>
          <w:p>
            <w:pPr>
              <w:pStyle w:val="Compact"/>
              <w:jc w:val="right"/>
            </w:pPr>
            <w:r>
              <w:t xml:space="preserve">21</w:t>
            </w:r>
          </w:p>
        </w:tc>
        <w:tc>
          <w:tcPr/>
          <w:p>
            <w:pPr>
              <w:pStyle w:val="Compact"/>
              <w:jc w:val="right"/>
            </w:pPr>
            <w:r>
              <w:t xml:space="preserve">0.03047</w:t>
            </w:r>
          </w:p>
        </w:tc>
        <w:tc>
          <w:tcPr/>
          <w:p>
            <w:pPr>
              <w:pStyle w:val="Compact"/>
              <w:jc w:val="left"/>
            </w:pPr>
            <w:r>
              <w:t xml:space="preserve">3,047%</w:t>
            </w:r>
          </w:p>
        </w:tc>
      </w:tr>
      <w:tr>
        <w:tc>
          <w:tcPr/>
          <w:p>
            <w:pPr>
              <w:pStyle w:val="Compact"/>
              <w:jc w:val="right"/>
            </w:pPr>
            <w:r>
              <w:t xml:space="preserve">22</w:t>
            </w:r>
          </w:p>
        </w:tc>
        <w:tc>
          <w:tcPr/>
          <w:p>
            <w:pPr>
              <w:pStyle w:val="Compact"/>
              <w:jc w:val="right"/>
            </w:pPr>
            <w:r>
              <w:t xml:space="preserve">0.03084</w:t>
            </w:r>
          </w:p>
        </w:tc>
        <w:tc>
          <w:tcPr/>
          <w:p>
            <w:pPr>
              <w:pStyle w:val="Compact"/>
              <w:jc w:val="left"/>
            </w:pPr>
            <w:r>
              <w:t xml:space="preserve">3,084%</w:t>
            </w:r>
          </w:p>
        </w:tc>
      </w:tr>
      <w:tr>
        <w:tc>
          <w:tcPr/>
          <w:p>
            <w:pPr>
              <w:pStyle w:val="Compact"/>
              <w:jc w:val="right"/>
            </w:pPr>
            <w:r>
              <w:t xml:space="preserve">23</w:t>
            </w:r>
          </w:p>
        </w:tc>
        <w:tc>
          <w:tcPr/>
          <w:p>
            <w:pPr>
              <w:pStyle w:val="Compact"/>
              <w:jc w:val="right"/>
            </w:pPr>
            <w:r>
              <w:t xml:space="preserve">0.03123</w:t>
            </w:r>
          </w:p>
        </w:tc>
        <w:tc>
          <w:tcPr/>
          <w:p>
            <w:pPr>
              <w:pStyle w:val="Compact"/>
              <w:jc w:val="left"/>
            </w:pPr>
            <w:r>
              <w:t xml:space="preserve">3,123%</w:t>
            </w:r>
          </w:p>
        </w:tc>
      </w:tr>
      <w:tr>
        <w:tc>
          <w:tcPr/>
          <w:p>
            <w:pPr>
              <w:pStyle w:val="Compact"/>
              <w:jc w:val="right"/>
            </w:pPr>
            <w:r>
              <w:t xml:space="preserve">24</w:t>
            </w:r>
          </w:p>
        </w:tc>
        <w:tc>
          <w:tcPr/>
          <w:p>
            <w:pPr>
              <w:pStyle w:val="Compact"/>
              <w:jc w:val="right"/>
            </w:pPr>
            <w:r>
              <w:t xml:space="preserve">0.03162</w:t>
            </w:r>
          </w:p>
        </w:tc>
        <w:tc>
          <w:tcPr/>
          <w:p>
            <w:pPr>
              <w:pStyle w:val="Compact"/>
              <w:jc w:val="left"/>
            </w:pPr>
            <w:r>
              <w:t xml:space="preserve">3,162%</w:t>
            </w:r>
          </w:p>
        </w:tc>
      </w:tr>
      <w:tr>
        <w:tc>
          <w:tcPr/>
          <w:p>
            <w:pPr>
              <w:pStyle w:val="Compact"/>
              <w:jc w:val="right"/>
            </w:pPr>
            <w:r>
              <w:t xml:space="preserve">25</w:t>
            </w:r>
          </w:p>
        </w:tc>
        <w:tc>
          <w:tcPr/>
          <w:p>
            <w:pPr>
              <w:pStyle w:val="Compact"/>
              <w:jc w:val="right"/>
            </w:pPr>
            <w:r>
              <w:t xml:space="preserve">0.03203</w:t>
            </w:r>
          </w:p>
        </w:tc>
        <w:tc>
          <w:tcPr/>
          <w:p>
            <w:pPr>
              <w:pStyle w:val="Compact"/>
              <w:jc w:val="left"/>
            </w:pPr>
            <w:r>
              <w:t xml:space="preserve">3,203%</w:t>
            </w:r>
          </w:p>
        </w:tc>
      </w:tr>
      <w:tr>
        <w:tc>
          <w:tcPr/>
          <w:p>
            <w:pPr>
              <w:pStyle w:val="Compact"/>
              <w:jc w:val="right"/>
            </w:pPr>
            <w:r>
              <w:t xml:space="preserve">26</w:t>
            </w:r>
          </w:p>
        </w:tc>
        <w:tc>
          <w:tcPr/>
          <w:p>
            <w:pPr>
              <w:pStyle w:val="Compact"/>
              <w:jc w:val="right"/>
            </w:pPr>
            <w:r>
              <w:t xml:space="preserve">0.03245</w:t>
            </w:r>
          </w:p>
        </w:tc>
        <w:tc>
          <w:tcPr/>
          <w:p>
            <w:pPr>
              <w:pStyle w:val="Compact"/>
              <w:jc w:val="left"/>
            </w:pPr>
            <w:r>
              <w:t xml:space="preserve">3,245%</w:t>
            </w:r>
          </w:p>
        </w:tc>
      </w:tr>
      <w:tr>
        <w:tc>
          <w:tcPr/>
          <w:p>
            <w:pPr>
              <w:pStyle w:val="Compact"/>
              <w:jc w:val="right"/>
            </w:pPr>
            <w:r>
              <w:t xml:space="preserve">27</w:t>
            </w:r>
          </w:p>
        </w:tc>
        <w:tc>
          <w:tcPr/>
          <w:p>
            <w:pPr>
              <w:pStyle w:val="Compact"/>
              <w:jc w:val="right"/>
            </w:pPr>
            <w:r>
              <w:t xml:space="preserve">0.03289</w:t>
            </w:r>
          </w:p>
        </w:tc>
        <w:tc>
          <w:tcPr/>
          <w:p>
            <w:pPr>
              <w:pStyle w:val="Compact"/>
              <w:jc w:val="left"/>
            </w:pPr>
            <w:r>
              <w:t xml:space="preserve">3,289%</w:t>
            </w:r>
          </w:p>
        </w:tc>
      </w:tr>
      <w:tr>
        <w:tc>
          <w:tcPr/>
          <w:p>
            <w:pPr>
              <w:pStyle w:val="Compact"/>
              <w:jc w:val="right"/>
            </w:pPr>
            <w:r>
              <w:t xml:space="preserve">28</w:t>
            </w:r>
          </w:p>
        </w:tc>
        <w:tc>
          <w:tcPr/>
          <w:p>
            <w:pPr>
              <w:pStyle w:val="Compact"/>
              <w:jc w:val="right"/>
            </w:pPr>
            <w:r>
              <w:t xml:space="preserve">0.03334</w:t>
            </w:r>
          </w:p>
        </w:tc>
        <w:tc>
          <w:tcPr/>
          <w:p>
            <w:pPr>
              <w:pStyle w:val="Compact"/>
              <w:jc w:val="left"/>
            </w:pPr>
            <w:r>
              <w:t xml:space="preserve">3,334%</w:t>
            </w:r>
          </w:p>
        </w:tc>
      </w:tr>
      <w:tr>
        <w:tc>
          <w:tcPr/>
          <w:p>
            <w:pPr>
              <w:pStyle w:val="Compact"/>
              <w:jc w:val="right"/>
            </w:pPr>
            <w:r>
              <w:t xml:space="preserve">29</w:t>
            </w:r>
          </w:p>
        </w:tc>
        <w:tc>
          <w:tcPr/>
          <w:p>
            <w:pPr>
              <w:pStyle w:val="Compact"/>
              <w:jc w:val="right"/>
            </w:pPr>
            <w:r>
              <w:t xml:space="preserve">0.03429</w:t>
            </w:r>
          </w:p>
        </w:tc>
        <w:tc>
          <w:tcPr/>
          <w:p>
            <w:pPr>
              <w:pStyle w:val="Compact"/>
              <w:jc w:val="left"/>
            </w:pPr>
            <w:r>
              <w:t xml:space="preserve">3,429%</w:t>
            </w:r>
          </w:p>
        </w:tc>
      </w:tr>
    </w:tbl>
    <w:bookmarkEnd w:id="48"/>
    <w:bookmarkEnd w:id="49"/>
    <w:bookmarkStart w:id="50" w:name="X336f36db0687334b747abecf8d379445810500d"/>
    <w:p>
      <w:pPr>
        <w:pStyle w:val="Heading3"/>
      </w:pPr>
      <w:r>
        <w:t xml:space="preserve">4.4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6"/>
        </w:numPr>
        <w:pStyle w:val="Compact"/>
      </w:pPr>
      <w:r>
        <w:t xml:space="preserve">le UFR (Ultimate Forward Rate)</w:t>
      </w:r>
    </w:p>
    <w:p>
      <w:pPr>
        <w:numPr>
          <w:ilvl w:val="0"/>
          <w:numId w:val="1006"/>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07"/>
        </w:numPr>
        <w:pStyle w:val="Compact"/>
      </w:pPr>
      <m:oMath>
        <m:r>
          <m:t>W</m:t>
        </m:r>
      </m:oMath>
      <w:r>
        <w:t xml:space="preserve"> </w:t>
      </w:r>
      <w:r>
        <w:t xml:space="preserve">représente un ensemble de fonctions à noyau pour chaque prix d’obligation observable d’entrée.</w:t>
      </w:r>
    </w:p>
    <w:p>
      <w:pPr>
        <w:numPr>
          <w:ilvl w:val="0"/>
          <w:numId w:val="1007"/>
        </w:numPr>
        <w:pStyle w:val="Compact"/>
      </w:pPr>
      <m:oMath>
        <m:r>
          <m:t>α</m:t>
        </m:r>
      </m:oMath>
      <w:r>
        <w:t xml:space="preserve"> </w:t>
      </w:r>
      <w:r>
        <w:t xml:space="preserve">: la vitesse de convergence vers le UFR.</w:t>
      </w:r>
    </w:p>
    <w:p>
      <w:pPr>
        <w:numPr>
          <w:ilvl w:val="0"/>
          <w:numId w:val="1007"/>
        </w:numPr>
        <w:pStyle w:val="Compact"/>
      </w:pPr>
      <m:oMath>
        <m:r>
          <m:t>N</m:t>
        </m:r>
      </m:oMath>
      <w:r>
        <w:t xml:space="preserve">: le nombre d’obligations ZC dont le prix est observésur le marché.</w:t>
      </w:r>
    </w:p>
    <w:p>
      <w:pPr>
        <w:numPr>
          <w:ilvl w:val="0"/>
          <w:numId w:val="1007"/>
        </w:numPr>
        <w:pStyle w:val="Compact"/>
      </w:pPr>
      <m:oMath>
        <m:sSub>
          <m:e>
            <m:r>
              <m:t>u</m:t>
            </m:r>
          </m:e>
          <m:sub>
            <m:r>
              <m:t>j</m:t>
            </m:r>
          </m:sub>
        </m:sSub>
      </m:oMath>
      <w:r>
        <w:t xml:space="preserve">: la j-ème maturité disponible. .</w:t>
      </w:r>
    </w:p>
    <w:p>
      <w:pPr>
        <w:numPr>
          <w:ilvl w:val="0"/>
          <w:numId w:val="1007"/>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50"/>
    <w:bookmarkEnd w:id="51"/>
    <w:bookmarkStart w:id="94" w:name="X3c86a714d03aed139a19db084b97b445aa0c8e4"/>
    <w:p>
      <w:pPr>
        <w:pStyle w:val="Heading2"/>
      </w:pPr>
      <w:r>
        <w:t xml:space="preserve">5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8"/>
        </w:numPr>
      </w:pPr>
      <m:oMath>
        <m:r>
          <m:t>P</m:t>
        </m:r>
        <m:r>
          <m:t>T</m:t>
        </m:r>
      </m:oMath>
      <w:r>
        <w:t xml:space="preserve"> </w:t>
      </w:r>
      <w:r>
        <w:t xml:space="preserve">: la provision technique</w:t>
      </w:r>
    </w:p>
    <w:p>
      <w:pPr>
        <w:numPr>
          <w:ilvl w:val="0"/>
          <w:numId w:val="1008"/>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08"/>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8"/>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57" w:name="X32462c7e3a0a11848884f7548d4747bc280232c"/>
    <w:p>
      <w:pPr>
        <w:pStyle w:val="Heading3"/>
      </w:pPr>
      <w:r>
        <w:t xml:space="preserve">5.1 Opérations d’assurance vie, décès ou capitalisation:</w:t>
      </w:r>
    </w:p>
    <w:bookmarkStart w:id="55" w:name="Xc53c51e1abf3296dd0041db77db5363caf8f222"/>
    <w:p>
      <w:pPr>
        <w:pStyle w:val="Heading4"/>
      </w:pPr>
      <w:r>
        <w:t xml:space="preserve">5.1.1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9"/>
        </w:numPr>
        <w:pStyle w:val="Compact"/>
      </w:pPr>
      <m:oMath>
        <m:r>
          <m:t>B</m:t>
        </m:r>
        <m:r>
          <m:t>D</m:t>
        </m:r>
        <m:r>
          <m:t>F</m:t>
        </m:r>
      </m:oMath>
      <w:r>
        <w:t xml:space="preserve">: les bénéfices discrétionnaires futurs.</w:t>
      </w:r>
    </w:p>
    <w:bookmarkStart w:id="53" w:name="sec-MEGP"/>
    <w:p>
      <w:pPr>
        <w:pStyle w:val="Heading5"/>
      </w:pPr>
      <w:r>
        <w:t xml:space="preserve">5.1.1.1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0"/>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0"/>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0"/>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0"/>
        </w:numPr>
      </w:pPr>
      <w:r>
        <w:rPr>
          <w:bCs/>
          <w:b/>
        </w:rPr>
        <w:t xml:space="preserve">La table de rachat en montant</w:t>
      </w:r>
      <w:r>
        <w:t xml:space="preserve">.</w:t>
      </w:r>
    </w:p>
    <w:p>
      <w:pPr>
        <w:numPr>
          <w:ilvl w:val="0"/>
          <w:numId w:val="1010"/>
        </w:numPr>
      </w:pPr>
      <w:r>
        <w:rPr>
          <w:bCs/>
          <w:b/>
        </w:rPr>
        <w:t xml:space="preserve">La table de résiliation</w:t>
      </w:r>
      <w:r>
        <w:t xml:space="preserve">.</w:t>
      </w:r>
    </w:p>
    <w:p>
      <w:pPr>
        <w:numPr>
          <w:ilvl w:val="0"/>
          <w:numId w:val="1010"/>
        </w:numPr>
      </w:pPr>
      <w:r>
        <w:rPr>
          <w:bCs/>
          <w:b/>
        </w:rPr>
        <w:t xml:space="preserve">Un taux de sortie en rente</w:t>
      </w:r>
      <w:r>
        <w:t xml:space="preserve">.</w:t>
      </w:r>
    </w:p>
    <w:p>
      <w:pPr>
        <w:pStyle w:val="FirstParagraph"/>
      </w:pPr>
      <w:r>
        <w:rPr>
          <w:bCs/>
          <w:b/>
        </w:rPr>
        <w:t xml:space="preserve">Remarque:</w:t>
      </w:r>
    </w:p>
    <w:p>
      <w:pPr>
        <w:pStyle w:val="BodyText"/>
      </w:pPr>
      <w:r>
        <w:t xml:space="preserve">Les flux de trésorerie futurs probabilisés précités sont déterminés en considérant un horizon de projection suffisant pour la couverture de l’ensemble de la durée de vie des engagements à la date d’inventaire.</w:t>
      </w:r>
    </w:p>
    <w:p>
      <w:pPr>
        <w:pStyle w:val="BodyText"/>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52"/>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bookmarkEnd w:id="53"/>
    <w:bookmarkStart w:id="54" w:name="bénéfices-discrétionnaires-futurs"/>
    <w:p>
      <w:pPr>
        <w:pStyle w:val="Heading5"/>
      </w:pPr>
      <w:r>
        <w:t xml:space="preserve">5.1.1.2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1"/>
        </w:numPr>
      </w:pPr>
      <m:oMath>
        <m:r>
          <m:t>P</m:t>
        </m:r>
        <m:r>
          <m:t>P</m:t>
        </m:r>
        <m:r>
          <m:t>B</m:t>
        </m:r>
      </m:oMath>
      <w:r>
        <w:t xml:space="preserve"> </w:t>
      </w:r>
      <w:r>
        <w:t xml:space="preserve">: Le montant de la provision pour participation aux bénéfices, évaluée à la valeur comptable;</w:t>
      </w:r>
    </w:p>
    <w:p>
      <w:pPr>
        <w:numPr>
          <w:ilvl w:val="0"/>
          <w:numId w:val="1011"/>
        </w:numPr>
      </w:pPr>
      <m:oMath>
        <m:r>
          <m:t>S</m:t>
        </m:r>
        <m:r>
          <m:t>o</m:t>
        </m:r>
        <m:r>
          <m:t>l</m:t>
        </m:r>
        <m:r>
          <m:t>d</m:t>
        </m:r>
        <m:r>
          <m:t>e</m:t>
        </m:r>
        <m:r>
          <m:t>T</m:t>
        </m:r>
      </m:oMath>
      <w:r>
        <w:t xml:space="preserve"> </w:t>
      </w:r>
      <w:r>
        <w:t xml:space="preserve">: Somme des soldes techniques.</w:t>
      </w:r>
    </w:p>
    <w:p>
      <w:pPr>
        <w:numPr>
          <w:ilvl w:val="0"/>
          <w:numId w:val="1011"/>
        </w:numPr>
      </w:pPr>
      <m:oMath>
        <m:r>
          <m:t>S</m:t>
        </m:r>
        <m:r>
          <m:t>o</m:t>
        </m:r>
        <m:r>
          <m:t>l</m:t>
        </m:r>
        <m:r>
          <m:t>d</m:t>
        </m:r>
        <m:r>
          <m:t>e</m:t>
        </m:r>
        <m:r>
          <m:t>F</m:t>
        </m:r>
      </m:oMath>
      <w:r>
        <w:t xml:space="preserve"> </w:t>
      </w:r>
      <w:r>
        <w:t xml:space="preserve">: Somme des soldes Financiers.</w:t>
      </w:r>
    </w:p>
    <w:p>
      <w:pPr>
        <w:numPr>
          <w:ilvl w:val="0"/>
          <w:numId w:val="1011"/>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2"/>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2"/>
        </w:numPr>
        <w:pStyle w:val="Compact"/>
      </w:pPr>
      <m:oMath>
        <m:r>
          <m:t>R</m:t>
        </m:r>
        <m:r>
          <m:t>T</m:t>
        </m:r>
      </m:oMath>
      <w:r>
        <w:t xml:space="preserve"> </w:t>
      </w:r>
      <w:r>
        <w:t xml:space="preserve">:les résultats techniques.</w:t>
      </w:r>
    </w:p>
    <w:p>
      <w:pPr>
        <w:numPr>
          <w:ilvl w:val="0"/>
          <w:numId w:val="1012"/>
        </w:numPr>
        <w:pStyle w:val="Compact"/>
      </w:pPr>
      <m:oMath>
        <m:r>
          <m:t>R</m:t>
        </m:r>
        <m:r>
          <m:t>F</m:t>
        </m:r>
      </m:oMath>
      <w:r>
        <w:t xml:space="preserve"> </w:t>
      </w:r>
      <w:r>
        <w:t xml:space="preserve">:les résultats financiers.</w:t>
      </w:r>
    </w:p>
    <w:bookmarkEnd w:id="54"/>
    <w:bookmarkEnd w:id="55"/>
    <w:bookmarkStart w:id="56" w:name="X0dedfd34ddaeaf1baa3793d4b4da364b43b18e0"/>
    <w:p>
      <w:pPr>
        <w:pStyle w:val="Heading4"/>
      </w:pPr>
      <w:r>
        <w:t xml:space="preserve">5.1.2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3"/>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3"/>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3"/>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56"/>
    <w:bookmarkEnd w:id="57"/>
    <w:bookmarkStart w:id="58" w:name="rentes-découlants-des-opérations-non-vie"/>
    <w:p>
      <w:pPr>
        <w:pStyle w:val="Heading3"/>
      </w:pPr>
      <w:r>
        <w:t xml:space="preserve">5.2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4"/>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58"/>
    <w:bookmarkStart w:id="88" w:name="X95164bc6af2e862e4c417e49c6d46de2a1b5d80"/>
    <w:p>
      <w:pPr>
        <w:pStyle w:val="Heading3"/>
      </w:pPr>
      <w:r>
        <w:t xml:space="preserve">5.3 Opérations d’assurance non vie hors rentes:</w:t>
      </w:r>
    </w:p>
    <w:bookmarkStart w:id="86" w:name="la-meilleure-estimation-des-engagements"/>
    <w:p>
      <w:pPr>
        <w:pStyle w:val="Heading4"/>
      </w:pPr>
      <w:r>
        <w:t xml:space="preserve">5.3.1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59" w:name="X8689949a7862be15d42a3aec3dcec69638ae007"/>
    <w:p>
      <w:pPr>
        <w:pStyle w:val="Heading5"/>
      </w:pPr>
      <w:r>
        <w:t xml:space="preserve">5.3.1.1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15"/>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15"/>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16"/>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16"/>
        </w:numPr>
        <w:pStyle w:val="Compact"/>
      </w:pPr>
      <m:oMath>
        <m:r>
          <m:t>P</m:t>
        </m:r>
        <m:r>
          <m:t>F</m:t>
        </m:r>
        <m:r>
          <m:t>P</m:t>
        </m:r>
      </m:oMath>
      <w:r>
        <w:t xml:space="preserve">: Le montant des primes futures probabilisé.</w:t>
      </w:r>
    </w:p>
    <w:p>
      <w:pPr>
        <w:numPr>
          <w:ilvl w:val="0"/>
          <w:numId w:val="1016"/>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17"/>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17"/>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17"/>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17"/>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18"/>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18"/>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18"/>
        </w:numPr>
        <w:pStyle w:val="Compact"/>
      </w:pPr>
      <m:oMath>
        <m:r>
          <m:t>P</m:t>
        </m:r>
        <m:r>
          <m:t>P</m:t>
        </m:r>
        <m:r>
          <m:t>N</m:t>
        </m:r>
        <m:r>
          <m:t>A</m:t>
        </m:r>
      </m:oMath>
      <w:r>
        <w:t xml:space="preserve">: La provision pour primes non acquises.</w:t>
      </w:r>
    </w:p>
    <w:p>
      <w:pPr>
        <w:numPr>
          <w:ilvl w:val="0"/>
          <w:numId w:val="1018"/>
        </w:numPr>
        <w:pStyle w:val="Compact"/>
      </w:pPr>
      <m:oMath>
        <m:r>
          <m:t>P</m:t>
        </m:r>
        <m:r>
          <m:t>F</m:t>
        </m:r>
        <m:r>
          <m:t>P</m:t>
        </m:r>
      </m:oMath>
      <w:r>
        <w:t xml:space="preserve">: Le montant des primes futures probabilisé.</w:t>
      </w:r>
    </w:p>
    <w:bookmarkEnd w:id="59"/>
    <w:bookmarkStart w:id="60" w:name="X572d2bda42d1df1530f2f73f582d39347f6151e"/>
    <w:p>
      <w:pPr>
        <w:pStyle w:val="Heading5"/>
      </w:pPr>
      <w:r>
        <w:t xml:space="preserve">5.3.1.2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19"/>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60"/>
    <w:bookmarkStart w:id="61" w:name="X574a46407ada84d5774a3057497baf873ebb70b"/>
    <w:p>
      <w:pPr>
        <w:pStyle w:val="Heading5"/>
      </w:pPr>
      <w:r>
        <w:t xml:space="preserve">5.3.1.3 Méthode de calcul des flux de réglements futurs probabilisés pour les opérations non-vie hors rentes</w:t>
      </w:r>
    </w:p>
    <w:bookmarkEnd w:id="61"/>
    <w:bookmarkStart w:id="77" w:name="méthode-des-cadences-chain-ladder"/>
    <w:p>
      <w:pPr>
        <w:pStyle w:val="Heading5"/>
      </w:pPr>
      <w:r>
        <w:t xml:space="preserve">5.3.1.4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RStudio.app/Contents/Resources/app/quarto/share/formats/docx/note.png" id="66"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RStudio.app/Contents/Resources/app/quarto/share/formats/docx/note.png" id="68"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0"/>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1"/>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RStudio.app/Contents/Resources/app/quarto/share/formats/docx/note.png" id="70"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note.png" id="72"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RStudio.app/Contents/Resources/app/quarto/share/formats/docx/note.png" id="7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note.png" id="76"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77"/>
    <w:bookmarkStart w:id="78" w:name="méthode-des-cadences-avec-inflation"/>
    <w:p>
      <w:pPr>
        <w:pStyle w:val="Heading5"/>
      </w:pPr>
      <w:r>
        <w:t xml:space="preserve">5.3.1.5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78"/>
    <w:bookmarkStart w:id="79" w:name="la-méthode-du-ratio-de-paiement"/>
    <w:p>
      <w:pPr>
        <w:pStyle w:val="Heading5"/>
      </w:pPr>
      <w:r>
        <w:t xml:space="preserve">5.3.1.6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79"/>
    <w:bookmarkStart w:id="85" w:name="la-méthode-du-ratio-de-paiement-1"/>
    <w:p>
      <w:pPr>
        <w:pStyle w:val="Heading5"/>
      </w:pPr>
      <w:r>
        <w:t xml:space="preserve">5.3.1.7 La méthode du ratio de paiement</w:t>
      </w:r>
    </w:p>
    <w:p>
      <w:pPr>
        <w:pStyle w:val="FirstParagraph"/>
      </w:pPr>
      <w:r>
        <w:t xml:space="preserve">La méthode de Bornhuetter-Ferguson</w:t>
      </w:r>
      <w:r>
        <w:rPr>
          <w:rStyle w:val="FootnoteReference"/>
        </w:rPr>
        <w:footnoteReference w:id="80"/>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81"/>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2"/>
        </w:numPr>
        <w:pStyle w:val="Compact"/>
      </w:pPr>
      <m:oMath>
        <m:r>
          <m:t>L</m:t>
        </m:r>
      </m:oMath>
      <w:r>
        <w:t xml:space="preserve"> </w:t>
      </w:r>
      <w:r>
        <w:t xml:space="preserve">: coût total estimé par cette méthode.</w:t>
      </w:r>
    </w:p>
    <w:p>
      <w:pPr>
        <w:numPr>
          <w:ilvl w:val="0"/>
          <w:numId w:val="1022"/>
        </w:numPr>
        <w:pStyle w:val="Compact"/>
      </w:pPr>
      <m:oMath>
        <m:r>
          <m:t>D</m:t>
        </m:r>
      </m:oMath>
      <w:r>
        <w:t xml:space="preserve"> </w:t>
      </w:r>
      <w:r>
        <w:t xml:space="preserve">: coût total estimé en fonction des sinistres connues.</w:t>
      </w:r>
    </w:p>
    <w:p>
      <w:pPr>
        <w:numPr>
          <w:ilvl w:val="0"/>
          <w:numId w:val="1022"/>
        </w:numPr>
        <w:pStyle w:val="Compact"/>
      </w:pPr>
      <m:oMath>
        <m:r>
          <m:t>A</m:t>
        </m:r>
      </m:oMath>
      <w:r>
        <w:t xml:space="preserve"> </w:t>
      </w:r>
      <w:r>
        <w:t xml:space="preserve">: coût total (connus + tardifs) attendu a priori.</w:t>
      </w:r>
    </w:p>
    <w:p>
      <w:pPr>
        <w:numPr>
          <w:ilvl w:val="0"/>
          <w:numId w:val="1022"/>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8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85"/>
    <w:bookmarkEnd w:id="86"/>
    <w:bookmarkStart w:id="87" w:name="X7e63ab4301a770f99d7cb8d654e83cd2564e4b4"/>
    <w:p>
      <w:pPr>
        <w:pStyle w:val="Heading4"/>
      </w:pPr>
      <w:r>
        <w:t xml:space="preserve">5.3.2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3"/>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4"/>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25"/>
        </w:numPr>
        <w:pStyle w:val="Compact"/>
      </w:pPr>
      <m:oMath>
        <m:r>
          <m:t>F</m:t>
        </m:r>
        <m:r>
          <m:t>G</m:t>
        </m:r>
      </m:oMath>
      <w:r>
        <w:t xml:space="preserve">: le montant frais de gestion.</w:t>
      </w:r>
    </w:p>
    <w:p>
      <w:pPr>
        <w:numPr>
          <w:ilvl w:val="0"/>
          <w:numId w:val="1025"/>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87"/>
    <w:bookmarkEnd w:id="88"/>
    <w:bookmarkStart w:id="93" w:name="Xf3f8abd7a5710234231d4d992dd0ccf8ee2969b"/>
    <w:p>
      <w:pPr>
        <w:pStyle w:val="Heading3"/>
      </w:pPr>
      <w:r>
        <w:t xml:space="preserve">5.4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91" w:name="X2a1b8cf2422c04aac5fbeb38e9044a51a42d991"/>
    <w:p>
      <w:pPr>
        <w:pStyle w:val="Heading4"/>
      </w:pPr>
      <w:r>
        <w:t xml:space="preserve">5.4.1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89"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26"/>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89"/>
    <w:bookmarkStart w:id="90"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90"/>
    <w:bookmarkEnd w:id="91"/>
    <w:bookmarkStart w:id="92" w:name="lajustement-pour-défaut-de-contrepartie"/>
    <w:p>
      <w:pPr>
        <w:pStyle w:val="Heading4"/>
      </w:pPr>
      <w:r>
        <w:t xml:space="preserve">5.4.2 L’ajustement pour défaut de contrepartie:</w:t>
      </w:r>
    </w:p>
    <w:p>
      <w:pPr>
        <w:pStyle w:val="FirstParagraph"/>
      </w:pPr>
      <w:r>
        <w:t xml:space="preserve">L’ajustement pour défaut de contrepartie est déterminé en actualisant les flux d’ajustement futurs sur la base de la courbe des taux fixée par l’Autorité.</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w:t>
      </w:r>
    </w:p>
    <w:bookmarkEnd w:id="92"/>
    <w:bookmarkEnd w:id="93"/>
    <w:bookmarkEnd w:id="94"/>
    <w:bookmarkStart w:id="122" w:name="capital-de-solvabilité-requis"/>
    <w:p>
      <w:pPr>
        <w:pStyle w:val="Heading2"/>
      </w:pPr>
      <w:r>
        <w:t xml:space="preserve">6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27"/>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27"/>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27"/>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27"/>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27"/>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27"/>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28"/>
        </w:numPr>
      </w:pPr>
      <w:r>
        <w:t xml:space="preserve">Le capital de solvabilité requis de base.</w:t>
      </w:r>
    </w:p>
    <w:p>
      <w:pPr>
        <w:numPr>
          <w:ilvl w:val="0"/>
          <w:numId w:val="1028"/>
        </w:numPr>
      </w:pPr>
      <w:r>
        <w:t xml:space="preserve">L’exigence de capital relative au risque opérationnel.</w:t>
      </w:r>
    </w:p>
    <w:p>
      <w:pPr>
        <w:numPr>
          <w:ilvl w:val="0"/>
          <w:numId w:val="1028"/>
        </w:numPr>
      </w:pPr>
      <w:r>
        <w:t xml:space="preserve">L’ajustement visant à tenir compte de la capacité d’absorption des pertes par les assurés.</w:t>
      </w:r>
    </w:p>
    <w:p>
      <w:pPr>
        <w:numPr>
          <w:ilvl w:val="0"/>
          <w:numId w:val="1028"/>
        </w:numPr>
      </w:pPr>
      <w:r>
        <w:t xml:space="preserve">L’ajustement visant à tenir compte de la capacité d’absorption des pertes par les impôts différés.</w:t>
      </w:r>
    </w:p>
    <w:bookmarkStart w:id="115" w:name="X8b89129f00e23abf7e0dc64742a1933841bd13f"/>
    <w:p>
      <w:pPr>
        <w:pStyle w:val="Heading3"/>
      </w:pPr>
      <w:r>
        <w:t xml:space="preserve">6.1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29"/>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29"/>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00" w:name="X7d0de4e6ff3ca13baeb836adc8c41f16eaa6dfb"/>
    <w:p>
      <w:pPr>
        <w:pStyle w:val="Heading4"/>
      </w:pPr>
      <w:r>
        <w:t xml:space="preserve">6.1.1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0"/>
        </w:numPr>
      </w:pPr>
      <w:r>
        <w:t xml:space="preserve">RM</w:t>
      </w:r>
      <w:r>
        <w:t xml:space="preserve"> </w:t>
      </w:r>
      <m:oMath>
        <m:r>
          <m:rPr>
            <m:sty m:val="p"/>
          </m:rPr>
          <m:t>∈</m:t>
        </m:r>
      </m:oMath>
      <w:r>
        <w:t xml:space="preserve"> </w:t>
      </w:r>
      <w:r>
        <w:t xml:space="preserve">{action, taux, immobilier, écart de taux et change}</w:t>
      </w:r>
    </w:p>
    <w:p>
      <w:pPr>
        <w:numPr>
          <w:ilvl w:val="0"/>
          <w:numId w:val="1030"/>
        </w:numPr>
      </w:pPr>
      <m:oMath>
        <m:r>
          <m:t>ρ</m:t>
        </m:r>
      </m:oMath>
      <w:r>
        <w:t xml:space="preserve"> </w:t>
      </w:r>
      <w:r>
        <w:t xml:space="preserve">: Coefficients de corrélations.</w:t>
      </w:r>
    </w:p>
    <w:bookmarkStart w:id="95" w:name="X3cf8c7738901705451aeaf1bf62340f8a8e3146"/>
    <w:p>
      <w:pPr>
        <w:pStyle w:val="Heading5"/>
      </w:pPr>
      <w:r>
        <w:t xml:space="preserve">6.1.1.1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95"/>
    <w:bookmarkStart w:id="96" w:name="X4731aa5458fe1c45bdb9bc7a63d0b9bdcef0af7"/>
    <w:p>
      <w:pPr>
        <w:pStyle w:val="Heading5"/>
      </w:pPr>
      <w:r>
        <w:t xml:space="preserve">6.1.1.2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96"/>
    <w:bookmarkStart w:id="97" w:name="X40fb47ea19ba513da95205d89bb9da70a68e95c"/>
    <w:p>
      <w:pPr>
        <w:pStyle w:val="Heading5"/>
      </w:pPr>
      <w:r>
        <w:t xml:space="preserve">6.1.1.3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97"/>
    <w:bookmarkStart w:id="98" w:name="Xe3398b52d710566ac6543c034c7b139b3b8d7ba"/>
    <w:p>
      <w:pPr>
        <w:pStyle w:val="Heading5"/>
      </w:pPr>
      <w:r>
        <w:t xml:space="preserve">6.1.1.4 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98"/>
    <w:bookmarkStart w:id="99" w:name="X0b86f92798bd2d75800a724a913850a71127576"/>
    <w:p>
      <w:pPr>
        <w:pStyle w:val="Heading5"/>
      </w:pPr>
      <w:r>
        <w:t xml:space="preserve">6.1.1.5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1"/>
        </w:numPr>
        <w:pStyle w:val="Compact"/>
      </w:pPr>
      <w:r>
        <w:t xml:space="preserve">l’exigence de capital pour risque d’augmentation de la valeur de la devise étrangère par rapport au dirham.</w:t>
      </w:r>
    </w:p>
    <w:p>
      <w:pPr>
        <w:numPr>
          <w:ilvl w:val="0"/>
          <w:numId w:val="1031"/>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99"/>
    <w:bookmarkEnd w:id="100"/>
    <w:bookmarkStart w:id="103" w:name="X9c0184a5ab36aa780ba8e9d38716205766fa364"/>
    <w:p>
      <w:pPr>
        <w:pStyle w:val="Heading4"/>
      </w:pPr>
      <w:r>
        <w:t xml:space="preserve">6.1.2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01" w:name="X303ad4190ba297cc4664f228835544b0eb3361f"/>
    <w:p>
      <w:pPr>
        <w:pStyle w:val="Heading5"/>
      </w:pPr>
      <w:r>
        <w:t xml:space="preserve">6.1.2.1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2"/>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3"/>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3"/>
        </w:numPr>
      </w:pPr>
      <m:oMath>
        <m:r>
          <m:t>L</m:t>
        </m:r>
        <m:r>
          <m:t>G</m:t>
        </m:r>
        <m:sSub>
          <m:e>
            <m:r>
              <m:t>D</m:t>
            </m:r>
          </m:e>
          <m:sub>
            <m:r>
              <m:t>i</m:t>
            </m:r>
          </m:sub>
        </m:sSub>
      </m:oMath>
      <w:r>
        <w:t xml:space="preserve"> </w:t>
      </w:r>
      <w:r>
        <w:t xml:space="preserve">: la perte en cas de défaut du cessionnaire i ;</w:t>
      </w:r>
    </w:p>
    <w:p>
      <w:pPr>
        <w:numPr>
          <w:ilvl w:val="0"/>
          <w:numId w:val="1033"/>
        </w:numPr>
      </w:pPr>
      <m:oMath>
        <m:r>
          <m:rPr>
            <m:nor/>
            <m:sty m:val="p"/>
          </m:rPr>
          <m:t>Depot en espèces ou en valeur</m:t>
        </m:r>
      </m:oMath>
      <w:r>
        <w:t xml:space="preserve"> </w:t>
      </w:r>
      <w:r>
        <w:t xml:space="preserve">: le montant des dépôts en espèces ou en valeurs du cessionnaire i ;</w:t>
      </w:r>
    </w:p>
    <w:p>
      <w:pPr>
        <w:numPr>
          <w:ilvl w:val="0"/>
          <w:numId w:val="1033"/>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3"/>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3"/>
        </w:numPr>
      </w:pPr>
      <m:oMath>
        <m:r>
          <m:t>L</m:t>
        </m:r>
        <m:r>
          <m:t>G</m:t>
        </m:r>
        <m:sSub>
          <m:e>
            <m:r>
              <m:t>D</m:t>
            </m:r>
          </m:e>
          <m:sub>
            <m:r>
              <m:t>i</m:t>
            </m:r>
          </m:sub>
        </m:sSub>
      </m:oMath>
      <w:r>
        <w:t xml:space="preserve">: la perte en cas de défaut de la cédante i ;</w:t>
      </w:r>
    </w:p>
    <w:p>
      <w:pPr>
        <w:numPr>
          <w:ilvl w:val="0"/>
          <w:numId w:val="1033"/>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3"/>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3"/>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34"/>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34"/>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34"/>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01"/>
    <w:bookmarkStart w:id="102" w:name="Xde70ab66fad04d143ab07d5ec8525e6812bbe93"/>
    <w:p>
      <w:pPr>
        <w:pStyle w:val="Heading5"/>
      </w:pPr>
      <w:r>
        <w:t xml:space="preserve">6.1.2.2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35"/>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35"/>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35"/>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02"/>
    <w:bookmarkEnd w:id="103"/>
    <w:bookmarkStart w:id="104" w:name="Xac2a78756e1947e45e0b443464340ca4e07c6ed"/>
    <w:p>
      <w:pPr>
        <w:pStyle w:val="Heading4"/>
      </w:pPr>
      <w:r>
        <w:t xml:space="preserve">6.1.3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04"/>
    <w:bookmarkStart w:id="110" w:name="X8bdc5d6c520394ae1ab3fd8ff0e20bf39ae18c3"/>
    <w:p>
      <w:pPr>
        <w:pStyle w:val="Heading4"/>
      </w:pPr>
      <w:r>
        <w:t xml:space="preserve">6.1.4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05" w:name="X70ec578e7130a57a8c8842c95b63e70e295ba28"/>
    <w:p>
      <w:pPr>
        <w:pStyle w:val="Heading5"/>
      </w:pPr>
      <w:r>
        <w:t xml:space="preserve">6.1.4.1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05"/>
    <w:bookmarkStart w:id="106" w:name="X92ef2d5d6d1f309ee4dc38a892eea4151c6a010"/>
    <w:p>
      <w:pPr>
        <w:pStyle w:val="Heading5"/>
      </w:pPr>
      <w:r>
        <w:t xml:space="preserve">6.1.4.2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06"/>
    <w:bookmarkStart w:id="107" w:name="Xe142ffdc5761a23c812b30051e7ff3529769432"/>
    <w:p>
      <w:pPr>
        <w:pStyle w:val="Heading5"/>
      </w:pPr>
      <w:r>
        <w:t xml:space="preserve">6.1.4.3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36"/>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37"/>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07"/>
    <w:bookmarkStart w:id="108" w:name="X2ad39c1112d69d7cc07addd7e09c4a1062144f3"/>
    <w:p>
      <w:pPr>
        <w:pStyle w:val="Heading5"/>
      </w:pPr>
      <w:r>
        <w:t xml:space="preserve">6.1.4.4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38"/>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38"/>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08"/>
    <w:bookmarkStart w:id="109" w:name="X7a733b5774bbec975e5e71b96ffb3b71cffef89"/>
    <w:p>
      <w:pPr>
        <w:pStyle w:val="Heading5"/>
      </w:pPr>
      <w:r>
        <w:t xml:space="preserve">6.1.4.5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09"/>
    <w:bookmarkEnd w:id="110"/>
    <w:bookmarkStart w:id="114" w:name="X1b6aa8fc00d4f5599dfcf10f97be846d7f67a01"/>
    <w:p>
      <w:pPr>
        <w:pStyle w:val="Heading4"/>
      </w:pPr>
      <w:r>
        <w:t xml:space="preserve">6.1.5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11" w:name="Xaf5135c38b35f3935e7fbb38292cb902ba10fce"/>
    <w:p>
      <w:pPr>
        <w:pStyle w:val="Heading5"/>
      </w:pPr>
      <w:r>
        <w:t xml:space="preserve">6.1.5.1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11"/>
    <w:bookmarkStart w:id="112" w:name="X97c27c4f6aaa2dc3a04acf8f040871c5ebd6f65"/>
    <w:p>
      <w:pPr>
        <w:pStyle w:val="Heading5"/>
      </w:pPr>
      <w:r>
        <w:t xml:space="preserve">6.1.5.2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12"/>
    <w:bookmarkStart w:id="113" w:name="X2d899550002a89faf70685e2ededa357230b7ec"/>
    <w:p>
      <w:pPr>
        <w:pStyle w:val="Heading5"/>
      </w:pPr>
      <w:r>
        <w:t xml:space="preserve">6.1.5.3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39"/>
        </w:numPr>
        <w:pStyle w:val="Compact"/>
      </w:pPr>
      <w:r>
        <w:t xml:space="preserve">Individuelles accidents et Invalidité ;</w:t>
      </w:r>
    </w:p>
    <w:p>
      <w:pPr>
        <w:numPr>
          <w:ilvl w:val="0"/>
          <w:numId w:val="1039"/>
        </w:numPr>
        <w:pStyle w:val="Compact"/>
      </w:pPr>
      <w:r>
        <w:t xml:space="preserve">Maladie;</w:t>
      </w:r>
    </w:p>
    <w:p>
      <w:pPr>
        <w:numPr>
          <w:ilvl w:val="0"/>
          <w:numId w:val="1039"/>
        </w:numPr>
        <w:pStyle w:val="Compact"/>
      </w:pPr>
      <w:r>
        <w:t xml:space="preserve">Accidents du travail et maladies professionnelles ;</w:t>
      </w:r>
    </w:p>
    <w:p>
      <w:pPr>
        <w:numPr>
          <w:ilvl w:val="0"/>
          <w:numId w:val="1039"/>
        </w:numPr>
        <w:pStyle w:val="Compact"/>
      </w:pPr>
      <w:r>
        <w:t xml:space="preserve">Responsabilité civile automobile des véhicules terrestres à moteur;</w:t>
      </w:r>
    </w:p>
    <w:p>
      <w:pPr>
        <w:numPr>
          <w:ilvl w:val="0"/>
          <w:numId w:val="1039"/>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39"/>
        </w:numPr>
        <w:pStyle w:val="Compact"/>
      </w:pPr>
      <w:r>
        <w:t xml:space="preserve">Incendie ;</w:t>
      </w:r>
    </w:p>
    <w:p>
      <w:pPr>
        <w:numPr>
          <w:ilvl w:val="0"/>
          <w:numId w:val="1039"/>
        </w:numPr>
        <w:pStyle w:val="Compact"/>
      </w:pPr>
      <w:r>
        <w:t xml:space="preserve">Maritime corps, facultés et responsabilité civile résultant de l’emploi de véhicules fluviaux et maritimes ;</w:t>
      </w:r>
    </w:p>
    <w:p>
      <w:pPr>
        <w:numPr>
          <w:ilvl w:val="0"/>
          <w:numId w:val="1039"/>
        </w:numPr>
        <w:pStyle w:val="Compact"/>
      </w:pPr>
      <w:r>
        <w:t xml:space="preserve">Aviation corps et responsabilité civile résultant de l’emploi des aéronefs ;</w:t>
      </w:r>
    </w:p>
    <w:p>
      <w:pPr>
        <w:numPr>
          <w:ilvl w:val="0"/>
          <w:numId w:val="1039"/>
        </w:numPr>
        <w:pStyle w:val="Compact"/>
      </w:pPr>
      <w:r>
        <w:t xml:space="preserve">Marchandises transportées par voie terrestre ;</w:t>
      </w:r>
    </w:p>
    <w:p>
      <w:pPr>
        <w:numPr>
          <w:ilvl w:val="0"/>
          <w:numId w:val="1039"/>
        </w:numPr>
        <w:pStyle w:val="Compact"/>
      </w:pPr>
      <w:r>
        <w:t xml:space="preserve">Assurance récolte, grêle ou gelée et éléments naturels ;</w:t>
      </w:r>
    </w:p>
    <w:p>
      <w:pPr>
        <w:numPr>
          <w:ilvl w:val="0"/>
          <w:numId w:val="1039"/>
        </w:numPr>
        <w:pStyle w:val="Compact"/>
      </w:pPr>
      <w:r>
        <w:t xml:space="preserve">Crédit et caution</w:t>
      </w:r>
    </w:p>
    <w:bookmarkEnd w:id="113"/>
    <w:bookmarkEnd w:id="114"/>
    <w:bookmarkEnd w:id="115"/>
    <w:bookmarkStart w:id="116" w:name="X784839fd8516b8df5730ae0da267f1818a874be"/>
    <w:p>
      <w:pPr>
        <w:pStyle w:val="Heading3"/>
      </w:pPr>
      <w:r>
        <w:t xml:space="preserve">6.2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16"/>
    <w:bookmarkStart w:id="121" w:name="X384c0c3c983e0c0cecb046cfdf19f3cf5bf77b3"/>
    <w:p>
      <w:pPr>
        <w:pStyle w:val="Heading3"/>
      </w:pPr>
      <w:r>
        <w:t xml:space="preserve">6.3 Ajustement du capital de solvabilité requis</w:t>
      </w:r>
    </w:p>
    <w:bookmarkStart w:id="117" w:name="X60f7df077bb6b37af80367e8ec055588dd69751"/>
    <w:p>
      <w:pPr>
        <w:pStyle w:val="Heading4"/>
      </w:pPr>
      <w:r>
        <w:t xml:space="preserve">6.3.1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17"/>
    <w:bookmarkStart w:id="120" w:name="Xbd336be1e04da1ede3fc1224bb2eedd17c6bfce"/>
    <w:p>
      <w:pPr>
        <w:pStyle w:val="Heading4"/>
      </w:pPr>
      <w:r>
        <w:t xml:space="preserve">6.3.2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Applications/RStudio.app/Contents/Resources/app/quarto/share/formats/docx/tip.png" id="119" name="Picture"/>
                          <pic:cNvPicPr>
                            <a:picLocks noChangeArrowheads="1" noChangeAspect="1"/>
                          </pic:cNvPicPr>
                        </pic:nvPicPr>
                        <pic:blipFill>
                          <a:blip r:embed="rId8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30">
    <w:p>
      <w:pPr>
        <w:pStyle w:val="FootnoteText"/>
      </w:pPr>
      <w:r>
        <w:rPr>
          <w:rStyle w:val="FootnoteReference"/>
        </w:rPr>
        <w:footnoteRef/>
      </w:r>
      <w:r>
        <w:t xml:space="preserve"> </w:t>
      </w:r>
      <w:r>
        <w:t xml:space="preserve">Alonso Peña, Ph.D, C++ For Quantitative Finance</w:t>
      </w:r>
    </w:p>
  </w:footnote>
  <w:footnote w:id="52">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80">
    <w:p>
      <w:pPr>
        <w:pStyle w:val="FootnoteText"/>
      </w:pPr>
      <w:r>
        <w:rPr>
          <w:rStyle w:val="FootnoteReference"/>
        </w:rPr>
        <w:footnoteRef/>
      </w:r>
      <w:r>
        <w:t xml:space="preserve"> </w:t>
      </w:r>
      <w:r>
        <w:t xml:space="preserve">The Actuary and IBNR publié en 1972</w:t>
      </w:r>
    </w:p>
  </w:footnote>
  <w:footnote w:id="81">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2023-05-17T17:13:12Z</dcterms:created>
  <dcterms:modified xsi:type="dcterms:W3CDTF">2023-05-17T17:13:12Z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