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29"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1131"/>
        <w:gridCol w:w="1131"/>
        <w:gridCol w:w="1131"/>
        <w:gridCol w:w="1131"/>
        <w:gridCol w:w="1131"/>
        <w:gridCol w:w="1131"/>
        <w:gridCol w:w="1131"/>
      </w:tblGrid>
      <w:tr>
        <w:trPr>
          <w:tblHeader w:val="true"/>
        </w:trPr>
        <w:tc>
          <w:tcPr/>
          <w:p>
            <w:pPr>
              <w:pStyle w:val="Compact"/>
              <w:jc w:val="left"/>
            </w:pPr>
            <w:r>
              <w:t xml:space="preserve">Rang</w:t>
            </w:r>
          </w:p>
        </w:tc>
        <w:tc>
          <w:tcPr/>
          <w:p>
            <w:pPr>
              <w:pStyle w:val="Compact"/>
              <w:jc w:val="left"/>
            </w:pPr>
            <w:r>
              <w:t xml:space="preserve">Rang</w:t>
            </w:r>
          </w:p>
        </w:tc>
        <w:tc>
          <w:tcPr/>
          <w:p>
            <w:pPr>
              <w:pStyle w:val="Compact"/>
              <w:jc w:val="left"/>
            </w:pPr>
            <w:r>
              <w:t xml:space="preserve">Pays</w:t>
            </w:r>
          </w:p>
        </w:tc>
        <w:tc>
          <w:tcPr/>
          <w:p>
            <w:pPr>
              <w:pStyle w:val="Compact"/>
              <w:jc w:val="left"/>
            </w:pPr>
            <w:r>
              <w:t xml:space="preserve">Chiffre d'affaires</w:t>
            </w:r>
          </w:p>
        </w:tc>
        <w:tc>
          <w:tcPr/>
          <w:p>
            <w:pPr>
              <w:pStyle w:val="Compact"/>
              <w:jc w:val="left"/>
            </w:pPr>
            <w:r>
              <w:t xml:space="preserve">Chiffre d'affaires</w:t>
            </w:r>
          </w:p>
        </w:tc>
        <w:tc>
          <w:tcPr/>
          <w:p>
            <w:pPr>
              <w:pStyle w:val="Compact"/>
              <w:jc w:val="left"/>
            </w:pPr>
            <w:r>
              <w:t xml:space="preserve">Evolution 2020-2021</w:t>
            </w:r>
          </w:p>
        </w:tc>
        <w:tc>
          <w:tcPr/>
          <w:p>
            <w:pPr>
              <w:pStyle w:val="Compact"/>
              <w:jc w:val="left"/>
            </w:pPr>
            <w:r>
              <w:t xml:space="preserve">Parts 2021</w:t>
            </w:r>
          </w:p>
        </w:tc>
      </w:tr>
      <w:tr>
        <w:tc>
          <w:tcPr/>
          <w:p>
            <w:pPr>
              <w:pStyle w:val="Compact"/>
              <w:jc w:val="left"/>
            </w:pPr>
            <w:r>
              <w:t xml:space="preserve">Régional</w:t>
            </w:r>
          </w:p>
        </w:tc>
        <w:tc>
          <w:tcPr/>
          <w:p>
            <w:pPr>
              <w:pStyle w:val="Compact"/>
              <w:jc w:val="left"/>
            </w:pPr>
            <w:r>
              <w:t xml:space="preserve">Mondial</w:t>
            </w:r>
          </w:p>
        </w:tc>
        <w:tc>
          <w:tcPr/>
          <w:p>
            <w:pPr>
              <w:pStyle w:val="Compact"/>
              <w:jc w:val="left"/>
            </w:pPr>
            <w:r>
              <w:t xml:space="preserve">Pays</w:t>
            </w:r>
          </w:p>
        </w:tc>
        <w:tc>
          <w:tcPr/>
          <w:p>
            <w:pPr>
              <w:pStyle w:val="Compact"/>
              <w:jc w:val="left"/>
            </w:pPr>
            <w:r>
              <w:t xml:space="preserve">2021</w:t>
            </w:r>
          </w:p>
        </w:tc>
        <w:tc>
          <w:tcPr/>
          <w:p>
            <w:pPr>
              <w:pStyle w:val="Compact"/>
              <w:jc w:val="left"/>
            </w:pPr>
            <w:r>
              <w:t xml:space="preserve">2020</w:t>
            </w:r>
          </w:p>
        </w:tc>
        <w:tc>
          <w:tcPr/>
          <w:p>
            <w:pPr>
              <w:pStyle w:val="Compact"/>
              <w:jc w:val="left"/>
            </w:pPr>
            <w:r>
              <w:t xml:space="preserve">Evolution 2020-2021</w:t>
            </w:r>
          </w:p>
        </w:tc>
        <w:tc>
          <w:tcPr/>
          <w:p>
            <w:pPr>
              <w:pStyle w:val="Compact"/>
              <w:jc w:val="left"/>
            </w:pPr>
            <w:r>
              <w:t xml:space="preserve">Parts 2021</w:t>
            </w:r>
          </w:p>
        </w:tc>
      </w:tr>
      <w:tr>
        <w:tc>
          <w:tcPr/>
          <w:p>
            <w:pPr>
              <w:pStyle w:val="Compact"/>
              <w:jc w:val="left"/>
            </w:pPr>
            <w:r>
              <w:t xml:space="preserve">1</w:t>
            </w:r>
          </w:p>
        </w:tc>
        <w:tc>
          <w:tcPr/>
          <w:p>
            <w:pPr>
              <w:pStyle w:val="Compact"/>
              <w:jc w:val="left"/>
            </w:pPr>
            <w:r>
              <w:t xml:space="preserve">19</w:t>
            </w:r>
          </w:p>
        </w:tc>
        <w:tc>
          <w:tcPr/>
          <w:p>
            <w:pPr>
              <w:pStyle w:val="Compact"/>
              <w:jc w:val="left"/>
            </w:pPr>
            <w:r>
              <w:t xml:space="preserve">Afrique du Sud</w:t>
            </w:r>
          </w:p>
        </w:tc>
        <w:tc>
          <w:tcPr/>
          <w:p>
            <w:pPr>
              <w:pStyle w:val="Compact"/>
              <w:jc w:val="left"/>
            </w:pPr>
            <w:r>
              <w:t xml:space="preserve">51 215</w:t>
            </w:r>
          </w:p>
        </w:tc>
        <w:tc>
          <w:tcPr/>
          <w:p>
            <w:pPr>
              <w:pStyle w:val="Compact"/>
              <w:jc w:val="left"/>
            </w:pPr>
            <w:r>
              <w:t xml:space="preserve">41 110</w:t>
            </w:r>
          </w:p>
        </w:tc>
        <w:tc>
          <w:tcPr/>
          <w:p>
            <w:pPr>
              <w:pStyle w:val="Compact"/>
              <w:jc w:val="left"/>
            </w:pPr>
            <w:r>
              <w:t xml:space="preserve">24,58%</w:t>
            </w:r>
          </w:p>
        </w:tc>
        <w:tc>
          <w:tcPr/>
          <w:p>
            <w:pPr>
              <w:pStyle w:val="Compact"/>
              <w:jc w:val="left"/>
            </w:pPr>
            <w:r>
              <w:t xml:space="preserve">69,03%</w:t>
            </w:r>
          </w:p>
        </w:tc>
      </w:tr>
      <w:tr>
        <w:tc>
          <w:tcPr/>
          <w:p>
            <w:pPr>
              <w:pStyle w:val="Compact"/>
              <w:jc w:val="left"/>
            </w:pPr>
            <w:r>
              <w:t xml:space="preserve">2</w:t>
            </w:r>
          </w:p>
        </w:tc>
        <w:tc>
          <w:tcPr/>
          <w:p>
            <w:pPr>
              <w:pStyle w:val="Compact"/>
              <w:jc w:val="left"/>
            </w:pPr>
            <w:r>
              <w:t xml:space="preserve">49</w:t>
            </w:r>
          </w:p>
        </w:tc>
        <w:tc>
          <w:tcPr/>
          <w:p>
            <w:pPr>
              <w:pStyle w:val="Compact"/>
              <w:jc w:val="left"/>
            </w:pPr>
            <w:r>
              <w:t xml:space="preserve">Maroc</w:t>
            </w:r>
          </w:p>
        </w:tc>
        <w:tc>
          <w:tcPr/>
          <w:p>
            <w:pPr>
              <w:pStyle w:val="Compact"/>
              <w:jc w:val="left"/>
            </w:pPr>
            <w:r>
              <w:t xml:space="preserve">5 343</w:t>
            </w:r>
          </w:p>
        </w:tc>
        <w:tc>
          <w:tcPr/>
          <w:p>
            <w:pPr>
              <w:pStyle w:val="Compact"/>
              <w:jc w:val="left"/>
            </w:pPr>
            <w:r>
              <w:t xml:space="preserve">4 774</w:t>
            </w:r>
          </w:p>
        </w:tc>
        <w:tc>
          <w:tcPr/>
          <w:p>
            <w:pPr>
              <w:pStyle w:val="Compact"/>
              <w:jc w:val="left"/>
            </w:pPr>
            <w:r>
              <w:t xml:space="preserve">11,92%</w:t>
            </w:r>
          </w:p>
        </w:tc>
        <w:tc>
          <w:tcPr/>
          <w:p>
            <w:pPr>
              <w:pStyle w:val="Compact"/>
              <w:jc w:val="left"/>
            </w:pPr>
            <w:r>
              <w:t xml:space="preserve">7,20%</w:t>
            </w:r>
          </w:p>
        </w:tc>
      </w:tr>
      <w:tr>
        <w:tc>
          <w:tcPr/>
          <w:p>
            <w:pPr>
              <w:pStyle w:val="Compact"/>
              <w:jc w:val="left"/>
            </w:pPr>
            <w:r>
              <w:t xml:space="preserve">3</w:t>
            </w:r>
          </w:p>
        </w:tc>
        <w:tc>
          <w:tcPr/>
          <w:p>
            <w:pPr>
              <w:pStyle w:val="Compact"/>
              <w:jc w:val="left"/>
            </w:pPr>
            <w:r>
              <w:t xml:space="preserve">55</w:t>
            </w:r>
          </w:p>
        </w:tc>
        <w:tc>
          <w:tcPr/>
          <w:p>
            <w:pPr>
              <w:pStyle w:val="Compact"/>
              <w:jc w:val="left"/>
            </w:pPr>
            <w:r>
              <w:t xml:space="preserve">Egypte</w:t>
            </w:r>
          </w:p>
        </w:tc>
        <w:tc>
          <w:tcPr/>
          <w:p>
            <w:pPr>
              <w:pStyle w:val="Compact"/>
              <w:jc w:val="left"/>
            </w:pPr>
            <w:r>
              <w:t xml:space="preserve">2 808</w:t>
            </w:r>
          </w:p>
        </w:tc>
        <w:tc>
          <w:tcPr/>
          <w:p>
            <w:pPr>
              <w:pStyle w:val="Compact"/>
              <w:jc w:val="left"/>
            </w:pPr>
            <w:r>
              <w:t xml:space="preserve">2 390</w:t>
            </w:r>
          </w:p>
        </w:tc>
        <w:tc>
          <w:tcPr/>
          <w:p>
            <w:pPr>
              <w:pStyle w:val="Compact"/>
              <w:jc w:val="left"/>
            </w:pPr>
            <w:r>
              <w:t xml:space="preserve">17,49%</w:t>
            </w:r>
          </w:p>
        </w:tc>
        <w:tc>
          <w:tcPr/>
          <w:p>
            <w:pPr>
              <w:pStyle w:val="Compact"/>
              <w:jc w:val="left"/>
            </w:pPr>
            <w:r>
              <w:t xml:space="preserve">3,78%</w:t>
            </w:r>
          </w:p>
        </w:tc>
      </w:tr>
      <w:tr>
        <w:tc>
          <w:tcPr/>
          <w:p>
            <w:pPr>
              <w:pStyle w:val="Compact"/>
              <w:jc w:val="left"/>
            </w:pPr>
            <w:r>
              <w:t xml:space="preserve">4</w:t>
            </w:r>
          </w:p>
        </w:tc>
        <w:tc>
          <w:tcPr/>
          <w:p>
            <w:pPr>
              <w:pStyle w:val="Compact"/>
              <w:jc w:val="left"/>
            </w:pPr>
            <w:r>
              <w:t xml:space="preserve">56</w:t>
            </w:r>
          </w:p>
        </w:tc>
        <w:tc>
          <w:tcPr/>
          <w:p>
            <w:pPr>
              <w:pStyle w:val="Compact"/>
              <w:jc w:val="left"/>
            </w:pPr>
            <w:r>
              <w:t xml:space="preserve">Kenya</w:t>
            </w:r>
          </w:p>
        </w:tc>
        <w:tc>
          <w:tcPr/>
          <w:p>
            <w:pPr>
              <w:pStyle w:val="Compact"/>
              <w:jc w:val="left"/>
            </w:pPr>
            <w:r>
              <w:t xml:space="preserve">2 422</w:t>
            </w:r>
          </w:p>
        </w:tc>
        <w:tc>
          <w:tcPr/>
          <w:p>
            <w:pPr>
              <w:pStyle w:val="Compact"/>
              <w:jc w:val="left"/>
            </w:pPr>
            <w:r>
              <w:t xml:space="preserve">2 190</w:t>
            </w:r>
          </w:p>
        </w:tc>
        <w:tc>
          <w:tcPr/>
          <w:p>
            <w:pPr>
              <w:pStyle w:val="Compact"/>
              <w:jc w:val="left"/>
            </w:pPr>
            <w:r>
              <w:t xml:space="preserve">10,59%</w:t>
            </w:r>
          </w:p>
        </w:tc>
        <w:tc>
          <w:tcPr/>
          <w:p>
            <w:pPr>
              <w:pStyle w:val="Compact"/>
              <w:jc w:val="left"/>
            </w:pPr>
            <w:r>
              <w:t xml:space="preserve">3,26%</w:t>
            </w:r>
          </w:p>
        </w:tc>
      </w:tr>
      <w:tr>
        <w:tc>
          <w:tcPr/>
          <w:p>
            <w:pPr>
              <w:pStyle w:val="Compact"/>
              <w:jc w:val="left"/>
            </w:pPr>
            <w:r>
              <w:t xml:space="preserve">5</w:t>
            </w:r>
          </w:p>
        </w:tc>
        <w:tc>
          <w:tcPr/>
          <w:p>
            <w:pPr>
              <w:pStyle w:val="Compact"/>
              <w:jc w:val="left"/>
            </w:pPr>
            <w:r>
              <w:t xml:space="preserve">70</w:t>
            </w:r>
          </w:p>
        </w:tc>
        <w:tc>
          <w:tcPr/>
          <w:p>
            <w:pPr>
              <w:pStyle w:val="Compact"/>
              <w:jc w:val="left"/>
            </w:pPr>
            <w:r>
              <w:t xml:space="preserve">Nigéria</w:t>
            </w:r>
          </w:p>
        </w:tc>
        <w:tc>
          <w:tcPr/>
          <w:p>
            <w:pPr>
              <w:pStyle w:val="Compact"/>
              <w:jc w:val="left"/>
            </w:pPr>
            <w:r>
              <w:t xml:space="preserve">1 582</w:t>
            </w:r>
          </w:p>
        </w:tc>
        <w:tc>
          <w:tcPr/>
          <w:p>
            <w:pPr>
              <w:pStyle w:val="Compact"/>
              <w:jc w:val="left"/>
            </w:pPr>
            <w:r>
              <w:t xml:space="preserve">1 433</w:t>
            </w:r>
          </w:p>
        </w:tc>
        <w:tc>
          <w:tcPr/>
          <w:p>
            <w:pPr>
              <w:pStyle w:val="Compact"/>
              <w:jc w:val="left"/>
            </w:pPr>
            <w:r>
              <w:t xml:space="preserve">10,40%</w:t>
            </w:r>
          </w:p>
        </w:tc>
        <w:tc>
          <w:tcPr/>
          <w:p>
            <w:pPr>
              <w:pStyle w:val="Compact"/>
              <w:jc w:val="left"/>
            </w:pPr>
            <w:r>
              <w:t xml:space="preserve">2,13%</w:t>
            </w:r>
          </w:p>
        </w:tc>
      </w:tr>
      <w:tr>
        <w:tc>
          <w:tcPr/>
          <w:p>
            <w:pPr>
              <w:pStyle w:val="Compact"/>
              <w:jc w:val="left"/>
            </w:pPr>
            <w:r>
              <w:t xml:space="preserve">6</w:t>
            </w:r>
          </w:p>
        </w:tc>
        <w:tc>
          <w:tcPr/>
          <w:p>
            <w:pPr>
              <w:pStyle w:val="Compact"/>
              <w:jc w:val="left"/>
            </w:pPr>
            <w:r>
              <w:t xml:space="preserve">79</w:t>
            </w:r>
          </w:p>
        </w:tc>
        <w:tc>
          <w:tcPr/>
          <w:p>
            <w:pPr>
              <w:pStyle w:val="Compact"/>
              <w:jc w:val="left"/>
            </w:pPr>
            <w:r>
              <w:t xml:space="preserve">Algérie</w:t>
            </w:r>
          </w:p>
        </w:tc>
        <w:tc>
          <w:tcPr/>
          <w:p>
            <w:pPr>
              <w:pStyle w:val="Compact"/>
              <w:jc w:val="left"/>
            </w:pPr>
            <w:r>
              <w:t xml:space="preserve">1 075</w:t>
            </w:r>
          </w:p>
        </w:tc>
        <w:tc>
          <w:tcPr/>
          <w:p>
            <w:pPr>
              <w:pStyle w:val="Compact"/>
              <w:jc w:val="left"/>
            </w:pPr>
            <w:r>
              <w:t xml:space="preserve">1 095</w:t>
            </w:r>
          </w:p>
        </w:tc>
        <w:tc>
          <w:tcPr/>
          <w:p>
            <w:pPr>
              <w:pStyle w:val="Compact"/>
              <w:jc w:val="left"/>
            </w:pPr>
            <w:r>
              <w:t xml:space="preserve">-1,83%</w:t>
            </w:r>
          </w:p>
        </w:tc>
        <w:tc>
          <w:tcPr/>
          <w:p>
            <w:pPr>
              <w:pStyle w:val="Compact"/>
              <w:jc w:val="left"/>
            </w:pPr>
            <w:r>
              <w:t xml:space="preserve">1,45%</w:t>
            </w:r>
          </w:p>
        </w:tc>
      </w:tr>
      <w:tr>
        <w:tc>
          <w:tcPr/>
          <w:p>
            <w:pPr>
              <w:pStyle w:val="Compact"/>
              <w:jc w:val="left"/>
            </w:pPr>
            <w:r>
              <w:t xml:space="preserve">7</w:t>
            </w:r>
          </w:p>
        </w:tc>
        <w:tc>
          <w:tcPr/>
          <w:p>
            <w:pPr>
              <w:pStyle w:val="Compact"/>
              <w:jc w:val="left"/>
            </w:pPr>
            <w:r>
              <w:t xml:space="preserve">81</w:t>
            </w:r>
          </w:p>
        </w:tc>
        <w:tc>
          <w:tcPr/>
          <w:p>
            <w:pPr>
              <w:pStyle w:val="Compact"/>
              <w:jc w:val="left"/>
            </w:pPr>
            <w:r>
              <w:t xml:space="preserve">Tunisie</w:t>
            </w:r>
          </w:p>
        </w:tc>
        <w:tc>
          <w:tcPr/>
          <w:p>
            <w:pPr>
              <w:pStyle w:val="Compact"/>
              <w:jc w:val="left"/>
            </w:pPr>
            <w:r>
              <w:t xml:space="preserve">985</w:t>
            </w:r>
          </w:p>
        </w:tc>
        <w:tc>
          <w:tcPr/>
          <w:p>
            <w:pPr>
              <w:pStyle w:val="Compact"/>
              <w:jc w:val="left"/>
            </w:pPr>
            <w:r>
              <w:t xml:space="preserve">900</w:t>
            </w:r>
          </w:p>
        </w:tc>
        <w:tc>
          <w:tcPr/>
          <w:p>
            <w:pPr>
              <w:pStyle w:val="Compact"/>
              <w:jc w:val="left"/>
            </w:pPr>
            <w:r>
              <w:t xml:space="preserve">9,44%</w:t>
            </w:r>
          </w:p>
        </w:tc>
        <w:tc>
          <w:tcPr/>
          <w:p>
            <w:pPr>
              <w:pStyle w:val="Compact"/>
              <w:jc w:val="left"/>
            </w:pPr>
            <w:r>
              <w:t xml:space="preserve">1,33%</w:t>
            </w:r>
          </w:p>
        </w:tc>
      </w:tr>
      <w:tr>
        <w:tc>
          <w:tcPr/>
          <w:p>
            <w:pPr>
              <w:pStyle w:val="Compact"/>
              <w:jc w:val="left"/>
            </w:pPr>
            <w:r>
              <w:t xml:space="preserve">8</w:t>
            </w:r>
          </w:p>
        </w:tc>
        <w:tc>
          <w:tcPr/>
          <w:p>
            <w:pPr>
              <w:pStyle w:val="Compact"/>
              <w:jc w:val="left"/>
            </w:pPr>
            <w:r>
              <w:t xml:space="preserve">83</w:t>
            </w:r>
          </w:p>
        </w:tc>
        <w:tc>
          <w:tcPr/>
          <w:p>
            <w:pPr>
              <w:pStyle w:val="Compact"/>
              <w:jc w:val="left"/>
            </w:pPr>
            <w:r>
              <w:t xml:space="preserve">Namibie</w:t>
            </w:r>
          </w:p>
        </w:tc>
        <w:tc>
          <w:tcPr/>
          <w:p>
            <w:pPr>
              <w:pStyle w:val="Compact"/>
              <w:jc w:val="left"/>
            </w:pPr>
            <w:r>
              <w:t xml:space="preserve">867</w:t>
            </w:r>
          </w:p>
        </w:tc>
        <w:tc>
          <w:tcPr/>
          <w:p>
            <w:pPr>
              <w:pStyle w:val="Compact"/>
              <w:jc w:val="left"/>
            </w:pPr>
            <w:r>
              <w:t xml:space="preserve">788</w:t>
            </w:r>
          </w:p>
        </w:tc>
        <w:tc>
          <w:tcPr/>
          <w:p>
            <w:pPr>
              <w:pStyle w:val="Compact"/>
              <w:jc w:val="left"/>
            </w:pPr>
            <w:r>
              <w:t xml:space="preserve">10,03%</w:t>
            </w:r>
          </w:p>
        </w:tc>
        <w:tc>
          <w:tcPr/>
          <w:p>
            <w:pPr>
              <w:pStyle w:val="Compact"/>
              <w:jc w:val="left"/>
            </w:pPr>
            <w:r>
              <w:t xml:space="preserve">1,17%</w:t>
            </w:r>
          </w:p>
        </w:tc>
      </w:tr>
      <w:tr>
        <w:tc>
          <w:tcPr/>
          <w:p>
            <w:pPr>
              <w:pStyle w:val="Compact"/>
              <w:jc w:val="left"/>
            </w:pPr>
            <w:r>
              <w:t xml:space="preserve">9</w:t>
            </w:r>
          </w:p>
        </w:tc>
        <w:tc>
          <w:tcPr/>
          <w:p>
            <w:pPr>
              <w:pStyle w:val="Compact"/>
              <w:jc w:val="left"/>
            </w:pPr>
            <w:r>
              <w:t xml:space="preserve">86</w:t>
            </w:r>
          </w:p>
        </w:tc>
        <w:tc>
          <w:tcPr/>
          <w:p>
            <w:pPr>
              <w:pStyle w:val="Compact"/>
              <w:jc w:val="left"/>
            </w:pPr>
            <w:r>
              <w:t xml:space="preserve">Côte d'Ivoire</w:t>
            </w:r>
          </w:p>
        </w:tc>
        <w:tc>
          <w:tcPr/>
          <w:p>
            <w:pPr>
              <w:pStyle w:val="Compact"/>
              <w:jc w:val="left"/>
            </w:pPr>
            <w:r>
              <w:t xml:space="preserve">844</w:t>
            </w:r>
          </w:p>
        </w:tc>
        <w:tc>
          <w:tcPr/>
          <w:p>
            <w:pPr>
              <w:pStyle w:val="Compact"/>
              <w:jc w:val="left"/>
            </w:pPr>
            <w:r>
              <w:t xml:space="preserve">694</w:t>
            </w:r>
          </w:p>
        </w:tc>
        <w:tc>
          <w:tcPr/>
          <w:p>
            <w:pPr>
              <w:pStyle w:val="Compact"/>
              <w:jc w:val="left"/>
            </w:pPr>
            <w:r>
              <w:t xml:space="preserve">21,61%</w:t>
            </w:r>
          </w:p>
        </w:tc>
        <w:tc>
          <w:tcPr/>
          <w:p>
            <w:pPr>
              <w:pStyle w:val="Compact"/>
              <w:jc w:val="left"/>
            </w:pPr>
            <w:r>
              <w:t xml:space="preserve">1,14%</w:t>
            </w:r>
          </w:p>
        </w:tc>
      </w:tr>
      <w:tr>
        <w:tc>
          <w:tcPr/>
          <w:p>
            <w:pPr>
              <w:pStyle w:val="Compact"/>
              <w:jc w:val="left"/>
            </w:pPr>
            <w:r>
              <w:t xml:space="preserve">10</w:t>
            </w:r>
          </w:p>
        </w:tc>
        <w:tc>
          <w:tcPr/>
          <w:p>
            <w:pPr>
              <w:pStyle w:val="Compact"/>
              <w:jc w:val="left"/>
            </w:pPr>
            <w:r>
              <w:t xml:space="preserve">88</w:t>
            </w:r>
          </w:p>
        </w:tc>
        <w:tc>
          <w:tcPr/>
          <w:p>
            <w:pPr>
              <w:pStyle w:val="Compact"/>
              <w:jc w:val="left"/>
            </w:pPr>
            <w:r>
              <w:t xml:space="preserve">Ghana</w:t>
            </w:r>
          </w:p>
        </w:tc>
        <w:tc>
          <w:tcPr/>
          <w:p>
            <w:pPr>
              <w:pStyle w:val="Compact"/>
              <w:jc w:val="left"/>
            </w:pPr>
            <w:r>
              <w:t xml:space="preserve">814</w:t>
            </w:r>
          </w:p>
        </w:tc>
        <w:tc>
          <w:tcPr/>
          <w:p>
            <w:pPr>
              <w:pStyle w:val="Compact"/>
              <w:jc w:val="left"/>
            </w:pPr>
            <w:r>
              <w:t xml:space="preserve">686</w:t>
            </w:r>
          </w:p>
        </w:tc>
        <w:tc>
          <w:tcPr/>
          <w:p>
            <w:pPr>
              <w:pStyle w:val="Compact"/>
              <w:jc w:val="left"/>
            </w:pPr>
            <w:r>
              <w:t xml:space="preserve">18,66%</w:t>
            </w:r>
          </w:p>
        </w:tc>
        <w:tc>
          <w:tcPr/>
          <w:p>
            <w:pPr>
              <w:pStyle w:val="Compact"/>
              <w:jc w:val="left"/>
            </w:pPr>
            <w:r>
              <w:t xml:space="preserve">1,10%</w:t>
            </w:r>
          </w:p>
        </w:tc>
      </w:tr>
      <w:tr>
        <w:tc>
          <w:tcPr/>
          <w:p>
            <w:pPr>
              <w:pStyle w:val="Compact"/>
              <w:jc w:val="left"/>
            </w:pPr>
            <w:r>
              <w:t xml:space="preserve">Total des 10 premiers marchés</w:t>
            </w:r>
          </w:p>
        </w:tc>
        <w:tc>
          <w:tcPr/>
          <w:p>
            <w:pPr>
              <w:pStyle w:val="Compact"/>
              <w:jc w:val="left"/>
            </w:pPr>
            <w:r>
              <w:t xml:space="preserve">Total des 10 premiers marchés</w:t>
            </w:r>
          </w:p>
        </w:tc>
        <w:tc>
          <w:tcPr/>
          <w:p>
            <w:pPr>
              <w:pStyle w:val="Compact"/>
              <w:jc w:val="left"/>
            </w:pPr>
            <w:r>
              <w:t xml:space="preserve">Total des 10 premiers marchés</w:t>
            </w:r>
          </w:p>
        </w:tc>
        <w:tc>
          <w:tcPr/>
          <w:p>
            <w:pPr>
              <w:pStyle w:val="Compact"/>
              <w:jc w:val="left"/>
            </w:pPr>
            <w:r>
              <w:t xml:space="preserve">67 955</w:t>
            </w:r>
          </w:p>
        </w:tc>
        <w:tc>
          <w:tcPr/>
          <w:p>
            <w:pPr>
              <w:pStyle w:val="Compact"/>
              <w:jc w:val="left"/>
            </w:pPr>
            <w:r>
              <w:t xml:space="preserve">56 060</w:t>
            </w:r>
          </w:p>
        </w:tc>
        <w:tc>
          <w:tcPr/>
          <w:p>
            <w:pPr>
              <w:pStyle w:val="Compact"/>
              <w:jc w:val="left"/>
            </w:pPr>
            <w:r>
              <w:t xml:space="preserve">21,22%</w:t>
            </w:r>
          </w:p>
        </w:tc>
        <w:tc>
          <w:tcPr/>
          <w:p>
            <w:pPr>
              <w:pStyle w:val="Compact"/>
              <w:jc w:val="left"/>
            </w:pPr>
            <w:r>
              <w:t xml:space="preserve">91,60%</w:t>
            </w:r>
          </w:p>
        </w:tc>
      </w:tr>
      <w:tr>
        <w:tc>
          <w:tcPr/>
          <w:p>
            <w:pPr>
              <w:pStyle w:val="Compact"/>
              <w:jc w:val="left"/>
            </w:pPr>
            <w:r>
              <w:t xml:space="preserve">Reste du marché</w:t>
            </w:r>
          </w:p>
        </w:tc>
        <w:tc>
          <w:tcPr/>
          <w:p>
            <w:pPr>
              <w:pStyle w:val="Compact"/>
              <w:jc w:val="left"/>
            </w:pPr>
            <w:r>
              <w:t xml:space="preserve">Reste du marché</w:t>
            </w:r>
          </w:p>
        </w:tc>
        <w:tc>
          <w:tcPr/>
          <w:p>
            <w:pPr>
              <w:pStyle w:val="Compact"/>
              <w:jc w:val="left"/>
            </w:pPr>
            <w:r>
              <w:t xml:space="preserve">Reste du marché</w:t>
            </w:r>
          </w:p>
        </w:tc>
        <w:tc>
          <w:tcPr/>
          <w:p>
            <w:pPr>
              <w:pStyle w:val="Compact"/>
              <w:jc w:val="left"/>
            </w:pPr>
            <w:r>
              <w:t xml:space="preserve">6 235</w:t>
            </w:r>
          </w:p>
        </w:tc>
        <w:tc>
          <w:tcPr/>
          <w:p>
            <w:pPr>
              <w:pStyle w:val="Compact"/>
              <w:jc w:val="left"/>
            </w:pPr>
            <w:r>
              <w:t xml:space="preserve">5 821</w:t>
            </w:r>
          </w:p>
        </w:tc>
        <w:tc>
          <w:tcPr/>
          <w:p>
            <w:pPr>
              <w:pStyle w:val="Compact"/>
              <w:jc w:val="left"/>
            </w:pPr>
            <w:r>
              <w:t xml:space="preserve">7,11%</w:t>
            </w:r>
          </w:p>
        </w:tc>
        <w:tc>
          <w:tcPr/>
          <w:p>
            <w:pPr>
              <w:pStyle w:val="Compact"/>
              <w:jc w:val="left"/>
            </w:pPr>
            <w:r>
              <w:t xml:space="preserve">8,40%</w:t>
            </w:r>
          </w:p>
        </w:tc>
      </w:tr>
      <w:tr>
        <w:tc>
          <w:tcPr/>
          <w:p>
            <w:pPr>
              <w:pStyle w:val="Compact"/>
              <w:jc w:val="left"/>
            </w:pPr>
            <w:r>
              <w:t xml:space="preserve">Total</w:t>
            </w:r>
          </w:p>
        </w:tc>
        <w:tc>
          <w:tcPr/>
          <w:p>
            <w:pPr>
              <w:pStyle w:val="Compact"/>
              <w:jc w:val="left"/>
            </w:pPr>
            <w:r>
              <w:t xml:space="preserve">Total</w:t>
            </w:r>
          </w:p>
        </w:tc>
        <w:tc>
          <w:tcPr/>
          <w:p>
            <w:pPr>
              <w:pStyle w:val="Compact"/>
              <w:jc w:val="left"/>
            </w:pPr>
            <w:r>
              <w:t xml:space="preserve">Total</w:t>
            </w:r>
          </w:p>
        </w:tc>
        <w:tc>
          <w:tcPr/>
          <w:p>
            <w:pPr>
              <w:pStyle w:val="Compact"/>
              <w:jc w:val="left"/>
            </w:pPr>
            <w:r>
              <w:t xml:space="preserve">74 190</w:t>
            </w:r>
          </w:p>
        </w:tc>
        <w:tc>
          <w:tcPr/>
          <w:p>
            <w:pPr>
              <w:pStyle w:val="Compact"/>
              <w:jc w:val="left"/>
            </w:pPr>
            <w:r>
              <w:t xml:space="preserve">61 881</w:t>
            </w:r>
          </w:p>
        </w:tc>
        <w:tc>
          <w:tcPr/>
          <w:p>
            <w:pPr>
              <w:pStyle w:val="Compact"/>
              <w:jc w:val="left"/>
            </w:pPr>
            <w:r>
              <w:t xml:space="preserve">19,89%</w:t>
            </w:r>
          </w:p>
        </w:tc>
        <w:tc>
          <w:tcPr/>
          <w:p>
            <w:pPr>
              <w:pStyle w:val="Compact"/>
              <w:jc w:val="left"/>
            </w:pPr>
            <w:r>
              <w:t xml:space="preserve">100,00%</w:t>
            </w:r>
          </w:p>
        </w:tc>
      </w:tr>
    </w:tbl>
    <w:bookmarkEnd w:id="24"/>
    <w:p>
      <w:pPr>
        <w:pStyle w:val="BodyText"/>
      </w:pPr>
      <w:r>
        <w:t xml:space="preserve">Le royaume doit ce succès à la rigueur de sont dispositif prudentiel qui se consolide de plus en plus. La SBR vient en ce sens renforcer cette dynamique. Elle s’établi sur trois piliers :</w:t>
      </w:r>
    </w:p>
    <w:tbl>
      <w:tblPr>
        <w:tblStyle w:val="Table"/>
        <w:tblW w:type="pct" w:w="5000"/>
        <w:tblLook w:firstRow="0" w:lastRow="0" w:firstColumn="0" w:lastColumn="0" w:noHBand="0" w:noVBand="0" w:val="0000"/>
      </w:tblPr>
      <w:tblGrid>
        <w:gridCol w:w="7920"/>
      </w:tblGrid>
      <w:tr>
        <w:tc>
          <w:tcPr/>
          <w:bookmarkStart w:id="28" w:name="fig-piliers"/>
          <w:p>
            <w:pPr>
              <w:pStyle w:val="Figure"/>
              <w:jc w:val="center"/>
            </w:pPr>
            <w:r>
              <w:drawing>
                <wp:inline>
                  <wp:extent cx="5334000" cy="2998910"/>
                  <wp:effectExtent b="0" l="0" r="0" t="0"/>
                  <wp:docPr descr="" title="" id="26" name="Picture"/>
                  <a:graphic>
                    <a:graphicData uri="http://schemas.openxmlformats.org/drawingml/2006/picture">
                      <pic:pic>
                        <pic:nvPicPr>
                          <pic:cNvPr descr="Rapport%20PFE_files/piliers.png" id="27" name="Picture"/>
                          <pic:cNvPicPr>
                            <a:picLocks noChangeArrowheads="1" noChangeAspect="1"/>
                          </pic:cNvPicPr>
                        </pic:nvPicPr>
                        <pic:blipFill>
                          <a:blip r:embed="rId25"/>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28"/>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2" Target="https://www.atlas-mag.net/article/marche-africain-de-l-assurance-en-2019-chiffre-d-affaires-des-principaux-pays" TargetMode="External" /></Relationships>
</file>

<file path=word/_rels/footnotes.xml.rels><?xml version="1.0" encoding="UTF-8"?><Relationships xmlns="http://schemas.openxmlformats.org/package/2006/relationships"><Relationship Type="http://schemas.openxmlformats.org/officeDocument/2006/relationships/hyperlink" Id="rId22" Target="https://www.atlas-mag.net/article/marche-africain-de-l-assurance-en-2019-chiffre-d-affaires-des-principaux-pa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2023-05-10T10:43:05Z</dcterms:created>
  <dcterms:modified xsi:type="dcterms:W3CDTF">2023-05-10T10:43:05Z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