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25.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PFE</w:t>
      </w:r>
    </w:p>
    <w:p>
      <w:pPr>
        <w:pStyle w:val="Author"/>
      </w:pPr>
      <w:r>
        <w:t xml:space="preserve">DIAKITE</w:t>
      </w:r>
      <w:r>
        <w:t xml:space="preserve"> </w:t>
      </w:r>
      <w:r>
        <w:t xml:space="preserve">Abdoul</w:t>
      </w:r>
      <w:r>
        <w:t xml:space="preserve"> </w:t>
      </w:r>
      <w:r>
        <w:t xml:space="preserve">Oudouss,</w:t>
      </w:r>
      <w:r>
        <w:t xml:space="preserve"> </w:t>
      </w:r>
      <w:r>
        <w:t xml:space="preserve">ETTADLAOUI</w:t>
      </w:r>
      <w:r>
        <w:t xml:space="preserve"> </w:t>
      </w:r>
      <w:r>
        <w:t xml:space="preserve">Othmane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introduction"/>
    <w:p>
      <w:pPr>
        <w:pStyle w:val="Heading2"/>
      </w:pPr>
      <w:r>
        <w:t xml:space="preserve">1 Introduction</w:t>
      </w:r>
    </w:p>
    <w:p>
      <w:pPr>
        <w:pStyle w:val="FirstParagraph"/>
      </w:pPr>
      <w:r>
        <w:t xml:space="preserve">Suite aux crises multiples qui ont secoué le monde de la finance et de l’assurance notamment celle de 2008, les autorités se sont rendu compte de l’insuffisance de la supervision prudentielle. Cette dernière s’est montré très chétive lors de la crise d’où la nécessité de mettre en place de nouvelles dispositions prudentielles plus robustes.</w:t>
      </w:r>
    </w:p>
    <w:p>
      <w:pPr>
        <w:pStyle w:val="BodyText"/>
      </w:pPr>
      <w:r>
        <w:t xml:space="preserve">C’est dans ce contexte, à l’image de</w:t>
      </w:r>
      <w:r>
        <w:t xml:space="preserve"> </w:t>
      </w:r>
      <w:r>
        <w:rPr>
          <w:iCs/>
          <w:i/>
        </w:rPr>
        <w:t xml:space="preserve">Bale 2</w:t>
      </w:r>
      <w:r>
        <w:t xml:space="preserve"> </w:t>
      </w:r>
      <w:r>
        <w:t xml:space="preserve">pour la finance, que la</w:t>
      </w:r>
      <w:r>
        <w:t xml:space="preserve"> </w:t>
      </w:r>
      <w:r>
        <w:rPr>
          <w:iCs/>
          <w:i/>
        </w:rPr>
        <w:t xml:space="preserve">Solvabilté 2</w:t>
      </w:r>
      <w:r>
        <w:t xml:space="preserve"> </w:t>
      </w:r>
      <w:r>
        <w:t xml:space="preserve">voit le jour dans le milieu de l’assurance. Cette réforme réglementaire européenne vient renforcer la précédente en adaptant au mieux les exigences de fonds propres des compagnies d’assurances et de réassurances aux risques qu’elles encourent.</w:t>
      </w:r>
    </w:p>
    <w:p>
      <w:pPr>
        <w:pStyle w:val="BodyText"/>
      </w:pPr>
      <w:r>
        <w:t xml:space="preserve">Les insuffisances évoquées n’ont pas épargné le cadre prudentiel marocain. C’est ainsi que l’Autorité de Contrôle des Assurances et de la Prévoyance Sociale (ACAPS</w:t>
      </w:r>
      <w:r>
        <w:rPr>
          <w:rStyle w:val="FootnoteReference"/>
        </w:rPr>
        <w:footnoteReference w:id="20"/>
      </w:r>
      <w:r>
        <w:t xml:space="preserve">) a adopter la norme de Solvabilité Basé sur les Risques (SBR) afin de tenir compte de la diversités des risques encourues par les compagnies d’assurances et de réassurances marocaines. La SBR s’articule autour de trois piliers :</w:t>
      </w:r>
    </w:p>
    <w:p>
      <w:pPr>
        <w:numPr>
          <w:ilvl w:val="0"/>
          <w:numId w:val="1001"/>
        </w:numPr>
        <w:pStyle w:val="Compact"/>
      </w:pPr>
      <w:r>
        <w:rPr>
          <w:iCs/>
          <w:i/>
        </w:rPr>
        <w:t xml:space="preserve">Le pilier I</w:t>
      </w:r>
      <w:r>
        <w:t xml:space="preserve"> </w:t>
      </w:r>
      <w:r>
        <w:t xml:space="preserve">regroupe les</w:t>
      </w:r>
      <w:r>
        <w:t xml:space="preserve"> </w:t>
      </w:r>
      <w:r>
        <w:rPr>
          <w:iCs/>
          <w:i/>
        </w:rPr>
        <w:t xml:space="preserve">exigences quantitatives</w:t>
      </w:r>
      <w:r>
        <w:t xml:space="preserve">, à savoir les règles de valorisation des actifs et des passifs ainsi que les exigences de capital et leur mode de calcul;</w:t>
      </w:r>
    </w:p>
    <w:p>
      <w:pPr>
        <w:numPr>
          <w:ilvl w:val="0"/>
          <w:numId w:val="1001"/>
        </w:numPr>
        <w:pStyle w:val="Compact"/>
      </w:pPr>
      <w:r>
        <w:rPr>
          <w:iCs/>
          <w:i/>
        </w:rPr>
        <w:t xml:space="preserve">Le pilier II</w:t>
      </w:r>
      <w:r>
        <w:t xml:space="preserve"> </w:t>
      </w:r>
      <w:r>
        <w:t xml:space="preserve">porte sur les</w:t>
      </w:r>
      <w:r>
        <w:t xml:space="preserve"> </w:t>
      </w:r>
      <w:r>
        <w:rPr>
          <w:iCs/>
          <w:i/>
        </w:rPr>
        <w:t xml:space="preserve">exigences qualitatives</w:t>
      </w:r>
      <w:r>
        <w:t xml:space="preserve"> </w:t>
      </w:r>
      <w:r>
        <w:t xml:space="preserve">et définit les règles de gouvernance et de gestion des risques, en l’occurrence l’évaluation interne des risques de la solvabilité;</w:t>
      </w:r>
    </w:p>
    <w:p>
      <w:pPr>
        <w:numPr>
          <w:ilvl w:val="0"/>
          <w:numId w:val="1001"/>
        </w:numPr>
        <w:pStyle w:val="Compact"/>
      </w:pPr>
      <w:r>
        <w:rPr>
          <w:iCs/>
          <w:i/>
        </w:rPr>
        <w:t xml:space="preserve">Le pilier III</w:t>
      </w:r>
      <w:r>
        <w:t xml:space="preserve"> </w:t>
      </w:r>
      <w:r>
        <w:t xml:space="preserve">concerne, quant à lui, les</w:t>
      </w:r>
      <w:r>
        <w:t xml:space="preserve"> </w:t>
      </w:r>
      <w:r>
        <w:rPr>
          <w:iCs/>
          <w:i/>
        </w:rPr>
        <w:t xml:space="preserve">obligations de reporting</w:t>
      </w:r>
      <w:r>
        <w:t xml:space="preserve"> </w:t>
      </w:r>
      <w:r>
        <w:t xml:space="preserve">à l’Autorité et de diffusion de l’information au public.</w:t>
      </w:r>
    </w:p>
    <w:bookmarkEnd w:id="21"/>
    <w:bookmarkStart w:id="29" w:name="cadre-réglementaire-marocain"/>
    <w:p>
      <w:pPr>
        <w:pStyle w:val="Heading2"/>
      </w:pPr>
      <w:r>
        <w:t xml:space="preserve">2 Cadre réglementaire marocain</w:t>
      </w:r>
    </w:p>
    <w:p>
      <w:pPr>
        <w:pStyle w:val="FirstParagraph"/>
      </w:pPr>
      <w:r>
        <w:t xml:space="preserve">Le Maroc est l’un des acteurs majeurs de l’assurance en Afrique. Ses compagnies ne cessent de gagner du terrain dans les marchés de la sous-région notamment en Afrique de l’ouest. Selon un rapport de l’</w:t>
      </w:r>
      <w:hyperlink r:id="rId22">
        <w:r>
          <w:rPr>
            <w:rStyle w:val="Hyperlink"/>
          </w:rPr>
          <w:t xml:space="preserve">Atlas Mag</w:t>
        </w:r>
      </w:hyperlink>
      <w:r>
        <w:rPr>
          <w:rStyle w:val="FootnoteReference"/>
        </w:rPr>
        <w:footnoteReference w:id="23"/>
      </w:r>
      <w:r>
        <w:t xml:space="preserve">, le Maroc est classé</w:t>
      </w:r>
      <w:r>
        <w:t xml:space="preserve"> </w:t>
      </w:r>
      <w:r>
        <w:rPr>
          <w:bCs/>
          <w:b/>
        </w:rPr>
        <w:t xml:space="preserve">2ème</w:t>
      </w:r>
      <w:r>
        <w:t xml:space="preserve"> </w:t>
      </w:r>
      <w:r>
        <w:t xml:space="preserve">en arfique et</w:t>
      </w:r>
      <w:r>
        <w:t xml:space="preserve"> </w:t>
      </w:r>
      <w:r>
        <w:rPr>
          <w:bCs/>
          <w:b/>
        </w:rPr>
        <w:t xml:space="preserve">49ème</w:t>
      </w:r>
      <w:r>
        <w:t xml:space="preserve"> </w:t>
      </w:r>
      <w:r>
        <w:t xml:space="preserve">modial avec un</w:t>
      </w:r>
      <w:r>
        <w:t xml:space="preserve"> </w:t>
      </w:r>
      <w:r>
        <w:rPr>
          <w:bCs/>
          <w:b/>
        </w:rPr>
        <w:t xml:space="preserve">chiffre d’affaire de 5 343 millions USD</w:t>
      </w:r>
      <w:r>
        <w:t xml:space="preserve"> </w:t>
      </w:r>
      <w:r>
        <w:t xml:space="preserve">en 2021.</w:t>
      </w:r>
    </w:p>
    <w:bookmarkStart w:id="24" w:name="tbl-classement"/>
    <w:p>
      <w:pPr>
        <w:pStyle w:val="TableCaption"/>
      </w:pPr>
      <w:r>
        <w:t xml:space="preserve">Table 1: Marché africain de l’assurance en 2021</w:t>
      </w:r>
    </w:p>
    <w:tbl>
      <w:tblPr>
        <w:tblStyle w:val="Table"/>
        <w:tblW w:type="auto" w:w="0"/>
        <w:tblLook w:firstRow="1" w:lastRow="0" w:firstColumn="0" w:lastColumn="0" w:noHBand="0" w:noVBand="0" w:val="0020"/>
        <w:tblCaption w:val="Table 1: Marché africain de l’assurance en 2021"/>
      </w:tblPr>
      <w:tblGrid>
        <w:gridCol w:w="1131"/>
        <w:gridCol w:w="1131"/>
        <w:gridCol w:w="1131"/>
        <w:gridCol w:w="1131"/>
        <w:gridCol w:w="1131"/>
        <w:gridCol w:w="1131"/>
        <w:gridCol w:w="1131"/>
      </w:tblGrid>
      <w:tr>
        <w:trPr>
          <w:tblHeader w:val="true"/>
        </w:trPr>
        <w:tc>
          <w:tcPr/>
          <w:p>
            <w:pPr>
              <w:pStyle w:val="Compact"/>
              <w:jc w:val="left"/>
            </w:pPr>
            <w:r>
              <w:t xml:space="preserve">Rang</w:t>
            </w:r>
          </w:p>
        </w:tc>
        <w:tc>
          <w:tcPr/>
          <w:p>
            <w:pPr>
              <w:pStyle w:val="Compact"/>
              <w:jc w:val="left"/>
            </w:pPr>
            <w:r>
              <w:t xml:space="preserve">Rang</w:t>
            </w:r>
          </w:p>
        </w:tc>
        <w:tc>
          <w:tcPr/>
          <w:p>
            <w:pPr>
              <w:pStyle w:val="Compact"/>
              <w:jc w:val="left"/>
            </w:pPr>
            <w:r>
              <w:t xml:space="preserve">Pays</w:t>
            </w:r>
          </w:p>
        </w:tc>
        <w:tc>
          <w:tcPr/>
          <w:p>
            <w:pPr>
              <w:pStyle w:val="Compact"/>
              <w:jc w:val="left"/>
            </w:pPr>
            <w:r>
              <w:t xml:space="preserve">Chiffre d'affaires</w:t>
            </w:r>
          </w:p>
        </w:tc>
        <w:tc>
          <w:tcPr/>
          <w:p>
            <w:pPr>
              <w:pStyle w:val="Compact"/>
              <w:jc w:val="left"/>
            </w:pPr>
            <w:r>
              <w:t xml:space="preserve">Chiffre d'affaires</w:t>
            </w:r>
          </w:p>
        </w:tc>
        <w:tc>
          <w:tcPr/>
          <w:p>
            <w:pPr>
              <w:pStyle w:val="Compact"/>
              <w:jc w:val="left"/>
            </w:pPr>
            <w:r>
              <w:t xml:space="preserve">Evolution 2020-2021</w:t>
            </w:r>
          </w:p>
        </w:tc>
        <w:tc>
          <w:tcPr/>
          <w:p>
            <w:pPr>
              <w:pStyle w:val="Compact"/>
              <w:jc w:val="left"/>
            </w:pPr>
            <w:r>
              <w:t xml:space="preserve">Parts 2021</w:t>
            </w:r>
          </w:p>
        </w:tc>
      </w:tr>
      <w:tr>
        <w:tc>
          <w:tcPr/>
          <w:p>
            <w:pPr>
              <w:pStyle w:val="Compact"/>
              <w:jc w:val="left"/>
            </w:pPr>
            <w:r>
              <w:t xml:space="preserve">Régional</w:t>
            </w:r>
          </w:p>
        </w:tc>
        <w:tc>
          <w:tcPr/>
          <w:p>
            <w:pPr>
              <w:pStyle w:val="Compact"/>
              <w:jc w:val="left"/>
            </w:pPr>
            <w:r>
              <w:t xml:space="preserve">Mondial</w:t>
            </w:r>
          </w:p>
        </w:tc>
        <w:tc>
          <w:tcPr/>
          <w:p>
            <w:pPr>
              <w:pStyle w:val="Compact"/>
              <w:jc w:val="left"/>
            </w:pPr>
            <w:r>
              <w:t xml:space="preserve">Pays</w:t>
            </w:r>
          </w:p>
        </w:tc>
        <w:tc>
          <w:tcPr/>
          <w:p>
            <w:pPr>
              <w:pStyle w:val="Compact"/>
              <w:jc w:val="left"/>
            </w:pPr>
            <w:r>
              <w:t xml:space="preserve">2021</w:t>
            </w:r>
          </w:p>
        </w:tc>
        <w:tc>
          <w:tcPr/>
          <w:p>
            <w:pPr>
              <w:pStyle w:val="Compact"/>
              <w:jc w:val="left"/>
            </w:pPr>
            <w:r>
              <w:t xml:space="preserve">2020</w:t>
            </w:r>
          </w:p>
        </w:tc>
        <w:tc>
          <w:tcPr/>
          <w:p>
            <w:pPr>
              <w:pStyle w:val="Compact"/>
              <w:jc w:val="left"/>
            </w:pPr>
            <w:r>
              <w:t xml:space="preserve">Evolution 2020-2021</w:t>
            </w:r>
          </w:p>
        </w:tc>
        <w:tc>
          <w:tcPr/>
          <w:p>
            <w:pPr>
              <w:pStyle w:val="Compact"/>
              <w:jc w:val="left"/>
            </w:pPr>
            <w:r>
              <w:t xml:space="preserve">Parts 2021</w:t>
            </w:r>
          </w:p>
        </w:tc>
      </w:tr>
      <w:tr>
        <w:tc>
          <w:tcPr/>
          <w:p>
            <w:pPr>
              <w:pStyle w:val="Compact"/>
              <w:jc w:val="left"/>
            </w:pPr>
            <w:r>
              <w:t xml:space="preserve">1</w:t>
            </w:r>
          </w:p>
        </w:tc>
        <w:tc>
          <w:tcPr/>
          <w:p>
            <w:pPr>
              <w:pStyle w:val="Compact"/>
              <w:jc w:val="left"/>
            </w:pPr>
            <w:r>
              <w:t xml:space="preserve">19</w:t>
            </w:r>
          </w:p>
        </w:tc>
        <w:tc>
          <w:tcPr/>
          <w:p>
            <w:pPr>
              <w:pStyle w:val="Compact"/>
              <w:jc w:val="left"/>
            </w:pPr>
            <w:r>
              <w:t xml:space="preserve">Afrique du Sud</w:t>
            </w:r>
          </w:p>
        </w:tc>
        <w:tc>
          <w:tcPr/>
          <w:p>
            <w:pPr>
              <w:pStyle w:val="Compact"/>
              <w:jc w:val="left"/>
            </w:pPr>
            <w:r>
              <w:t xml:space="preserve">51 215</w:t>
            </w:r>
          </w:p>
        </w:tc>
        <w:tc>
          <w:tcPr/>
          <w:p>
            <w:pPr>
              <w:pStyle w:val="Compact"/>
              <w:jc w:val="left"/>
            </w:pPr>
            <w:r>
              <w:t xml:space="preserve">41 110</w:t>
            </w:r>
          </w:p>
        </w:tc>
        <w:tc>
          <w:tcPr/>
          <w:p>
            <w:pPr>
              <w:pStyle w:val="Compact"/>
              <w:jc w:val="left"/>
            </w:pPr>
            <w:r>
              <w:t xml:space="preserve">24,58%</w:t>
            </w:r>
          </w:p>
        </w:tc>
        <w:tc>
          <w:tcPr/>
          <w:p>
            <w:pPr>
              <w:pStyle w:val="Compact"/>
              <w:jc w:val="left"/>
            </w:pPr>
            <w:r>
              <w:t xml:space="preserve">69,03%</w:t>
            </w:r>
          </w:p>
        </w:tc>
      </w:tr>
      <w:tr>
        <w:tc>
          <w:tcPr/>
          <w:p>
            <w:pPr>
              <w:pStyle w:val="Compact"/>
              <w:jc w:val="left"/>
            </w:pPr>
            <w:r>
              <w:t xml:space="preserve">2</w:t>
            </w:r>
          </w:p>
        </w:tc>
        <w:tc>
          <w:tcPr/>
          <w:p>
            <w:pPr>
              <w:pStyle w:val="Compact"/>
              <w:jc w:val="left"/>
            </w:pPr>
            <w:r>
              <w:t xml:space="preserve">49</w:t>
            </w:r>
          </w:p>
        </w:tc>
        <w:tc>
          <w:tcPr/>
          <w:p>
            <w:pPr>
              <w:pStyle w:val="Compact"/>
              <w:jc w:val="left"/>
            </w:pPr>
            <w:r>
              <w:t xml:space="preserve">Maroc</w:t>
            </w:r>
          </w:p>
        </w:tc>
        <w:tc>
          <w:tcPr/>
          <w:p>
            <w:pPr>
              <w:pStyle w:val="Compact"/>
              <w:jc w:val="left"/>
            </w:pPr>
            <w:r>
              <w:t xml:space="preserve">5 343</w:t>
            </w:r>
          </w:p>
        </w:tc>
        <w:tc>
          <w:tcPr/>
          <w:p>
            <w:pPr>
              <w:pStyle w:val="Compact"/>
              <w:jc w:val="left"/>
            </w:pPr>
            <w:r>
              <w:t xml:space="preserve">4 774</w:t>
            </w:r>
          </w:p>
        </w:tc>
        <w:tc>
          <w:tcPr/>
          <w:p>
            <w:pPr>
              <w:pStyle w:val="Compact"/>
              <w:jc w:val="left"/>
            </w:pPr>
            <w:r>
              <w:t xml:space="preserve">11,92%</w:t>
            </w:r>
          </w:p>
        </w:tc>
        <w:tc>
          <w:tcPr/>
          <w:p>
            <w:pPr>
              <w:pStyle w:val="Compact"/>
              <w:jc w:val="left"/>
            </w:pPr>
            <w:r>
              <w:t xml:space="preserve">7,20%</w:t>
            </w:r>
          </w:p>
        </w:tc>
      </w:tr>
      <w:tr>
        <w:tc>
          <w:tcPr/>
          <w:p>
            <w:pPr>
              <w:pStyle w:val="Compact"/>
              <w:jc w:val="left"/>
            </w:pPr>
            <w:r>
              <w:t xml:space="preserve">3</w:t>
            </w:r>
          </w:p>
        </w:tc>
        <w:tc>
          <w:tcPr/>
          <w:p>
            <w:pPr>
              <w:pStyle w:val="Compact"/>
              <w:jc w:val="left"/>
            </w:pPr>
            <w:r>
              <w:t xml:space="preserve">55</w:t>
            </w:r>
          </w:p>
        </w:tc>
        <w:tc>
          <w:tcPr/>
          <w:p>
            <w:pPr>
              <w:pStyle w:val="Compact"/>
              <w:jc w:val="left"/>
            </w:pPr>
            <w:r>
              <w:t xml:space="preserve">Egypte</w:t>
            </w:r>
          </w:p>
        </w:tc>
        <w:tc>
          <w:tcPr/>
          <w:p>
            <w:pPr>
              <w:pStyle w:val="Compact"/>
              <w:jc w:val="left"/>
            </w:pPr>
            <w:r>
              <w:t xml:space="preserve">2 808</w:t>
            </w:r>
          </w:p>
        </w:tc>
        <w:tc>
          <w:tcPr/>
          <w:p>
            <w:pPr>
              <w:pStyle w:val="Compact"/>
              <w:jc w:val="left"/>
            </w:pPr>
            <w:r>
              <w:t xml:space="preserve">2 390</w:t>
            </w:r>
          </w:p>
        </w:tc>
        <w:tc>
          <w:tcPr/>
          <w:p>
            <w:pPr>
              <w:pStyle w:val="Compact"/>
              <w:jc w:val="left"/>
            </w:pPr>
            <w:r>
              <w:t xml:space="preserve">17,49%</w:t>
            </w:r>
          </w:p>
        </w:tc>
        <w:tc>
          <w:tcPr/>
          <w:p>
            <w:pPr>
              <w:pStyle w:val="Compact"/>
              <w:jc w:val="left"/>
            </w:pPr>
            <w:r>
              <w:t xml:space="preserve">3,78%</w:t>
            </w:r>
          </w:p>
        </w:tc>
      </w:tr>
      <w:tr>
        <w:tc>
          <w:tcPr/>
          <w:p>
            <w:pPr>
              <w:pStyle w:val="Compact"/>
              <w:jc w:val="left"/>
            </w:pPr>
            <w:r>
              <w:t xml:space="preserve">4</w:t>
            </w:r>
          </w:p>
        </w:tc>
        <w:tc>
          <w:tcPr/>
          <w:p>
            <w:pPr>
              <w:pStyle w:val="Compact"/>
              <w:jc w:val="left"/>
            </w:pPr>
            <w:r>
              <w:t xml:space="preserve">56</w:t>
            </w:r>
          </w:p>
        </w:tc>
        <w:tc>
          <w:tcPr/>
          <w:p>
            <w:pPr>
              <w:pStyle w:val="Compact"/>
              <w:jc w:val="left"/>
            </w:pPr>
            <w:r>
              <w:t xml:space="preserve">Kenya</w:t>
            </w:r>
          </w:p>
        </w:tc>
        <w:tc>
          <w:tcPr/>
          <w:p>
            <w:pPr>
              <w:pStyle w:val="Compact"/>
              <w:jc w:val="left"/>
            </w:pPr>
            <w:r>
              <w:t xml:space="preserve">2 422</w:t>
            </w:r>
          </w:p>
        </w:tc>
        <w:tc>
          <w:tcPr/>
          <w:p>
            <w:pPr>
              <w:pStyle w:val="Compact"/>
              <w:jc w:val="left"/>
            </w:pPr>
            <w:r>
              <w:t xml:space="preserve">2 190</w:t>
            </w:r>
          </w:p>
        </w:tc>
        <w:tc>
          <w:tcPr/>
          <w:p>
            <w:pPr>
              <w:pStyle w:val="Compact"/>
              <w:jc w:val="left"/>
            </w:pPr>
            <w:r>
              <w:t xml:space="preserve">10,59%</w:t>
            </w:r>
          </w:p>
        </w:tc>
        <w:tc>
          <w:tcPr/>
          <w:p>
            <w:pPr>
              <w:pStyle w:val="Compact"/>
              <w:jc w:val="left"/>
            </w:pPr>
            <w:r>
              <w:t xml:space="preserve">3,26%</w:t>
            </w:r>
          </w:p>
        </w:tc>
      </w:tr>
      <w:tr>
        <w:tc>
          <w:tcPr/>
          <w:p>
            <w:pPr>
              <w:pStyle w:val="Compact"/>
              <w:jc w:val="left"/>
            </w:pPr>
            <w:r>
              <w:t xml:space="preserve">5</w:t>
            </w:r>
          </w:p>
        </w:tc>
        <w:tc>
          <w:tcPr/>
          <w:p>
            <w:pPr>
              <w:pStyle w:val="Compact"/>
              <w:jc w:val="left"/>
            </w:pPr>
            <w:r>
              <w:t xml:space="preserve">70</w:t>
            </w:r>
          </w:p>
        </w:tc>
        <w:tc>
          <w:tcPr/>
          <w:p>
            <w:pPr>
              <w:pStyle w:val="Compact"/>
              <w:jc w:val="left"/>
            </w:pPr>
            <w:r>
              <w:t xml:space="preserve">Nigéria</w:t>
            </w:r>
          </w:p>
        </w:tc>
        <w:tc>
          <w:tcPr/>
          <w:p>
            <w:pPr>
              <w:pStyle w:val="Compact"/>
              <w:jc w:val="left"/>
            </w:pPr>
            <w:r>
              <w:t xml:space="preserve">1 582</w:t>
            </w:r>
          </w:p>
        </w:tc>
        <w:tc>
          <w:tcPr/>
          <w:p>
            <w:pPr>
              <w:pStyle w:val="Compact"/>
              <w:jc w:val="left"/>
            </w:pPr>
            <w:r>
              <w:t xml:space="preserve">1 433</w:t>
            </w:r>
          </w:p>
        </w:tc>
        <w:tc>
          <w:tcPr/>
          <w:p>
            <w:pPr>
              <w:pStyle w:val="Compact"/>
              <w:jc w:val="left"/>
            </w:pPr>
            <w:r>
              <w:t xml:space="preserve">10,40%</w:t>
            </w:r>
          </w:p>
        </w:tc>
        <w:tc>
          <w:tcPr/>
          <w:p>
            <w:pPr>
              <w:pStyle w:val="Compact"/>
              <w:jc w:val="left"/>
            </w:pPr>
            <w:r>
              <w:t xml:space="preserve">2,13%</w:t>
            </w:r>
          </w:p>
        </w:tc>
      </w:tr>
      <w:tr>
        <w:tc>
          <w:tcPr/>
          <w:p>
            <w:pPr>
              <w:pStyle w:val="Compact"/>
              <w:jc w:val="left"/>
            </w:pPr>
            <w:r>
              <w:t xml:space="preserve">6</w:t>
            </w:r>
          </w:p>
        </w:tc>
        <w:tc>
          <w:tcPr/>
          <w:p>
            <w:pPr>
              <w:pStyle w:val="Compact"/>
              <w:jc w:val="left"/>
            </w:pPr>
            <w:r>
              <w:t xml:space="preserve">79</w:t>
            </w:r>
          </w:p>
        </w:tc>
        <w:tc>
          <w:tcPr/>
          <w:p>
            <w:pPr>
              <w:pStyle w:val="Compact"/>
              <w:jc w:val="left"/>
            </w:pPr>
            <w:r>
              <w:t xml:space="preserve">Algérie</w:t>
            </w:r>
          </w:p>
        </w:tc>
        <w:tc>
          <w:tcPr/>
          <w:p>
            <w:pPr>
              <w:pStyle w:val="Compact"/>
              <w:jc w:val="left"/>
            </w:pPr>
            <w:r>
              <w:t xml:space="preserve">1 075</w:t>
            </w:r>
          </w:p>
        </w:tc>
        <w:tc>
          <w:tcPr/>
          <w:p>
            <w:pPr>
              <w:pStyle w:val="Compact"/>
              <w:jc w:val="left"/>
            </w:pPr>
            <w:r>
              <w:t xml:space="preserve">1 095</w:t>
            </w:r>
          </w:p>
        </w:tc>
        <w:tc>
          <w:tcPr/>
          <w:p>
            <w:pPr>
              <w:pStyle w:val="Compact"/>
              <w:jc w:val="left"/>
            </w:pPr>
            <w:r>
              <w:t xml:space="preserve">-1,83%</w:t>
            </w:r>
          </w:p>
        </w:tc>
        <w:tc>
          <w:tcPr/>
          <w:p>
            <w:pPr>
              <w:pStyle w:val="Compact"/>
              <w:jc w:val="left"/>
            </w:pPr>
            <w:r>
              <w:t xml:space="preserve">1,45%</w:t>
            </w:r>
          </w:p>
        </w:tc>
      </w:tr>
      <w:tr>
        <w:tc>
          <w:tcPr/>
          <w:p>
            <w:pPr>
              <w:pStyle w:val="Compact"/>
              <w:jc w:val="left"/>
            </w:pPr>
            <w:r>
              <w:t xml:space="preserve">7</w:t>
            </w:r>
          </w:p>
        </w:tc>
        <w:tc>
          <w:tcPr/>
          <w:p>
            <w:pPr>
              <w:pStyle w:val="Compact"/>
              <w:jc w:val="left"/>
            </w:pPr>
            <w:r>
              <w:t xml:space="preserve">81</w:t>
            </w:r>
          </w:p>
        </w:tc>
        <w:tc>
          <w:tcPr/>
          <w:p>
            <w:pPr>
              <w:pStyle w:val="Compact"/>
              <w:jc w:val="left"/>
            </w:pPr>
            <w:r>
              <w:t xml:space="preserve">Tunisie</w:t>
            </w:r>
          </w:p>
        </w:tc>
        <w:tc>
          <w:tcPr/>
          <w:p>
            <w:pPr>
              <w:pStyle w:val="Compact"/>
              <w:jc w:val="left"/>
            </w:pPr>
            <w:r>
              <w:t xml:space="preserve">985</w:t>
            </w:r>
          </w:p>
        </w:tc>
        <w:tc>
          <w:tcPr/>
          <w:p>
            <w:pPr>
              <w:pStyle w:val="Compact"/>
              <w:jc w:val="left"/>
            </w:pPr>
            <w:r>
              <w:t xml:space="preserve">900</w:t>
            </w:r>
          </w:p>
        </w:tc>
        <w:tc>
          <w:tcPr/>
          <w:p>
            <w:pPr>
              <w:pStyle w:val="Compact"/>
              <w:jc w:val="left"/>
            </w:pPr>
            <w:r>
              <w:t xml:space="preserve">9,44%</w:t>
            </w:r>
          </w:p>
        </w:tc>
        <w:tc>
          <w:tcPr/>
          <w:p>
            <w:pPr>
              <w:pStyle w:val="Compact"/>
              <w:jc w:val="left"/>
            </w:pPr>
            <w:r>
              <w:t xml:space="preserve">1,33%</w:t>
            </w:r>
          </w:p>
        </w:tc>
      </w:tr>
      <w:tr>
        <w:tc>
          <w:tcPr/>
          <w:p>
            <w:pPr>
              <w:pStyle w:val="Compact"/>
              <w:jc w:val="left"/>
            </w:pPr>
            <w:r>
              <w:t xml:space="preserve">8</w:t>
            </w:r>
          </w:p>
        </w:tc>
        <w:tc>
          <w:tcPr/>
          <w:p>
            <w:pPr>
              <w:pStyle w:val="Compact"/>
              <w:jc w:val="left"/>
            </w:pPr>
            <w:r>
              <w:t xml:space="preserve">83</w:t>
            </w:r>
          </w:p>
        </w:tc>
        <w:tc>
          <w:tcPr/>
          <w:p>
            <w:pPr>
              <w:pStyle w:val="Compact"/>
              <w:jc w:val="left"/>
            </w:pPr>
            <w:r>
              <w:t xml:space="preserve">Namibie</w:t>
            </w:r>
          </w:p>
        </w:tc>
        <w:tc>
          <w:tcPr/>
          <w:p>
            <w:pPr>
              <w:pStyle w:val="Compact"/>
              <w:jc w:val="left"/>
            </w:pPr>
            <w:r>
              <w:t xml:space="preserve">867</w:t>
            </w:r>
          </w:p>
        </w:tc>
        <w:tc>
          <w:tcPr/>
          <w:p>
            <w:pPr>
              <w:pStyle w:val="Compact"/>
              <w:jc w:val="left"/>
            </w:pPr>
            <w:r>
              <w:t xml:space="preserve">788</w:t>
            </w:r>
          </w:p>
        </w:tc>
        <w:tc>
          <w:tcPr/>
          <w:p>
            <w:pPr>
              <w:pStyle w:val="Compact"/>
              <w:jc w:val="left"/>
            </w:pPr>
            <w:r>
              <w:t xml:space="preserve">10,03%</w:t>
            </w:r>
          </w:p>
        </w:tc>
        <w:tc>
          <w:tcPr/>
          <w:p>
            <w:pPr>
              <w:pStyle w:val="Compact"/>
              <w:jc w:val="left"/>
            </w:pPr>
            <w:r>
              <w:t xml:space="preserve">1,17%</w:t>
            </w:r>
          </w:p>
        </w:tc>
      </w:tr>
      <w:tr>
        <w:tc>
          <w:tcPr/>
          <w:p>
            <w:pPr>
              <w:pStyle w:val="Compact"/>
              <w:jc w:val="left"/>
            </w:pPr>
            <w:r>
              <w:t xml:space="preserve">9</w:t>
            </w:r>
          </w:p>
        </w:tc>
        <w:tc>
          <w:tcPr/>
          <w:p>
            <w:pPr>
              <w:pStyle w:val="Compact"/>
              <w:jc w:val="left"/>
            </w:pPr>
            <w:r>
              <w:t xml:space="preserve">86</w:t>
            </w:r>
          </w:p>
        </w:tc>
        <w:tc>
          <w:tcPr/>
          <w:p>
            <w:pPr>
              <w:pStyle w:val="Compact"/>
              <w:jc w:val="left"/>
            </w:pPr>
            <w:r>
              <w:t xml:space="preserve">Côte d'Ivoire</w:t>
            </w:r>
          </w:p>
        </w:tc>
        <w:tc>
          <w:tcPr/>
          <w:p>
            <w:pPr>
              <w:pStyle w:val="Compact"/>
              <w:jc w:val="left"/>
            </w:pPr>
            <w:r>
              <w:t xml:space="preserve">844</w:t>
            </w:r>
          </w:p>
        </w:tc>
        <w:tc>
          <w:tcPr/>
          <w:p>
            <w:pPr>
              <w:pStyle w:val="Compact"/>
              <w:jc w:val="left"/>
            </w:pPr>
            <w:r>
              <w:t xml:space="preserve">694</w:t>
            </w:r>
          </w:p>
        </w:tc>
        <w:tc>
          <w:tcPr/>
          <w:p>
            <w:pPr>
              <w:pStyle w:val="Compact"/>
              <w:jc w:val="left"/>
            </w:pPr>
            <w:r>
              <w:t xml:space="preserve">21,61%</w:t>
            </w:r>
          </w:p>
        </w:tc>
        <w:tc>
          <w:tcPr/>
          <w:p>
            <w:pPr>
              <w:pStyle w:val="Compact"/>
              <w:jc w:val="left"/>
            </w:pPr>
            <w:r>
              <w:t xml:space="preserve">1,14%</w:t>
            </w:r>
          </w:p>
        </w:tc>
      </w:tr>
      <w:tr>
        <w:tc>
          <w:tcPr/>
          <w:p>
            <w:pPr>
              <w:pStyle w:val="Compact"/>
              <w:jc w:val="left"/>
            </w:pPr>
            <w:r>
              <w:t xml:space="preserve">10</w:t>
            </w:r>
          </w:p>
        </w:tc>
        <w:tc>
          <w:tcPr/>
          <w:p>
            <w:pPr>
              <w:pStyle w:val="Compact"/>
              <w:jc w:val="left"/>
            </w:pPr>
            <w:r>
              <w:t xml:space="preserve">88</w:t>
            </w:r>
          </w:p>
        </w:tc>
        <w:tc>
          <w:tcPr/>
          <w:p>
            <w:pPr>
              <w:pStyle w:val="Compact"/>
              <w:jc w:val="left"/>
            </w:pPr>
            <w:r>
              <w:t xml:space="preserve">Ghana</w:t>
            </w:r>
          </w:p>
        </w:tc>
        <w:tc>
          <w:tcPr/>
          <w:p>
            <w:pPr>
              <w:pStyle w:val="Compact"/>
              <w:jc w:val="left"/>
            </w:pPr>
            <w:r>
              <w:t xml:space="preserve">814</w:t>
            </w:r>
          </w:p>
        </w:tc>
        <w:tc>
          <w:tcPr/>
          <w:p>
            <w:pPr>
              <w:pStyle w:val="Compact"/>
              <w:jc w:val="left"/>
            </w:pPr>
            <w:r>
              <w:t xml:space="preserve">686</w:t>
            </w:r>
          </w:p>
        </w:tc>
        <w:tc>
          <w:tcPr/>
          <w:p>
            <w:pPr>
              <w:pStyle w:val="Compact"/>
              <w:jc w:val="left"/>
            </w:pPr>
            <w:r>
              <w:t xml:space="preserve">18,66%</w:t>
            </w:r>
          </w:p>
        </w:tc>
        <w:tc>
          <w:tcPr/>
          <w:p>
            <w:pPr>
              <w:pStyle w:val="Compact"/>
              <w:jc w:val="left"/>
            </w:pPr>
            <w:r>
              <w:t xml:space="preserve">1,10%</w:t>
            </w:r>
          </w:p>
        </w:tc>
      </w:tr>
      <w:tr>
        <w:tc>
          <w:tcPr/>
          <w:p>
            <w:pPr>
              <w:pStyle w:val="Compact"/>
              <w:jc w:val="left"/>
            </w:pPr>
            <w:r>
              <w:t xml:space="preserve">Total des 10 premiers marchés</w:t>
            </w:r>
          </w:p>
        </w:tc>
        <w:tc>
          <w:tcPr/>
          <w:p>
            <w:pPr>
              <w:pStyle w:val="Compact"/>
              <w:jc w:val="left"/>
            </w:pPr>
            <w:r>
              <w:t xml:space="preserve">Total des 10 premiers marchés</w:t>
            </w:r>
          </w:p>
        </w:tc>
        <w:tc>
          <w:tcPr/>
          <w:p>
            <w:pPr>
              <w:pStyle w:val="Compact"/>
              <w:jc w:val="left"/>
            </w:pPr>
            <w:r>
              <w:t xml:space="preserve">Total des 10 premiers marchés</w:t>
            </w:r>
          </w:p>
        </w:tc>
        <w:tc>
          <w:tcPr/>
          <w:p>
            <w:pPr>
              <w:pStyle w:val="Compact"/>
              <w:jc w:val="left"/>
            </w:pPr>
            <w:r>
              <w:t xml:space="preserve">67 955</w:t>
            </w:r>
          </w:p>
        </w:tc>
        <w:tc>
          <w:tcPr/>
          <w:p>
            <w:pPr>
              <w:pStyle w:val="Compact"/>
              <w:jc w:val="left"/>
            </w:pPr>
            <w:r>
              <w:t xml:space="preserve">56 060</w:t>
            </w:r>
          </w:p>
        </w:tc>
        <w:tc>
          <w:tcPr/>
          <w:p>
            <w:pPr>
              <w:pStyle w:val="Compact"/>
              <w:jc w:val="left"/>
            </w:pPr>
            <w:r>
              <w:t xml:space="preserve">21,22%</w:t>
            </w:r>
          </w:p>
        </w:tc>
        <w:tc>
          <w:tcPr/>
          <w:p>
            <w:pPr>
              <w:pStyle w:val="Compact"/>
              <w:jc w:val="left"/>
            </w:pPr>
            <w:r>
              <w:t xml:space="preserve">91,60%</w:t>
            </w:r>
          </w:p>
        </w:tc>
      </w:tr>
      <w:tr>
        <w:tc>
          <w:tcPr/>
          <w:p>
            <w:pPr>
              <w:pStyle w:val="Compact"/>
              <w:jc w:val="left"/>
            </w:pPr>
            <w:r>
              <w:t xml:space="preserve">Reste du marché</w:t>
            </w:r>
          </w:p>
        </w:tc>
        <w:tc>
          <w:tcPr/>
          <w:p>
            <w:pPr>
              <w:pStyle w:val="Compact"/>
              <w:jc w:val="left"/>
            </w:pPr>
            <w:r>
              <w:t xml:space="preserve">Reste du marché</w:t>
            </w:r>
          </w:p>
        </w:tc>
        <w:tc>
          <w:tcPr/>
          <w:p>
            <w:pPr>
              <w:pStyle w:val="Compact"/>
              <w:jc w:val="left"/>
            </w:pPr>
            <w:r>
              <w:t xml:space="preserve">Reste du marché</w:t>
            </w:r>
          </w:p>
        </w:tc>
        <w:tc>
          <w:tcPr/>
          <w:p>
            <w:pPr>
              <w:pStyle w:val="Compact"/>
              <w:jc w:val="left"/>
            </w:pPr>
            <w:r>
              <w:t xml:space="preserve">6 235</w:t>
            </w:r>
          </w:p>
        </w:tc>
        <w:tc>
          <w:tcPr/>
          <w:p>
            <w:pPr>
              <w:pStyle w:val="Compact"/>
              <w:jc w:val="left"/>
            </w:pPr>
            <w:r>
              <w:t xml:space="preserve">5 821</w:t>
            </w:r>
          </w:p>
        </w:tc>
        <w:tc>
          <w:tcPr/>
          <w:p>
            <w:pPr>
              <w:pStyle w:val="Compact"/>
              <w:jc w:val="left"/>
            </w:pPr>
            <w:r>
              <w:t xml:space="preserve">7,11%</w:t>
            </w:r>
          </w:p>
        </w:tc>
        <w:tc>
          <w:tcPr/>
          <w:p>
            <w:pPr>
              <w:pStyle w:val="Compact"/>
              <w:jc w:val="left"/>
            </w:pPr>
            <w:r>
              <w:t xml:space="preserve">8,40%</w:t>
            </w:r>
          </w:p>
        </w:tc>
      </w:tr>
      <w:tr>
        <w:tc>
          <w:tcPr/>
          <w:p>
            <w:pPr>
              <w:pStyle w:val="Compact"/>
              <w:jc w:val="left"/>
            </w:pPr>
            <w:r>
              <w:t xml:space="preserve">Total</w:t>
            </w:r>
          </w:p>
        </w:tc>
        <w:tc>
          <w:tcPr/>
          <w:p>
            <w:pPr>
              <w:pStyle w:val="Compact"/>
              <w:jc w:val="left"/>
            </w:pPr>
            <w:r>
              <w:t xml:space="preserve">Total</w:t>
            </w:r>
          </w:p>
        </w:tc>
        <w:tc>
          <w:tcPr/>
          <w:p>
            <w:pPr>
              <w:pStyle w:val="Compact"/>
              <w:jc w:val="left"/>
            </w:pPr>
            <w:r>
              <w:t xml:space="preserve">Total</w:t>
            </w:r>
          </w:p>
        </w:tc>
        <w:tc>
          <w:tcPr/>
          <w:p>
            <w:pPr>
              <w:pStyle w:val="Compact"/>
              <w:jc w:val="left"/>
            </w:pPr>
            <w:r>
              <w:t xml:space="preserve">74 190</w:t>
            </w:r>
          </w:p>
        </w:tc>
        <w:tc>
          <w:tcPr/>
          <w:p>
            <w:pPr>
              <w:pStyle w:val="Compact"/>
              <w:jc w:val="left"/>
            </w:pPr>
            <w:r>
              <w:t xml:space="preserve">61 881</w:t>
            </w:r>
          </w:p>
        </w:tc>
        <w:tc>
          <w:tcPr/>
          <w:p>
            <w:pPr>
              <w:pStyle w:val="Compact"/>
              <w:jc w:val="left"/>
            </w:pPr>
            <w:r>
              <w:t xml:space="preserve">19,89%</w:t>
            </w:r>
          </w:p>
        </w:tc>
        <w:tc>
          <w:tcPr/>
          <w:p>
            <w:pPr>
              <w:pStyle w:val="Compact"/>
              <w:jc w:val="left"/>
            </w:pPr>
            <w:r>
              <w:t xml:space="preserve">100,00%</w:t>
            </w:r>
          </w:p>
        </w:tc>
      </w:tr>
    </w:tbl>
    <w:bookmarkEnd w:id="24"/>
    <w:p>
      <w:pPr>
        <w:pStyle w:val="BodyText"/>
      </w:pPr>
      <w:r>
        <w:t xml:space="preserve">Le royaume doit ce succès à la rigueur de sont dispositif prudentiel qui se consolide de plus en plus. La SBR vient en ce sens renforcer cette dynamique. Elle s’établi sur trois piliers :</w:t>
      </w:r>
    </w:p>
    <w:tbl>
      <w:tblPr>
        <w:tblStyle w:val="Table"/>
        <w:tblW w:type="pct" w:w="5000"/>
        <w:tblLook w:firstRow="0" w:lastRow="0" w:firstColumn="0" w:lastColumn="0" w:noHBand="0" w:noVBand="0" w:val="0000"/>
      </w:tblPr>
      <w:tblGrid>
        <w:gridCol w:w="7920"/>
      </w:tblGrid>
      <w:tr>
        <w:tc>
          <w:tcPr/>
          <w:bookmarkStart w:id="28" w:name="fig-piliers"/>
          <w:p>
            <w:pPr>
              <w:pStyle w:val="Figure"/>
              <w:jc w:val="center"/>
            </w:pPr>
            <w:r>
              <w:drawing>
                <wp:inline>
                  <wp:extent cx="5334000" cy="2998910"/>
                  <wp:effectExtent b="0" l="0" r="0" t="0"/>
                  <wp:docPr descr="" title="" id="26" name="Picture"/>
                  <a:graphic>
                    <a:graphicData uri="http://schemas.openxmlformats.org/drawingml/2006/picture">
                      <pic:pic>
                        <pic:nvPicPr>
                          <pic:cNvPr descr="Rapport%20PFE_files/piliers.png" id="27" name="Picture"/>
                          <pic:cNvPicPr>
                            <a:picLocks noChangeArrowheads="1" noChangeAspect="1"/>
                          </pic:cNvPicPr>
                        </pic:nvPicPr>
                        <pic:blipFill>
                          <a:blip r:embed="rId25"/>
                          <a:stretch>
                            <a:fillRect/>
                          </a:stretch>
                        </pic:blipFill>
                        <pic:spPr bwMode="auto">
                          <a:xfrm>
                            <a:off x="0" y="0"/>
                            <a:ext cx="5334000" cy="29989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Les 3 piliers de la SBR</w:t>
            </w:r>
          </w:p>
          <w:bookmarkEnd w:id="28"/>
        </w:tc>
      </w:tr>
    </w:tbl>
    <w:bookmarkEnd w:id="29"/>
    <w:bookmarkStart w:id="41" w:name="valorisation-de-lactif"/>
    <w:p>
      <w:pPr>
        <w:pStyle w:val="Heading2"/>
      </w:pPr>
      <w:r>
        <w:t xml:space="preserve">3 Valorisation de l’actif</w:t>
      </w:r>
    </w:p>
    <w:bookmarkStart w:id="40" w:name="actions-cotées-à-la-bourse"/>
    <w:p>
      <w:pPr>
        <w:pStyle w:val="Heading3"/>
      </w:pPr>
      <w:r>
        <w:t xml:space="preserve">3.1 Actions cotées à la bourse</w:t>
      </w:r>
    </w:p>
    <w:p>
      <w:pPr>
        <w:pStyle w:val="FirstParagraph"/>
      </w:pPr>
      <w:r>
        <w:t xml:space="preserve">Les actions cotées à la bourse de Casablanca sont valorisées conformément à la</w:t>
      </w:r>
      <w:r>
        <w:t xml:space="preserve"> </w:t>
      </w:r>
      <w:r>
        <w:rPr>
          <w:iCs/>
          <w:i/>
        </w:rPr>
        <w:t xml:space="preserve">Spécification technique 7</w:t>
      </w:r>
      <w:r>
        <w:t xml:space="preserve"> </w:t>
      </w:r>
      <w:r>
        <w:t xml:space="preserve">de la</w:t>
      </w:r>
      <w:r>
        <w:t xml:space="preserve"> </w:t>
      </w:r>
      <w:r>
        <w:rPr>
          <w:iCs/>
          <w:i/>
        </w:rPr>
        <w:t xml:space="preserve">Section 2</w:t>
      </w:r>
      <w:r>
        <w:t xml:space="preserve"> </w:t>
      </w:r>
      <w:r>
        <w:t xml:space="preserve">de la circulaire de l’ACAPS comme suit :</w:t>
      </w:r>
    </w:p>
    <w:p>
      <w:pPr>
        <w:numPr>
          <w:ilvl w:val="0"/>
          <w:numId w:val="1002"/>
        </w:numPr>
        <w:pStyle w:val="Compact"/>
      </w:pPr>
      <w:r>
        <w:t xml:space="preserve">Dernier coté avant la date d’inventaire</w:t>
      </w:r>
    </w:p>
    <w:p>
      <w:pPr>
        <w:numPr>
          <w:ilvl w:val="0"/>
          <w:numId w:val="1002"/>
        </w:numPr>
        <w:pStyle w:val="Compact"/>
      </w:pPr>
      <w:r>
        <w:t xml:space="preserve">Moyenne des cours côtés des trois derniers mois précédant la date d’inventaire si le volume ou la quantité journaliers moyens des transactions sur les 3 derniers mois précédant la date d’inventaire sont inférieurs aux seuils fixés par autorité</w:t>
      </w:r>
    </w:p>
    <w:bookmarkStart w:id="39" w:name="modélisation-du-prix-des-actions"/>
    <w:p>
      <w:pPr>
        <w:pStyle w:val="Heading4"/>
      </w:pPr>
      <w:r>
        <w:t xml:space="preserve">3.1.1 Modélisation du prix des actions</w:t>
      </w:r>
    </w:p>
    <w:p>
      <w:pPr>
        <w:pStyle w:val="FirstParagraph"/>
      </w:pPr>
      <w:r>
        <w:t xml:space="preserve">Le prix d’une action ou plus communément appelé cours d’une action représente le prix auquel elle est acheté ou vendue sur un marché boursier. Ce prix fluctue en fonction de l’offre et de la demande pour cette action, ainsi que de nombreux autres facteurs tels que les performances financières de l’entreprise, les conditions économiques générales et les évènements mondiaux. Autrement dit, le cours de l’action représente la valeur perçue de l’entreprise par les investisseurs à un moment.</w:t>
      </w:r>
    </w:p>
    <w:p>
      <w:pPr>
        <w:pStyle w:val="BodyText"/>
      </w:pPr>
      <w:r>
        <w:t xml:space="preserve">Ainsi, si la valeur présente de l’action est une donnée du marché, sa valeur future quant à elle est aléatoire d’où la nécessité de sa modélisation.</w:t>
      </w:r>
    </w:p>
    <w:bookmarkStart w:id="38" w:name="modèle-de-black-scholes"/>
    <w:p>
      <w:pPr>
        <w:pStyle w:val="Heading5"/>
      </w:pPr>
      <w:r>
        <w:t xml:space="preserve">3.1.1.1 Modèle de Black-Scholes</w:t>
      </w:r>
    </w:p>
    <w:p>
      <w:pPr>
        <w:pStyle w:val="FirstParagraph"/>
      </w:pPr>
      <w:r>
        <w:t xml:space="preserve">Le modèle de Black-Scholes modèle a été développé en 1973 par</w:t>
      </w:r>
      <w:r>
        <w:t xml:space="preserve"> </w:t>
      </w:r>
      <w:r>
        <w:rPr>
          <w:iCs/>
          <w:i/>
        </w:rPr>
        <w:t xml:space="preserve">Fischer Black</w:t>
      </w:r>
      <w:r>
        <w:t xml:space="preserve">,</w:t>
      </w:r>
      <w:r>
        <w:t xml:space="preserve"> </w:t>
      </w:r>
      <w:r>
        <w:rPr>
          <w:iCs/>
          <w:i/>
        </w:rPr>
        <w:t xml:space="preserve">Robert Merton</w:t>
      </w:r>
      <w:r>
        <w:t xml:space="preserve"> </w:t>
      </w:r>
      <w:r>
        <w:t xml:space="preserve">et</w:t>
      </w:r>
      <w:r>
        <w:t xml:space="preserve"> </w:t>
      </w:r>
      <w:r>
        <w:rPr>
          <w:iCs/>
          <w:i/>
        </w:rPr>
        <w:t xml:space="preserve">Myron Scholes</w:t>
      </w:r>
      <w:r>
        <w:t xml:space="preserve">, qui ont reçu le prix Nobel d’économie en 1997 pour leurs travaux. Ce modèle est l’un des concepts les plus importants dans la théorie de la finance modèle. Il permet dévaluer le prix d’une option européenne en fnction de son type et du prix de l’actif sous-jacent. Le modèle repose sur plusieurs hypothèses dont l’une d’entre elle est que le cours de l’actif sous jacent suit un mouvement géométrique avec une volatilité constante.</w:t>
      </w:r>
    </w:p>
    <w:p>
      <w:pPr>
        <w:pStyle w:val="BodyText"/>
      </w:pPr>
      <w:r>
        <w:t xml:space="preserve">En termes mathématiques, le prix d’une action peut donc être représenté comme une fonction scalaire du temps actuel</w:t>
      </w:r>
      <w:r>
        <w:t xml:space="preserve"> </w:t>
      </w:r>
      <m:oMath>
        <m:r>
          <m:t>t</m:t>
        </m:r>
      </m:oMath>
      <w:r>
        <w:t xml:space="preserve">. Nous noterons cette fonction</w:t>
      </w:r>
      <w:r>
        <w:t xml:space="preserve"> </w:t>
      </w:r>
      <m:oMath>
        <m:r>
          <m:t>S</m:t>
        </m:r>
        <m:d>
          <m:dPr>
            <m:begChr m:val="("/>
            <m:endChr m:val=")"/>
            <m:sepChr m:val=""/>
            <m:grow/>
          </m:dPr>
          <m:e>
            <m:r>
              <m:t>t</m:t>
            </m:r>
          </m:e>
        </m:d>
      </m:oMath>
      <w:r>
        <w:t xml:space="preserve">. Notons qu’en termes techniques,</w:t>
      </w:r>
      <w:r>
        <w:t xml:space="preserve"> </w:t>
      </w:r>
      <m:oMath>
        <m:r>
          <m:t>S</m:t>
        </m:r>
        <m:d>
          <m:dPr>
            <m:begChr m:val="("/>
            <m:endChr m:val=")"/>
            <m:sepChr m:val=""/>
            <m:grow/>
          </m:dPr>
          <m:e>
            <m:r>
              <m:t>t</m:t>
            </m:r>
          </m:e>
        </m:d>
      </m:oMath>
      <w:r>
        <w:t xml:space="preserve"> </w:t>
      </w:r>
      <w:r>
        <w:t xml:space="preserve">est une série temporelle, qui bien qu’apparemment continue (avec continuité</w:t>
      </w:r>
      <w:r>
        <w:t xml:space="preserve"> </w:t>
      </w:r>
      <m:oMath>
        <m:r>
          <m:t>C</m:t>
        </m:r>
        <m:d>
          <m:dPr>
            <m:begChr m:val="["/>
            <m:endChr m:val="]"/>
            <m:sepChr m:val=""/>
            <m:grow/>
          </m:dPr>
          <m:e>
            <m:r>
              <m:t>0</m:t>
            </m:r>
          </m:e>
        </m:d>
      </m:oMath>
      <w:r>
        <w:t xml:space="preserve">), est en réalité discontinue (sujette de sauts). De plus, ce n’est pas une fonction dont la dérivée première n’existe pas.</w:t>
      </w:r>
    </w:p>
    <w:p>
      <w:pPr>
        <w:pStyle w:val="BodyText"/>
      </w:pPr>
      <w:r>
        <w:t xml:space="preserve">Nous allons modéliser</w:t>
      </w:r>
      <w:r>
        <w:t xml:space="preserve"> </w:t>
      </w:r>
      <m:oMath>
        <m:r>
          <m:t>S</m:t>
        </m:r>
        <m:d>
          <m:dPr>
            <m:begChr m:val="("/>
            <m:endChr m:val=")"/>
            <m:sepChr m:val=""/>
            <m:grow/>
          </m:dPr>
          <m:e>
            <m:r>
              <m:t>t</m:t>
            </m:r>
          </m:e>
        </m:d>
      </m:oMath>
      <w:r>
        <w:t xml:space="preserve"> </w:t>
      </w:r>
      <w:r>
        <w:t xml:space="preserve">comme une variable stochastique. Dans cette situation, nous sommes tenus de ne pas utiliser les outils standards de calcul (tels que les séries de Taylor, les dérivées, l’intégrale de Riemann), mais sont plutôt contraints d’utiliser les outils de calculs stochastiques (tels que le lemme d’Ito, la dérivée de Radon-Nykodym, Riemann -Stieltjes intégrale) pour faire avancer notre modélisation.</w:t>
      </w:r>
    </w:p>
    <w:p>
      <w:pPr>
        <w:pStyle w:val="BodyText"/>
      </w:pPr>
      <w:r>
        <w:t xml:space="preserve">Dans ce contexte, le comportement de la variable</w:t>
      </w:r>
      <w:r>
        <w:t xml:space="preserve"> </w:t>
      </w:r>
      <m:oMath>
        <m:r>
          <m:t>S</m:t>
        </m:r>
        <m:d>
          <m:dPr>
            <m:begChr m:val="("/>
            <m:endChr m:val=")"/>
            <m:sepChr m:val=""/>
            <m:grow/>
          </m:dPr>
          <m:e>
            <m:r>
              <m:t>t</m:t>
            </m:r>
          </m:e>
        </m:d>
      </m:oMath>
      <w:r>
        <w:t xml:space="preserve"> </w:t>
      </w:r>
      <w:r>
        <w:t xml:space="preserve">peut être décrit pour une</w:t>
      </w:r>
      <w:r>
        <w:t xml:space="preserve"> </w:t>
      </w:r>
      <w:r>
        <w:rPr>
          <w:iCs/>
          <w:i/>
        </w:rPr>
        <w:t xml:space="preserve">Equation Différentielle Stochastique</w:t>
      </w:r>
      <w:r>
        <w:t xml:space="preserve"> </w:t>
      </w:r>
      <w:r>
        <w:t xml:space="preserve">(</w:t>
      </w:r>
      <m:oMath>
        <m:r>
          <m:t>E</m:t>
        </m:r>
        <m:r>
          <m:t>D</m:t>
        </m:r>
        <m:r>
          <m:t>S</m:t>
        </m:r>
      </m:oMath>
      <w:r>
        <w:t xml:space="preserve">). Dans le cas des actions, l’</w:t>
      </w:r>
      <m:oMath>
        <m:r>
          <m:t>E</m:t>
        </m:r>
        <m:r>
          <m:t>D</m:t>
        </m:r>
        <m:r>
          <m:t>S</m:t>
        </m:r>
      </m:oMath>
      <w:r>
        <w:t xml:space="preserve"> </w:t>
      </w:r>
      <w:r>
        <w:t xml:space="preserve">standard utilisée pour modéliser la trajectoire du cours est appelé</w:t>
      </w:r>
      <w:r>
        <w:t xml:space="preserve"> </w:t>
      </w:r>
      <w:r>
        <w:rPr>
          <w:iCs/>
          <w:i/>
        </w:rPr>
        <w:t xml:space="preserve">Mouvement Brownien Géométrique</w:t>
      </w:r>
      <w:r>
        <w:t xml:space="preserve"> </w:t>
      </w:r>
      <w:r>
        <w:t xml:space="preserve">(</w:t>
      </w:r>
      <m:oMath>
        <m:r>
          <m:t>G</m:t>
        </m:r>
        <m:r>
          <m:t>B</m:t>
        </m:r>
        <m:r>
          <m:t>M</m:t>
        </m:r>
      </m:oMath>
      <w:r>
        <w:t xml:space="preserve"> </w:t>
      </w:r>
      <w:r>
        <w:t xml:space="preserve">: Geometric Brownian Motion). Sous la mesure de probabilité dite réelle</w:t>
      </w:r>
      <w:r>
        <w:t xml:space="preserve"> </w:t>
      </w:r>
      <m:oMath>
        <m:r>
          <m:t>P</m:t>
        </m:r>
      </m:oMath>
      <w:r>
        <w:t xml:space="preserve">, le mouvement brownien géométrique (</w:t>
      </w:r>
      <m:oMath>
        <m:r>
          <m:t>G</m:t>
        </m:r>
        <m:r>
          <m:t>B</m:t>
        </m:r>
        <m:r>
          <m:t>M</m:t>
        </m:r>
      </m:oMath>
      <w:r>
        <w:t xml:space="preserve">) est formellement représenté en temps continu de la manière suivante :</w:t>
      </w:r>
      <w:r>
        <w:t xml:space="preserve"> </w:t>
      </w:r>
      <w:r>
        <w:rPr>
          <w:rStyle w:val="FootnoteReference"/>
        </w:rPr>
        <w:footnoteReference w:id="30"/>
      </w:r>
    </w:p>
    <w:p>
      <w:pPr>
        <w:pStyle w:val="BodyText"/>
      </w:pPr>
      <w:bookmarkStart w:id="31" w:name="eq-gbmp"/>
      <m:oMathPara>
        <m:oMathParaPr>
          <m:jc m:val="center"/>
        </m:oMathParaPr>
        <m:oMath>
          <m:r>
            <m:t>d</m:t>
          </m:r>
          <m:sSub>
            <m:e>
              <m:r>
                <m:t>S</m:t>
              </m:r>
            </m:e>
            <m:sub>
              <m:r>
                <m:t>t</m:t>
              </m:r>
            </m:sub>
          </m:sSub>
          <m:r>
            <m:rPr>
              <m:sty m:val="p"/>
            </m:rPr>
            <m:t>=</m:t>
          </m:r>
          <m:r>
            <m:t>μ</m:t>
          </m:r>
          <m:sSub>
            <m:e>
              <m:r>
                <m:t>S</m:t>
              </m:r>
            </m:e>
            <m:sub>
              <m:r>
                <m:t>t</m:t>
              </m:r>
            </m:sub>
          </m:sSub>
          <m:r>
            <m:t>d</m:t>
          </m:r>
          <m:r>
            <m:t>t</m:t>
          </m:r>
          <m:r>
            <m:rPr>
              <m:sty m:val="p"/>
            </m:rPr>
            <m:t>+</m:t>
          </m:r>
          <m:r>
            <m:t>σ</m:t>
          </m:r>
          <m:sSub>
            <m:e>
              <m:r>
                <m:t>S</m:t>
              </m:r>
            </m:e>
            <m:sub>
              <m:r>
                <m:t>t</m:t>
              </m:r>
            </m:sub>
          </m:sSub>
          <m:r>
            <m:t>d</m:t>
          </m:r>
          <m:sSubSup>
            <m:e>
              <m:r>
                <m:t>W</m:t>
              </m:r>
            </m:e>
            <m:sub>
              <m:r>
                <m:t>t</m:t>
              </m:r>
            </m:sub>
            <m:sup>
              <m:r>
                <m:t>P</m:t>
              </m:r>
            </m:sup>
          </m:sSubSup>
          <m:r>
            <m:t>  </m:t>
          </m:r>
          <m:d>
            <m:dPr>
              <m:begChr m:val="("/>
              <m:endChr m:val=")"/>
              <m:sepChr m:val=""/>
              <m:grow/>
            </m:dPr>
            <m:e>
              <m:r>
                <m:t>1</m:t>
              </m:r>
            </m:e>
          </m:d>
        </m:oMath>
      </m:oMathPara>
      <w:bookmarkEnd w:id="31"/>
    </w:p>
    <w:p>
      <w:pPr>
        <w:pStyle w:val="FirstParagraph"/>
      </w:pPr>
      <w:r>
        <w:t xml:space="preserve">où</w:t>
      </w:r>
      <w:r>
        <w:t xml:space="preserve"> </w:t>
      </w:r>
      <m:oMath>
        <m:r>
          <m:t>μ</m:t>
        </m:r>
      </m:oMath>
      <w:r>
        <w:t xml:space="preserve"> </w:t>
      </w:r>
      <w:r>
        <w:t xml:space="preserve">représente le drift,</w:t>
      </w:r>
      <w:r>
        <w:t xml:space="preserve"> </w:t>
      </w:r>
      <m:oMath>
        <m:r>
          <m:t>σ</m:t>
        </m:r>
      </m:oMath>
      <w:r>
        <w:t xml:space="preserve"> </w:t>
      </w:r>
      <w:r>
        <w:t xml:space="preserve">la volatilité et</w:t>
      </w:r>
      <w:r>
        <w:t xml:space="preserve"> </w:t>
      </w:r>
      <m:oMath>
        <m:sSup>
          <m:e>
            <m:r>
              <m:t>W</m:t>
            </m:r>
          </m:e>
          <m:sup>
            <m:r>
              <m:t>P</m:t>
            </m:r>
          </m:sup>
        </m:sSup>
      </m:oMath>
      <w:r>
        <w:t xml:space="preserve"> </w:t>
      </w:r>
      <w:r>
        <w:t xml:space="preserve">est mouvement brownien standard sous la probabilité</w:t>
      </w:r>
      <w:r>
        <w:t xml:space="preserve"> </w:t>
      </w:r>
      <m:oMath>
        <m:r>
          <m:t>P</m:t>
        </m:r>
      </m:oMath>
      <w:r>
        <w:t xml:space="preserve">.</w:t>
      </w:r>
    </w:p>
    <w:p>
      <w:pPr>
        <w:pStyle w:val="BodyText"/>
      </w:pPr>
      <w:r>
        <w:t xml:space="preserve">Cependant, dans la littérature, cette représentation n’est pas utilisée pour la valorisation des produit dérivés. Il est remplacé par la représentation suivante sous la mesure de probabilité neutre au risque</w:t>
      </w:r>
      <w:r>
        <w:t xml:space="preserve"> </w:t>
      </w:r>
      <m:oMath>
        <m:r>
          <m:rPr>
            <m:sty m:val="p"/>
            <m:scr m:val="double-struck"/>
          </m:rPr>
          <m:t>Q</m:t>
        </m:r>
      </m:oMath>
      <w:r>
        <w:t xml:space="preserve">:</w:t>
      </w:r>
    </w:p>
    <w:p>
      <w:pPr>
        <w:pStyle w:val="BodyText"/>
      </w:pPr>
      <w:bookmarkStart w:id="32" w:name="eq-gbmq"/>
      <m:oMathPara>
        <m:oMathParaPr>
          <m:jc m:val="center"/>
        </m:oMathParaPr>
        <m:oMath>
          <m:r>
            <m:t>d</m:t>
          </m:r>
          <m:sSub>
            <m:e>
              <m:r>
                <m:t>S</m:t>
              </m:r>
            </m:e>
            <m:sub>
              <m:r>
                <m:t>t</m:t>
              </m:r>
            </m:sub>
          </m:sSub>
          <m:r>
            <m:rPr>
              <m:sty m:val="p"/>
            </m:rPr>
            <m:t>=</m:t>
          </m:r>
          <m:r>
            <m:t>r</m:t>
          </m:r>
          <m:sSub>
            <m:e>
              <m:r>
                <m:t>S</m:t>
              </m:r>
            </m:e>
            <m:sub>
              <m:r>
                <m:t>t</m:t>
              </m:r>
            </m:sub>
          </m:sSub>
          <m:r>
            <m:t>d</m:t>
          </m:r>
          <m:r>
            <m:t>t</m:t>
          </m:r>
          <m:r>
            <m:rPr>
              <m:sty m:val="p"/>
            </m:rPr>
            <m:t>+</m:t>
          </m:r>
          <m:r>
            <m:t>σ</m:t>
          </m:r>
          <m:sSub>
            <m:e>
              <m:r>
                <m:t>S</m:t>
              </m:r>
            </m:e>
            <m:sub>
              <m:r>
                <m:t>t</m:t>
              </m:r>
            </m:sub>
          </m:sSub>
          <m:r>
            <m:t>d</m:t>
          </m:r>
          <m:sSubSup>
            <m:e>
              <m:r>
                <m:t>W</m:t>
              </m:r>
            </m:e>
            <m:sub>
              <m:r>
                <m:t>t</m:t>
              </m:r>
            </m:sub>
            <m:sup>
              <m:r>
                <m:rPr>
                  <m:sty m:val="p"/>
                  <m:scr m:val="double-struck"/>
                </m:rPr>
                <m:t>Q</m:t>
              </m:r>
            </m:sup>
          </m:sSubSup>
          <m:r>
            <m:t>  </m:t>
          </m:r>
          <m:d>
            <m:dPr>
              <m:begChr m:val="("/>
              <m:endChr m:val=")"/>
              <m:sepChr m:val=""/>
              <m:grow/>
            </m:dPr>
            <m:e>
              <m:r>
                <m:t>2</m:t>
              </m:r>
            </m:e>
          </m:d>
        </m:oMath>
      </m:oMathPara>
      <w:bookmarkEnd w:id="32"/>
    </w:p>
    <w:p>
      <w:pPr>
        <w:pStyle w:val="FirstParagraph"/>
      </w:pPr>
      <w:r>
        <w:t xml:space="preserve">Dans l’</w:t>
      </w:r>
      <w:hyperlink w:anchor="eq-gbmq">
        <w:r>
          <w:rPr>
            <w:rStyle w:val="Hyperlink"/>
          </w:rPr>
          <w:t xml:space="preserve">Equation 2</w:t>
        </w:r>
      </w:hyperlink>
      <w:r>
        <w:t xml:space="preserve"> </w:t>
      </w:r>
      <w:r>
        <w:t xml:space="preserve">précédente, nous avons remplacé</w:t>
      </w:r>
      <w:r>
        <w:t xml:space="preserve"> </w:t>
      </w:r>
      <m:oMath>
        <m:r>
          <m:t>μ</m:t>
        </m:r>
      </m:oMath>
      <w:r>
        <w:t xml:space="preserve"> </w:t>
      </w:r>
      <w:r>
        <w:t xml:space="preserve">par le taux d’intérêt sans risque</w:t>
      </w:r>
      <w:r>
        <w:t xml:space="preserve"> </w:t>
      </w:r>
      <m:oMath>
        <m:r>
          <m:t>r</m:t>
        </m:r>
      </m:oMath>
      <w:r>
        <w:t xml:space="preserve">,</w:t>
      </w:r>
      <w:r>
        <w:t xml:space="preserve"> </w:t>
      </w:r>
      <m:oMath>
        <m:r>
          <m:t>σ</m:t>
        </m:r>
      </m:oMath>
      <w:r>
        <w:t xml:space="preserve"> </w:t>
      </w:r>
      <w:r>
        <w:t xml:space="preserve">est la volatilité et</w:t>
      </w:r>
      <w:r>
        <w:t xml:space="preserve"> </w:t>
      </w:r>
      <m:oMath>
        <m:r>
          <m:t>d</m:t>
        </m:r>
        <m:r>
          <m:t>W</m:t>
        </m:r>
      </m:oMath>
      <w:r>
        <w:t xml:space="preserve"> </w:t>
      </w:r>
      <w:r>
        <w:t xml:space="preserve">est l’incrément d’un processus de Wiener. L’équation 2 peut en outre être représentée comme suit :</w:t>
      </w:r>
    </w:p>
    <w:p>
      <w:pPr>
        <w:pStyle w:val="BodyText"/>
      </w:pPr>
      <m:oMathPara>
        <m:oMathParaPr>
          <m:jc m:val="center"/>
        </m:oMathParaPr>
        <m:oMath>
          <m:f>
            <m:fPr>
              <m:type m:val="bar"/>
            </m:fPr>
            <m:num>
              <m:r>
                <m:t>d</m:t>
              </m:r>
              <m:sSub>
                <m:e>
                  <m:r>
                    <m:t>S</m:t>
                  </m:r>
                </m:e>
                <m:sub>
                  <m:r>
                    <m:t>t</m:t>
                  </m:r>
                </m:sub>
              </m:sSub>
            </m:num>
            <m:den>
              <m:sSub>
                <m:e>
                  <m:r>
                    <m:t>S</m:t>
                  </m:r>
                </m:e>
                <m:sub>
                  <m:r>
                    <m:t>t</m:t>
                  </m:r>
                </m:sub>
              </m:sSub>
            </m:den>
          </m:f>
          <m:r>
            <m:rPr>
              <m:sty m:val="p"/>
            </m:rPr>
            <m:t>=</m:t>
          </m:r>
          <m:r>
            <m:t>r</m:t>
          </m:r>
          <m:r>
            <m:t>d</m:t>
          </m:r>
          <m:r>
            <m:t>t</m:t>
          </m:r>
          <m:r>
            <m:rPr>
              <m:sty m:val="p"/>
            </m:rPr>
            <m:t>+</m:t>
          </m:r>
          <m:r>
            <m:t>σ</m:t>
          </m:r>
          <m:r>
            <m:t>d</m:t>
          </m:r>
          <m:sSubSup>
            <m:e>
              <m:r>
                <m:t>W</m:t>
              </m:r>
            </m:e>
            <m:sub>
              <m:r>
                <m:t>t</m:t>
              </m:r>
            </m:sub>
            <m:sup>
              <m:r>
                <m:rPr>
                  <m:sty m:val="p"/>
                  <m:scr m:val="double-struck"/>
                </m:rPr>
                <m:t>Q</m:t>
              </m:r>
            </m:sup>
          </m:sSubSup>
        </m:oMath>
      </m:oMathPara>
    </w:p>
    <w:p>
      <w:pPr>
        <w:pStyle w:val="FirstParagraph"/>
      </w:pPr>
      <w:r>
        <w:t xml:space="preserve">Dans cette dernière équation, nous pouvons identifier le terme</w:t>
      </w:r>
      <w:r>
        <w:t xml:space="preserve"> </w:t>
      </w:r>
      <m:oMath>
        <m:f>
          <m:fPr>
            <m:type m:val="bar"/>
          </m:fPr>
          <m:num>
            <m:r>
              <m:t>d</m:t>
            </m:r>
            <m:sSub>
              <m:e>
                <m:r>
                  <m:t>S</m:t>
                </m:r>
              </m:e>
              <m:sub>
                <m:r>
                  <m:t>t</m:t>
                </m:r>
              </m:sub>
            </m:sSub>
          </m:num>
          <m:den>
            <m:sSub>
              <m:e>
                <m:r>
                  <m:t>S</m:t>
                </m:r>
              </m:e>
              <m:sub>
                <m:r>
                  <m:t>t</m:t>
                </m:r>
              </m:sub>
            </m:sSub>
          </m:den>
        </m:f>
      </m:oMath>
      <w:r>
        <w:t xml:space="preserve"> </w:t>
      </w:r>
      <w:r>
        <w:t xml:space="preserve">du côté gauche de l’équation comme le rendement des capitaux propres. Ainsi, les deux termes du côté droit de l’équation sont un « terme de dérive » et un « terme de volatilité ». Chacun de ces termes est « mis à l’échelle » par les paramètres μ et σ , qui sont calibrés sur les prix actuels du marché des instruments négociés, tels que les options d’achat et de vente.</w:t>
      </w:r>
    </w:p>
    <w:p>
      <w:pPr>
        <w:pStyle w:val="BodyText"/>
      </w:pPr>
      <w:r>
        <w:t xml:space="preserve">Intéressons nous aux solutions</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de l’EDS</w:t>
      </w:r>
      <w:r>
        <w:t xml:space="preserve"> </w:t>
      </w:r>
      <w:hyperlink w:anchor="eq-gbmq">
        <w:r>
          <w:rPr>
            <w:rStyle w:val="Hyperlink"/>
          </w:rPr>
          <w:t xml:space="preserve">Equation 2</w:t>
        </w:r>
      </w:hyperlink>
      <w:r>
        <w:t xml:space="preserve"> </w:t>
      </w:r>
      <w:r>
        <w:t xml:space="preserve">qui peut être réécrite comme suit :</w:t>
      </w:r>
    </w:p>
    <w:p>
      <w:pPr>
        <w:pStyle w:val="BodyText"/>
      </w:pPr>
      <w:bookmarkStart w:id="33" w:name="eq-intEDS"/>
      <m:oMathPara>
        <m:oMathParaPr>
          <m:jc m:val="center"/>
        </m:oMathParaPr>
        <m:oMath>
          <m:sSub>
            <m:e>
              <m:r>
                <m:t>S</m:t>
              </m:r>
            </m:e>
            <m:sub>
              <m:r>
                <m:t>t</m:t>
              </m:r>
            </m:sub>
          </m:sSub>
          <m:r>
            <m:rPr>
              <m:sty m:val="p"/>
            </m:rPr>
            <m:t>=</m:t>
          </m:r>
          <m:sSub>
            <m:e>
              <m:r>
                <m:t>x</m:t>
              </m:r>
            </m:e>
            <m:sub>
              <m:r>
                <m:t>0</m:t>
              </m:r>
            </m:sub>
          </m:sSub>
          <m:r>
            <m:rPr>
              <m:sty m:val="p"/>
            </m:rPr>
            <m:t>+</m:t>
          </m:r>
          <m:nary>
            <m:naryPr>
              <m:chr m:val="∫"/>
              <m:limLoc m:val="subSup"/>
              <m:subHide m:val="0"/>
              <m:supHide m:val="0"/>
            </m:naryPr>
            <m:sub>
              <m:r>
                <m:t>0</m:t>
              </m:r>
            </m:sub>
            <m:sup>
              <m:r>
                <m:t>t</m:t>
              </m:r>
            </m:sup>
            <m:e>
              <m:sSub>
                <m:e>
                  <m:r>
                    <m:t>S</m:t>
                  </m:r>
                </m:e>
                <m:sub>
                  <m:r>
                    <m:t>s</m:t>
                  </m:r>
                </m:sub>
              </m:sSub>
            </m:e>
          </m:nary>
          <m:d>
            <m:dPr>
              <m:begChr m:val="("/>
              <m:endChr m:val=")"/>
              <m:sepChr m:val=""/>
              <m:grow/>
            </m:dPr>
            <m:e>
              <m:r>
                <m:t>μ</m:t>
              </m:r>
              <m:r>
                <m:t>d</m:t>
              </m:r>
              <m:r>
                <m:t>t</m:t>
              </m:r>
              <m:r>
                <m:rPr>
                  <m:sty m:val="p"/>
                </m:rPr>
                <m:t>+</m:t>
              </m:r>
              <m:r>
                <m:t>σ</m:t>
              </m:r>
              <m:r>
                <m:t>d</m:t>
              </m:r>
              <m:sSubSup>
                <m:e>
                  <m:r>
                    <m:t>W</m:t>
                  </m:r>
                </m:e>
                <m:sub>
                  <m:r>
                    <m:t>s</m:t>
                  </m:r>
                </m:sub>
                <m:sup>
                  <m:r>
                    <m:rPr>
                      <m:sty m:val="p"/>
                      <m:scr m:val="double-struck"/>
                    </m:rPr>
                    <m:t>P</m:t>
                  </m:r>
                </m:sup>
              </m:sSubSup>
            </m:e>
          </m:d>
          <m:r>
            <m:t> </m:t>
          </m:r>
          <m:r>
            <m:rPr>
              <m:sty m:val="p"/>
            </m:rPr>
            <m:t>;</m:t>
          </m:r>
          <m:r>
            <m:t> </m:t>
          </m:r>
          <m:r>
            <m:t> </m:t>
          </m:r>
          <m:r>
            <m:t>a</m:t>
          </m:r>
          <m:r>
            <m:t>v</m:t>
          </m:r>
          <m:r>
            <m:t>e</m:t>
          </m:r>
          <m:r>
            <m:t>c</m:t>
          </m:r>
          <m:r>
            <m:t> </m:t>
          </m:r>
          <m:sSub>
            <m:e>
              <m:r>
                <m:t>S</m:t>
              </m:r>
            </m:e>
            <m:sub>
              <m:r>
                <m:t>0</m:t>
              </m:r>
            </m:sub>
          </m:sSub>
          <m:r>
            <m:rPr>
              <m:sty m:val="p"/>
            </m:rPr>
            <m:t>=</m:t>
          </m:r>
          <m:sSub>
            <m:e>
              <m:r>
                <m:t>x</m:t>
              </m:r>
            </m:e>
            <m:sub>
              <m:r>
                <m:t>0</m:t>
              </m:r>
            </m:sub>
          </m:sSub>
          <m:r>
            <m:t>  </m:t>
          </m:r>
          <m:d>
            <m:dPr>
              <m:begChr m:val="("/>
              <m:endChr m:val=")"/>
              <m:sepChr m:val=""/>
              <m:grow/>
            </m:dPr>
            <m:e>
              <m:r>
                <m:t>3</m:t>
              </m:r>
            </m:e>
          </m:d>
        </m:oMath>
      </m:oMathPara>
      <w:bookmarkEnd w:id="33"/>
    </w:p>
    <w:p>
      <w:pPr>
        <w:pStyle w:val="FirstParagraph"/>
      </w:pPr>
      <w:r>
        <w:t xml:space="preserve">Puisque</w:t>
      </w:r>
      <w:r>
        <w:t xml:space="preserve"> </w:t>
      </w:r>
      <m:oMath>
        <m:r>
          <m:t>μ</m:t>
        </m:r>
      </m:oMath>
      <w:r>
        <w:t xml:space="preserve"> </w:t>
      </w:r>
      <w:r>
        <w:t xml:space="preserve">et</w:t>
      </w:r>
      <w:r>
        <w:t xml:space="preserve"> </w:t>
      </w:r>
      <m:oMath>
        <m:r>
          <m:t>σ</m:t>
        </m:r>
      </m:oMath>
      <w:r>
        <w:t xml:space="preserve"> </w:t>
      </w:r>
      <w:r>
        <w:t xml:space="preserve">sont positifs, cela signifie que l’on cherche un processus adapté</w:t>
      </w:r>
      <w:r>
        <w:t xml:space="preserve"> </w:t>
      </w:r>
      <m:oMath>
        <m:sSub>
          <m:e>
            <m:d>
              <m:dPr>
                <m:begChr m:val="("/>
                <m:endChr m:val=")"/>
                <m:sepChr m:val=""/>
                <m:grow/>
              </m:dPr>
              <m:e>
                <m:sSub>
                  <m:e>
                    <m:r>
                      <m:t>S</m:t>
                    </m:r>
                  </m:e>
                  <m:sub>
                    <m:r>
                      <m:t>t</m:t>
                    </m:r>
                  </m:sub>
                </m:sSub>
              </m:e>
            </m:d>
          </m:e>
          <m:sub>
            <m:r>
              <m:t>t</m:t>
            </m:r>
            <m:r>
              <m:rPr>
                <m:sty m:val="p"/>
              </m:rPr>
              <m:t>≥</m:t>
            </m:r>
            <m:r>
              <m:t>0</m:t>
            </m:r>
          </m:sub>
        </m:sSub>
      </m:oMath>
      <w:r>
        <w:t xml:space="preserve"> </w:t>
      </w:r>
      <w:r>
        <w:t xml:space="preserve">tel que les intégrales</w:t>
      </w:r>
      <w:r>
        <w:t xml:space="preserve"> </w:t>
      </w:r>
      <m:oMath>
        <m:nary>
          <m:naryPr>
            <m:chr m:val="∫"/>
            <m:limLoc m:val="subSup"/>
            <m:subHide m:val="0"/>
            <m:supHide m:val="0"/>
          </m:naryPr>
          <m:sub>
            <m:r>
              <m:t>0</m:t>
            </m:r>
          </m:sub>
          <m:sup>
            <m:r>
              <m:t>t</m:t>
            </m:r>
          </m:sup>
          <m:e>
            <m:sSub>
              <m:e>
                <m:r>
                  <m:t>S</m:t>
                </m:r>
              </m:e>
              <m:sub>
                <m:r>
                  <m:t>s</m:t>
                </m:r>
              </m:sub>
            </m:sSub>
          </m:e>
        </m:nary>
      </m:oMath>
      <w:r>
        <w:t xml:space="preserve"> </w:t>
      </w:r>
      <w:r>
        <w:t xml:space="preserve">et</w:t>
      </w:r>
      <w:r>
        <w:t xml:space="preserve"> </w:t>
      </w:r>
      <m:oMath>
        <m:nary>
          <m:naryPr>
            <m:chr m:val="∫"/>
            <m:limLoc m:val="subSup"/>
            <m:subHide m:val="0"/>
            <m:supHide m:val="0"/>
          </m:naryPr>
          <m:sub>
            <m:r>
              <m:t>0</m:t>
            </m:r>
          </m:sub>
          <m:sup>
            <m:r>
              <m:t>t</m:t>
            </m:r>
          </m:sup>
          <m:e>
            <m:sSub>
              <m:e>
                <m:r>
                  <m:t>S</m:t>
                </m:r>
              </m:e>
              <m:sub>
                <m:r>
                  <m:t>s</m:t>
                </m:r>
              </m:sub>
            </m:sSub>
          </m:e>
        </m:nary>
        <m:r>
          <m:t>d</m:t>
        </m:r>
        <m:sSubSup>
          <m:e>
            <m:r>
              <m:t>W</m:t>
            </m:r>
          </m:e>
          <m:sub>
            <m:r>
              <m:t>s</m:t>
            </m:r>
          </m:sub>
          <m:sup>
            <m:r>
              <m:rPr>
                <m:sty m:val="p"/>
                <m:scr m:val="double-struck"/>
              </m:rPr>
              <m:t>P</m:t>
            </m:r>
          </m:sup>
        </m:sSubSup>
      </m:oMath>
      <w:r>
        <w:t xml:space="preserve"> </w:t>
      </w:r>
      <w:r>
        <w:t xml:space="preserve">aient un sens, et qui vérifie l’</w:t>
      </w:r>
      <w:hyperlink w:anchor="eq-intEDS">
        <w:r>
          <w:rPr>
            <w:rStyle w:val="Hyperlink"/>
          </w:rPr>
          <w:t xml:space="preserve">Equation 3</w:t>
        </w:r>
      </w:hyperlink>
      <w:r>
        <w:t xml:space="preserve">, pour chaque</w:t>
      </w:r>
      <w:r>
        <w:t xml:space="preserve"> </w:t>
      </w:r>
      <m:oMath>
        <m:r>
          <m:t>t</m:t>
        </m:r>
      </m:oMath>
      <w:r>
        <w:t xml:space="preserve">.</w:t>
      </w:r>
    </w:p>
    <w:p>
      <w:pPr>
        <w:pStyle w:val="BodyText"/>
      </w:pPr>
      <w:r>
        <w:t xml:space="preserve">Commençons par un calcul formel en posant</w:t>
      </w:r>
      <w:r>
        <w:t xml:space="preserve"> </w:t>
      </w:r>
      <m:oMath>
        <m:sSub>
          <m:e>
            <m:r>
              <m:t>Y</m:t>
            </m:r>
          </m:e>
          <m:sub>
            <m:r>
              <m:t>t</m:t>
            </m:r>
          </m:sub>
        </m:sSub>
        <m:r>
          <m:rPr>
            <m:sty m:val="p"/>
          </m:rPr>
          <m:t>=</m:t>
        </m:r>
        <m:r>
          <m:t>l</m:t>
        </m:r>
        <m:r>
          <m:t>o</m:t>
        </m:r>
        <m:r>
          <m:t>g</m:t>
        </m:r>
        <m:d>
          <m:dPr>
            <m:begChr m:val="("/>
            <m:endChr m:val=")"/>
            <m:sepChr m:val=""/>
            <m:grow/>
          </m:dPr>
          <m:e>
            <m:sSub>
              <m:e>
                <m:r>
                  <m:t>S</m:t>
                </m:r>
              </m:e>
              <m:sub>
                <m:r>
                  <m:t>t</m:t>
                </m:r>
              </m:sub>
            </m:sSub>
          </m:e>
        </m:d>
      </m:oMath>
      <w:r>
        <w:t xml:space="preserve"> </w:t>
      </w:r>
      <w:r>
        <w:t xml:space="preserve">où</w:t>
      </w:r>
      <w:r>
        <w:t xml:space="preserve"> </w:t>
      </w:r>
      <m:oMath>
        <m:sSub>
          <m:e>
            <m:r>
              <m:t>S</m:t>
            </m:r>
          </m:e>
          <m:sub>
            <m:r>
              <m:t>t</m:t>
            </m:r>
          </m:sub>
        </m:sSub>
      </m:oMath>
      <w:r>
        <w:t xml:space="preserve"> </w:t>
      </w:r>
      <w:r>
        <w:t xml:space="preserve">est une solution de l’</w:t>
      </w:r>
      <w:hyperlink w:anchor="eq-intEDS">
        <w:r>
          <w:rPr>
            <w:rStyle w:val="Hyperlink"/>
          </w:rPr>
          <w:t xml:space="preserve">Equation 3</w:t>
        </w:r>
      </w:hyperlink>
      <w:r>
        <w:t xml:space="preserve">.</w:t>
      </w:r>
      <w:r>
        <w:t xml:space="preserve"> </w:t>
      </w:r>
      <m:oMath>
        <m:sSub>
          <m:e>
            <m:r>
              <m:t>S</m:t>
            </m:r>
          </m:e>
          <m:sub>
            <m:r>
              <m:t>t</m:t>
            </m:r>
          </m:sub>
        </m:sSub>
      </m:oMath>
      <w:r>
        <w:t xml:space="preserve"> </w:t>
      </w:r>
      <w:r>
        <w:t xml:space="preserve">est un processus d’Itô avec</w:t>
      </w:r>
      <w:r>
        <w:t xml:space="preserve"> </w:t>
      </w:r>
      <m:oMath>
        <m:sSub>
          <m:e>
            <m:r>
              <m:t>K</m:t>
            </m:r>
          </m:e>
          <m:sub>
            <m:r>
              <m:t>s</m:t>
            </m:r>
          </m:sub>
        </m:sSub>
        <m:r>
          <m:rPr>
            <m:sty m:val="p"/>
          </m:rPr>
          <m:t>=</m:t>
        </m:r>
        <m:r>
          <m:t>μ</m:t>
        </m:r>
        <m:sSub>
          <m:e>
            <m:r>
              <m:t>S</m:t>
            </m:r>
          </m:e>
          <m:sub>
            <m:r>
              <m:t>s</m:t>
            </m:r>
          </m:sub>
        </m:sSub>
      </m:oMath>
      <w:r>
        <w:t xml:space="preserve"> </w:t>
      </w:r>
      <w:r>
        <w:t xml:space="preserve">et</w:t>
      </w:r>
      <w:r>
        <w:t xml:space="preserve"> </w:t>
      </w:r>
      <m:oMath>
        <m:sSub>
          <m:e>
            <m:r>
              <m:t>H</m:t>
            </m:r>
          </m:e>
          <m:sub>
            <m:r>
              <m:t>s</m:t>
            </m:r>
          </m:sub>
        </m:sSub>
        <m:r>
          <m:rPr>
            <m:sty m:val="p"/>
          </m:rPr>
          <m:t>=</m:t>
        </m:r>
        <m:r>
          <m:t>σ</m:t>
        </m:r>
        <m:sSub>
          <m:e>
            <m:r>
              <m:t>S</m:t>
            </m:r>
          </m:e>
          <m:sub>
            <m:r>
              <m:t>s</m:t>
            </m:r>
          </m:sub>
        </m:sSub>
      </m:oMath>
      <w:r>
        <w:t xml:space="preserve">. Appliquons la formule d’Itô à</w:t>
      </w:r>
      <w:r>
        <w:t xml:space="preserve"> </w:t>
      </w:r>
      <m:oMath>
        <m:r>
          <m:t>f</m:t>
        </m:r>
        <m:d>
          <m:dPr>
            <m:begChr m:val="("/>
            <m:endChr m:val=")"/>
            <m:sepChr m:val=""/>
            <m:grow/>
          </m:dPr>
          <m:e>
            <m:r>
              <m:t>x</m:t>
            </m:r>
          </m:e>
        </m:d>
        <m:r>
          <m:rPr>
            <m:sty m:val="p"/>
          </m:rPr>
          <m:t>=</m:t>
        </m:r>
        <m:r>
          <m:t>l</m:t>
        </m:r>
        <m:r>
          <m:t>o</m:t>
        </m:r>
        <m:r>
          <m:t>g</m:t>
        </m:r>
        <m:d>
          <m:dPr>
            <m:begChr m:val="("/>
            <m:endChr m:val=")"/>
            <m:sepChr m:val=""/>
            <m:grow/>
          </m:dPr>
          <m:e>
            <m:r>
              <m:t>x</m:t>
            </m:r>
          </m:e>
        </m:d>
      </m:oMath>
      <w:r>
        <w:t xml:space="preserve">. On obtient, en supposant</w:t>
      </w:r>
      <w:r>
        <w:t xml:space="preserve"> </w:t>
      </w:r>
      <m:oMath>
        <m:sSub>
          <m:e>
            <m:r>
              <m:t>S</m:t>
            </m:r>
          </m:e>
          <m:sub>
            <m:r>
              <m:t>t</m:t>
            </m:r>
          </m:sub>
        </m:sSub>
      </m:oMath>
      <w:r>
        <w:t xml:space="preserve"> </w:t>
      </w:r>
      <w:r>
        <w:t xml:space="preserve">positif:</w:t>
      </w:r>
    </w:p>
    <w:p>
      <w:pPr>
        <w:pStyle w:val="BodyText"/>
      </w:pPr>
      <m:oMathPara>
        <m:oMathParaPr>
          <m:jc m:val="center"/>
        </m:oMathParaPr>
        <m:oMath>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nary>
            <m:naryPr>
              <m:chr m:val="∫"/>
              <m:limLoc m:val="subSup"/>
              <m:subHide m:val="0"/>
              <m:supHide m:val="0"/>
            </m:naryPr>
            <m:sub>
              <m:r>
                <m:t>0</m:t>
              </m:r>
            </m:sub>
            <m:sup>
              <m:r>
                <m:t>t</m:t>
              </m:r>
            </m:sup>
            <m:e>
              <m:f>
                <m:fPr>
                  <m:type m:val="bar"/>
                </m:fPr>
                <m:num>
                  <m:r>
                    <m:t>d</m:t>
                  </m:r>
                  <m:sSub>
                    <m:e>
                      <m:r>
                        <m:t>S</m:t>
                      </m:r>
                    </m:e>
                    <m:sub>
                      <m:r>
                        <m:t>s</m:t>
                      </m:r>
                    </m:sub>
                  </m:sSub>
                </m:num>
                <m:den>
                  <m:sSub>
                    <m:e>
                      <m:r>
                        <m:t>S</m:t>
                      </m:r>
                    </m:e>
                    <m:sub>
                      <m:r>
                        <m:t>s</m:t>
                      </m:r>
                    </m:sub>
                  </m:sSub>
                </m:den>
              </m:f>
            </m:e>
          </m:nary>
          <m:r>
            <m:rPr>
              <m:sty m:val="p"/>
            </m:rPr>
            <m:t>+</m:t>
          </m:r>
          <m:f>
            <m:fPr>
              <m:type m:val="bar"/>
            </m:fPr>
            <m:num>
              <m:r>
                <m:t>1</m:t>
              </m:r>
            </m:num>
            <m:den>
              <m:r>
                <m:t>2</m:t>
              </m:r>
            </m:den>
          </m:f>
          <m:nary>
            <m:naryPr>
              <m:chr m:val="∫"/>
              <m:limLoc m:val="subSup"/>
              <m:subHide m:val="0"/>
              <m:supHide m:val="0"/>
            </m:naryPr>
            <m:sub>
              <m:r>
                <m:t>0</m:t>
              </m:r>
            </m:sub>
            <m:sup>
              <m:r>
                <m:t>t</m:t>
              </m:r>
            </m:sup>
            <m:e>
              <m:f>
                <m:fPr>
                  <m:type m:val="bar"/>
                </m:fPr>
                <m:num>
                  <m:r>
                    <m:rPr>
                      <m:sty m:val="p"/>
                    </m:rPr>
                    <m:t>−</m:t>
                  </m:r>
                  <m:r>
                    <m:t>1</m:t>
                  </m:r>
                </m:num>
                <m:den>
                  <m:sSubSup>
                    <m:e>
                      <m:r>
                        <m:t>S</m:t>
                      </m:r>
                    </m:e>
                    <m:sub>
                      <m:r>
                        <m:t>s</m:t>
                      </m:r>
                    </m:sub>
                    <m:sup>
                      <m:r>
                        <m:t>2</m:t>
                      </m:r>
                    </m:sup>
                  </m:sSubSup>
                </m:den>
              </m:f>
            </m:e>
          </m:nary>
          <m:sSup>
            <m:e>
              <m:r>
                <m:t>σ</m:t>
              </m:r>
            </m:e>
            <m:sup>
              <m:r>
                <m:t>2</m:t>
              </m:r>
            </m:sup>
          </m:sSup>
          <m:sSubSup>
            <m:e>
              <m:r>
                <m:t>S</m:t>
              </m:r>
            </m:e>
            <m:sub>
              <m:r>
                <m:t>s</m:t>
              </m:r>
            </m:sub>
            <m:sup>
              <m:r>
                <m:t>2</m:t>
              </m:r>
            </m:sup>
          </m:sSubSup>
          <m:r>
            <m:t>d</m:t>
          </m:r>
          <m:r>
            <m:t>s</m:t>
          </m:r>
        </m:oMath>
      </m:oMathPara>
    </w:p>
    <w:p>
      <w:pPr>
        <w:pStyle w:val="FirstParagraph"/>
      </w:pPr>
      <w:r>
        <w:t xml:space="preserve">soit, en utilsant</w:t>
      </w:r>
      <w:r>
        <w:t xml:space="preserve"> </w:t>
      </w:r>
      <w:hyperlink w:anchor="eq-gbmp">
        <w:r>
          <w:rPr>
            <w:rStyle w:val="Hyperlink"/>
          </w:rPr>
          <w:t xml:space="preserve">Equation 1</w:t>
        </w:r>
      </w:hyperlink>
    </w:p>
    <w:p>
      <w:pPr>
        <w:pStyle w:val="BodyText"/>
      </w:pPr>
      <m:oMathPara>
        <m:oMathParaPr>
          <m:jc m:val="center"/>
        </m:oMathParaPr>
        <m:oMath>
          <m:sSub>
            <m:e>
              <m:r>
                <m:t>Y</m:t>
              </m:r>
            </m:e>
            <m:sub>
              <m:r>
                <m:t>t</m:t>
              </m:r>
            </m:sub>
          </m:sSub>
          <m:r>
            <m:rPr>
              <m:sty m:val="p"/>
            </m:rPr>
            <m:t>=</m:t>
          </m:r>
          <m:sSub>
            <m:e>
              <m:r>
                <m:t>Y</m:t>
              </m:r>
            </m:e>
            <m:sub>
              <m:r>
                <m:t>0</m:t>
              </m:r>
            </m:sub>
          </m:sSub>
          <m:r>
            <m:rPr>
              <m:sty m:val="p"/>
            </m:rPr>
            <m:t>+</m:t>
          </m:r>
          <m:nary>
            <m:naryPr>
              <m:chr m:val="∫"/>
              <m:limLoc m:val="subSup"/>
              <m:subHide m:val="0"/>
              <m:supHide m:val="0"/>
            </m:naryPr>
            <m:sub>
              <m:r>
                <m:t>0</m:t>
              </m:r>
            </m:sub>
            <m:sup>
              <m:r>
                <m:t>t</m:t>
              </m:r>
            </m:sup>
            <m:e>
              <m:d>
                <m:dPr>
                  <m:begChr m:val="("/>
                  <m:endChr m:val=")"/>
                  <m:sepChr m:val=""/>
                  <m:grow/>
                </m:dPr>
                <m:e>
                  <m:r>
                    <m:t>μ</m:t>
                  </m:r>
                  <m:r>
                    <m:rPr>
                      <m:sty m:val="p"/>
                    </m:rPr>
                    <m:t>−</m:t>
                  </m:r>
                  <m:f>
                    <m:fPr>
                      <m:type m:val="bar"/>
                    </m:fPr>
                    <m:num>
                      <m:sSup>
                        <m:e>
                          <m:r>
                            <m:t>σ</m:t>
                          </m:r>
                        </m:e>
                        <m:sup>
                          <m:r>
                            <m:t>2</m:t>
                          </m:r>
                        </m:sup>
                      </m:sSup>
                    </m:num>
                    <m:den>
                      <m:r>
                        <m:t>2</m:t>
                      </m:r>
                    </m:den>
                  </m:f>
                </m:e>
              </m:d>
            </m:e>
          </m:nary>
          <m:r>
            <m:t>d</m:t>
          </m:r>
          <m:r>
            <m:t>s</m:t>
          </m:r>
          <m:r>
            <m:rPr>
              <m:sty m:val="p"/>
            </m:rPr>
            <m:t>+</m:t>
          </m:r>
          <m:nary>
            <m:naryPr>
              <m:chr m:val="∫"/>
              <m:limLoc m:val="subSup"/>
              <m:subHide m:val="0"/>
              <m:supHide m:val="0"/>
            </m:naryPr>
            <m:sub>
              <m:r>
                <m:t>0</m:t>
              </m:r>
            </m:sub>
            <m:sup>
              <m:r>
                <m:t>t</m:t>
              </m:r>
            </m:sup>
            <m:e>
              <m:r>
                <m:t>σ</m:t>
              </m:r>
            </m:e>
          </m:nary>
          <m:r>
            <m:t>d</m:t>
          </m:r>
          <m:sSub>
            <m:e>
              <m:r>
                <m:t>W</m:t>
              </m:r>
            </m:e>
            <m:sub>
              <m:r>
                <m:t>s</m:t>
              </m:r>
            </m:sub>
          </m:sSub>
        </m:oMath>
      </m:oMathPara>
    </w:p>
    <w:p>
      <w:pPr>
        <w:pStyle w:val="FirstParagraph"/>
      </w:pPr>
      <w:r>
        <w:t xml:space="preserve">,</w:t>
      </w:r>
    </w:p>
    <w:p>
      <w:pPr>
        <w:pStyle w:val="BodyText"/>
      </w:pPr>
      <w:r>
        <w:t xml:space="preserve">puis</w:t>
      </w:r>
    </w:p>
    <w:p>
      <w:pPr>
        <w:pStyle w:val="BodyText"/>
      </w:pPr>
      <m:oMathPara>
        <m:oMathParaPr>
          <m:jc m:val="center"/>
        </m:oMathParaPr>
        <m:oMath>
          <m:sSub>
            <m:e>
              <m:r>
                <m:t>Y</m:t>
              </m:r>
            </m:e>
            <m:sub>
              <m:r>
                <m:t>t</m:t>
              </m:r>
            </m:sub>
          </m:sSub>
          <m:r>
            <m:rPr>
              <m:sty m:val="p"/>
            </m:rPr>
            <m:t>=</m:t>
          </m:r>
          <m:r>
            <m:t>l</m:t>
          </m:r>
          <m:r>
            <m:t>o</m:t>
          </m:r>
          <m:r>
            <m:t>g</m:t>
          </m:r>
          <m:d>
            <m:dPr>
              <m:begChr m:val="("/>
              <m:endChr m:val=")"/>
              <m:sepChr m:val=""/>
              <m:grow/>
            </m:dPr>
            <m:e>
              <m:sSub>
                <m:e>
                  <m:r>
                    <m:t>S</m:t>
                  </m:r>
                </m:e>
                <m:sub>
                  <m:r>
                    <m:t>t</m:t>
                  </m:r>
                </m:sub>
              </m:sSub>
            </m:e>
          </m:d>
          <m:r>
            <m:rPr>
              <m:sty m:val="p"/>
            </m:rPr>
            <m:t>=</m:t>
          </m:r>
          <m:r>
            <m:t>l</m:t>
          </m:r>
          <m:r>
            <m:t>o</m:t>
          </m:r>
          <m:r>
            <m:t>g</m:t>
          </m:r>
          <m:d>
            <m:dPr>
              <m:begChr m:val="("/>
              <m:endChr m:val=")"/>
              <m:sepChr m:val=""/>
              <m:grow/>
            </m:dPr>
            <m:e>
              <m:sSub>
                <m:e>
                  <m:r>
                    <m:t>S</m:t>
                  </m:r>
                </m:e>
                <m:sub>
                  <m:r>
                    <m:t>0</m:t>
                  </m:r>
                </m:sub>
              </m:sSub>
            </m:e>
          </m:d>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oMath>
      </m:oMathPara>
    </w:p>
    <w:p>
      <w:pPr>
        <w:pStyle w:val="FirstParagraph"/>
      </w:pPr>
      <w:r>
        <w:t xml:space="preserve">ainsi :</w:t>
      </w:r>
    </w:p>
    <w:p>
      <w:pPr>
        <w:pStyle w:val="BodyText"/>
      </w:pPr>
      <w:bookmarkStart w:id="34" w:name="eq-solBS"/>
      <m:oMathPara>
        <m:oMathParaPr>
          <m:jc m:val="center"/>
        </m:oMathParaPr>
        <m:oMath>
          <m:sSub>
            <m:e>
              <m:r>
                <m:t>S</m:t>
              </m:r>
            </m:e>
            <m:sub>
              <m:r>
                <m:t>t</m:t>
              </m:r>
            </m:sub>
          </m:sSub>
          <m:r>
            <m:rPr>
              <m:sty m:val="p"/>
            </m:rPr>
            <m:t>=</m:t>
          </m:r>
          <m:sSub>
            <m:e>
              <m:r>
                <m:t>S</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W</m:t>
                  </m:r>
                </m:e>
                <m:sub>
                  <m:r>
                    <m:t>t</m:t>
                  </m:r>
                </m:sub>
              </m:sSub>
            </m:e>
          </m:d>
          <m:r>
            <m:t>  </m:t>
          </m:r>
          <m:d>
            <m:dPr>
              <m:begChr m:val="("/>
              <m:endChr m:val=")"/>
              <m:sepChr m:val=""/>
              <m:grow/>
            </m:dPr>
            <m:e>
              <m:r>
                <m:t>4</m:t>
              </m:r>
            </m:e>
          </m:d>
        </m:oMath>
      </m:oMathPara>
      <w:bookmarkEnd w:id="34"/>
    </w:p>
    <w:p>
      <w:pPr>
        <w:pStyle w:val="FirstParagraph"/>
      </w:pPr>
      <w:r>
        <w:t xml:space="preserve">est solution de l’EDS.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267200"/>
                  <wp:effectExtent b="0" l="0" r="0" t="0"/>
                  <wp:docPr descr="" title="" id="36" name="Picture"/>
                  <a:graphic>
                    <a:graphicData uri="http://schemas.openxmlformats.org/drawingml/2006/picture">
                      <pic:pic>
                        <pic:nvPicPr>
                          <pic:cNvPr descr="Rapport-PFE_files/figure-docx/unnamed-chunk-2-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Simulation de la trajectoire du prix de l’action X par la méthode de Monte Carlo en utilsant le modèle de Black and Scholes</w:t>
            </w:r>
          </w:p>
        </w:tc>
      </w:tr>
    </w:tbl>
    <w:bookmarkEnd w:id="38"/>
    <w:bookmarkEnd w:id="39"/>
    <w:bookmarkEnd w:id="40"/>
    <w:bookmarkEnd w:id="41"/>
    <w:bookmarkStart w:id="46" w:name="X07868ea8b9ac752e9889fc2a9eede4b2fc4d338"/>
    <w:p>
      <w:pPr>
        <w:pStyle w:val="Heading2"/>
      </w:pPr>
      <w:r>
        <w:t xml:space="preserve">4 La construction de la courbe des taux zéro-coupon :</w:t>
      </w:r>
    </w:p>
    <w:p>
      <w:pPr>
        <w:pStyle w:val="FirstParagraph"/>
      </w:pPr>
      <w:r>
        <w:t xml:space="preserve">Dans cette partie nous nous intéressons à la construction de la courbe des taux zéro-coupon dont nous avons besoin dans le reste de ce travaille afin d’actualiser les flux futurs entrant dans le calcul des différentes BEST ESTIMATE. Les taux Zéro Coupons sont extraite à partir des taux moyens pondérés des transactions des bons de trésor publiées par BANK AL MAGHRIB. Ces taux en fait, sont des taux monétaires pour les maturités inférieures ou égales à un an, alors qu’il représente un taux actuariel pour les maturités supérieures à un an, de plus ils ne sont disponibles que pour certaines maturités (Remarque : Insérant une figure).</w:t>
      </w:r>
    </w:p>
    <w:p>
      <w:pPr>
        <w:pStyle w:val="BodyText"/>
      </w:pPr>
      <w:r>
        <w:t xml:space="preserve">Pour cette raison on va suivre les étapes suivantes pour la construction de la courbe des taux zéro-coupon :</w:t>
      </w:r>
    </w:p>
    <w:p>
      <w:pPr>
        <w:numPr>
          <w:ilvl w:val="0"/>
          <w:numId w:val="1003"/>
        </w:numPr>
        <w:pStyle w:val="Compact"/>
      </w:pPr>
      <w:r>
        <w:t xml:space="preserve">1ere étape : Transformation des taux monétaires en taux actuariels.</w:t>
      </w:r>
    </w:p>
    <w:p>
      <w:pPr>
        <w:numPr>
          <w:ilvl w:val="0"/>
          <w:numId w:val="1003"/>
        </w:numPr>
        <w:pStyle w:val="Compact"/>
      </w:pPr>
      <w:r>
        <w:t xml:space="preserve">2eme étape : Interpolation linéaire afin d’obtenir des taux actuariels pour des maturités pleines.</w:t>
      </w:r>
    </w:p>
    <w:p>
      <w:pPr>
        <w:numPr>
          <w:ilvl w:val="0"/>
          <w:numId w:val="1003"/>
        </w:numPr>
        <w:pStyle w:val="Compact"/>
      </w:pPr>
      <w:r>
        <w:t xml:space="preserve">3eme étape : Calcule des taux zéro coupons à partir des taux actuariels des maturités pleines par la Méthode du Bootstrap.</w:t>
      </w:r>
    </w:p>
    <w:p>
      <w:pPr>
        <w:numPr>
          <w:ilvl w:val="0"/>
          <w:numId w:val="1003"/>
        </w:numPr>
        <w:pStyle w:val="Compact"/>
      </w:pPr>
      <w:r>
        <w:t xml:space="preserve">4eme étape : Extrapolation de la courbe des taux zéro-coupon pour des maturités non observées lointaines par la méthode de Smith-Wilson</w:t>
      </w:r>
    </w:p>
    <w:bookmarkStart w:id="42" w:name="Xcbe522a13d0cf3ed962fdea859902dd7c035635"/>
    <w:p>
      <w:pPr>
        <w:pStyle w:val="Heading3"/>
      </w:pPr>
      <w:r>
        <w:t xml:space="preserve">4.1 Transformation des taux monétaires en taux actuariels :</w:t>
      </w:r>
    </w:p>
    <w:p>
      <w:pPr>
        <w:pStyle w:val="FirstParagraph"/>
      </w:pPr>
      <w:r>
        <w:t xml:space="preserve">Cette étape consiste à transformer les taux monétaires à des taux actuariels en utilisant la relation suivante :</w:t>
      </w:r>
    </w:p>
    <w:p>
      <w:pPr>
        <w:pStyle w:val="BodyText"/>
      </w:pPr>
      <m:oMathPara>
        <m:oMathParaPr>
          <m:jc m:val="center"/>
        </m:oMathParaPr>
        <m:oMath>
          <m:sSub>
            <m:e>
              <m:r>
                <m:t>T</m:t>
              </m:r>
            </m:e>
            <m:sub>
              <m:r>
                <m:t>a</m:t>
              </m:r>
            </m:sub>
          </m:sSub>
          <m:r>
            <m:rPr>
              <m:sty m:val="p"/>
            </m:rPr>
            <m:t>=</m:t>
          </m:r>
          <m:sSup>
            <m:e>
              <m:d>
                <m:dPr>
                  <m:begChr m:val="("/>
                  <m:endChr m:val=")"/>
                  <m:sepChr m:val=""/>
                  <m:grow/>
                </m:dPr>
                <m:e>
                  <m:r>
                    <m:t>1</m:t>
                  </m:r>
                  <m:r>
                    <m:rPr>
                      <m:sty m:val="p"/>
                    </m:rPr>
                    <m:t>+</m:t>
                  </m:r>
                  <m:f>
                    <m:fPr>
                      <m:type m:val="bar"/>
                    </m:fPr>
                    <m:num>
                      <m:r>
                        <m:t>n</m:t>
                      </m:r>
                    </m:num>
                    <m:den>
                      <m:r>
                        <m:t>365</m:t>
                      </m:r>
                    </m:den>
                  </m:f>
                  <m:r>
                    <m:rPr>
                      <m:sty m:val="p"/>
                    </m:rPr>
                    <m:t>*</m:t>
                  </m:r>
                  <m:sSub>
                    <m:e>
                      <m:r>
                        <m:t>T</m:t>
                      </m:r>
                    </m:e>
                    <m:sub>
                      <m:r>
                        <m:t>m</m:t>
                      </m:r>
                    </m:sub>
                  </m:sSub>
                </m:e>
              </m:d>
            </m:e>
            <m:sup>
              <m:f>
                <m:fPr>
                  <m:type m:val="bar"/>
                </m:fPr>
                <m:num>
                  <m:r>
                    <m:t>365</m:t>
                  </m:r>
                </m:num>
                <m:den>
                  <m:r>
                    <m:t>n</m:t>
                  </m:r>
                </m:den>
              </m:f>
            </m:sup>
          </m:sSup>
          <m:r>
            <m:rPr>
              <m:sty m:val="p"/>
            </m:rPr>
            <m:t>−</m:t>
          </m:r>
          <m:r>
            <m:t>1</m:t>
          </m:r>
        </m:oMath>
      </m:oMathPara>
    </w:p>
    <w:p>
      <w:pPr>
        <w:pStyle w:val="FirstParagraph"/>
      </w:pPr>
      <w:r>
        <w:t xml:space="preserve">Avec :</w:t>
      </w:r>
    </w:p>
    <w:p>
      <w:pPr>
        <w:pStyle w:val="BodyText"/>
      </w:pPr>
      <m:oMath>
        <m:sSub>
          <m:e>
            <m:r>
              <m:t>T</m:t>
            </m:r>
          </m:e>
          <m:sub>
            <m:r>
              <m:t>a</m:t>
            </m:r>
          </m:sub>
        </m:sSub>
      </m:oMath>
      <w:r>
        <w:t xml:space="preserve"> </w:t>
      </w:r>
      <w:r>
        <w:t xml:space="preserve">: Le taux actuariel.</w:t>
      </w:r>
    </w:p>
    <w:p>
      <w:pPr>
        <w:pStyle w:val="BodyText"/>
      </w:pPr>
      <m:oMath>
        <m:sSub>
          <m:e>
            <m:r>
              <m:t>T</m:t>
            </m:r>
          </m:e>
          <m:sub>
            <m:r>
              <m:t>m</m:t>
            </m:r>
          </m:sub>
        </m:sSub>
      </m:oMath>
      <w:r>
        <w:t xml:space="preserve"> </w:t>
      </w:r>
      <w:r>
        <w:t xml:space="preserve">: Le taux monétaire.</w:t>
      </w:r>
    </w:p>
    <w:p>
      <w:pPr>
        <w:pStyle w:val="BodyText"/>
      </w:pPr>
      <m:oMath>
        <m:r>
          <m:t>n</m:t>
        </m:r>
      </m:oMath>
      <w:r>
        <w:t xml:space="preserve"> </w:t>
      </w:r>
      <w:r>
        <w:t xml:space="preserve">: Le nombre de jours entre la date de valeur et la date d’échéance.</w:t>
      </w:r>
    </w:p>
    <w:p>
      <w:pPr>
        <w:pStyle w:val="BodyText"/>
      </w:pPr>
      <m:oMath>
        <m:f>
          <m:fPr>
            <m:type m:val="bar"/>
          </m:fPr>
          <m:num>
            <m:r>
              <m:t>365</m:t>
            </m:r>
          </m:num>
          <m:den>
            <m:r>
              <m:t>n</m:t>
            </m:r>
          </m:den>
        </m:f>
      </m:oMath>
      <w:r>
        <w:t xml:space="preserve"> </w:t>
      </w:r>
      <w:r>
        <w:t xml:space="preserve">: La maturité</w:t>
      </w:r>
    </w:p>
    <w:p>
      <w:pPr>
        <w:pStyle w:val="BodyText"/>
      </w:pPr>
      <w:r>
        <w:t xml:space="preserve">Après l’application de cette formule sur Les données de marché marocain (publie par la BAM), nous avons obtenu les résultats situés dans le tableau suivant : (Remarque insertions des résultats obtenu par l’application)</w:t>
      </w:r>
    </w:p>
    <w:bookmarkEnd w:id="42"/>
    <w:bookmarkStart w:id="43" w:name="X96b896b92b42645ba88a707007c4252bf9e5cd7"/>
    <w:p>
      <w:pPr>
        <w:pStyle w:val="Heading3"/>
      </w:pPr>
      <w:r>
        <w:t xml:space="preserve">4.2 Interpolation linéaire de la courbe des taux actuariels :</w:t>
      </w:r>
    </w:p>
    <w:p>
      <w:pPr>
        <w:pStyle w:val="FirstParagraph"/>
      </w:pPr>
      <w:r>
        <w:t xml:space="preserve">En réalité nous disposons que des taux actuariels des maturités ayant des valeurs décimales, le but de cette étape est donc la détermination des taux actuariels avec des maturités pleines en utilisant une interpolation linéaire.</w:t>
      </w:r>
    </w:p>
    <w:p>
      <w:pPr>
        <w:pStyle w:val="BodyText"/>
      </w:pPr>
      <w:r>
        <w:t xml:space="preserve">Cette opération consiste à déterminer le</w:t>
      </w:r>
      <w:r>
        <w:t xml:space="preserve"> </w:t>
      </w:r>
      <m:oMath>
        <m:r>
          <m:t>D</m:t>
        </m:r>
        <m:r>
          <m:t>P</m:t>
        </m:r>
        <m:r>
          <m:t>L</m:t>
        </m:r>
      </m:oMath>
      <w:r>
        <w:t xml:space="preserve"> </w:t>
      </w:r>
      <w:r>
        <w:t xml:space="preserve">qui correspond au dernier point liquide. Il est déterminé de sorte que le volume cumulé des obligations dont les échéances sont supérieures au DPL est inférieur à</w:t>
      </w:r>
      <w:r>
        <w:t xml:space="preserve"> </w:t>
      </w:r>
      <m:oMath>
        <m:r>
          <m:t>6</m:t>
        </m:r>
        <m:r>
          <m:rPr>
            <m:sty m:val="p"/>
          </m:rPr>
          <m:t>%</m:t>
        </m:r>
      </m:oMath>
      <w:r>
        <w:t xml:space="preserve"> </w:t>
      </w:r>
      <w:r>
        <w:t xml:space="preserve">du volume total des transactions prises en compte pour la construction de la courbe des taux zéro-coupon. Il correspond aussi à dernière maturité observable.</w:t>
      </w:r>
    </w:p>
    <w:p>
      <w:pPr>
        <w:pStyle w:val="BodyText"/>
      </w:pPr>
      <w:r>
        <w:t xml:space="preserve">La formule d’interpolation pour toute maturité</w:t>
      </w:r>
      <w:r>
        <w:t xml:space="preserve"> </w:t>
      </w:r>
      <m:oMath>
        <m:r>
          <m:t>j</m:t>
        </m:r>
      </m:oMath>
      <w:r>
        <w:t xml:space="preserve"> </w:t>
      </w:r>
      <w:r>
        <w:t xml:space="preserve">allant de</w:t>
      </w:r>
      <w:r>
        <w:t xml:space="preserve"> </w:t>
      </w:r>
      <m:oMath>
        <m:r>
          <m:t>1</m:t>
        </m:r>
        <m:r>
          <m:rPr>
            <m:sty m:val="p"/>
          </m:rPr>
          <m:t>,</m:t>
        </m:r>
        <m:r>
          <m:t>2</m:t>
        </m:r>
        <m:r>
          <m:rPr>
            <m:sty m:val="p"/>
          </m:rPr>
          <m:t>,</m:t>
        </m:r>
        <m:r>
          <m:rPr>
            <m:sty m:val="p"/>
          </m:rPr>
          <m:t>…</m:t>
        </m:r>
        <m:r>
          <m:rPr>
            <m:sty m:val="p"/>
          </m:rPr>
          <m:t>,</m:t>
        </m:r>
        <m:r>
          <m:t>D</m:t>
        </m:r>
        <m:r>
          <m:t>P</m:t>
        </m:r>
        <m:r>
          <m:t>L</m:t>
        </m:r>
      </m:oMath>
      <w:r>
        <w:t xml:space="preserve"> </w:t>
      </w:r>
      <w:r>
        <w:t xml:space="preserve">est la suivante :</w:t>
      </w:r>
    </w:p>
    <w:p>
      <w:pPr>
        <w:pStyle w:val="BodyText"/>
      </w:pPr>
      <m:oMathPara>
        <m:oMathParaPr>
          <m:jc m:val="center"/>
        </m:oMathParaPr>
        <m:oMath>
          <m:sSub>
            <m:e>
              <m:r>
                <m:t>t</m:t>
              </m:r>
            </m:e>
            <m:sub>
              <m:r>
                <m:t>j</m:t>
              </m:r>
            </m:sub>
          </m:sSub>
          <m:r>
            <m:rPr>
              <m:sty m:val="p"/>
            </m:rPr>
            <m:t>=</m:t>
          </m:r>
          <m:sSub>
            <m:e>
              <m:r>
                <m:t>t</m:t>
              </m:r>
            </m:e>
            <m:sub>
              <m:r>
                <m:t>i</m:t>
              </m:r>
            </m:sub>
          </m:sSub>
          <m:r>
            <m:rPr>
              <m:sty m:val="p"/>
            </m:rPr>
            <m:t>+</m:t>
          </m:r>
          <m:f>
            <m:fPr>
              <m:type m:val="bar"/>
            </m:fPr>
            <m:num>
              <m:sSub>
                <m:e>
                  <m:r>
                    <m:t>t</m:t>
                  </m:r>
                </m:e>
                <m:sub>
                  <m:r>
                    <m:t>i</m:t>
                  </m:r>
                  <m:r>
                    <m:rPr>
                      <m:sty m:val="p"/>
                    </m:rPr>
                    <m:t>+</m:t>
                  </m:r>
                  <m:r>
                    <m:t>1</m:t>
                  </m:r>
                </m:sub>
              </m:sSub>
              <m:r>
                <m:rPr>
                  <m:sty m:val="p"/>
                </m:rPr>
                <m:t>−</m:t>
              </m:r>
              <m:sSub>
                <m:e>
                  <m:r>
                    <m:t>t</m:t>
                  </m:r>
                </m:e>
                <m:sub>
                  <m:r>
                    <m:t>i</m:t>
                  </m:r>
                </m:sub>
              </m:sSub>
            </m:num>
            <m:den>
              <m:sSub>
                <m:e>
                  <m:r>
                    <m:t>n</m:t>
                  </m:r>
                </m:e>
                <m:sub>
                  <m:r>
                    <m:t>i</m:t>
                  </m:r>
                  <m:r>
                    <m:rPr>
                      <m:sty m:val="p"/>
                    </m:rPr>
                    <m:t>+</m:t>
                  </m:r>
                  <m:r>
                    <m:t>1</m:t>
                  </m:r>
                </m:sub>
              </m:sSub>
              <m:r>
                <m:rPr>
                  <m:sty m:val="p"/>
                </m:rPr>
                <m:t>−</m:t>
              </m:r>
              <m:sSub>
                <m:e>
                  <m:r>
                    <m:t>n</m:t>
                  </m:r>
                </m:e>
                <m:sub>
                  <m:r>
                    <m:t>i</m:t>
                  </m:r>
                </m:sub>
              </m:sSub>
            </m:den>
          </m:f>
          <m:r>
            <m:rPr>
              <m:sty m:val="p"/>
            </m:rPr>
            <m:t>*</m:t>
          </m:r>
          <m:d>
            <m:dPr>
              <m:begChr m:val="("/>
              <m:endChr m:val=")"/>
              <m:sepChr m:val=""/>
              <m:grow/>
            </m:dPr>
            <m:e>
              <m:r>
                <m:t>j</m:t>
              </m:r>
              <m:r>
                <m:rPr>
                  <m:sty m:val="p"/>
                </m:rPr>
                <m:t>−</m:t>
              </m:r>
              <m:sSub>
                <m:e>
                  <m:r>
                    <m:t>n</m:t>
                  </m:r>
                </m:e>
                <m:sub>
                  <m:r>
                    <m:t>i</m:t>
                  </m:r>
                </m:sub>
              </m:sSub>
            </m:e>
          </m:d>
        </m:oMath>
      </m:oMathPara>
    </w:p>
    <w:p>
      <w:pPr>
        <w:pStyle w:val="FirstParagraph"/>
      </w:pPr>
      <w:r>
        <w:t xml:space="preserve">Avec :</w:t>
      </w:r>
    </w:p>
    <w:p>
      <w:pPr>
        <w:pStyle w:val="BodyText"/>
      </w:pPr>
      <m:oMath>
        <m:sSub>
          <m:e>
            <m:r>
              <m:t>t</m:t>
            </m:r>
          </m:e>
          <m:sub>
            <m:r>
              <m:t>j</m:t>
            </m:r>
          </m:sub>
        </m:sSub>
      </m:oMath>
      <w:r>
        <w:t xml:space="preserve"> </w:t>
      </w:r>
      <w:r>
        <w:t xml:space="preserve">: Taux actuariels de maturité pleine j compris entre les maturités n_i et n_(i+1).</w:t>
      </w:r>
    </w:p>
    <w:p>
      <w:pPr>
        <w:pStyle w:val="BodyText"/>
      </w:pPr>
      <m:oMath>
        <m:sSub>
          <m:e>
            <m:r>
              <m:t>t</m:t>
            </m:r>
          </m:e>
          <m:sub>
            <m:r>
              <m:t>i</m:t>
            </m:r>
          </m:sub>
        </m:sSub>
      </m:oMath>
      <w:r>
        <w:t xml:space="preserve"> </w:t>
      </w:r>
      <w:r>
        <w:t xml:space="preserve">: Taux actuariels de maturités n_i.</w:t>
      </w:r>
    </w:p>
    <w:bookmarkEnd w:id="43"/>
    <w:bookmarkStart w:id="44" w:name="la-méthode-de-bootstrap"/>
    <w:p>
      <w:pPr>
        <w:pStyle w:val="Heading3"/>
      </w:pPr>
      <w:r>
        <w:t xml:space="preserve">4.3 la méthode de Bootstrap:</w:t>
      </w:r>
    </w:p>
    <w:p>
      <w:pPr>
        <w:pStyle w:val="FirstParagraph"/>
      </w:pPr>
      <w:r>
        <w:t xml:space="preserve">Le Bootstrap est une technique de reconstitution de la courbe zéro-coupon pas à pas, en déterminant les taux zéro-coupon à partir des taux actuariels, en faisant l’hypothèse que le prix théorique d’une obligation correspond à la somme de ses flux futures actualisés aux taux zéro-coupon de l’échéance de chaque flux. Ainsi, on suppose que les prix des obligations des Bons du trésor sont au pair, c’est-à-dire que le prix d’émission des obligations des bons du trésor et leur valeur nominale sont égaux.</w:t>
      </w:r>
    </w:p>
    <w:p>
      <w:pPr>
        <w:numPr>
          <w:ilvl w:val="0"/>
          <w:numId w:val="1004"/>
        </w:numPr>
        <w:pStyle w:val="Compact"/>
      </w:pPr>
      <w:r>
        <w:rPr>
          <w:bCs/>
          <w:b/>
        </w:rPr>
        <w:t xml:space="preserve">Pour une maturité inferieure ou égale a un an</w:t>
      </w:r>
      <w:r>
        <w:t xml:space="preserve"> </w:t>
      </w:r>
      <w:r>
        <w:t xml:space="preserve">:</w:t>
      </w:r>
    </w:p>
    <w:p>
      <w:pPr>
        <w:pStyle w:val="FirstParagraph"/>
      </w:pPr>
      <w:r>
        <w:t xml:space="preserve">Le taux zéro-coupon est donc le taux actuariel de même maturité. Car aucun coupon n’est payé avant l’échéance.</w:t>
      </w:r>
    </w:p>
    <w:p>
      <w:pPr>
        <w:numPr>
          <w:ilvl w:val="0"/>
          <w:numId w:val="1005"/>
        </w:numPr>
        <w:pStyle w:val="Compact"/>
      </w:pPr>
      <w:r>
        <w:rPr>
          <w:bCs/>
          <w:b/>
        </w:rPr>
        <w:t xml:space="preserve">Pour une maturité supérieure à un an</w:t>
      </w:r>
      <w:r>
        <w:t xml:space="preserve"> </w:t>
      </w:r>
      <w:r>
        <w:t xml:space="preserve">:</w:t>
      </w:r>
    </w:p>
    <w:p>
      <w:pPr>
        <w:pStyle w:val="FirstParagraph"/>
      </w:pPr>
      <w:r>
        <w:t xml:space="preserve">Le taux zéro-coupon est calculé par la formule suivante :</w:t>
      </w:r>
    </w:p>
    <w:p>
      <w:pPr>
        <w:pStyle w:val="BodyText"/>
      </w:pPr>
      <m:oMathPara>
        <m:oMathParaPr>
          <m:jc m:val="center"/>
        </m:oMathParaPr>
        <m:oMath>
          <m:sSub>
            <m:e>
              <m:r>
                <m:t>R</m:t>
              </m:r>
            </m:e>
            <m:sub>
              <m:r>
                <m:t>n</m:t>
              </m:r>
            </m:sub>
          </m:sSub>
          <m:r>
            <m:rPr>
              <m:sty m:val="p"/>
            </m:rPr>
            <m:t>=</m:t>
          </m:r>
          <m:rad>
            <m:deg>
              <m:r>
                <m:t>n</m:t>
              </m:r>
            </m:deg>
            <m:e>
              <m:f>
                <m:fPr>
                  <m:type m:val="bar"/>
                </m:fPr>
                <m:num>
                  <m:r>
                    <m:t>1</m:t>
                  </m:r>
                  <m:r>
                    <m:rPr>
                      <m:sty m:val="p"/>
                    </m:rPr>
                    <m:t>+</m:t>
                  </m:r>
                  <m:sSub>
                    <m:e>
                      <m:r>
                        <m:t>t</m:t>
                      </m:r>
                    </m:e>
                    <m:sub>
                      <m:r>
                        <m:t>n</m:t>
                      </m:r>
                    </m:sub>
                  </m:sSub>
                </m:num>
                <m:den>
                  <m:r>
                    <m:t>1</m:t>
                  </m:r>
                  <m:r>
                    <m:rPr>
                      <m:sty m:val="p"/>
                    </m:rPr>
                    <m:t>−</m:t>
                  </m:r>
                  <m:sSub>
                    <m:e>
                      <m:r>
                        <m:t>t</m:t>
                      </m:r>
                    </m:e>
                    <m:sub>
                      <m:r>
                        <m:t>n</m:t>
                      </m:r>
                    </m:sub>
                  </m:sSub>
                  <m:r>
                    <m:rPr>
                      <m:sty m:val="p"/>
                    </m:rPr>
                    <m:t>×</m:t>
                  </m:r>
                  <m:nary>
                    <m:naryPr>
                      <m:chr m:val="∑"/>
                      <m:limLoc m:val="undOvr"/>
                      <m:subHide m:val="0"/>
                      <m:supHide m:val="0"/>
                    </m:naryPr>
                    <m:sub>
                      <m:r>
                        <m:t>i</m:t>
                      </m:r>
                      <m:r>
                        <m:rPr>
                          <m:sty m:val="p"/>
                        </m:rPr>
                        <m:t>=</m:t>
                      </m:r>
                      <m:r>
                        <m:t>1</m:t>
                      </m:r>
                    </m:sub>
                    <m:sup>
                      <m:r>
                        <m:t>n</m:t>
                      </m:r>
                      <m:r>
                        <m:rPr>
                          <m:sty m:val="p"/>
                        </m:rPr>
                        <m:t>−</m:t>
                      </m:r>
                      <m:r>
                        <m:t>1</m:t>
                      </m:r>
                    </m:sup>
                    <m:e>
                      <m:f>
                        <m:fPr>
                          <m:type m:val="bar"/>
                        </m:fPr>
                        <m:num>
                          <m:r>
                            <m:t>1</m:t>
                          </m:r>
                        </m:num>
                        <m:den>
                          <m:sSup>
                            <m:e>
                              <m:d>
                                <m:dPr>
                                  <m:begChr m:val="("/>
                                  <m:endChr m:val=")"/>
                                  <m:sepChr m:val=""/>
                                  <m:grow/>
                                </m:dPr>
                                <m:e>
                                  <m:r>
                                    <m:t>1</m:t>
                                  </m:r>
                                  <m:r>
                                    <m:rPr>
                                      <m:sty m:val="p"/>
                                    </m:rPr>
                                    <m:t>+</m:t>
                                  </m:r>
                                  <m:sSub>
                                    <m:e>
                                      <m:r>
                                        <m:t>R</m:t>
                                      </m:r>
                                    </m:e>
                                    <m:sub>
                                      <m:r>
                                        <m:t>i</m:t>
                                      </m:r>
                                    </m:sub>
                                  </m:sSub>
                                </m:e>
                              </m:d>
                            </m:e>
                            <m:sup>
                              <m:r>
                                <m:t>i</m:t>
                              </m:r>
                            </m:sup>
                          </m:sSup>
                        </m:den>
                      </m:f>
                    </m:e>
                  </m:nary>
                </m:den>
              </m:f>
            </m:e>
          </m:rad>
          <m:r>
            <m:rPr>
              <m:sty m:val="p"/>
            </m:rPr>
            <m:t>−</m:t>
          </m:r>
          <m:r>
            <m:t>1</m:t>
          </m:r>
        </m:oMath>
      </m:oMathPara>
    </w:p>
    <w:bookmarkEnd w:id="44"/>
    <w:bookmarkStart w:id="45" w:name="X336f36db0687334b747abecf8d379445810500d"/>
    <w:p>
      <w:pPr>
        <w:pStyle w:val="Heading3"/>
      </w:pPr>
      <w:r>
        <w:t xml:space="preserve">4.4 Extrapolation de la courbe des taux zéro-coupon : méthode de Smith-Wilson</w:t>
      </w:r>
    </w:p>
    <w:p>
      <w:pPr>
        <w:pStyle w:val="FirstParagraph"/>
      </w:pPr>
      <w:r>
        <w:t xml:space="preserve">La méthode Smith-Wilson est une méthode d’extrapolation de la courbe des taux d’intérêt développée par les chercheurs Smith et Wilson en 1995, et est utilisée pour extrapoler les taux à long terme. Son principe est d’ajuster une courbe mathématique à la courbe des taux observée sur le marché, en utilisant une fonction spécifique appelée</w:t>
      </w:r>
      <w:r>
        <w:t xml:space="preserve"> </w:t>
      </w:r>
      <w:r>
        <w:t xml:space="preserve">“</w:t>
      </w:r>
      <w:r>
        <w:t xml:space="preserve">fonction de Smith-Wilson</w:t>
      </w:r>
      <w:r>
        <w:t xml:space="preserve">”</w:t>
      </w:r>
      <w:r>
        <w:t xml:space="preserve">. Cette fonction est une combinaison de deux termes : le premier terme représente une fonction de décroissance exponentielle, qui est utilisée pour modéliser la partie courte de la courbe des taux ; le second terme est une fonction polynomiale qui est utilisée pour modéliser la partie longue de la courbe des taux.</w:t>
      </w:r>
    </w:p>
    <w:p>
      <w:pPr>
        <w:pStyle w:val="BodyText"/>
      </w:pPr>
      <w:r>
        <w:t xml:space="preserve">Une fois que la fonction de Smith-Wilson a été ajustée à la courbe des taux, elle peut être utilisée pour extrapoler les taux pour des maturités plus longues que celles disponibles sur le marché. Cette extrapolation est possible car la fonction de Smith-Wilson est conçue pour s’adapter de manière continue à la fois à la partie courte et à la partie longue de la courbe des taux.</w:t>
      </w:r>
    </w:p>
    <w:p>
      <w:pPr>
        <w:pStyle w:val="BodyText"/>
      </w:pPr>
      <w:r>
        <w:t xml:space="preserve">dans ce modèle le taux à terme à long terme est un paramètre d’entrée fixe qui ne varie pas dans le temps à mesure qu’évoluent les prix des obligations. Elle permet aux taux à terme à long terme de converger vers le taux « infini »(Ultimate Forward Rate) choisi et elle offre une base solide pour couvrir le risque de taux d’intérêt à long terme.</w:t>
      </w:r>
    </w:p>
    <w:p>
      <w:pPr>
        <w:pStyle w:val="BodyText"/>
      </w:pPr>
      <w:r>
        <w:t xml:space="preserve">Les paramètres d’entrée sont les suivants :</w:t>
      </w:r>
    </w:p>
    <w:p>
      <w:pPr>
        <w:numPr>
          <w:ilvl w:val="0"/>
          <w:numId w:val="1006"/>
        </w:numPr>
        <w:pStyle w:val="Compact"/>
      </w:pPr>
      <w:r>
        <w:t xml:space="preserve">le UFR (Ultimate Forward Rate)</w:t>
      </w:r>
    </w:p>
    <w:p>
      <w:pPr>
        <w:numPr>
          <w:ilvl w:val="0"/>
          <w:numId w:val="1006"/>
        </w:numPr>
        <w:pStyle w:val="Compact"/>
      </w:pPr>
      <m:oMath>
        <m:r>
          <m:t>α</m:t>
        </m:r>
      </m:oMath>
      <w:r>
        <w:t xml:space="preserve"> </w:t>
      </w:r>
      <w:r>
        <w:t xml:space="preserve">la vitesse de convergence vers le UFR.</w:t>
      </w:r>
    </w:p>
    <w:p>
      <w:pPr>
        <w:pStyle w:val="FirstParagraph"/>
      </w:pPr>
      <w:r>
        <w:t xml:space="preserve">En fait, sur le marché on observe les prix zéro-coupons de différentes maturités</w:t>
      </w:r>
      <w:r>
        <w:t xml:space="preserve"> </w:t>
      </w:r>
      <m:oMath>
        <m:sSub>
          <m:e>
            <m:r>
              <m:t>u</m:t>
            </m:r>
          </m:e>
          <m:sub>
            <m:r>
              <m:t>1</m:t>
            </m:r>
          </m:sub>
        </m:sSub>
        <m:r>
          <m:rPr>
            <m:sty m:val="p"/>
          </m:rPr>
          <m:t>,</m:t>
        </m:r>
        <m:sSub>
          <m:e>
            <m:r>
              <m:t>u</m:t>
            </m:r>
          </m:e>
          <m:sub>
            <m:r>
              <m:t>2</m:t>
            </m:r>
          </m:sub>
        </m:sSub>
        <m:r>
          <m:rPr>
            <m:sty m:val="p"/>
          </m:rPr>
          <m:t>,</m:t>
        </m:r>
        <m:r>
          <m:rPr>
            <m:sty m:val="p"/>
          </m:rPr>
          <m:t>…</m:t>
        </m:r>
        <m:r>
          <m:rPr>
            <m:sty m:val="p"/>
          </m:rPr>
          <m:t>.</m:t>
        </m:r>
        <m:r>
          <m:rPr>
            <m:sty m:val="p"/>
          </m:rPr>
          <m:t>,</m:t>
        </m:r>
        <m:sSub>
          <m:e>
            <m:r>
              <m:t>u</m:t>
            </m:r>
          </m:e>
          <m:sub>
            <m:r>
              <m:t>N</m:t>
            </m:r>
          </m:sub>
        </m:sSub>
      </m:oMath>
      <w:r>
        <w:t xml:space="preserve"> </w:t>
      </w:r>
      <w:r>
        <w:t xml:space="preserve">alors Smith-Wilson suppose que le facteur d’actualisation $P(</w:t>
      </w:r>
      <w:r>
        <w:t xml:space="preserve">) $ est déterminé par:</w:t>
      </w:r>
    </w:p>
    <w:p>
      <w:pPr>
        <w:pStyle w:val="BodyText"/>
      </w:pPr>
      <m:oMathPara>
        <m:oMathParaPr>
          <m:jc m:val="center"/>
        </m:oMathParaPr>
        <m:oMath>
          <m:r>
            <m:t>P</m:t>
          </m:r>
          <m:d>
            <m:dPr>
              <m:begChr m:val="("/>
              <m:endChr m:val=")"/>
              <m:sepChr m:val=""/>
              <m:grow/>
            </m:dPr>
            <m:e>
              <m:r>
                <m:t>τ</m:t>
              </m:r>
            </m:e>
          </m:d>
          <m:r>
            <m:rPr>
              <m:sty m:val="p"/>
            </m:rPr>
            <m:t>=</m:t>
          </m:r>
          <m:sSup>
            <m:e>
              <m:r>
                <m:t>e</m:t>
              </m:r>
            </m:e>
            <m:sup>
              <m:r>
                <m:rPr>
                  <m:sty m:val="p"/>
                </m:rPr>
                <m:t>−</m:t>
              </m:r>
              <m:r>
                <m:t>U</m:t>
              </m:r>
              <m:r>
                <m:t>F</m:t>
              </m:r>
              <m:r>
                <m:t>R</m:t>
              </m:r>
              <m:r>
                <m:rPr>
                  <m:sty m:val="p"/>
                </m:rPr>
                <m:t>*</m:t>
              </m:r>
              <m:r>
                <m:t>τ</m:t>
              </m:r>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Où:</w:t>
      </w:r>
    </w:p>
    <w:p>
      <w:pPr>
        <w:pStyle w:val="BodyText"/>
      </w:pPr>
      <m:oMathPara>
        <m:oMathParaPr>
          <m:jc m:val="center"/>
        </m:oMathParaPr>
        <m:oMath>
          <m:r>
            <m:t>W</m:t>
          </m:r>
          <m:d>
            <m:dPr>
              <m:begChr m:val="("/>
              <m:endChr m:val=")"/>
              <m:sepChr m:val=""/>
              <m:grow/>
            </m:dPr>
            <m:e>
              <m:r>
                <m:t>τ</m:t>
              </m:r>
              <m:r>
                <m:rPr>
                  <m:sty m:val="p"/>
                </m:rPr>
                <m:t>,</m:t>
              </m:r>
              <m:sSub>
                <m:e>
                  <m:r>
                    <m:t>μ</m:t>
                  </m:r>
                </m:e>
                <m:sub>
                  <m:r>
                    <m:t>j</m:t>
                  </m:r>
                </m:sub>
              </m:sSub>
            </m:e>
          </m:d>
          <m:r>
            <m:rPr>
              <m:sty m:val="p"/>
            </m:rPr>
            <m:t>=</m:t>
          </m:r>
          <m:sSup>
            <m:e>
              <m:r>
                <m:t>e</m:t>
              </m:r>
            </m:e>
            <m:sup>
              <m:r>
                <m:rPr>
                  <m:sty m:val="p"/>
                </m:rPr>
                <m:t>−</m:t>
              </m:r>
              <m:r>
                <m:t>U</m:t>
              </m:r>
              <m:r>
                <m:t>F</m:t>
              </m:r>
              <m:r>
                <m:t>R</m:t>
              </m:r>
              <m:r>
                <m:rPr>
                  <m:sty m:val="p"/>
                </m:rPr>
                <m:t>*</m:t>
              </m:r>
              <m:d>
                <m:dPr>
                  <m:begChr m:val="("/>
                  <m:endChr m:val=")"/>
                  <m:sepChr m:val=""/>
                  <m:grow/>
                </m:dPr>
                <m:e>
                  <m:r>
                    <m:t>τ</m:t>
                  </m:r>
                  <m:r>
                    <m:rPr>
                      <m:sty m:val="p"/>
                    </m:rPr>
                    <m:t>+</m:t>
                  </m:r>
                  <m:sSub>
                    <m:e>
                      <m:r>
                        <m:t>μ</m:t>
                      </m:r>
                    </m:e>
                    <m:sub>
                      <m:r>
                        <m:t>j</m:t>
                      </m:r>
                    </m:sub>
                  </m:sSub>
                </m:e>
              </m:d>
            </m:sup>
          </m:sSup>
          <m:r>
            <m:rPr>
              <m:sty m:val="p"/>
            </m:rPr>
            <m:t>*</m:t>
          </m:r>
          <m:d>
            <m:dPr>
              <m:begChr m:val="["/>
              <m:endChr m:val="]"/>
              <m:sepChr m:val=""/>
              <m:grow/>
            </m:dPr>
            <m:e>
              <m:r>
                <m:t>α</m:t>
              </m:r>
              <m:r>
                <m:rPr>
                  <m:sty m:val="p"/>
                </m:rPr>
                <m:t>*</m:t>
              </m:r>
              <m:r>
                <m:t>m</m:t>
              </m:r>
              <m:r>
                <m:t>i</m:t>
              </m:r>
              <m:r>
                <m:t>n</m:t>
              </m:r>
              <m:d>
                <m:dPr>
                  <m:begChr m:val="("/>
                  <m:endChr m:val=")"/>
                  <m:sepChr m:val=""/>
                  <m:grow/>
                </m:dPr>
                <m:e>
                  <m:r>
                    <m:t>τ</m:t>
                  </m:r>
                  <m:r>
                    <m:rPr>
                      <m:sty m:val="p"/>
                    </m:rPr>
                    <m:t>,</m:t>
                  </m:r>
                  <m:sSub>
                    <m:e>
                      <m:r>
                        <m:t>μ</m:t>
                      </m:r>
                    </m:e>
                    <m:sub>
                      <m:r>
                        <m:t>j</m:t>
                      </m:r>
                    </m:sub>
                  </m:sSub>
                </m:e>
              </m:d>
              <m:r>
                <m:rPr>
                  <m:sty m:val="p"/>
                </m:rPr>
                <m:t>−</m:t>
              </m:r>
              <m:r>
                <m:t>0</m:t>
              </m:r>
              <m:r>
                <m:rPr>
                  <m:sty m:val="p"/>
                </m:rPr>
                <m:t>,</m:t>
              </m:r>
              <m:r>
                <m:t>5</m:t>
              </m:r>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r>
                <m:rPr>
                  <m:sty m:val="p"/>
                </m:rPr>
                <m:t>*</m:t>
              </m:r>
              <m:d>
                <m:dPr>
                  <m:begChr m:val="("/>
                  <m:endChr m:val=")"/>
                  <m:sepChr m:val=""/>
                  <m:grow/>
                </m:dPr>
                <m:e>
                  <m:sSup>
                    <m:e>
                      <m:r>
                        <m:t>e</m:t>
                      </m:r>
                    </m:e>
                    <m:sup>
                      <m:r>
                        <m:t>α</m:t>
                      </m:r>
                      <m:r>
                        <m:rPr>
                          <m:sty m:val="p"/>
                        </m:rPr>
                        <m:t>*</m:t>
                      </m:r>
                      <m:r>
                        <m:t>m</m:t>
                      </m:r>
                      <m:r>
                        <m:t>i</m:t>
                      </m:r>
                      <m:r>
                        <m:t>n</m:t>
                      </m:r>
                      <m:d>
                        <m:dPr>
                          <m:begChr m:val="("/>
                          <m:endChr m:val=")"/>
                          <m:sepChr m:val=""/>
                          <m:grow/>
                        </m:dPr>
                        <m:e>
                          <m:r>
                            <m:t>τ</m:t>
                          </m:r>
                          <m:r>
                            <m:rPr>
                              <m:sty m:val="p"/>
                            </m:rPr>
                            <m:t>,</m:t>
                          </m:r>
                          <m:sSub>
                            <m:e>
                              <m:r>
                                <m:t>μ</m:t>
                              </m:r>
                            </m:e>
                            <m:sub>
                              <m:r>
                                <m:t>j</m:t>
                              </m:r>
                            </m:sub>
                          </m:sSub>
                        </m:e>
                      </m:d>
                    </m:sup>
                  </m:sSup>
                  <m:r>
                    <m:rPr>
                      <m:sty m:val="p"/>
                    </m:rPr>
                    <m:t>−</m:t>
                  </m:r>
                  <m:sSup>
                    <m:e>
                      <m:r>
                        <m:t>e</m:t>
                      </m:r>
                    </m:e>
                    <m:sup>
                      <m:r>
                        <m:rPr>
                          <m:sty m:val="p"/>
                        </m:rPr>
                        <m:t>−</m:t>
                      </m:r>
                      <m:r>
                        <m:t>α</m:t>
                      </m:r>
                      <m:r>
                        <m:rPr>
                          <m:sty m:val="p"/>
                        </m:rPr>
                        <m:t>*</m:t>
                      </m:r>
                      <m:r>
                        <m:t>m</m:t>
                      </m:r>
                      <m:r>
                        <m:t>a</m:t>
                      </m:r>
                      <m:r>
                        <m:t>x</m:t>
                      </m:r>
                      <m:d>
                        <m:dPr>
                          <m:begChr m:val="("/>
                          <m:endChr m:val=")"/>
                          <m:sepChr m:val=""/>
                          <m:grow/>
                        </m:dPr>
                        <m:e>
                          <m:r>
                            <m:t>τ</m:t>
                          </m:r>
                          <m:r>
                            <m:rPr>
                              <m:sty m:val="p"/>
                            </m:rPr>
                            <m:t>,</m:t>
                          </m:r>
                          <m:sSub>
                            <m:e>
                              <m:r>
                                <m:t>μ</m:t>
                              </m:r>
                            </m:e>
                            <m:sub>
                              <m:r>
                                <m:t>j</m:t>
                              </m:r>
                            </m:sub>
                          </m:sSub>
                        </m:e>
                      </m:d>
                    </m:sup>
                  </m:sSup>
                </m:e>
              </m:d>
            </m:e>
          </m:d>
        </m:oMath>
      </m:oMathPara>
    </w:p>
    <w:p>
      <w:pPr>
        <w:pStyle w:val="FirstParagraph"/>
      </w:pPr>
      <w:r>
        <w:t xml:space="preserve">Avec :</w:t>
      </w:r>
    </w:p>
    <w:p>
      <w:pPr>
        <w:numPr>
          <w:ilvl w:val="0"/>
          <w:numId w:val="1007"/>
        </w:numPr>
        <w:pStyle w:val="Compact"/>
      </w:pPr>
      <m:oMath>
        <m:r>
          <m:t>W</m:t>
        </m:r>
      </m:oMath>
      <w:r>
        <w:t xml:space="preserve"> </w:t>
      </w:r>
      <w:r>
        <w:t xml:space="preserve">représente un ensemble de fonctions à noyau pour chaque prix d’obligation observable d’entrée.</w:t>
      </w:r>
    </w:p>
    <w:p>
      <w:pPr>
        <w:numPr>
          <w:ilvl w:val="0"/>
          <w:numId w:val="1007"/>
        </w:numPr>
        <w:pStyle w:val="Compact"/>
      </w:pPr>
      <m:oMath>
        <m:r>
          <m:t>α</m:t>
        </m:r>
      </m:oMath>
      <w:r>
        <w:t xml:space="preserve"> </w:t>
      </w:r>
      <w:r>
        <w:t xml:space="preserve">: la vitesse de convergence vers le UFR.</w:t>
      </w:r>
    </w:p>
    <w:p>
      <w:pPr>
        <w:numPr>
          <w:ilvl w:val="0"/>
          <w:numId w:val="1007"/>
        </w:numPr>
        <w:pStyle w:val="Compact"/>
      </w:pPr>
      <m:oMath>
        <m:r>
          <m:t>N</m:t>
        </m:r>
      </m:oMath>
      <w:r>
        <w:t xml:space="preserve">: le nombre d’obligations ZC dont le prix est observésur le marché.</w:t>
      </w:r>
    </w:p>
    <w:p>
      <w:pPr>
        <w:numPr>
          <w:ilvl w:val="0"/>
          <w:numId w:val="1007"/>
        </w:numPr>
        <w:pStyle w:val="Compact"/>
      </w:pPr>
      <m:oMath>
        <m:sSub>
          <m:e>
            <m:r>
              <m:t>u</m:t>
            </m:r>
          </m:e>
          <m:sub>
            <m:r>
              <m:t>j</m:t>
            </m:r>
          </m:sub>
        </m:sSub>
      </m:oMath>
      <w:r>
        <w:t xml:space="preserve">: la j-ème maturité disponible. .</w:t>
      </w:r>
    </w:p>
    <w:p>
      <w:pPr>
        <w:numPr>
          <w:ilvl w:val="0"/>
          <w:numId w:val="1007"/>
        </w:numPr>
        <w:pStyle w:val="Compact"/>
      </w:pPr>
      <m:oMath>
        <m:sSub>
          <m:e>
            <m:r>
              <m:t>γ</m:t>
            </m:r>
          </m:e>
          <m:sub>
            <m:r>
              <m:t>j</m:t>
            </m:r>
          </m:sub>
        </m:sSub>
      </m:oMath>
      <w:r>
        <w:t xml:space="preserve"> </w:t>
      </w:r>
      <w:r>
        <w:t xml:space="preserve">: les inconnus à ajuster par rapport à la courbe des taux zéro-coupon disponible avant extrapolation.</w:t>
      </w:r>
    </w:p>
    <w:p>
      <w:pPr>
        <w:pStyle w:val="FirstParagraph"/>
      </w:pPr>
      <w:r>
        <w:t xml:space="preserve">Pour déterminer ces inconnus, on fixe d’abord</w:t>
      </w:r>
      <w:r>
        <w:t xml:space="preserve"> </w:t>
      </w:r>
      <m:oMath>
        <m:r>
          <m:t>U</m:t>
        </m:r>
        <m:r>
          <m:t>F</m:t>
        </m:r>
        <m:r>
          <m:t>R</m:t>
        </m:r>
      </m:oMath>
      <w:r>
        <w:t xml:space="preserve"> </w:t>
      </w:r>
      <w:r>
        <w:t xml:space="preserve">et</w:t>
      </w:r>
      <w:r>
        <w:t xml:space="preserve"> </w:t>
      </w:r>
      <m:oMath>
        <m:r>
          <m:t>α</m:t>
        </m:r>
      </m:oMath>
      <w:r>
        <w:t xml:space="preserve">,le vecteur</w:t>
      </w:r>
      <w:r>
        <w:t xml:space="preserve"> </w:t>
      </w:r>
      <m:oMath>
        <m:r>
          <m:t>γ</m:t>
        </m:r>
      </m:oMath>
      <w:r>
        <w:t xml:space="preserve"> </w:t>
      </w:r>
      <w:r>
        <w:t xml:space="preserve">s’obtient comme solution d’un système d’équations linéaires définies par l’expression du prix de chaque obligation ZC considérée.</w:t>
      </w:r>
    </w:p>
    <w:p>
      <w:pPr>
        <w:pStyle w:val="BodyText"/>
      </w:pPr>
      <w:r>
        <w:t xml:space="preserve">Soit :</w:t>
      </w:r>
    </w:p>
    <w:p>
      <w:pPr>
        <w:pStyle w:val="BodyText"/>
      </w:pPr>
      <m:oMathPara>
        <m:oMathParaPr>
          <m:jc m:val="center"/>
        </m:oMathParaPr>
        <m:oMath>
          <m:sSub>
            <m:e>
              <m:r>
                <m:t>m</m:t>
              </m:r>
            </m:e>
            <m:sub>
              <m:r>
                <m:t>j</m:t>
              </m:r>
            </m:sub>
          </m:sSub>
          <m:r>
            <m:rPr>
              <m:sty m:val="p"/>
            </m:rPr>
            <m:t>=</m:t>
          </m:r>
          <m:r>
            <m:t>P</m:t>
          </m:r>
          <m:d>
            <m:dPr>
              <m:begChr m:val="("/>
              <m:endChr m:val=")"/>
              <m:sepChr m:val=""/>
              <m:grow/>
            </m:dPr>
            <m:e>
              <m:sSub>
                <m:e>
                  <m:r>
                    <m:t>μ</m:t>
                  </m:r>
                </m:e>
                <m:sub>
                  <m:r>
                    <m:t>j</m:t>
                  </m:r>
                </m:sub>
              </m:sSub>
            </m:e>
          </m:d>
          <m:r>
            <m:rPr>
              <m:sty m:val="p"/>
            </m:rPr>
            <m:t>=</m:t>
          </m:r>
          <m:sSup>
            <m:e>
              <m:r>
                <m:t>e</m:t>
              </m:r>
            </m:e>
            <m:sup>
              <m:r>
                <m:rPr>
                  <m:sty m:val="p"/>
                </m:rPr>
                <m:t>−</m:t>
              </m:r>
              <m:r>
                <m:t>U</m:t>
              </m:r>
              <m:r>
                <m:t>F</m:t>
              </m:r>
              <m:r>
                <m:t>R</m:t>
              </m:r>
              <m:r>
                <m:rPr>
                  <m:sty m:val="p"/>
                </m:rPr>
                <m:t>*</m:t>
              </m:r>
              <m:sSub>
                <m:e>
                  <m:r>
                    <m:t>μ</m:t>
                  </m:r>
                </m:e>
                <m:sub>
                  <m:r>
                    <m:t>j</m:t>
                  </m:r>
                </m:sub>
              </m:sSub>
            </m:sup>
          </m:sSup>
          <m:r>
            <m:rPr>
              <m:sty m:val="p"/>
            </m:rPr>
            <m:t>+</m:t>
          </m:r>
          <m:nary>
            <m:naryPr>
              <m:chr m:val="∑"/>
              <m:limLoc m:val="undOvr"/>
              <m:subHide m:val="0"/>
              <m:supHide m:val="0"/>
            </m:naryPr>
            <m:sub>
              <m:r>
                <m:t>j</m:t>
              </m:r>
              <m:r>
                <m:rPr>
                  <m:sty m:val="p"/>
                </m:rPr>
                <m:t>=</m:t>
              </m:r>
              <m:r>
                <m:t>1</m:t>
              </m:r>
            </m:sub>
            <m:sup>
              <m:r>
                <m:t>N</m:t>
              </m:r>
            </m:sup>
            <m:e>
              <m:sSub>
                <m:e>
                  <m:r>
                    <m:t>γ</m:t>
                  </m:r>
                </m:e>
                <m:sub>
                  <m:r>
                    <m:t>j</m:t>
                  </m:r>
                </m:sub>
              </m:sSub>
            </m:e>
          </m:nary>
          <m:r>
            <m:rPr>
              <m:sty m:val="p"/>
            </m:rPr>
            <m:t>*</m:t>
          </m:r>
          <m:r>
            <m:t>W</m:t>
          </m:r>
          <m:d>
            <m:dPr>
              <m:begChr m:val="("/>
              <m:endChr m:val=")"/>
              <m:sepChr m:val=""/>
              <m:grow/>
            </m:dPr>
            <m:e>
              <m:r>
                <m:t>τ</m:t>
              </m:r>
              <m:r>
                <m:rPr>
                  <m:sty m:val="p"/>
                </m:rPr>
                <m:t>,</m:t>
              </m:r>
              <m:sSub>
                <m:e>
                  <m:r>
                    <m:t>μ</m:t>
                  </m:r>
                </m:e>
                <m:sub>
                  <m:r>
                    <m:t>j</m:t>
                  </m:r>
                </m:sub>
              </m:sSub>
            </m:e>
          </m:d>
        </m:oMath>
      </m:oMathPara>
    </w:p>
    <w:p>
      <w:pPr>
        <w:pStyle w:val="FirstParagraph"/>
      </w:pPr>
      <w:r>
        <w:t xml:space="preserve">Sous forme matricielle :</w:t>
      </w:r>
    </w:p>
    <w:p>
      <w:pPr>
        <w:pStyle w:val="BodyText"/>
      </w:pPr>
      <m:oMathPara>
        <m:oMathParaPr>
          <m:jc m:val="center"/>
        </m:oMathParaPr>
        <m:oMath>
          <m:r>
            <m:t>m</m:t>
          </m:r>
          <m:r>
            <m:rPr>
              <m:sty m:val="p"/>
            </m:rPr>
            <m:t>=</m:t>
          </m:r>
          <m:r>
            <m:t>P</m:t>
          </m:r>
          <m:r>
            <m:rPr>
              <m:sty m:val="p"/>
            </m:rPr>
            <m:t>=</m:t>
          </m:r>
          <m:r>
            <m:t>µ</m:t>
          </m:r>
          <m:r>
            <m:rPr>
              <m:sty m:val="p"/>
            </m:rPr>
            <m:t>+</m:t>
          </m:r>
          <m:r>
            <m:t>γ</m:t>
          </m:r>
          <m:r>
            <m:rPr>
              <m:sty m:val="p"/>
            </m:rPr>
            <m:t>∗</m:t>
          </m:r>
          <m:r>
            <m:t>W</m:t>
          </m:r>
          <m:r>
            <m:rPr>
              <m:sty m:val="p"/>
            </m:rPr>
            <m:t>⇒</m:t>
          </m:r>
          <m:r>
            <m:t>γ</m:t>
          </m:r>
          <m:r>
            <m:rPr>
              <m:sty m:val="p"/>
            </m:rPr>
            <m:t>=</m:t>
          </m:r>
          <m:sSup>
            <m:e>
              <m:r>
                <m:t>W</m:t>
              </m:r>
            </m:e>
            <m:sup>
              <m:r>
                <m:rPr>
                  <m:sty m:val="p"/>
                </m:rPr>
                <m:t>−</m:t>
              </m:r>
              <m:r>
                <m:t>1</m:t>
              </m:r>
            </m:sup>
          </m:sSup>
          <m:d>
            <m:dPr>
              <m:begChr m:val="("/>
              <m:endChr m:val=")"/>
              <m:sepChr m:val=""/>
              <m:grow/>
            </m:dPr>
            <m:e>
              <m:r>
                <m:t>P</m:t>
              </m:r>
              <m:r>
                <m:rPr>
                  <m:sty m:val="p"/>
                </m:rPr>
                <m:t>−</m:t>
              </m:r>
              <m:r>
                <m:t>µ</m:t>
              </m:r>
            </m:e>
          </m:d>
        </m:oMath>
      </m:oMathPara>
    </w:p>
    <w:p>
      <w:pPr>
        <w:pStyle w:val="FirstParagraph"/>
      </w:pPr>
      <w:r>
        <w:t xml:space="preserve">Avec:</w:t>
      </w:r>
    </w:p>
    <w:p>
      <w:pPr>
        <w:pStyle w:val="BodyText"/>
      </w:pPr>
      <m:oMath>
        <m:r>
          <m:t>m</m:t>
        </m:r>
        <m:r>
          <m:rPr>
            <m:sty m:val="p"/>
          </m:rPr>
          <m:t>=</m:t>
        </m:r>
        <m:sSup>
          <m:e>
            <m:d>
              <m:dPr>
                <m:begChr m:val="("/>
                <m:endChr m:val=")"/>
                <m:sepChr m:val=""/>
                <m:grow/>
              </m:dPr>
              <m:e>
                <m:sSub>
                  <m:e>
                    <m:r>
                      <m:t>m</m:t>
                    </m:r>
                  </m:e>
                  <m:sub>
                    <m:r>
                      <m:t>1</m:t>
                    </m:r>
                  </m:sub>
                </m:sSub>
                <m:r>
                  <m:rPr>
                    <m:sty m:val="p"/>
                  </m:rPr>
                  <m:t>,</m:t>
                </m:r>
                <m:sSub>
                  <m:e>
                    <m:r>
                      <m:t>m</m:t>
                    </m:r>
                  </m:e>
                  <m:sub>
                    <m:r>
                      <m:t>2</m:t>
                    </m:r>
                  </m:sub>
                </m:sSub>
                <m:r>
                  <m:rPr>
                    <m:sty m:val="p"/>
                  </m:rPr>
                  <m:t>,</m:t>
                </m:r>
                <m:r>
                  <m:rPr>
                    <m:sty m:val="p"/>
                  </m:rPr>
                  <m:t>…</m:t>
                </m:r>
                <m:r>
                  <m:rPr>
                    <m:sty m:val="p"/>
                  </m:rPr>
                  <m:t>,</m:t>
                </m:r>
                <m:sSub>
                  <m:e>
                    <m:r>
                      <m:t>m</m:t>
                    </m:r>
                  </m:e>
                  <m:sub>
                    <m:r>
                      <m:t>N</m:t>
                    </m:r>
                  </m:sub>
                </m:sSub>
              </m:e>
            </m:d>
          </m:e>
          <m:sup>
            <m:r>
              <m:t>T</m:t>
            </m:r>
          </m:sup>
        </m:sSup>
      </m:oMath>
    </w:p>
    <w:p>
      <w:pPr>
        <w:pStyle w:val="BodyText"/>
      </w:pPr>
      <m:oMath>
        <m:r>
          <m:t>P</m:t>
        </m:r>
        <m:r>
          <m:rPr>
            <m:sty m:val="p"/>
          </m:rPr>
          <m:t>=</m:t>
        </m:r>
        <m:sSup>
          <m:e>
            <m:d>
              <m:dPr>
                <m:begChr m:val="("/>
                <m:endChr m:val=")"/>
                <m:sepChr m:val=""/>
                <m:grow/>
              </m:dPr>
              <m:e>
                <m:r>
                  <m:t>P</m:t>
                </m:r>
                <m:d>
                  <m:dPr>
                    <m:begChr m:val="("/>
                    <m:endChr m:val=")"/>
                    <m:sepChr m:val=""/>
                    <m:grow/>
                  </m:dPr>
                  <m:e>
                    <m:sSub>
                      <m:e>
                        <m:r>
                          <m:t>u</m:t>
                        </m:r>
                      </m:e>
                      <m:sub>
                        <m:r>
                          <m:t>1</m:t>
                        </m:r>
                      </m:sub>
                    </m:sSub>
                  </m:e>
                </m:d>
                <m:r>
                  <m:rPr>
                    <m:sty m:val="p"/>
                  </m:rPr>
                  <m:t>,</m:t>
                </m:r>
                <m:r>
                  <m:t>P</m:t>
                </m:r>
                <m:d>
                  <m:dPr>
                    <m:begChr m:val="("/>
                    <m:endChr m:val=")"/>
                    <m:sepChr m:val=""/>
                    <m:grow/>
                  </m:dPr>
                  <m:e>
                    <m:sSub>
                      <m:e>
                        <m:r>
                          <m:t>u</m:t>
                        </m:r>
                      </m:e>
                      <m:sub>
                        <m:r>
                          <m:t>2</m:t>
                        </m:r>
                      </m:sub>
                    </m:sSub>
                  </m:e>
                </m:d>
                <m:r>
                  <m:rPr>
                    <m:sty m:val="p"/>
                  </m:rPr>
                  <m:t>,</m:t>
                </m:r>
                <m:r>
                  <m:rPr>
                    <m:sty m:val="p"/>
                  </m:rPr>
                  <m:t>…</m:t>
                </m:r>
                <m:r>
                  <m:rPr>
                    <m:sty m:val="p"/>
                  </m:rPr>
                  <m:t>,</m:t>
                </m:r>
                <m:r>
                  <m:t>P</m:t>
                </m:r>
                <m:d>
                  <m:dPr>
                    <m:begChr m:val="("/>
                    <m:endChr m:val=")"/>
                    <m:sepChr m:val=""/>
                    <m:grow/>
                  </m:dPr>
                  <m:e>
                    <m:sSub>
                      <m:e>
                        <m:r>
                          <m:t>u</m:t>
                        </m:r>
                      </m:e>
                      <m:sub>
                        <m:r>
                          <m:t>N</m:t>
                        </m:r>
                      </m:sub>
                    </m:sSub>
                  </m:e>
                </m:d>
              </m:e>
            </m:d>
          </m:e>
          <m:sup>
            <m:r>
              <m:t>T</m:t>
            </m:r>
          </m:sup>
        </m:sSup>
      </m:oMath>
    </w:p>
    <w:p>
      <w:pPr>
        <w:pStyle w:val="BodyText"/>
      </w:pPr>
      <m:oMath>
        <m:r>
          <m:t>µ</m:t>
        </m:r>
        <m:r>
          <m:rPr>
            <m:sty m:val="p"/>
          </m:rPr>
          <m:t>=</m:t>
        </m:r>
        <m:sSup>
          <m:e>
            <m:d>
              <m:dPr>
                <m:begChr m:val="("/>
                <m:endChr m:val=")"/>
                <m:sepChr m:val=""/>
                <m:grow/>
              </m:dPr>
              <m:e>
                <m:sSup>
                  <m:e>
                    <m:r>
                      <m:t>e</m:t>
                    </m:r>
                  </m:e>
                  <m:sup>
                    <m:r>
                      <m:rPr>
                        <m:sty m:val="p"/>
                      </m:rPr>
                      <m:t>−</m:t>
                    </m:r>
                    <m:r>
                      <m:t>U</m:t>
                    </m:r>
                    <m:r>
                      <m:t>F</m:t>
                    </m:r>
                    <m:r>
                      <m:t>R</m:t>
                    </m:r>
                    <m:r>
                      <m:rPr>
                        <m:sty m:val="p"/>
                      </m:rPr>
                      <m:t>∗</m:t>
                    </m:r>
                    <m:sSub>
                      <m:e>
                        <m:r>
                          <m:t>u</m:t>
                        </m:r>
                      </m:e>
                      <m:sub>
                        <m:r>
                          <m:t>1</m:t>
                        </m:r>
                      </m:sub>
                    </m:sSub>
                  </m:sup>
                </m:sSup>
                <m:r>
                  <m:rPr>
                    <m:sty m:val="p"/>
                  </m:rPr>
                  <m:t>,</m:t>
                </m:r>
                <m:sSup>
                  <m:e>
                    <m:r>
                      <m:t>e</m:t>
                    </m:r>
                  </m:e>
                  <m:sup>
                    <m:r>
                      <m:rPr>
                        <m:sty m:val="p"/>
                      </m:rPr>
                      <m:t>−</m:t>
                    </m:r>
                    <m:r>
                      <m:t>U</m:t>
                    </m:r>
                    <m:r>
                      <m:t>F</m:t>
                    </m:r>
                    <m:r>
                      <m:t>R</m:t>
                    </m:r>
                    <m:r>
                      <m:rPr>
                        <m:sty m:val="p"/>
                      </m:rPr>
                      <m:t>∗</m:t>
                    </m:r>
                    <m:sSub>
                      <m:e>
                        <m:r>
                          <m:t>u</m:t>
                        </m:r>
                      </m:e>
                      <m:sub>
                        <m:r>
                          <m:t>2</m:t>
                        </m:r>
                      </m:sub>
                    </m:sSub>
                  </m:sup>
                </m:sSup>
                <m:r>
                  <m:rPr>
                    <m:sty m:val="p"/>
                  </m:rPr>
                  <m:t>,</m:t>
                </m:r>
                <m:r>
                  <m:rPr>
                    <m:sty m:val="p"/>
                  </m:rPr>
                  <m:t>…</m:t>
                </m:r>
                <m:r>
                  <m:rPr>
                    <m:sty m:val="p"/>
                  </m:rPr>
                  <m:t>,</m:t>
                </m:r>
                <m:sSup>
                  <m:e>
                    <m:r>
                      <m:t>e</m:t>
                    </m:r>
                  </m:e>
                  <m:sup>
                    <m:r>
                      <m:rPr>
                        <m:sty m:val="p"/>
                      </m:rPr>
                      <m:t>−</m:t>
                    </m:r>
                    <m:r>
                      <m:t>U</m:t>
                    </m:r>
                    <m:r>
                      <m:t>F</m:t>
                    </m:r>
                    <m:r>
                      <m:t>R</m:t>
                    </m:r>
                    <m:r>
                      <m:rPr>
                        <m:sty m:val="p"/>
                      </m:rPr>
                      <m:t>*</m:t>
                    </m:r>
                    <m:sSub>
                      <m:e>
                        <m:r>
                          <m:t>u</m:t>
                        </m:r>
                      </m:e>
                      <m:sub>
                        <m:r>
                          <m:t>N</m:t>
                        </m:r>
                      </m:sub>
                    </m:sSub>
                  </m:sup>
                </m:sSup>
              </m:e>
            </m:d>
          </m:e>
          <m:sup>
            <m:r>
              <m:t>T</m:t>
            </m:r>
          </m:sup>
        </m:sSup>
      </m:oMath>
    </w:p>
    <w:p>
      <w:pPr>
        <w:pStyle w:val="BodyText"/>
      </w:pPr>
      <w:r>
        <w:t xml:space="preserve">$$</w:t>
      </w:r>
      <w:r>
        <w:t xml:space="preserve"> </w:t>
      </w:r>
      <w:r>
        <w:t xml:space="preserve">W =</w:t>
      </w:r>
    </w:p>
    <w:p>
      <w:pPr>
        <w:pStyle w:val="BodyText"/>
      </w:pPr>
      <m:oMathPara>
        <m:oMathParaPr>
          <m:jc m:val="center"/>
        </m:oMathParaPr>
        <m:oMath/>
      </m:oMathPara>
    </w:p>
    <w:p>
      <w:pPr>
        <w:pStyle w:val="FirstParagraph"/>
      </w:pPr>
      <w:r>
        <w:t xml:space="preserve">W{ij} = W (u_i, u_j) : i = 1 ,</w:t>
      </w:r>
      <w:r>
        <w:t xml:space="preserve">, N ;et ;j = 1 . . . N</w:t>
      </w:r>
      <w:r>
        <w:t xml:space="preserve"> </w:t>
      </w:r>
      <w:r>
        <w:t xml:space="preserve">$$</w:t>
      </w:r>
    </w:p>
    <w:p>
      <w:pPr>
        <w:pStyle w:val="BodyText"/>
      </w:pPr>
      <w:r>
        <w:t xml:space="preserve">Aprés la détermination des inconnus, on passe au calcul des prix zéro-coupon correspondants aux maturités pleines, et finalemet deduire les taux zéro-coupon correspondants à ces maturités par la relation suivante :</w:t>
      </w:r>
    </w:p>
    <w:p>
      <w:pPr>
        <w:pStyle w:val="BodyText"/>
      </w:pPr>
      <m:oMathPara>
        <m:oMathParaPr>
          <m:jc m:val="center"/>
        </m:oMathParaPr>
        <m:oMath>
          <m:r>
            <m:t>R</m:t>
          </m:r>
          <m:d>
            <m:dPr>
              <m:begChr m:val="("/>
              <m:endChr m:val=")"/>
              <m:sepChr m:val=""/>
              <m:grow/>
            </m:dPr>
            <m:e>
              <m:r>
                <m:t>t</m:t>
              </m:r>
            </m:e>
          </m:d>
          <m:r>
            <m:rPr>
              <m:sty m:val="p"/>
            </m:rPr>
            <m:t>=</m:t>
          </m:r>
          <m:sSup>
            <m:e>
              <m:d>
                <m:dPr>
                  <m:begChr m:val="("/>
                  <m:endChr m:val=")"/>
                  <m:sepChr m:val=""/>
                  <m:grow/>
                </m:dPr>
                <m:e>
                  <m:f>
                    <m:fPr>
                      <m:type m:val="bar"/>
                    </m:fPr>
                    <m:num>
                      <m:r>
                        <m:t>1</m:t>
                      </m:r>
                    </m:num>
                    <m:den>
                      <m:r>
                        <m:t>P</m:t>
                      </m:r>
                      <m:d>
                        <m:dPr>
                          <m:begChr m:val="("/>
                          <m:endChr m:val=")"/>
                          <m:sepChr m:val=""/>
                          <m:grow/>
                        </m:dPr>
                        <m:e>
                          <m:r>
                            <m:t>t</m:t>
                          </m:r>
                        </m:e>
                      </m:d>
                    </m:den>
                  </m:f>
                </m:e>
              </m:d>
            </m:e>
            <m:sup>
              <m:f>
                <m:fPr>
                  <m:type m:val="bar"/>
                </m:fPr>
                <m:num>
                  <m:r>
                    <m:t>1</m:t>
                  </m:r>
                </m:num>
                <m:den>
                  <m:r>
                    <m:t>t</m:t>
                  </m:r>
                </m:den>
              </m:f>
            </m:sup>
          </m:sSup>
          <m:r>
            <m:rPr>
              <m:sty m:val="p"/>
            </m:rPr>
            <m:t>−</m:t>
          </m:r>
          <m:r>
            <m:t>1</m:t>
          </m:r>
        </m:oMath>
      </m:oMathPara>
    </w:p>
    <w:bookmarkEnd w:id="45"/>
    <w:bookmarkEnd w:id="46"/>
    <w:bookmarkStart w:id="64" w:name="X3c86a714d03aed139a19db084b97b445aa0c8e4"/>
    <w:p>
      <w:pPr>
        <w:pStyle w:val="Heading2"/>
      </w:pPr>
      <w:r>
        <w:t xml:space="preserve">5 Valorisation des provisions techniques prudentielles</w:t>
      </w:r>
    </w:p>
    <w:p>
      <w:pPr>
        <w:pStyle w:val="FirstParagraph"/>
      </w:pPr>
      <w:r>
        <w:t xml:space="preserve">Les provisions techniques prudentielles sont valorisées brutes de réassurance en considérant les contrats dont l’engagement de l’entreprise est en cours à la date d’inventaire. Les contrats d’assurance non-vie à tacite reconduction dont la date d’effet intervient postérieurement à la date d’inventaire et dont le préavis de résiliation a expiré à cette date sans qu’il y ait une demande de résiliation sont également pris en considération.</w:t>
      </w:r>
    </w:p>
    <w:p>
      <w:pPr>
        <w:pStyle w:val="BodyText"/>
      </w:pPr>
      <w:r>
        <w:t xml:space="preserve">Elles sont évaluées comme suit :</w:t>
      </w:r>
    </w:p>
    <w:p>
      <w:pPr>
        <w:pStyle w:val="BodyText"/>
      </w:pPr>
      <m:oMathPara>
        <m:oMathParaPr>
          <m:jc m:val="center"/>
        </m:oMathParaPr>
        <m:oMath>
          <m:r>
            <m:t>P</m:t>
          </m:r>
          <m:r>
            <m:t>T</m:t>
          </m:r>
          <m:r>
            <m:rPr>
              <m:sty m:val="p"/>
            </m:rPr>
            <m:t>=</m:t>
          </m:r>
          <m:r>
            <m:t>B</m:t>
          </m:r>
          <m:sSub>
            <m:e>
              <m:r>
                <m:t>E</m:t>
              </m:r>
            </m:e>
            <m:sub>
              <m:r>
                <m:t>e</m:t>
              </m:r>
              <m:r>
                <m:t>n</m:t>
              </m:r>
              <m:r>
                <m:t>g</m:t>
              </m:r>
              <m:r>
                <m:t>a</m:t>
              </m:r>
              <m:r>
                <m:t>g</m:t>
              </m:r>
              <m:r>
                <m:t>e</m:t>
              </m:r>
              <m:r>
                <m:t>m</m:t>
              </m:r>
              <m:r>
                <m:t>e</m:t>
              </m:r>
              <m:r>
                <m:t>n</m:t>
              </m:r>
              <m:r>
                <m:t>t</m:t>
              </m:r>
            </m:sub>
          </m:sSub>
          <m:r>
            <m:rPr>
              <m:sty m:val="p"/>
            </m:rPr>
            <m:t>+</m:t>
          </m:r>
          <m:r>
            <m:t>B</m:t>
          </m:r>
          <m:sSub>
            <m:e>
              <m:r>
                <m:t>E</m:t>
              </m:r>
            </m:e>
            <m:sub>
              <m:r>
                <m:t>f</m:t>
              </m:r>
              <m:r>
                <m:t>r</m:t>
              </m:r>
              <m:r>
                <m:t>a</m:t>
              </m:r>
              <m:r>
                <m:t>i</m:t>
              </m:r>
              <m:r>
                <m:t>s</m:t>
              </m:r>
              <m:r>
                <m:t>G</m:t>
              </m:r>
              <m:r>
                <m:t>e</m:t>
              </m:r>
              <m:r>
                <m:t>s</m:t>
              </m:r>
              <m:r>
                <m:t>t</m:t>
              </m:r>
              <m:r>
                <m:t>i</m:t>
              </m:r>
              <m:r>
                <m:t>o</m:t>
              </m:r>
              <m:r>
                <m:t>n</m:t>
              </m:r>
            </m:sub>
          </m:sSub>
          <m:r>
            <m:rPr>
              <m:sty m:val="p"/>
            </m:rPr>
            <m:t>+</m:t>
          </m:r>
          <m:r>
            <m:t>M</m:t>
          </m:r>
          <m:r>
            <m:t>a</m:t>
          </m:r>
          <m:r>
            <m:t>r</m:t>
          </m:r>
          <m:r>
            <m:t>g</m:t>
          </m:r>
          <m:r>
            <m:t>e</m:t>
          </m:r>
          <m:r>
            <m:t>R</m:t>
          </m:r>
          <m:r>
            <m:t>i</m:t>
          </m:r>
          <m:r>
            <m:t>s</m:t>
          </m:r>
          <m:r>
            <m:t>q</m:t>
          </m:r>
          <m:r>
            <m:t>u</m:t>
          </m:r>
          <m:r>
            <m:t>e</m:t>
          </m:r>
        </m:oMath>
      </m:oMathPara>
    </w:p>
    <w:p>
      <w:pPr>
        <w:pStyle w:val="FirstParagraph"/>
      </w:pPr>
      <w:r>
        <w:t xml:space="preserve">Avec :</w:t>
      </w:r>
    </w:p>
    <w:p>
      <w:pPr>
        <w:numPr>
          <w:ilvl w:val="0"/>
          <w:numId w:val="1008"/>
        </w:numPr>
      </w:pPr>
      <m:oMath>
        <m:r>
          <m:t>P</m:t>
        </m:r>
        <m:r>
          <m:t>T</m:t>
        </m:r>
      </m:oMath>
      <w:r>
        <w:t xml:space="preserve"> </w:t>
      </w:r>
      <w:r>
        <w:t xml:space="preserve">: la provision technique</w:t>
      </w:r>
    </w:p>
    <w:p>
      <w:pPr>
        <w:numPr>
          <w:ilvl w:val="0"/>
          <w:numId w:val="1008"/>
        </w:numPr>
      </w:pPr>
      <m:oMath>
        <m:r>
          <m:t>B</m:t>
        </m:r>
        <m:sSub>
          <m:e>
            <m:r>
              <m:t>E</m:t>
            </m:r>
          </m:e>
          <m:sub>
            <m:r>
              <m:t>e</m:t>
            </m:r>
            <m:r>
              <m:t>n</m:t>
            </m:r>
            <m:r>
              <m:t>g</m:t>
            </m:r>
            <m:r>
              <m:t>a</m:t>
            </m:r>
            <m:r>
              <m:t>g</m:t>
            </m:r>
            <m:r>
              <m:t>e</m:t>
            </m:r>
            <m:r>
              <m:t>m</m:t>
            </m:r>
            <m:r>
              <m:t>e</m:t>
            </m:r>
            <m:r>
              <m:t>n</m:t>
            </m:r>
            <m:r>
              <m:t>t</m:t>
            </m:r>
          </m:sub>
        </m:sSub>
      </m:oMath>
      <w:r>
        <w:t xml:space="preserve"> </w:t>
      </w:r>
      <w:r>
        <w:t xml:space="preserve">: La meilleure estimation des engagements correspond à la somme probabilisée et actualisée de flux de trésorerie futurs afférents aux engagements de l’entreprise d’assurances et de réassurance au titre des contrats souscrits et déterminée, selon la nature des opérations d’assurance</w:t>
      </w:r>
    </w:p>
    <w:p>
      <w:pPr>
        <w:numPr>
          <w:ilvl w:val="0"/>
          <w:numId w:val="1008"/>
        </w:numPr>
      </w:pPr>
      <m:oMath>
        <m:r>
          <m:t>B</m:t>
        </m:r>
        <m:sSub>
          <m:e>
            <m:r>
              <m:t>E</m:t>
            </m:r>
          </m:e>
          <m:sub>
            <m:r>
              <m:t>f</m:t>
            </m:r>
            <m:r>
              <m:t>r</m:t>
            </m:r>
            <m:r>
              <m:t>a</m:t>
            </m:r>
            <m:r>
              <m:t>i</m:t>
            </m:r>
            <m:r>
              <m:t>s</m:t>
            </m:r>
            <m:r>
              <m:t>G</m:t>
            </m:r>
            <m:r>
              <m:t>e</m:t>
            </m:r>
            <m:r>
              <m:t>s</m:t>
            </m:r>
            <m:r>
              <m:t>t</m:t>
            </m:r>
            <m:r>
              <m:t>i</m:t>
            </m:r>
            <m:r>
              <m:t>o</m:t>
            </m:r>
            <m:r>
              <m:t>n</m:t>
            </m:r>
          </m:sub>
        </m:sSub>
      </m:oMath>
      <w:r>
        <w:t xml:space="preserve"> </w:t>
      </w:r>
      <w:r>
        <w:t xml:space="preserve">: La meilleure estimation des frais de gestion correspond à la somme probabilisée et actualisée des flux de frais de gestion des contrats et déterminée, selon la nature des opérations d’assurance.</w:t>
      </w:r>
    </w:p>
    <w:p>
      <w:pPr>
        <w:numPr>
          <w:ilvl w:val="0"/>
          <w:numId w:val="1008"/>
        </w:numPr>
      </w:pPr>
      <m:oMath>
        <m:r>
          <m:t>M</m:t>
        </m:r>
        <m:r>
          <m:t>a</m:t>
        </m:r>
        <m:r>
          <m:t>r</m:t>
        </m:r>
        <m:r>
          <m:t>g</m:t>
        </m:r>
        <m:r>
          <m:t>e</m:t>
        </m:r>
        <m:r>
          <m:t>R</m:t>
        </m:r>
        <m:r>
          <m:t>i</m:t>
        </m:r>
        <m:r>
          <m:t>s</m:t>
        </m:r>
        <m:r>
          <m:t>q</m:t>
        </m:r>
        <m:r>
          <m:t>u</m:t>
        </m:r>
        <m:r>
          <m:t>e</m:t>
        </m:r>
      </m:oMath>
      <w:r>
        <w:t xml:space="preserve"> </w:t>
      </w:r>
      <w:r>
        <w:t xml:space="preserve">: La marge de risque correspond au coût d’immobilisation du capital de solvabilité requis afférent aux engagements garantis. Elle est calculée, séparément pour les engagements des opérations d’assurances vie et rentes découlant des opérations non vie ainsi que pour les engagements des opérations non vie.</w:t>
      </w:r>
    </w:p>
    <w:bookmarkStart w:id="52" w:name="X32462c7e3a0a11848884f7548d4747bc280232c"/>
    <w:p>
      <w:pPr>
        <w:pStyle w:val="Heading3"/>
      </w:pPr>
      <w:r>
        <w:t xml:space="preserve">5.1 Opérations d’assurance vie, décès ou capitalisation:</w:t>
      </w:r>
    </w:p>
    <w:bookmarkStart w:id="50" w:name="Xc53c51e1abf3296dd0041db77db5363caf8f222"/>
    <w:p>
      <w:pPr>
        <w:pStyle w:val="Heading4"/>
      </w:pPr>
      <w:r>
        <w:t xml:space="preserve">5.1.1 Meilleure estimations des engagements (</w:t>
      </w:r>
      <m:oMath>
        <m:r>
          <m:t>B</m:t>
        </m:r>
        <m:sSub>
          <m:e>
            <m:r>
              <m:t>E</m:t>
            </m:r>
          </m:e>
          <m:sub>
            <m:r>
              <m:t>e</m:t>
            </m:r>
            <m:r>
              <m:t>n</m:t>
            </m:r>
            <m:r>
              <m:t>g</m:t>
            </m:r>
            <m:r>
              <m:t>a</m:t>
            </m:r>
            <m:r>
              <m:t>g</m:t>
            </m:r>
            <m:r>
              <m:t>e</m:t>
            </m:r>
            <m:r>
              <m:t>m</m:t>
            </m:r>
            <m:r>
              <m:t>e</m:t>
            </m:r>
            <m:r>
              <m:t>n</m:t>
            </m:r>
            <m:r>
              <m:t>t</m:t>
            </m:r>
          </m:sub>
        </m:sSub>
      </m:oMath>
      <w:r>
        <w:t xml:space="preserve">):</w:t>
      </w:r>
    </w:p>
    <w:p>
      <w:pPr>
        <w:pStyle w:val="FirstParagraph"/>
      </w:pPr>
      <w:r>
        <w:t xml:space="preserve">Pour les opérations d’assurance vie, décès ou de capitalisation hors unités de compte, la meilleure estimation des engagements comprend la meilleure estimation des garanties probabilisées et les bénéfices discrétionnaires futurs.</w:t>
      </w:r>
    </w:p>
    <w:p>
      <w:pPr>
        <w:pStyle w:val="BodyText"/>
      </w:pPr>
      <m:oMathPara>
        <m:oMathParaPr>
          <m:jc m:val="center"/>
        </m:oMathParaPr>
        <m:oMath>
          <m:sSub>
            <m:e>
              <m:r>
                <m:t>​</m:t>
              </m:r>
            </m:e>
            <m:sub>
              <m:r>
                <m:t>v</m:t>
              </m:r>
              <m:r>
                <m:t>i</m:t>
              </m:r>
              <m:r>
                <m:t>e</m:t>
              </m:r>
            </m:sub>
          </m:sSub>
          <m:r>
            <m:t>B</m:t>
          </m:r>
          <m:sSup>
            <m:e>
              <m:r>
                <m:t>E</m:t>
              </m:r>
            </m:e>
            <m:sup>
              <m:r>
                <m:t>e</m:t>
              </m:r>
              <m:r>
                <m:t>n</m:t>
              </m:r>
              <m:r>
                <m:t>g</m:t>
              </m:r>
              <m:r>
                <m:t>a</m:t>
              </m:r>
              <m:r>
                <m:t>g</m:t>
              </m:r>
              <m:r>
                <m:t>e</m:t>
              </m:r>
              <m:r>
                <m:t>m</m:t>
              </m:r>
              <m:r>
                <m:t>e</m:t>
              </m:r>
              <m:r>
                <m:t>n</m:t>
              </m:r>
              <m:r>
                <m:t>t</m:t>
              </m:r>
            </m:sup>
          </m:sSup>
          <m:r>
            <m:rPr>
              <m:sty m:val="p"/>
            </m:rPr>
            <m:t>=</m:t>
          </m:r>
          <m:r>
            <m:t>B</m:t>
          </m:r>
          <m:sSubSup>
            <m:e>
              <m:r>
                <m:t>E</m:t>
              </m:r>
            </m:e>
            <m:sub>
              <m:r>
                <m:t>g</m:t>
              </m:r>
              <m:r>
                <m:t>a</m:t>
              </m:r>
              <m:r>
                <m:t>r</m:t>
              </m:r>
              <m:r>
                <m:t>a</m:t>
              </m:r>
              <m:r>
                <m:t>n</m:t>
              </m:r>
              <m:r>
                <m:t>t</m:t>
              </m:r>
              <m:r>
                <m:t>i</m:t>
              </m:r>
              <m:r>
                <m:t>e</m:t>
              </m:r>
            </m:sub>
            <m:sup>
              <m:r>
                <m:t>p</m:t>
              </m:r>
              <m:r>
                <m:t>r</m:t>
              </m:r>
              <m:r>
                <m:t>o</m:t>
              </m:r>
              <m:r>
                <m:t>b</m:t>
              </m:r>
            </m:sup>
          </m:sSubSup>
          <m:r>
            <m:rPr>
              <m:sty m:val="p"/>
            </m:rPr>
            <m:t>+</m:t>
          </m:r>
          <m:r>
            <m:t>B</m:t>
          </m:r>
          <m:r>
            <m:t>D</m:t>
          </m:r>
          <m:r>
            <m:t>F</m:t>
          </m:r>
        </m:oMath>
      </m:oMathPara>
    </w:p>
    <w:p>
      <w:pPr>
        <w:pStyle w:val="FirstParagraph"/>
      </w:pPr>
      <w:r>
        <w:t xml:space="preserve">Avec :</w:t>
      </w:r>
    </w:p>
    <w:p>
      <w:pPr>
        <w:numPr>
          <w:ilvl w:val="0"/>
          <w:numId w:val="1009"/>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la meilleure estimation des garanties probabilisées.</w:t>
      </w:r>
    </w:p>
    <w:p>
      <w:pPr>
        <w:numPr>
          <w:ilvl w:val="0"/>
          <w:numId w:val="1009"/>
        </w:numPr>
        <w:pStyle w:val="Compact"/>
      </w:pPr>
      <m:oMath>
        <m:r>
          <m:t>B</m:t>
        </m:r>
        <m:r>
          <m:t>D</m:t>
        </m:r>
        <m:r>
          <m:t>F</m:t>
        </m:r>
      </m:oMath>
      <w:r>
        <w:t xml:space="preserve">: les bénéfices discrétionnaires futurs.</w:t>
      </w:r>
    </w:p>
    <w:bookmarkStart w:id="48" w:name="sec-MEGP"/>
    <w:p>
      <w:pPr>
        <w:pStyle w:val="Heading5"/>
      </w:pPr>
      <w:r>
        <w:t xml:space="preserve">5.1.1.1 Meilleure estimation des garanties probabilisées:</w:t>
      </w:r>
    </w:p>
    <w:p>
      <w:pPr>
        <w:pStyle w:val="FirstParagraph"/>
      </w:pPr>
      <w:r>
        <w:t xml:space="preserve">La meilleure estimation des garanties probabilisées est calculée garantie par garantie et tête par tête, en actualisant les flux de trésorerie futurs probabilisés, afférents aux engagements garantis à la date d’inventaire. Toutefois, l’entreprise d’assurances et de réassurance peut procéder à une agrégation en retenant des critères homogènes, notamment l’âge et ce, après accord de l’Autorité.</w:t>
      </w:r>
    </w:p>
    <w:p>
      <w:pPr>
        <w:pStyle w:val="BodyText"/>
      </w:pPr>
      <m:oMathPara>
        <m:oMathParaPr>
          <m:jc m:val="center"/>
        </m:oMathParaPr>
        <m:oMath>
          <m:r>
            <m:t>B</m:t>
          </m:r>
          <m:sSubSup>
            <m:e>
              <m:r>
                <m:t>E</m:t>
              </m:r>
            </m:e>
            <m:sub>
              <m:r>
                <m:t>g</m:t>
              </m:r>
              <m:r>
                <m:t>a</m:t>
              </m:r>
              <m:r>
                <m:t>r</m:t>
              </m:r>
              <m:r>
                <m:t>a</m:t>
              </m:r>
              <m:r>
                <m:t>n</m:t>
              </m:r>
              <m:r>
                <m:t>t</m:t>
              </m:r>
              <m:r>
                <m:t>i</m:t>
              </m:r>
              <m:r>
                <m:t>e</m:t>
              </m:r>
            </m:sub>
            <m:sup>
              <m:r>
                <m:t>p</m:t>
              </m:r>
              <m:r>
                <m:t>r</m:t>
              </m:r>
              <m:r>
                <m:t>o</m:t>
              </m:r>
              <m:r>
                <m:t>b</m:t>
              </m:r>
            </m:sup>
          </m:sSubSup>
          <m:r>
            <m:rPr>
              <m:sty m:val="p"/>
            </m:rPr>
            <m:t>=</m:t>
          </m:r>
          <m:nary>
            <m:naryPr>
              <m:chr m:val="∑"/>
              <m:limLoc m:val="undOvr"/>
              <m:subHide m:val="0"/>
              <m:supHide m:val="0"/>
            </m:naryPr>
            <m:sub>
              <m:r>
                <m:t>t</m:t>
              </m:r>
              <m:r>
                <m:rPr>
                  <m:sty m:val="p"/>
                </m:rPr>
                <m:t>=</m:t>
              </m:r>
              <m:r>
                <m:t>0</m:t>
              </m:r>
            </m:sub>
            <m:sup>
              <m:r>
                <m:t>t</m:t>
              </m:r>
              <m:r>
                <m:rPr>
                  <m:sty m:val="p"/>
                </m:rPr>
                <m:t>=</m:t>
              </m:r>
              <m:r>
                <m:t>N</m:t>
              </m:r>
            </m:sup>
            <m:e>
              <m:f>
                <m:fPr>
                  <m:type m:val="bar"/>
                </m:fPr>
                <m:num>
                  <m:d>
                    <m:dPr>
                      <m:begChr m:val="("/>
                      <m:endChr m:val=")"/>
                      <m:sepChr m:val=""/>
                      <m:grow/>
                    </m:dPr>
                    <m:e>
                      <m:r>
                        <m:t>C</m:t>
                      </m:r>
                      <m:sSubSup>
                        <m:e>
                          <m:r>
                            <m:t>F</m:t>
                          </m:r>
                        </m:e>
                        <m:sub>
                          <m:r>
                            <m:t>t</m:t>
                          </m:r>
                        </m:sub>
                        <m:sup>
                          <m:r>
                            <m:t>D</m:t>
                          </m:r>
                          <m:r>
                            <m:t>e</m:t>
                          </m:r>
                          <m:r>
                            <m:t>c</m:t>
                          </m:r>
                        </m:sup>
                      </m:sSubSup>
                      <m:r>
                        <m:rPr>
                          <m:sty m:val="p"/>
                        </m:rPr>
                        <m:t>−</m:t>
                      </m:r>
                      <m:r>
                        <m:t>C</m:t>
                      </m:r>
                      <m:sSubSup>
                        <m:e>
                          <m:r>
                            <m:t>F</m:t>
                          </m:r>
                        </m:e>
                        <m:sub>
                          <m:r>
                            <m:t>t</m:t>
                          </m:r>
                        </m:sub>
                        <m:sup>
                          <m:r>
                            <m:t>E</m:t>
                          </m:r>
                          <m:r>
                            <m:t>n</m:t>
                          </m:r>
                          <m:r>
                            <m:t>c</m:t>
                          </m:r>
                        </m:sup>
                      </m:sSubSup>
                    </m:e>
                  </m:d>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 :</w:t>
      </w:r>
    </w:p>
    <w:p>
      <w:pPr>
        <w:numPr>
          <w:ilvl w:val="0"/>
          <w:numId w:val="1010"/>
        </w:numPr>
      </w:pPr>
      <m:oMath>
        <m:r>
          <m:t>C</m:t>
        </m:r>
        <m:sSubSup>
          <m:e>
            <m:r>
              <m:t>F</m:t>
            </m:r>
          </m:e>
          <m:sub>
            <m:r>
              <m:t>t</m:t>
            </m:r>
          </m:sub>
          <m:sup>
            <m:r>
              <m:t>E</m:t>
            </m:r>
            <m:r>
              <m:t>n</m:t>
            </m:r>
            <m:r>
              <m:t>c</m:t>
            </m:r>
          </m:sup>
        </m:sSubSup>
      </m:oMath>
      <w:r>
        <w:t xml:space="preserve">: Les encaissements à la date</w:t>
      </w:r>
      <w:r>
        <w:t xml:space="preserve"> </w:t>
      </w:r>
      <m:oMath>
        <m:r>
          <m:t>t</m:t>
        </m:r>
      </m:oMath>
      <w:r>
        <w:t xml:space="preserve"> </w:t>
      </w:r>
      <w:r>
        <w:t xml:space="preserve">qui correspondent aux engagements des assurés.</w:t>
      </w:r>
    </w:p>
    <w:p>
      <w:pPr>
        <w:numPr>
          <w:ilvl w:val="0"/>
          <w:numId w:val="1010"/>
        </w:numPr>
      </w:pPr>
      <m:oMath>
        <m:r>
          <m:t>C</m:t>
        </m:r>
        <m:sSubSup>
          <m:e>
            <m:r>
              <m:t>F</m:t>
            </m:r>
          </m:e>
          <m:sub>
            <m:r>
              <m:t>t</m:t>
            </m:r>
          </m:sub>
          <m:sup>
            <m:r>
              <m:t>D</m:t>
            </m:r>
            <m:r>
              <m:t>é</m:t>
            </m:r>
            <m:r>
              <m:t>c</m:t>
            </m:r>
          </m:sup>
        </m:sSubSup>
      </m:oMath>
      <w:r>
        <w:t xml:space="preserve">: Les décaissements à la date</w:t>
      </w:r>
      <w:r>
        <w:t xml:space="preserve"> </w:t>
      </w:r>
      <m:oMath>
        <m:r>
          <m:t>t</m:t>
        </m:r>
      </m:oMath>
      <w:r>
        <w:t xml:space="preserve">. qui correspondent aux règlements de toutes prestations garanties au titre des contrats, y compris les rachats. Ils sont déterminés en tenant compte des engagements contractuels et en utilisant, le cas échéant, les bases techniques suivantes :</w:t>
      </w:r>
    </w:p>
    <w:p>
      <w:pPr>
        <w:numPr>
          <w:ilvl w:val="0"/>
          <w:numId w:val="1010"/>
        </w:numPr>
      </w:pPr>
      <w:r>
        <w:rPr>
          <w:bCs/>
          <w:b/>
        </w:rPr>
        <w:t xml:space="preserve">La table de mortalité</w:t>
      </w:r>
      <w:r>
        <w:t xml:space="preserve">: La table de mortalité TV 88-90 pour les assurances en cas de vie ou la table de mortalité TD 88-90 pour les assurances en cas de décès (prévues à l’annexe), auxquelles l’entreprise d’assurances et de réassurance peut substituer une table de mortalité d’expérience, matérialisant la mortalité propre à la population de ses assurés et ce, après accord de l’Autorité ;</w:t>
      </w:r>
    </w:p>
    <w:p>
      <w:pPr>
        <w:numPr>
          <w:ilvl w:val="0"/>
          <w:numId w:val="1010"/>
        </w:numPr>
      </w:pPr>
      <w:r>
        <w:rPr>
          <w:bCs/>
          <w:b/>
        </w:rPr>
        <w:t xml:space="preserve">La table de rachat en montant</w:t>
      </w:r>
      <w:r>
        <w:t xml:space="preserve">.</w:t>
      </w:r>
    </w:p>
    <w:p>
      <w:pPr>
        <w:numPr>
          <w:ilvl w:val="0"/>
          <w:numId w:val="1010"/>
        </w:numPr>
      </w:pPr>
      <w:r>
        <w:rPr>
          <w:bCs/>
          <w:b/>
        </w:rPr>
        <w:t xml:space="preserve">La table de résiliation</w:t>
      </w:r>
      <w:r>
        <w:t xml:space="preserve">.</w:t>
      </w:r>
    </w:p>
    <w:p>
      <w:pPr>
        <w:numPr>
          <w:ilvl w:val="0"/>
          <w:numId w:val="1010"/>
        </w:numPr>
      </w:pPr>
      <w:r>
        <w:rPr>
          <w:bCs/>
          <w:b/>
        </w:rPr>
        <w:t xml:space="preserve">Un taux de sortie en rente</w:t>
      </w:r>
      <w:r>
        <w:t xml:space="preserve">.</w:t>
      </w:r>
    </w:p>
    <w:p>
      <w:pPr>
        <w:pStyle w:val="FirstParagraph"/>
      </w:pPr>
      <w:r>
        <w:rPr>
          <w:bCs/>
          <w:b/>
        </w:rPr>
        <w:t xml:space="preserve">Remarque:</w:t>
      </w:r>
    </w:p>
    <w:p>
      <w:pPr>
        <w:pStyle w:val="BodyText"/>
      </w:pPr>
      <w:r>
        <w:t xml:space="preserve">Les flux de trésorerie futurs probabilisés précités sont déterminés en considérant un horizon de projection suffisant pour la couverture de l’ensemble de la durée de vie des engagements à la date d’inventaire.</w:t>
      </w:r>
    </w:p>
    <w:p>
      <w:pPr>
        <w:pStyle w:val="BodyText"/>
      </w:pPr>
      <w:r>
        <w:rPr>
          <w:bCs/>
          <w:b/>
        </w:rPr>
        <w:t xml:space="preserve">Exemple</w:t>
      </w:r>
      <w:r>
        <w:t xml:space="preserve"> </w:t>
      </w:r>
      <w:r>
        <w:t xml:space="preserve">:</w:t>
      </w:r>
    </w:p>
    <w:p>
      <w:pPr>
        <w:pStyle w:val="BodyText"/>
      </w:pPr>
      <w:r>
        <w:t xml:space="preserve">Si on prend l’exemple d’un contrat d’assurance-vie mixte</w:t>
      </w:r>
      <w:r>
        <w:rPr>
          <w:rStyle w:val="FootnoteReference"/>
        </w:rPr>
        <w:footnoteReference w:id="47"/>
      </w:r>
      <w:r>
        <w:t xml:space="preserve"> </w:t>
      </w:r>
      <w:r>
        <w:t xml:space="preserve">de capital en cas de vie égale au capital en cas de décès</w:t>
      </w:r>
      <w:r>
        <w:t xml:space="preserve"> </w:t>
      </w:r>
      <m:oMath>
        <m:r>
          <m:t>K</m:t>
        </m:r>
      </m:oMath>
      <w:r>
        <w:t xml:space="preserve">.</w:t>
      </w:r>
      <w:r>
        <w:t xml:space="preserve"> </w:t>
      </w:r>
      <w:r>
        <w:t xml:space="preserve">Soit</w:t>
      </w:r>
      <w:r>
        <w:t xml:space="preserve"> </w:t>
      </w:r>
      <m:oMath>
        <m:sSub>
          <m:e>
            <m:r>
              <m:t>q</m:t>
            </m:r>
          </m:e>
          <m:sub>
            <m:r>
              <m:t>x</m:t>
            </m:r>
            <m:r>
              <m:rPr>
                <m:sty m:val="p"/>
              </m:rPr>
              <m:t>+</m:t>
            </m:r>
            <m:r>
              <m:t>t</m:t>
            </m:r>
          </m:sub>
        </m:sSub>
      </m:oMath>
      <w:r>
        <w:t xml:space="preserve"> </w:t>
      </w:r>
      <w:r>
        <w:t xml:space="preserve">la probabilité qu’un individu d’âge</w:t>
      </w:r>
      <w:r>
        <w:t xml:space="preserve"> </w:t>
      </w:r>
      <m:oMath>
        <m:r>
          <m:t>x</m:t>
        </m:r>
      </m:oMath>
      <w:r>
        <w:t xml:space="preserve"> </w:t>
      </w:r>
      <w:r>
        <w:t xml:space="preserve">lors de la souscription décéde entre</w:t>
      </w:r>
      <w:r>
        <w:t xml:space="preserve"> </w:t>
      </w:r>
      <m:oMath>
        <m:r>
          <m:t>x</m:t>
        </m:r>
        <m:r>
          <m:rPr>
            <m:sty m:val="p"/>
          </m:rPr>
          <m:t>+</m:t>
        </m:r>
        <m:r>
          <m:t>t</m:t>
        </m:r>
      </m:oMath>
      <w:r>
        <w:t xml:space="preserve"> </w:t>
      </w:r>
      <w:r>
        <w:t xml:space="preserve">et</w:t>
      </w:r>
      <w:r>
        <w:t xml:space="preserve"> </w:t>
      </w:r>
      <m:oMath>
        <m:r>
          <m:t>x</m:t>
        </m:r>
        <m:r>
          <m:rPr>
            <m:sty m:val="p"/>
          </m:rPr>
          <m:t>+</m:t>
        </m:r>
        <m:r>
          <m:t>t</m:t>
        </m:r>
        <m:r>
          <m:rPr>
            <m:sty m:val="p"/>
          </m:rPr>
          <m:t>+</m:t>
        </m:r>
        <m:r>
          <m:t>1</m:t>
        </m:r>
      </m:oMath>
      <w:r>
        <w:t xml:space="preserve">. On note</w:t>
      </w:r>
      <w:r>
        <w:t xml:space="preserve"> </w:t>
      </w:r>
      <m:oMath>
        <m:r>
          <m:t>N</m:t>
        </m:r>
        <m:r>
          <m:t>b</m:t>
        </m:r>
        <m:r>
          <m:t>P</m:t>
        </m:r>
        <m:r>
          <m:t>o</m:t>
        </m:r>
        <m:r>
          <m:t>l</m:t>
        </m:r>
        <m:r>
          <m:t>i</m:t>
        </m:r>
        <m:r>
          <m:t>c</m:t>
        </m:r>
        <m:sSub>
          <m:e>
            <m:r>
              <m:t>e</m:t>
            </m:r>
          </m:e>
          <m:sub>
            <m:r>
              <m:t>t</m:t>
            </m:r>
          </m:sub>
        </m:sSub>
      </m:oMath>
      <w:r>
        <w:t xml:space="preserve"> </w:t>
      </w:r>
      <w:r>
        <w:t xml:space="preserve">le nombre de police en début de période</w:t>
      </w:r>
      <w:r>
        <w:t xml:space="preserve"> </w:t>
      </w:r>
      <m:oMath>
        <m:r>
          <m:t>t</m:t>
        </m:r>
      </m:oMath>
      <w:r>
        <w:t xml:space="preserve"> </w:t>
      </w:r>
      <w:r>
        <w:t xml:space="preserve">et</w:t>
      </w:r>
      <w:r>
        <w:t xml:space="preserve"> </w:t>
      </w:r>
      <m:oMath>
        <m:sSub>
          <m:e>
            <m:r>
              <m:t>r</m:t>
            </m:r>
          </m:e>
          <m:sub>
            <m:r>
              <m:t>s</m:t>
            </m:r>
          </m:sub>
        </m:sSub>
      </m:oMath>
      <w:r>
        <w:t xml:space="preserve"> </w:t>
      </w:r>
      <w:r>
        <w:t xml:space="preserve">le taux ZC.</w:t>
      </w:r>
      <w:r>
        <w:t xml:space="preserve"> </w:t>
      </w:r>
      <w:r>
        <w:t xml:space="preserve">La prestation correspondante à ce contrat en date t :</w:t>
      </w:r>
    </w:p>
    <w:p>
      <w:pPr>
        <w:pStyle w:val="BodyText"/>
      </w:pPr>
      <m:oMathPara>
        <m:oMathParaPr>
          <m:jc m:val="center"/>
        </m:oMathParaPr>
        <m:oMath>
          <m:sSub>
            <m:e>
              <m:r>
                <m:t>​</m:t>
              </m:r>
            </m:e>
            <m:sub>
              <m:r>
                <m:t>d</m:t>
              </m:r>
              <m:r>
                <m:t>é</m:t>
              </m:r>
              <m:r>
                <m:t>c</m:t>
              </m:r>
              <m:r>
                <m:t>è</m:t>
              </m:r>
              <m:r>
                <m:t>s</m:t>
              </m:r>
            </m:sub>
          </m:sSub>
          <m:r>
            <m:t>C</m:t>
          </m:r>
          <m:sSubSup>
            <m:e>
              <m:r>
                <m:t>F</m:t>
              </m:r>
            </m:e>
            <m:sub>
              <m:r>
                <m:t>t</m:t>
              </m:r>
            </m:sub>
            <m:sup>
              <m:r>
                <m:t>D</m:t>
              </m:r>
              <m:r>
                <m:t>é</m:t>
              </m:r>
              <m:r>
                <m:t>c</m:t>
              </m:r>
            </m:sup>
          </m:sSubSup>
          <m:r>
            <m:rPr>
              <m:sty m:val="p"/>
            </m:rPr>
            <m:t>=</m:t>
          </m:r>
          <m:r>
            <m:t>K</m:t>
          </m:r>
          <m:r>
            <m:rPr>
              <m:sty m:val="p"/>
            </m:rPr>
            <m:t>×</m:t>
          </m:r>
          <m:r>
            <m:t>N</m:t>
          </m:r>
          <m:r>
            <m:t>b</m:t>
          </m:r>
          <m:r>
            <m:t>P</m:t>
          </m:r>
          <m:r>
            <m:t>o</m:t>
          </m:r>
          <m:r>
            <m:t>l</m:t>
          </m:r>
          <m:r>
            <m:t>i</m:t>
          </m:r>
          <m:r>
            <m:t>c</m:t>
          </m:r>
          <m:sSub>
            <m:e>
              <m:r>
                <m:t>e</m:t>
              </m:r>
            </m:e>
            <m:sub>
              <m:r>
                <m:t>t</m:t>
              </m:r>
            </m:sub>
          </m:sSub>
          <m:r>
            <m:rPr>
              <m:sty m:val="p"/>
            </m:rPr>
            <m:t>×</m:t>
          </m:r>
          <m:sSub>
            <m:e>
              <m:r>
                <m:t>q</m:t>
              </m:r>
            </m:e>
            <m:sub>
              <m:r>
                <m:t>x</m:t>
              </m:r>
              <m:r>
                <m:rPr>
                  <m:sty m:val="p"/>
                </m:rPr>
                <m:t>+</m:t>
              </m:r>
              <m:r>
                <m:t>t</m:t>
              </m:r>
            </m:sub>
          </m:sSub>
          <m:r>
            <m:rPr>
              <m:sty m:val="p"/>
            </m:rPr>
            <m:t>×</m:t>
          </m:r>
          <m:sSup>
            <m:e>
              <m:d>
                <m:dPr>
                  <m:begChr m:val="("/>
                  <m:endChr m:val=")"/>
                  <m:sepChr m:val=""/>
                  <m:grow/>
                </m:dPr>
                <m:e>
                  <m:r>
                    <m:t>1</m:t>
                  </m:r>
                  <m:r>
                    <m:rPr>
                      <m:sty m:val="p"/>
                    </m:rPr>
                    <m:t>+</m:t>
                  </m:r>
                  <m:sSub>
                    <m:e>
                      <m:r>
                        <m:t>r</m:t>
                      </m:r>
                    </m:e>
                    <m:sub>
                      <m:r>
                        <m:t>t</m:t>
                      </m:r>
                    </m:sub>
                  </m:sSub>
                </m:e>
              </m:d>
            </m:e>
            <m:sup>
              <m:r>
                <m:t>t</m:t>
              </m:r>
            </m:sup>
          </m:sSup>
        </m:oMath>
      </m:oMathPara>
    </w:p>
    <w:bookmarkEnd w:id="48"/>
    <w:bookmarkStart w:id="49" w:name="bénéfices-discrétionnaires-futurs"/>
    <w:p>
      <w:pPr>
        <w:pStyle w:val="Heading5"/>
      </w:pPr>
      <w:r>
        <w:t xml:space="preserve">5.1.1.2 Bénéfices discrétionnaires futurs:</w:t>
      </w:r>
    </w:p>
    <w:p>
      <w:pPr>
        <w:pStyle w:val="FirstParagraph"/>
      </w:pPr>
      <w:r>
        <w:t xml:space="preserve">Les bénéfices discrétionnaires futurs sont évalués pour chaque ensemble homogène de contrats.</w:t>
      </w:r>
    </w:p>
    <w:p>
      <w:pPr>
        <w:pStyle w:val="BodyText"/>
      </w:pPr>
      <m:oMathPara>
        <m:oMathParaPr>
          <m:jc m:val="center"/>
        </m:oMathParaPr>
        <m:oMath>
          <m:r>
            <m:t>B</m:t>
          </m:r>
          <m:r>
            <m:t>D</m:t>
          </m:r>
          <m:r>
            <m:t>F</m:t>
          </m:r>
          <m:r>
            <m:rPr>
              <m:sty m:val="p"/>
            </m:rPr>
            <m:t>=</m:t>
          </m:r>
          <m:r>
            <m:t>P</m:t>
          </m:r>
          <m:r>
            <m:t>P</m:t>
          </m:r>
          <m:r>
            <m:t>B</m:t>
          </m:r>
          <m:r>
            <m:rPr>
              <m:sty m:val="p"/>
            </m:rPr>
            <m:t>+</m:t>
          </m:r>
          <m:sSup>
            <m:e>
              <m:acc>
                <m:accPr>
                  <m:chr m:val="‾"/>
                </m:accPr>
                <m:e>
                  <m:r>
                    <m:t>r</m:t>
                  </m:r>
                </m:e>
              </m:acc>
            </m:e>
            <m:sup>
              <m:r>
                <m:t>P</m:t>
              </m:r>
              <m:r>
                <m:t>B</m:t>
              </m:r>
            </m:sup>
          </m:sSup>
          <m:d>
            <m:dPr>
              <m:begChr m:val="("/>
              <m:endChr m:val=")"/>
              <m:sepChr m:val=""/>
              <m:grow/>
            </m:dPr>
            <m:e>
              <m:r>
                <m:t>S</m:t>
              </m:r>
              <m:r>
                <m:t>o</m:t>
              </m:r>
              <m:r>
                <m:t>l</m:t>
              </m:r>
              <m:r>
                <m:t>d</m:t>
              </m:r>
              <m:r>
                <m:t>e</m:t>
              </m:r>
              <m:r>
                <m:t>T</m:t>
              </m:r>
              <m:r>
                <m:rPr>
                  <m:sty m:val="p"/>
                </m:rPr>
                <m:t>+</m:t>
              </m:r>
              <m:r>
                <m:t>S</m:t>
              </m:r>
              <m:r>
                <m:t>o</m:t>
              </m:r>
              <m:r>
                <m:t>l</m:t>
              </m:r>
              <m:r>
                <m:t>d</m:t>
              </m:r>
              <m:r>
                <m:t>e</m:t>
              </m:r>
              <m:r>
                <m:t>F</m:t>
              </m:r>
            </m:e>
          </m:d>
          <m:r>
            <m:rPr>
              <m:sty m:val="p"/>
            </m:rPr>
            <m:t>×</m:t>
          </m:r>
          <m:sSub>
            <m:e>
              <m:r>
                <m:rPr>
                  <m:sty m:val="b"/>
                </m:rPr>
                <m:t>1</m:t>
              </m:r>
            </m:e>
            <m:sub>
              <m:d>
                <m:dPr>
                  <m:begChr m:val="("/>
                  <m:endChr m:val=")"/>
                  <m:sepChr m:val=""/>
                  <m:grow/>
                </m:dPr>
                <m:e>
                  <m:r>
                    <m:t>S</m:t>
                  </m:r>
                  <m:r>
                    <m:t>o</m:t>
                  </m:r>
                  <m:r>
                    <m:t>l</m:t>
                  </m:r>
                  <m:r>
                    <m:t>d</m:t>
                  </m:r>
                  <m:r>
                    <m:t>e</m:t>
                  </m:r>
                  <m:r>
                    <m:t>T</m:t>
                  </m:r>
                  <m:r>
                    <m:rPr>
                      <m:sty m:val="p"/>
                    </m:rPr>
                    <m:t>+</m:t>
                  </m:r>
                  <m:r>
                    <m:t>S</m:t>
                  </m:r>
                  <m:r>
                    <m:t>o</m:t>
                  </m:r>
                  <m:r>
                    <m:t>l</m:t>
                  </m:r>
                  <m:r>
                    <m:t>d</m:t>
                  </m:r>
                  <m:r>
                    <m:t>e</m:t>
                  </m:r>
                  <m:r>
                    <m:t>F</m:t>
                  </m:r>
                </m:e>
              </m:d>
              <m:r>
                <m:rPr>
                  <m:sty m:val="p"/>
                </m:rPr>
                <m:t>&gt;</m:t>
              </m:r>
              <m:r>
                <m:t>0</m:t>
              </m:r>
            </m:sub>
          </m:sSub>
        </m:oMath>
      </m:oMathPara>
    </w:p>
    <w:p>
      <w:pPr>
        <w:pStyle w:val="FirstParagraph"/>
      </w:pPr>
      <w:r>
        <w:t xml:space="preserve">Avec :</w:t>
      </w:r>
    </w:p>
    <w:p>
      <w:pPr>
        <w:numPr>
          <w:ilvl w:val="0"/>
          <w:numId w:val="1011"/>
        </w:numPr>
      </w:pPr>
      <m:oMath>
        <m:r>
          <m:t>P</m:t>
        </m:r>
        <m:r>
          <m:t>P</m:t>
        </m:r>
        <m:r>
          <m:t>B</m:t>
        </m:r>
      </m:oMath>
      <w:r>
        <w:t xml:space="preserve"> </w:t>
      </w:r>
      <w:r>
        <w:t xml:space="preserve">: Le montant de la provision pour participation aux bénéfices, évaluée à la valeur comptable;</w:t>
      </w:r>
    </w:p>
    <w:p>
      <w:pPr>
        <w:numPr>
          <w:ilvl w:val="0"/>
          <w:numId w:val="1011"/>
        </w:numPr>
      </w:pPr>
      <m:oMath>
        <m:r>
          <m:t>S</m:t>
        </m:r>
        <m:r>
          <m:t>o</m:t>
        </m:r>
        <m:r>
          <m:t>l</m:t>
        </m:r>
        <m:r>
          <m:t>d</m:t>
        </m:r>
        <m:r>
          <m:t>e</m:t>
        </m:r>
        <m:r>
          <m:t>T</m:t>
        </m:r>
      </m:oMath>
      <w:r>
        <w:t xml:space="preserve"> </w:t>
      </w:r>
      <w:r>
        <w:t xml:space="preserve">: Somme des soldes techniques.</w:t>
      </w:r>
    </w:p>
    <w:p>
      <w:pPr>
        <w:numPr>
          <w:ilvl w:val="0"/>
          <w:numId w:val="1011"/>
        </w:numPr>
      </w:pPr>
      <m:oMath>
        <m:r>
          <m:t>S</m:t>
        </m:r>
        <m:r>
          <m:t>o</m:t>
        </m:r>
        <m:r>
          <m:t>l</m:t>
        </m:r>
        <m:r>
          <m:t>d</m:t>
        </m:r>
        <m:r>
          <m:t>e</m:t>
        </m:r>
        <m:r>
          <m:t>F</m:t>
        </m:r>
      </m:oMath>
      <w:r>
        <w:t xml:space="preserve"> </w:t>
      </w:r>
      <w:r>
        <w:t xml:space="preserve">: Somme des soldes Financiers.</w:t>
      </w:r>
    </w:p>
    <w:p>
      <w:pPr>
        <w:numPr>
          <w:ilvl w:val="0"/>
          <w:numId w:val="1011"/>
        </w:numPr>
      </w:pPr>
      <m:oMath>
        <m:sSup>
          <m:e>
            <m:acc>
              <m:accPr>
                <m:chr m:val="‾"/>
              </m:accPr>
              <m:e>
                <m:r>
                  <m:t>r</m:t>
                </m:r>
              </m:e>
            </m:acc>
          </m:e>
          <m:sup>
            <m:r>
              <m:t>P</m:t>
            </m:r>
            <m:r>
              <m:t>B</m:t>
            </m:r>
          </m:sup>
        </m:sSup>
      </m:oMath>
      <w:r>
        <w:t xml:space="preserve"> </w:t>
      </w:r>
      <w:r>
        <w:t xml:space="preserve">: Le taux de participation aux bénéfices moyen servi aux assurés.</w:t>
      </w:r>
    </w:p>
    <w:p>
      <w:pPr>
        <w:pStyle w:val="FirstParagraph"/>
      </w:pPr>
      <w:r>
        <w:rPr>
          <w:bCs/>
          <w:b/>
        </w:rPr>
        <w:t xml:space="preserve">Le taux de participation aux bénéfices moyen servi aux assurés</w:t>
      </w:r>
      <w:r>
        <w:t xml:space="preserve"> </w:t>
      </w:r>
      <w:r>
        <w:t xml:space="preserve">est calculé en considérant le rapport entre la somme des dotations au titre, des trois derniers exercices clos au moins, affectées à la provision pour participation aux bénéfices afférente aux opérations d’assurance vie, décès ou de capitalisation hors unités de compte et la somme des résultats techniques et financiers des dites opérations sur la même période.</w:t>
      </w:r>
    </w:p>
    <w:p>
      <w:pPr>
        <w:pStyle w:val="BodyText"/>
      </w:pPr>
      <w:r>
        <w:t xml:space="preserve">En notation mathématique ça donne :</w:t>
      </w:r>
    </w:p>
    <w:p>
      <w:pPr>
        <w:pStyle w:val="BodyText"/>
      </w:pPr>
      <m:oMathPara>
        <m:oMathParaPr>
          <m:jc m:val="center"/>
        </m:oMathParaPr>
        <m:oMath>
          <m:sSup>
            <m:e>
              <m:acc>
                <m:accPr>
                  <m:chr m:val="‾"/>
                </m:accPr>
                <m:e>
                  <m:r>
                    <m:t>r</m:t>
                  </m:r>
                </m:e>
              </m:acc>
            </m:e>
            <m:sup>
              <m:r>
                <m:t>P</m:t>
              </m:r>
              <m:r>
                <m:t>B</m:t>
              </m:r>
            </m:sup>
          </m:sSup>
          <m:r>
            <m:rPr>
              <m:sty m:val="p"/>
            </m:rPr>
            <m:t>=</m:t>
          </m:r>
          <m:f>
            <m:fPr>
              <m:type m:val="bar"/>
            </m:fPr>
            <m:num>
              <m:r>
                <m:t>D</m:t>
              </m:r>
              <m:r>
                <m:t>o</m:t>
              </m:r>
              <m:sSub>
                <m:e>
                  <m:r>
                    <m:t>t</m:t>
                  </m:r>
                </m:e>
                <m:sub>
                  <m:r>
                    <m:rPr>
                      <m:sty m:val="p"/>
                    </m:rPr>
                    <m:t>≥</m:t>
                  </m:r>
                  <m:r>
                    <m:rPr>
                      <m:nor/>
                      <m:sty m:val="p"/>
                    </m:rPr>
                    <m:t>3 exes clos</m:t>
                  </m:r>
                </m:sub>
              </m:sSub>
            </m:num>
            <m:den>
              <m:r>
                <m:t>R</m:t>
              </m:r>
              <m:r>
                <m:t>T</m:t>
              </m:r>
              <m:r>
                <m:rPr>
                  <m:sty m:val="p"/>
                </m:rPr>
                <m:t>+</m:t>
              </m:r>
              <m:r>
                <m:t>R</m:t>
              </m:r>
              <m:r>
                <m:t>F</m:t>
              </m:r>
            </m:den>
          </m:f>
        </m:oMath>
      </m:oMathPara>
    </w:p>
    <w:p>
      <w:pPr>
        <w:pStyle w:val="FirstParagraph"/>
      </w:pPr>
      <w:r>
        <w:t xml:space="preserve">Avec :</w:t>
      </w:r>
    </w:p>
    <w:p>
      <w:pPr>
        <w:numPr>
          <w:ilvl w:val="0"/>
          <w:numId w:val="1012"/>
        </w:numPr>
        <w:pStyle w:val="Compact"/>
      </w:pPr>
      <m:oMath>
        <m:r>
          <m:t>D</m:t>
        </m:r>
        <m:r>
          <m:t>o</m:t>
        </m:r>
        <m:sSub>
          <m:e>
            <m:r>
              <m:t>t</m:t>
            </m:r>
          </m:e>
          <m:sub>
            <m:r>
              <m:rPr>
                <m:sty m:val="p"/>
              </m:rPr>
              <m:t>≥</m:t>
            </m:r>
            <m:r>
              <m:rPr>
                <m:nor/>
                <m:sty m:val="p"/>
              </m:rPr>
              <m:t>3 exes clos</m:t>
            </m:r>
          </m:sub>
        </m:sSub>
      </m:oMath>
      <w:r>
        <w:t xml:space="preserve"> </w:t>
      </w:r>
      <w:r>
        <w:t xml:space="preserve">: somme des dotations au titre, des trois derniers exercices clos au moins.</w:t>
      </w:r>
    </w:p>
    <w:p>
      <w:pPr>
        <w:numPr>
          <w:ilvl w:val="0"/>
          <w:numId w:val="1012"/>
        </w:numPr>
        <w:pStyle w:val="Compact"/>
      </w:pPr>
      <m:oMath>
        <m:r>
          <m:t>R</m:t>
        </m:r>
        <m:r>
          <m:t>T</m:t>
        </m:r>
      </m:oMath>
      <w:r>
        <w:t xml:space="preserve"> </w:t>
      </w:r>
      <w:r>
        <w:t xml:space="preserve">:les résultats techniques.</w:t>
      </w:r>
    </w:p>
    <w:p>
      <w:pPr>
        <w:numPr>
          <w:ilvl w:val="0"/>
          <w:numId w:val="1012"/>
        </w:numPr>
        <w:pStyle w:val="Compact"/>
      </w:pPr>
      <m:oMath>
        <m:r>
          <m:t>R</m:t>
        </m:r>
        <m:r>
          <m:t>F</m:t>
        </m:r>
      </m:oMath>
      <w:r>
        <w:t xml:space="preserve"> </w:t>
      </w:r>
      <w:r>
        <w:t xml:space="preserve">:les résultats financiers.</w:t>
      </w:r>
    </w:p>
    <w:bookmarkEnd w:id="49"/>
    <w:bookmarkEnd w:id="50"/>
    <w:bookmarkStart w:id="51" w:name="X0dedfd34ddaeaf1baa3793d4b4da364b43b18e0"/>
    <w:p>
      <w:pPr>
        <w:pStyle w:val="Heading4"/>
      </w:pPr>
      <w:r>
        <w:t xml:space="preserve">5.1.2 Meilleure estimation des frais de gestions (</w:t>
      </w:r>
      <m:oMath>
        <m:r>
          <m:t>B</m:t>
        </m:r>
        <m:sSub>
          <m:e>
            <m:r>
              <m:t>E</m:t>
            </m:r>
          </m:e>
          <m:sub>
            <m:r>
              <m:t>f</m:t>
            </m:r>
            <m:r>
              <m:t>r</m:t>
            </m:r>
            <m:r>
              <m:t>a</m:t>
            </m:r>
            <m:r>
              <m:t>i</m:t>
            </m:r>
            <m:r>
              <m:t>s</m:t>
            </m:r>
            <m:r>
              <m:t>G</m:t>
            </m:r>
            <m:r>
              <m:t>e</m:t>
            </m:r>
            <m:r>
              <m:t>s</m:t>
            </m:r>
            <m:r>
              <m:t>t</m:t>
            </m:r>
            <m:r>
              <m:t>i</m:t>
            </m:r>
            <m:r>
              <m:t>o</m:t>
            </m:r>
            <m:r>
              <m:t>n</m:t>
            </m:r>
          </m:sub>
        </m:sSub>
      </m:oMath>
      <w:r>
        <w:t xml:space="preserve">):</w:t>
      </w:r>
    </w:p>
    <w:p>
      <w:pPr>
        <w:pStyle w:val="FirstParagraph"/>
      </w:pPr>
      <w:r>
        <w:t xml:space="preserve">La meilleure estimation des frais de gestion correspond à la somme actualisée des flux de frais de gestion futurs probabilisés.</w:t>
      </w:r>
    </w:p>
    <w:p>
      <w:pPr>
        <w:pStyle w:val="BodyText"/>
      </w:pPr>
      <m:oMathPara>
        <m:oMathParaPr>
          <m:jc m:val="center"/>
        </m:oMathParaPr>
        <m:oMath>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0"/>
            </m:naryPr>
            <m:sub>
              <m:r>
                <m:t>t</m:t>
              </m:r>
              <m:r>
                <m:rPr>
                  <m:sty m:val="p"/>
                </m:rPr>
                <m:t>=</m:t>
              </m:r>
              <m:r>
                <m:t>1</m:t>
              </m:r>
            </m:sub>
            <m:sup>
              <m:r>
                <m:t>N</m:t>
              </m:r>
            </m:sup>
            <m:e>
              <m:f>
                <m:fPr>
                  <m:type m:val="bar"/>
                </m:fPr>
                <m:num>
                  <m:r>
                    <m:t>F</m:t>
                  </m:r>
                  <m:sSub>
                    <m:e>
                      <m:r>
                        <m:t>G</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Les frais de gestion futurs sont estimés sur la base d’une projection effectuée en considérant un</w:t>
      </w:r>
      <w:r>
        <w:t xml:space="preserve"> </w:t>
      </w:r>
      <w:r>
        <w:t xml:space="preserve">horizon de projection suffisant pour la couverture de la durée de vie des engagements à la date</w:t>
      </w:r>
      <w:r>
        <w:t xml:space="preserve"> </w:t>
      </w:r>
      <w:r>
        <w:t xml:space="preserve">d’inventaire. Ils sont déterminés pour chaque année de projection en multipliant le nombre de</w:t>
      </w:r>
      <w:r>
        <w:t xml:space="preserve"> </w:t>
      </w:r>
      <w:r>
        <w:t xml:space="preserve">contrats par le montant de frais de gestion unitaire moyen.</w:t>
      </w:r>
    </w:p>
    <w:p>
      <w:pPr>
        <w:pStyle w:val="BodyText"/>
      </w:pPr>
      <m:oMathPara>
        <m:oMathParaPr>
          <m:jc m:val="center"/>
        </m:oMathParaPr>
        <m:oMath>
          <m:r>
            <m:t>F</m:t>
          </m:r>
          <m:sSub>
            <m:e>
              <m:r>
                <m:t>G</m:t>
              </m:r>
            </m:e>
            <m:sub>
              <m:r>
                <m:t>t</m:t>
              </m:r>
            </m:sub>
          </m:sSub>
          <m:r>
            <m:rPr>
              <m:sty m:val="p"/>
            </m:rPr>
            <m:t>=</m:t>
          </m:r>
          <m:r>
            <m:t>N</m:t>
          </m:r>
          <m:r>
            <m:t>b</m:t>
          </m:r>
          <m:r>
            <m:t>C</m:t>
          </m:r>
          <m:r>
            <m:t>o</m:t>
          </m:r>
          <m:r>
            <m:t>n</m:t>
          </m:r>
          <m:r>
            <m:t>t</m:t>
          </m:r>
          <m:r>
            <m:t>r</m:t>
          </m:r>
          <m:r>
            <m:t>a</m:t>
          </m:r>
          <m:sSub>
            <m:e>
              <m:r>
                <m:t>t</m:t>
              </m:r>
            </m:e>
            <m:sub>
              <m:r>
                <m:t>t</m:t>
              </m:r>
            </m:sub>
          </m:sSub>
          <m:r>
            <m:rPr>
              <m:sty m:val="p"/>
            </m:rPr>
            <m:t>×</m:t>
          </m:r>
          <m:sSubSup>
            <m:e>
              <m:acc>
                <m:accPr>
                  <m:chr m:val="‾"/>
                </m:accPr>
                <m:e>
                  <m:r>
                    <m:t>F</m:t>
                  </m:r>
                  <m:r>
                    <m:t>G</m:t>
                  </m:r>
                </m:e>
              </m:acc>
            </m:e>
            <m:sub>
              <m:r>
                <m:t>t</m:t>
              </m:r>
            </m:sub>
            <m:sup>
              <m:r>
                <m:t>u</m:t>
              </m:r>
              <m:r>
                <m:t>n</m:t>
              </m:r>
              <m:r>
                <m:t>i</m:t>
              </m:r>
              <m:r>
                <m:t>t</m:t>
              </m:r>
              <m:r>
                <m:t>a</m:t>
              </m:r>
              <m:r>
                <m:t>i</m:t>
              </m:r>
              <m:r>
                <m:t>r</m:t>
              </m:r>
              <m:r>
                <m:t>e</m:t>
              </m:r>
            </m:sup>
          </m:sSubSup>
        </m:oMath>
      </m:oMathPara>
    </w:p>
    <w:p>
      <w:pPr>
        <w:pStyle w:val="FirstParagraph"/>
      </w:pPr>
      <w:r>
        <w:t xml:space="preserve">Avec :</w:t>
      </w:r>
    </w:p>
    <w:p>
      <w:pPr>
        <w:numPr>
          <w:ilvl w:val="0"/>
          <w:numId w:val="1013"/>
        </w:numPr>
        <w:pStyle w:val="Compact"/>
      </w:pPr>
      <m:oMath>
        <m:sSubSup>
          <m:e>
            <m:acc>
              <m:accPr>
                <m:chr m:val="‾"/>
              </m:accPr>
              <m:e>
                <m:r>
                  <m:t>F</m:t>
                </m:r>
                <m:r>
                  <m:t>G</m:t>
                </m:r>
              </m:e>
            </m:acc>
          </m:e>
          <m:sub>
            <m:r>
              <m:t>t</m:t>
            </m:r>
          </m:sub>
          <m:sup>
            <m:r>
              <m:t>u</m:t>
            </m:r>
            <m:r>
              <m:t>n</m:t>
            </m:r>
            <m:r>
              <m:t>i</m:t>
            </m:r>
            <m:r>
              <m:t>t</m:t>
            </m:r>
            <m:r>
              <m:t>a</m:t>
            </m:r>
            <m:r>
              <m:t>i</m:t>
            </m:r>
            <m:r>
              <m:t>r</m:t>
            </m:r>
            <m:r>
              <m:t>e</m:t>
            </m:r>
          </m:sup>
        </m:sSubSup>
      </m:oMath>
      <w:r>
        <w:t xml:space="preserve"> </w:t>
      </w:r>
      <w:r>
        <w:t xml:space="preserve">: Le montant de frais de gestion unitaire moyen est estimé en considérant la moyenne sur les trois derniers exercices clos des montants de frais de gestion unitaires.</w:t>
      </w:r>
    </w:p>
    <w:p>
      <w:pPr>
        <w:numPr>
          <w:ilvl w:val="0"/>
          <w:numId w:val="1013"/>
        </w:numPr>
        <w:pStyle w:val="Compact"/>
      </w:pPr>
      <m:oMath>
        <m:r>
          <m:t>N</m:t>
        </m:r>
        <m:r>
          <m:t>b</m:t>
        </m:r>
        <m:r>
          <m:t>C</m:t>
        </m:r>
        <m:r>
          <m:t>o</m:t>
        </m:r>
        <m:r>
          <m:t>n</m:t>
        </m:r>
        <m:r>
          <m:t>t</m:t>
        </m:r>
        <m:r>
          <m:t>r</m:t>
        </m:r>
        <m:r>
          <m:t>a</m:t>
        </m:r>
        <m:sSub>
          <m:e>
            <m:r>
              <m:t>t</m:t>
            </m:r>
          </m:e>
          <m:sub>
            <m:r>
              <m:t>t</m:t>
            </m:r>
          </m:sub>
        </m:sSub>
      </m:oMath>
      <w:r>
        <w:t xml:space="preserve"> </w:t>
      </w:r>
      <w:r>
        <w:t xml:space="preserve">: Le nombre de contrats précité est estimé par sous-catégories, compte tenu des bases techniques suivantes (La table de mortalité, La table de rachat en nombre, La table de résiliation)</w:t>
      </w:r>
    </w:p>
    <w:p>
      <w:pPr>
        <w:numPr>
          <w:ilvl w:val="0"/>
          <w:numId w:val="1013"/>
        </w:numPr>
        <w:pStyle w:val="Compact"/>
      </w:pPr>
      <m:oMath>
        <m:r>
          <m:t>F</m:t>
        </m:r>
        <m:sSub>
          <m:e>
            <m:r>
              <m:t>G</m:t>
            </m:r>
          </m:e>
          <m:sub>
            <m:r>
              <m:t>t</m:t>
            </m:r>
          </m:sub>
        </m:sSub>
      </m:oMath>
      <w:r>
        <w:t xml:space="preserve"> </w:t>
      </w:r>
      <w:r>
        <w:t xml:space="preserve">: Les frais de gestions.</w:t>
      </w:r>
    </w:p>
    <w:p>
      <w:pPr>
        <w:pStyle w:val="FirstParagraph"/>
      </w:pPr>
      <w:r>
        <w:t xml:space="preserve">Le montant de frais de gestion unitaire au titre de chaque exercice clos, correspond au rapport entre le montant de frais de gestion déterminé par sous-catégories et le nombre de contrats ou d’adhérents pour les contrats d’assurance de groupe, à l’ouverture de l’exercice clos considéré.</w:t>
      </w:r>
    </w:p>
    <w:p>
      <w:pPr>
        <w:pStyle w:val="BodyText"/>
      </w:pPr>
      <m:oMathPara>
        <m:oMathParaPr>
          <m:jc m:val="center"/>
        </m:oMathParaPr>
        <m:oMath>
          <m:sSubSup>
            <m:e>
              <m:acc>
                <m:accPr>
                  <m:chr m:val="‾"/>
                </m:accPr>
                <m:e>
                  <m:r>
                    <m:t>F</m:t>
                  </m:r>
                  <m:r>
                    <m:t>G</m:t>
                  </m:r>
                </m:e>
              </m:acc>
            </m:e>
            <m:sub>
              <m:r>
                <m:t>t</m:t>
              </m:r>
            </m:sub>
            <m:sup>
              <m:r>
                <m:t>u</m:t>
              </m:r>
              <m:r>
                <m:t>n</m:t>
              </m:r>
              <m:r>
                <m:t>i</m:t>
              </m:r>
              <m:r>
                <m:t>t</m:t>
              </m:r>
              <m:r>
                <m:t>a</m:t>
              </m:r>
              <m:r>
                <m:t>i</m:t>
              </m:r>
              <m:r>
                <m:t>r</m:t>
              </m:r>
              <m:r>
                <m:t>e</m:t>
              </m:r>
            </m:sup>
          </m:sSubSup>
          <m:r>
            <m:rPr>
              <m:sty m:val="p"/>
            </m:rPr>
            <m:t>=</m:t>
          </m:r>
          <m:f>
            <m:fPr>
              <m:type m:val="bar"/>
            </m:fPr>
            <m:num>
              <m:limUpp>
                <m:e>
                  <m:groupChr>
                    <m:groupChrPr>
                      <m:chr m:val="⏞"/>
                      <m:pos m:val="top"/>
                      <m:vertJc m:val="bot"/>
                    </m:groupChrPr>
                    <m:e>
                      <m:f>
                        <m:fPr>
                          <m:type m:val="bar"/>
                        </m:fPr>
                        <m:num>
                          <m:r>
                            <m:t>F</m:t>
                          </m:r>
                          <m:sSub>
                            <m:e>
                              <m:r>
                                <m:t>G</m:t>
                              </m:r>
                            </m:e>
                            <m:sub>
                              <m:r>
                                <m:t>t</m:t>
                              </m:r>
                              <m:r>
                                <m:rPr>
                                  <m:sty m:val="p"/>
                                </m:rPr>
                                <m:t>−</m:t>
                              </m:r>
                              <m:r>
                                <m:t>1</m:t>
                              </m:r>
                            </m:sub>
                          </m:sSub>
                        </m:num>
                        <m:den>
                          <m:r>
                            <m:t>N</m:t>
                          </m:r>
                          <m:r>
                            <m:t>b</m:t>
                          </m:r>
                          <m:r>
                            <m:t>C</m:t>
                          </m:r>
                          <m:r>
                            <m:t>o</m:t>
                          </m:r>
                          <m:r>
                            <m:t>n</m:t>
                          </m:r>
                          <m:r>
                            <m:t>t</m:t>
                          </m:r>
                          <m:r>
                            <m:t>r</m:t>
                          </m:r>
                          <m:r>
                            <m:t>a</m:t>
                          </m:r>
                          <m:sSub>
                            <m:e>
                              <m:r>
                                <m:t>t</m:t>
                              </m:r>
                            </m:e>
                            <m:sub>
                              <m:r>
                                <m:t>t</m:t>
                              </m:r>
                              <m:r>
                                <m:rPr>
                                  <m:sty m:val="p"/>
                                </m:rPr>
                                <m:t>−</m:t>
                              </m:r>
                              <m:r>
                                <m:t>1</m:t>
                              </m:r>
                            </m:sub>
                          </m:sSub>
                        </m:den>
                      </m:f>
                    </m:e>
                  </m:groupChr>
                </m:e>
                <m:lim>
                  <m:r>
                    <m:rPr>
                      <m:nor/>
                      <m:sty m:val="p"/>
                    </m:rPr>
                    <m:t>Frais de gestion unitaire en t-1</m:t>
                  </m:r>
                </m:lim>
              </m:limUpp>
              <m:r>
                <m:rPr>
                  <m:sty m:val="p"/>
                </m:rPr>
                <m:t>+</m:t>
              </m:r>
              <m:f>
                <m:fPr>
                  <m:type m:val="bar"/>
                </m:fPr>
                <m:num>
                  <m:r>
                    <m:t>F</m:t>
                  </m:r>
                  <m:sSub>
                    <m:e>
                      <m:r>
                        <m:t>G</m:t>
                      </m:r>
                    </m:e>
                    <m:sub>
                      <m:r>
                        <m:t>t</m:t>
                      </m:r>
                      <m:r>
                        <m:rPr>
                          <m:sty m:val="p"/>
                        </m:rPr>
                        <m:t>−</m:t>
                      </m:r>
                      <m:r>
                        <m:t>2</m:t>
                      </m:r>
                    </m:sub>
                  </m:sSub>
                </m:num>
                <m:den>
                  <m:r>
                    <m:t>N</m:t>
                  </m:r>
                  <m:r>
                    <m:t>b</m:t>
                  </m:r>
                  <m:r>
                    <m:t>C</m:t>
                  </m:r>
                  <m:r>
                    <m:t>o</m:t>
                  </m:r>
                  <m:r>
                    <m:t>n</m:t>
                  </m:r>
                  <m:r>
                    <m:t>t</m:t>
                  </m:r>
                  <m:r>
                    <m:t>r</m:t>
                  </m:r>
                  <m:r>
                    <m:t>a</m:t>
                  </m:r>
                  <m:sSub>
                    <m:e>
                      <m:r>
                        <m:t>t</m:t>
                      </m:r>
                    </m:e>
                    <m:sub>
                      <m:r>
                        <m:t>t</m:t>
                      </m:r>
                      <m:r>
                        <m:rPr>
                          <m:sty m:val="p"/>
                        </m:rPr>
                        <m:t>−</m:t>
                      </m:r>
                      <m:r>
                        <m:t>2</m:t>
                      </m:r>
                    </m:sub>
                  </m:sSub>
                </m:den>
              </m:f>
              <m:r>
                <m:rPr>
                  <m:sty m:val="p"/>
                </m:rPr>
                <m:t>+</m:t>
              </m:r>
              <m:f>
                <m:fPr>
                  <m:type m:val="bar"/>
                </m:fPr>
                <m:num>
                  <m:r>
                    <m:t>F</m:t>
                  </m:r>
                  <m:sSub>
                    <m:e>
                      <m:r>
                        <m:t>G</m:t>
                      </m:r>
                    </m:e>
                    <m:sub>
                      <m:r>
                        <m:t>t</m:t>
                      </m:r>
                      <m:r>
                        <m:rPr>
                          <m:sty m:val="p"/>
                        </m:rPr>
                        <m:t>−</m:t>
                      </m:r>
                      <m:r>
                        <m:t>3</m:t>
                      </m:r>
                    </m:sub>
                  </m:sSub>
                </m:num>
                <m:den>
                  <m:r>
                    <m:t>N</m:t>
                  </m:r>
                  <m:r>
                    <m:t>b</m:t>
                  </m:r>
                  <m:r>
                    <m:t>C</m:t>
                  </m:r>
                  <m:r>
                    <m:t>o</m:t>
                  </m:r>
                  <m:r>
                    <m:t>n</m:t>
                  </m:r>
                  <m:r>
                    <m:t>t</m:t>
                  </m:r>
                  <m:r>
                    <m:t>r</m:t>
                  </m:r>
                  <m:r>
                    <m:t>a</m:t>
                  </m:r>
                  <m:sSub>
                    <m:e>
                      <m:r>
                        <m:t>t</m:t>
                      </m:r>
                    </m:e>
                    <m:sub>
                      <m:r>
                        <m:t>t</m:t>
                      </m:r>
                      <m:r>
                        <m:rPr>
                          <m:sty m:val="p"/>
                        </m:rPr>
                        <m:t>−</m:t>
                      </m:r>
                      <m:r>
                        <m:t>3</m:t>
                      </m:r>
                    </m:sub>
                  </m:sSub>
                </m:den>
              </m:f>
            </m:num>
            <m:den>
              <m:r>
                <m:t>3</m:t>
              </m:r>
            </m:den>
          </m:f>
        </m:oMath>
      </m:oMathPara>
    </w:p>
    <w:bookmarkEnd w:id="51"/>
    <w:bookmarkEnd w:id="52"/>
    <w:bookmarkStart w:id="53" w:name="rentes-découlants-des-opérations-non-vie"/>
    <w:p>
      <w:pPr>
        <w:pStyle w:val="Heading3"/>
      </w:pPr>
      <w:r>
        <w:t xml:space="preserve">5.2 Rentes découlants des opérations non-vie:</w:t>
      </w:r>
    </w:p>
    <w:p>
      <w:pPr>
        <w:pStyle w:val="FirstParagraph"/>
      </w:pPr>
      <w:r>
        <w:t xml:space="preserve">La meilleure estimation des engagements pour les rentes découlant des opérations d’assurance non vie correspond à la meilleure estimation des garanties probabilisées déterminée avant.</w:t>
      </w:r>
    </w:p>
    <w:p>
      <w:pPr>
        <w:pStyle w:val="BodyText"/>
      </w:pPr>
      <m:oMathPara>
        <m:oMathParaPr>
          <m:jc m:val="center"/>
        </m:oMathParaPr>
        <m:oMath>
          <m:r>
            <m:t>B</m:t>
          </m:r>
          <m:sSub>
            <m:e>
              <m:r>
                <m:t>E</m:t>
              </m:r>
            </m:e>
            <m:sub>
              <m:r>
                <m:t>r</m:t>
              </m:r>
              <m:r>
                <m:t>n</m:t>
              </m:r>
              <m:r>
                <m:t>v</m:t>
              </m:r>
            </m:sub>
          </m:sSub>
          <m:r>
            <m:rPr>
              <m:sty m:val="p"/>
            </m:rPr>
            <m:t>=</m:t>
          </m:r>
          <m:r>
            <m:t>B</m:t>
          </m:r>
          <m:sSubSup>
            <m:e>
              <m:r>
                <m:t>E</m:t>
              </m:r>
            </m:e>
            <m:sub>
              <m:r>
                <m:t>g</m:t>
              </m:r>
              <m:r>
                <m:t>a</m:t>
              </m:r>
              <m:r>
                <m:t>r</m:t>
              </m:r>
              <m:r>
                <m:t>a</m:t>
              </m:r>
              <m:r>
                <m:t>n</m:t>
              </m:r>
              <m:r>
                <m:t>t</m:t>
              </m:r>
              <m:r>
                <m:t>i</m:t>
              </m:r>
              <m:r>
                <m:t>e</m:t>
              </m:r>
            </m:sub>
            <m:sup>
              <m:r>
                <m:t>p</m:t>
              </m:r>
              <m:r>
                <m:t>r</m:t>
              </m:r>
              <m:r>
                <m:t>o</m:t>
              </m:r>
              <m:r>
                <m:t>b</m:t>
              </m:r>
            </m:sup>
          </m:sSubSup>
        </m:oMath>
      </m:oMathPara>
    </w:p>
    <w:p>
      <w:pPr>
        <w:pStyle w:val="FirstParagraph"/>
      </w:pPr>
      <w:r>
        <w:t xml:space="preserve">Avec :</w:t>
      </w:r>
    </w:p>
    <w:p>
      <w:pPr>
        <w:numPr>
          <w:ilvl w:val="0"/>
          <w:numId w:val="1014"/>
        </w:numPr>
        <w:pStyle w:val="Compact"/>
      </w:pPr>
      <m:oMath>
        <m:r>
          <m:t>B</m:t>
        </m:r>
        <m:sSub>
          <m:e>
            <m:r>
              <m:t>E</m:t>
            </m:r>
          </m:e>
          <m:sub>
            <m:r>
              <m:t>r</m:t>
            </m:r>
            <m:r>
              <m:t>n</m:t>
            </m:r>
            <m:r>
              <m:t>v</m:t>
            </m:r>
          </m:sub>
        </m:sSub>
      </m:oMath>
      <w:r>
        <w:t xml:space="preserve"> </w:t>
      </w:r>
      <w:r>
        <w:t xml:space="preserve">: la meilleure estimation rentes découlant des opérations d’assurance non vie.</w:t>
      </w:r>
    </w:p>
    <w:p>
      <w:pPr>
        <w:numPr>
          <w:ilvl w:val="0"/>
          <w:numId w:val="1014"/>
        </w:numPr>
        <w:pStyle w:val="Compact"/>
      </w:pPr>
      <m:oMath>
        <m:r>
          <m:t>B</m:t>
        </m:r>
        <m:sSubSup>
          <m:e>
            <m:r>
              <m:t>E</m:t>
            </m:r>
          </m:e>
          <m:sub>
            <m:r>
              <m:t>g</m:t>
            </m:r>
            <m:r>
              <m:t>a</m:t>
            </m:r>
            <m:r>
              <m:t>r</m:t>
            </m:r>
            <m:r>
              <m:t>a</m:t>
            </m:r>
            <m:r>
              <m:t>n</m:t>
            </m:r>
            <m:r>
              <m:t>t</m:t>
            </m:r>
            <m:r>
              <m:t>i</m:t>
            </m:r>
            <m:r>
              <m:t>e</m:t>
            </m:r>
          </m:sub>
          <m:sup>
            <m:r>
              <m:t>p</m:t>
            </m:r>
            <m:r>
              <m:t>r</m:t>
            </m:r>
            <m:r>
              <m:t>o</m:t>
            </m:r>
            <m:r>
              <m:t>b</m:t>
            </m:r>
          </m:sup>
        </m:sSubSup>
      </m:oMath>
      <w:r>
        <w:t xml:space="preserve"> </w:t>
      </w:r>
      <w:r>
        <w:t xml:space="preserve">: la meilleure estimation des garanties probabilisées.</w:t>
      </w:r>
    </w:p>
    <w:p>
      <w:pPr>
        <w:pStyle w:val="FirstParagraph"/>
      </w:pPr>
      <w:r>
        <w:t xml:space="preserve">La meilleure estimation des frais de gestion, pour les rentes découlant des opérations d’assurance non vie est déterminée de la meme façon comme avant.</w:t>
      </w:r>
    </w:p>
    <w:bookmarkEnd w:id="53"/>
    <w:bookmarkStart w:id="58" w:name="X95164bc6af2e862e4c417e49c6d46de2a1b5d80"/>
    <w:p>
      <w:pPr>
        <w:pStyle w:val="Heading3"/>
      </w:pPr>
      <w:r>
        <w:t xml:space="preserve">5.3 Opérations d’assurance non vie hors rentes:</w:t>
      </w:r>
    </w:p>
    <w:bookmarkStart w:id="56" w:name="la-meilleure-estimation-des-engagements"/>
    <w:p>
      <w:pPr>
        <w:pStyle w:val="Heading4"/>
      </w:pPr>
      <w:r>
        <w:t xml:space="preserve">5.3.1 La meilleure estimation des engagements:</w:t>
      </w:r>
    </w:p>
    <w:p>
      <w:pPr>
        <w:pStyle w:val="FirstParagraph"/>
      </w:pPr>
      <w:r>
        <w:t xml:space="preserve">la meilleure estimation des engagements comprend la meilleure estimation des engagements pour sinistres nets de recours et la meilleure estimation des engagements pour primes.</w:t>
      </w:r>
    </w:p>
    <w:p>
      <w:pPr>
        <w:pStyle w:val="BodyText"/>
      </w:pPr>
      <m:oMathPara>
        <m:oMathParaPr>
          <m:jc m:val="center"/>
        </m:oMathParaPr>
        <m:oMath>
          <m:sSub>
            <m:e>
              <m:r>
                <m:t>​</m:t>
              </m:r>
            </m:e>
            <m:sub>
              <m:r>
                <m:t>n</m:t>
              </m:r>
              <m:r>
                <m:t>v</m:t>
              </m:r>
              <m:r>
                <m:t>h</m:t>
              </m:r>
              <m:r>
                <m:t>r</m:t>
              </m:r>
            </m:sub>
          </m:sSub>
          <m:r>
            <m:t>B</m:t>
          </m:r>
          <m:sSub>
            <m:e>
              <m:r>
                <m:t>E</m:t>
              </m:r>
            </m:e>
            <m:sub>
              <m:r>
                <m:t>e</m:t>
              </m:r>
              <m:r>
                <m:t>n</m:t>
              </m:r>
              <m:r>
                <m:t>g</m:t>
              </m:r>
              <m:r>
                <m:t>a</m:t>
              </m:r>
              <m:r>
                <m:t>g</m:t>
              </m:r>
              <m:r>
                <m:t>e</m:t>
              </m:r>
              <m:r>
                <m:t>m</m:t>
              </m:r>
              <m:r>
                <m:t>e</m:t>
              </m:r>
              <m:r>
                <m:t>n</m:t>
              </m:r>
              <m:r>
                <m:t>t</m:t>
              </m:r>
            </m:sub>
          </m:sSub>
          <m:limLow>
            <m:e>
              <m:r>
                <m:rPr>
                  <m:sty m:val="p"/>
                </m:rPr>
                <m:t>=</m:t>
              </m:r>
            </m:e>
            <m:lim>
              <m:r>
                <m:t>n</m:t>
              </m:r>
              <m:r>
                <m:t>v</m:t>
              </m:r>
              <m:r>
                <m:t>h</m:t>
              </m:r>
              <m:r>
                <m:t>r</m:t>
              </m:r>
            </m:lim>
          </m:limLow>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oMath>
      </m:oMathPara>
    </w:p>
    <w:bookmarkStart w:id="54" w:name="X8689949a7862be15d42a3aec3dcec69638ae007"/>
    <w:p>
      <w:pPr>
        <w:pStyle w:val="Heading5"/>
      </w:pPr>
      <w:r>
        <w:t xml:space="preserve">5.3.1.1 La meilleure estimation des engagements pour primes(</w:t>
      </w:r>
      <m:oMath>
        <m:sSub>
          <m:e>
            <m:r>
              <m:t>​</m:t>
            </m:r>
          </m:e>
          <m:sub>
            <m:r>
              <m:t>n</m:t>
            </m:r>
            <m:r>
              <m:t>v</m:t>
            </m:r>
            <m:r>
              <m:t>h</m:t>
            </m:r>
            <m:r>
              <m:t>r</m:t>
            </m:r>
          </m:sub>
        </m:sSub>
        <m:r>
          <m:t>B</m:t>
        </m:r>
        <m:sSubSup>
          <m:e>
            <m:r>
              <m:t>E</m:t>
            </m:r>
          </m:e>
          <m:sub>
            <m:r>
              <m:t>p</m:t>
            </m:r>
            <m:r>
              <m:t>r</m:t>
            </m:r>
            <m:r>
              <m:t>i</m:t>
            </m:r>
            <m:r>
              <m:t>m</m:t>
            </m:r>
            <m:r>
              <m:t>e</m:t>
            </m:r>
            <m:r>
              <m:t>s</m:t>
            </m:r>
          </m:sub>
          <m:sup>
            <m:r>
              <m:t>e</m:t>
            </m:r>
            <m:r>
              <m:t>n</m:t>
            </m:r>
            <m:r>
              <m:t>g</m:t>
            </m:r>
          </m:sup>
        </m:sSubSup>
      </m:oMath>
      <w:r>
        <w:t xml:space="preserve">):</w:t>
      </w:r>
    </w:p>
    <w:p>
      <w:pPr>
        <w:pStyle w:val="FirstParagraph"/>
      </w:pPr>
      <w:r>
        <w:t xml:space="preserve">La meilleure estimation des engagements pour primes correspond à la différence entre :</w:t>
      </w:r>
    </w:p>
    <w:p>
      <w:pPr>
        <w:numPr>
          <w:ilvl w:val="0"/>
          <w:numId w:val="1015"/>
        </w:numPr>
        <w:pStyle w:val="Compact"/>
      </w:pPr>
      <w:r>
        <w:t xml:space="preserve">La somme actualisée des flux de règlements futurs probabilisés nets de recours relatifs aux</w:t>
      </w:r>
      <w:r>
        <w:t xml:space="preserve"> </w:t>
      </w:r>
      <w:r>
        <w:rPr>
          <w:iCs/>
          <w:i/>
        </w:rPr>
        <w:t xml:space="preserve">sinistres non encore survenus</w:t>
      </w:r>
      <w:r>
        <w:t xml:space="preserve"> </w:t>
      </w:r>
      <w:r>
        <w:t xml:space="preserve">afférents aux contrats.</w:t>
      </w:r>
    </w:p>
    <w:p>
      <w:pPr>
        <w:numPr>
          <w:ilvl w:val="0"/>
          <w:numId w:val="1015"/>
        </w:numPr>
        <w:pStyle w:val="Compact"/>
      </w:pPr>
      <w:r>
        <w:t xml:space="preserve">Le montant des primes futures probabilisé et actualisé à la date d’inventaire, net des frais d’acquisition, afférentes aux contrats.</w:t>
      </w:r>
    </w:p>
    <w:p>
      <w:pPr>
        <w:pStyle w:val="FirstParagraph"/>
      </w:pPr>
      <m:oMathPara>
        <m:oMathParaPr>
          <m:jc m:val="center"/>
        </m:oMathParaPr>
        <m:oMath>
          <m:sSub>
            <m:e>
              <m:r>
                <m:t>​</m:t>
              </m:r>
            </m:e>
            <m:sub>
              <m:r>
                <m:t>n</m:t>
              </m:r>
              <m:r>
                <m:t>v</m:t>
              </m:r>
              <m:r>
                <m:t>h</m:t>
              </m:r>
              <m:r>
                <m:t>r</m:t>
              </m:r>
            </m:sub>
          </m:sSub>
          <m:r>
            <m:t>B</m:t>
          </m:r>
          <m:sSubSup>
            <m:e>
              <m:r>
                <m:t>E</m:t>
              </m:r>
            </m:e>
            <m:sub>
              <m:r>
                <m:t>p</m:t>
              </m:r>
              <m:r>
                <m:t>r</m:t>
              </m:r>
              <m:r>
                <m:t>i</m:t>
              </m:r>
              <m:r>
                <m:t>m</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bar>
                    <m:barPr>
                      <m:pos m:val="top"/>
                    </m:barPr>
                    <m:e>
                      <m:r>
                        <m:t>F</m:t>
                      </m:r>
                      <m:r>
                        <m:t>R</m:t>
                      </m:r>
                      <m:r>
                        <m:t>F</m:t>
                      </m:r>
                      <m:sSub>
                        <m:e>
                          <m:r>
                            <m:t>P</m:t>
                          </m:r>
                        </m:e>
                        <m:sub>
                          <m:r>
                            <m:t>t</m:t>
                          </m:r>
                        </m:sub>
                      </m:sSub>
                    </m:e>
                  </m:bar>
                </m:num>
                <m:den>
                  <m:sSup>
                    <m:e>
                      <m:d>
                        <m:dPr>
                          <m:begChr m:val="("/>
                          <m:endChr m:val=")"/>
                          <m:sepChr m:val=""/>
                          <m:grow/>
                        </m:dPr>
                        <m:e>
                          <m:r>
                            <m:t>1</m:t>
                          </m:r>
                          <m:r>
                            <m:rPr>
                              <m:sty m:val="p"/>
                            </m:rPr>
                            <m:t>+</m:t>
                          </m:r>
                          <m:sSub>
                            <m:e>
                              <m:r>
                                <m:t>r</m:t>
                              </m:r>
                            </m:e>
                            <m:sub>
                              <m:r>
                                <m:t>t</m:t>
                              </m:r>
                            </m:sub>
                          </m:sSub>
                        </m:e>
                      </m:d>
                    </m:e>
                    <m:sup>
                      <m:r>
                        <m:t>t</m:t>
                      </m:r>
                    </m:sup>
                  </m:sSup>
                </m:den>
              </m:f>
            </m:e>
          </m:nary>
          <m:r>
            <m:rPr>
              <m:sty m:val="p"/>
            </m:rPr>
            <m:t>−</m:t>
          </m:r>
          <m:f>
            <m:fPr>
              <m:type m:val="bar"/>
            </m:fPr>
            <m:num>
              <m:r>
                <m:t>P</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oMath>
      </m:oMathPara>
    </w:p>
    <w:p>
      <w:pPr>
        <w:pStyle w:val="FirstParagraph"/>
      </w:pPr>
      <w:r>
        <w:t xml:space="preserve">avec:</w:t>
      </w:r>
    </w:p>
    <w:p>
      <w:pPr>
        <w:numPr>
          <w:ilvl w:val="0"/>
          <w:numId w:val="1016"/>
        </w:numPr>
        <w:pStyle w:val="Compact"/>
      </w:pPr>
      <m:oMath>
        <m:r>
          <m:t>P</m:t>
        </m:r>
        <m:r>
          <m:t>F</m:t>
        </m:r>
        <m:r>
          <m:t>P</m:t>
        </m:r>
      </m:oMath>
      <w:r>
        <w:t xml:space="preserve">: Le montant des primes futures probabilisé.</w:t>
      </w:r>
    </w:p>
    <w:p>
      <w:pPr>
        <w:numPr>
          <w:ilvl w:val="0"/>
          <w:numId w:val="1016"/>
        </w:numPr>
        <w:pStyle w:val="Compact"/>
      </w:pPr>
      <m:oMath>
        <m:bar>
          <m:barPr>
            <m:pos m:val="top"/>
          </m:barPr>
          <m:e>
            <m:r>
              <m:t>F</m:t>
            </m:r>
            <m:r>
              <m:t>R</m:t>
            </m:r>
            <m:r>
              <m:t>F</m:t>
            </m:r>
            <m:sSub>
              <m:e>
                <m:r>
                  <m:t>P</m:t>
                </m:r>
              </m:e>
              <m:sub>
                <m:r>
                  <m:t>t</m:t>
                </m:r>
              </m:sub>
            </m:sSub>
          </m:e>
        </m:bar>
      </m:oMath>
      <w:r>
        <w:t xml:space="preserve">: La somme actualisée des flux de règlements futurs probabilisés nets de recours relatifs aux sinistres non encore survenus,telle que pour une année de projection donnée:</w:t>
      </w:r>
    </w:p>
    <w:p>
      <w:pPr>
        <w:pStyle w:val="FirstParagraph"/>
      </w:pPr>
      <m:oMathPara>
        <m:oMathParaPr>
          <m:jc m:val="center"/>
        </m:oMathParaPr>
        <m:oMath>
          <m:bar>
            <m:barPr>
              <m:pos m:val="top"/>
            </m:barPr>
            <m:e>
              <m:r>
                <m:t>F</m:t>
              </m:r>
              <m:r>
                <m:t>R</m:t>
              </m:r>
              <m:r>
                <m:t>F</m:t>
              </m:r>
              <m:sSub>
                <m:e>
                  <m:r>
                    <m:t>P</m:t>
                  </m:r>
                </m:e>
                <m:sub>
                  <m:r>
                    <m:t>t</m:t>
                  </m:r>
                </m:sub>
              </m:sSub>
            </m:e>
          </m:bar>
          <m:r>
            <m:rPr>
              <m:sty m:val="p"/>
            </m:rPr>
            <m:t>=</m:t>
          </m:r>
          <m:r>
            <m:t>T</m:t>
          </m:r>
          <m:sSub>
            <m:e>
              <m:r>
                <m:t>x</m:t>
              </m:r>
            </m:e>
            <m:sub>
              <m:r>
                <m:t>l</m:t>
              </m:r>
              <m:r>
                <m:t>i</m:t>
              </m:r>
              <m:r>
                <m:t>q</m:t>
              </m:r>
              <m:r>
                <m:t>u</m:t>
              </m:r>
              <m:r>
                <m:t>i</m:t>
              </m:r>
              <m:r>
                <m:t>d</m:t>
              </m:r>
              <m:r>
                <m:t>a</m:t>
              </m:r>
              <m:r>
                <m:t>t</m:t>
              </m:r>
              <m:r>
                <m:t>i</m:t>
              </m:r>
              <m:r>
                <m:t>o</m:t>
              </m:r>
              <m:r>
                <m:t>n</m:t>
              </m:r>
            </m:sub>
          </m:sSub>
          <m:r>
            <m:rPr>
              <m:sty m:val="p"/>
            </m:rPr>
            <m:t>*</m:t>
          </m:r>
          <m:r>
            <m:t>R</m:t>
          </m:r>
          <m:sSub>
            <m:e>
              <m:r>
                <m:t>S</m:t>
              </m:r>
            </m:e>
            <m:sub>
              <m:r>
                <m:t>m</m:t>
              </m:r>
              <m:r>
                <m:t>o</m:t>
              </m:r>
              <m:r>
                <m:t>y</m:t>
              </m:r>
              <m:r>
                <m:t>e</m:t>
              </m:r>
              <m:r>
                <m:t>n</m:t>
              </m:r>
            </m:sub>
          </m:sSub>
          <m:r>
            <m:rPr>
              <m:sty m:val="p"/>
            </m:rPr>
            <m:t>*</m:t>
          </m:r>
          <m:d>
            <m:dPr>
              <m:begChr m:val="("/>
              <m:endChr m:val=")"/>
              <m:sepChr m:val=""/>
              <m:grow/>
            </m:dPr>
            <m:e>
              <m:r>
                <m:t>P</m:t>
              </m:r>
              <m:r>
                <m:t>P</m:t>
              </m:r>
              <m:r>
                <m:t>N</m:t>
              </m:r>
              <m:r>
                <m:t>A</m:t>
              </m:r>
              <m:r>
                <m:rPr>
                  <m:sty m:val="p"/>
                </m:rPr>
                <m:t>+</m:t>
              </m:r>
              <m:r>
                <m:t>P</m:t>
              </m:r>
              <m:r>
                <m:t>F</m:t>
              </m:r>
              <m:r>
                <m:t>P</m:t>
              </m:r>
            </m:e>
          </m:d>
        </m:oMath>
      </m:oMathPara>
    </w:p>
    <w:p>
      <w:pPr>
        <w:pStyle w:val="FirstParagraph"/>
      </w:pPr>
      <w:r>
        <w:t xml:space="preserve">Où:</w:t>
      </w:r>
    </w:p>
    <w:p>
      <w:pPr>
        <w:numPr>
          <w:ilvl w:val="0"/>
          <w:numId w:val="1017"/>
        </w:numPr>
      </w:pPr>
      <m:oMath>
        <m:r>
          <m:t>T</m:t>
        </m:r>
        <m:sSub>
          <m:e>
            <m:r>
              <m:t>x</m:t>
            </m:r>
          </m:e>
          <m:sub>
            <m:r>
              <m:t>l</m:t>
            </m:r>
            <m:r>
              <m:t>i</m:t>
            </m:r>
            <m:r>
              <m:t>q</m:t>
            </m:r>
            <m:r>
              <m:t>u</m:t>
            </m:r>
            <m:r>
              <m:t>i</m:t>
            </m:r>
            <m:r>
              <m:t>d</m:t>
            </m:r>
            <m:r>
              <m:t>a</m:t>
            </m:r>
            <m:r>
              <m:t>t</m:t>
            </m:r>
            <m:r>
              <m:t>i</m:t>
            </m:r>
            <m:r>
              <m:t>o</m:t>
            </m:r>
            <m:r>
              <m:t>n</m:t>
            </m:r>
          </m:sub>
        </m:sSub>
      </m:oMath>
      <w:r>
        <w:t xml:space="preserve">: le taux de liquidation,il est estimé en fonction de la cadence de liquidation des engagements pour sinistres survenus.</w:t>
      </w:r>
    </w:p>
    <w:p>
      <w:pPr>
        <w:numPr>
          <w:ilvl w:val="0"/>
          <w:numId w:val="1017"/>
        </w:numPr>
      </w:pPr>
      <m:oMath>
        <m:r>
          <m:t>R</m:t>
        </m:r>
        <m:sSub>
          <m:e>
            <m:r>
              <m:t>S</m:t>
            </m:r>
          </m:e>
          <m:sub>
            <m:r>
              <m:t>m</m:t>
            </m:r>
            <m:r>
              <m:t>o</m:t>
            </m:r>
            <m:r>
              <m:t>y</m:t>
            </m:r>
            <m:r>
              <m:t>e</m:t>
            </m:r>
            <m:r>
              <m:t>n</m:t>
            </m:r>
          </m:sub>
        </m:sSub>
      </m:oMath>
      <w:r>
        <w:t xml:space="preserve">: le ratio de sinistralité moyen telle que:</w:t>
      </w:r>
    </w:p>
    <w:p>
      <w:pPr>
        <w:pStyle w:val="BodyText"/>
      </w:pPr>
      <m:oMathPara>
        <m:oMathParaPr>
          <m:jc m:val="center"/>
        </m:oMathParaPr>
        <m:oMath>
          <m:r>
            <m:t>R</m:t>
          </m:r>
          <m:sSub>
            <m:e>
              <m:r>
                <m:t>S</m:t>
              </m:r>
            </m:e>
            <m:sub>
              <m:r>
                <m:t>m</m:t>
              </m:r>
              <m:r>
                <m:t>o</m:t>
              </m:r>
              <m:r>
                <m:t>y</m:t>
              </m:r>
              <m:r>
                <m:t>e</m:t>
              </m:r>
              <m:sSub>
                <m:e>
                  <m:r>
                    <m:t>n</m:t>
                  </m:r>
                </m:e>
                <m:sub>
                  <m:r>
                    <m:t>t</m:t>
                  </m:r>
                </m:sub>
              </m:sSub>
            </m:sub>
          </m:sSub>
          <m:r>
            <m:rPr>
              <m:sty m:val="p"/>
            </m:rPr>
            <m:t>=</m:t>
          </m:r>
          <m:f>
            <m:fPr>
              <m:type m:val="bar"/>
            </m:fPr>
            <m:num>
              <m:r>
                <m:t>C</m:t>
              </m:r>
              <m:sSub>
                <m:e>
                  <m:r>
                    <m:t>U</m:t>
                  </m:r>
                </m:e>
                <m:sub>
                  <m:r>
                    <m:t>t</m:t>
                  </m:r>
                </m:sub>
              </m:sSub>
              <m:r>
                <m:rPr>
                  <m:sty m:val="p"/>
                </m:rPr>
                <m:t>+</m:t>
              </m:r>
              <m:r>
                <m:t>C</m:t>
              </m:r>
              <m:sSub>
                <m:e>
                  <m:r>
                    <m:t>U</m:t>
                  </m:r>
                </m:e>
                <m:sub>
                  <m:r>
                    <m:t>t</m:t>
                  </m:r>
                  <m:r>
                    <m:rPr>
                      <m:sty m:val="p"/>
                    </m:rPr>
                    <m:t>−</m:t>
                  </m:r>
                  <m:r>
                    <m:t>1</m:t>
                  </m:r>
                </m:sub>
              </m:sSub>
              <m:r>
                <m:rPr>
                  <m:sty m:val="p"/>
                </m:rPr>
                <m:t>+</m:t>
              </m:r>
              <m:r>
                <m:t>C</m:t>
              </m:r>
              <m:sSub>
                <m:e>
                  <m:r>
                    <m:t>U</m:t>
                  </m:r>
                </m:e>
                <m:sub>
                  <m:r>
                    <m:t>t</m:t>
                  </m:r>
                  <m:r>
                    <m:rPr>
                      <m:sty m:val="p"/>
                    </m:rPr>
                    <m:t>−</m:t>
                  </m:r>
                  <m:r>
                    <m:t>2</m:t>
                  </m:r>
                </m:sub>
              </m:sSub>
            </m:num>
            <m:den>
              <m:r>
                <m:t>P</m:t>
              </m:r>
              <m:sSub>
                <m:e>
                  <m:r>
                    <m:t>A</m:t>
                  </m:r>
                </m:e>
                <m:sub>
                  <m:r>
                    <m:t>t</m:t>
                  </m:r>
                </m:sub>
              </m:sSub>
              <m:r>
                <m:rPr>
                  <m:sty m:val="p"/>
                </m:rPr>
                <m:t>+</m:t>
              </m:r>
              <m:r>
                <m:t>P</m:t>
              </m:r>
              <m:sSub>
                <m:e>
                  <m:r>
                    <m:t>A</m:t>
                  </m:r>
                </m:e>
                <m:sub>
                  <m:r>
                    <m:t>t</m:t>
                  </m:r>
                  <m:r>
                    <m:rPr>
                      <m:sty m:val="p"/>
                    </m:rPr>
                    <m:t>−</m:t>
                  </m:r>
                  <m:r>
                    <m:t>1</m:t>
                  </m:r>
                </m:sub>
              </m:sSub>
              <m:r>
                <m:rPr>
                  <m:sty m:val="p"/>
                </m:rPr>
                <m:t>+</m:t>
              </m:r>
              <m:r>
                <m:t>P</m:t>
              </m:r>
              <m:sSub>
                <m:e>
                  <m:r>
                    <m:t>A</m:t>
                  </m:r>
                </m:e>
                <m:sub>
                  <m:r>
                    <m:t>t</m:t>
                  </m:r>
                  <m:r>
                    <m:rPr>
                      <m:sty m:val="p"/>
                    </m:rPr>
                    <m:t>−</m:t>
                  </m:r>
                  <m:r>
                    <m:t>2</m:t>
                  </m:r>
                </m:sub>
              </m:sSub>
            </m:den>
          </m:f>
        </m:oMath>
      </m:oMathPara>
    </w:p>
    <w:p>
      <w:pPr>
        <w:numPr>
          <w:ilvl w:val="0"/>
          <w:numId w:val="1017"/>
        </w:numPr>
      </w:pPr>
      <m:oMath>
        <m:r>
          <m:t>C</m:t>
        </m:r>
        <m:r>
          <m:t>U</m:t>
        </m:r>
      </m:oMath>
      <w:r>
        <w:t xml:space="preserve">: [La charge ultime visée correspond, par exercice de survenance, à la somme des règlements cumulés et des règlements futurs au titre de l’année de survenance considérée.] représente la charge ultime.</w:t>
      </w:r>
    </w:p>
    <w:p>
      <w:pPr>
        <w:numPr>
          <w:ilvl w:val="0"/>
          <w:numId w:val="1017"/>
        </w:numPr>
      </w:pPr>
      <m:oMath>
        <m:r>
          <m:t>P</m:t>
        </m:r>
        <m:r>
          <m:t>A</m:t>
        </m:r>
      </m:oMath>
      <w:r>
        <w:t xml:space="preserve"> </w:t>
      </w:r>
      <w:r>
        <w:t xml:space="preserve">les primes acquises.</w:t>
      </w:r>
    </w:p>
    <w:p>
      <w:pPr>
        <w:pStyle w:val="FirstParagraph"/>
      </w:pPr>
      <w:r>
        <w:t xml:space="preserve">Tell que :</w:t>
      </w:r>
    </w:p>
    <w:p>
      <w:pPr>
        <w:pStyle w:val="BodyText"/>
      </w:pPr>
      <m:oMathPara>
        <m:oMathParaPr>
          <m:jc m:val="center"/>
        </m:oMathParaPr>
        <m:oMath>
          <m:r>
            <m:t>C</m:t>
          </m:r>
          <m:sSub>
            <m:e>
              <m:r>
                <m:t>U</m:t>
              </m:r>
            </m:e>
            <m:sub>
              <m:r>
                <m:t>t</m:t>
              </m:r>
            </m:sub>
          </m:sSub>
          <m:r>
            <m:rPr>
              <m:sty m:val="p"/>
            </m:rPr>
            <m:t>=</m:t>
          </m:r>
          <m:r>
            <m:t>R</m:t>
          </m:r>
          <m:r>
            <m:t>e</m:t>
          </m:r>
          <m:r>
            <m:t>g</m:t>
          </m:r>
          <m:r>
            <m:t>C</m:t>
          </m:r>
          <m:r>
            <m:t>u</m:t>
          </m:r>
          <m:r>
            <m:t>m</m:t>
          </m:r>
          <m:r>
            <m:t>u</m:t>
          </m:r>
          <m:r>
            <m:t>l</m:t>
          </m:r>
          <m:r>
            <m:t>e</m:t>
          </m:r>
          <m:sSub>
            <m:e>
              <m:r>
                <m:t>s</m:t>
              </m:r>
            </m:e>
            <m:sub>
              <m:r>
                <m:t>t</m:t>
              </m:r>
            </m:sub>
          </m:sSub>
          <m:r>
            <m:rPr>
              <m:sty m:val="p"/>
            </m:rPr>
            <m:t>+</m:t>
          </m:r>
          <m:r>
            <m:t>R</m:t>
          </m:r>
          <m:r>
            <m:t>e</m:t>
          </m:r>
          <m:r>
            <m:t>g</m:t>
          </m:r>
          <m:r>
            <m:t>F</m:t>
          </m:r>
          <m:r>
            <m:t>u</m:t>
          </m:r>
          <m:r>
            <m:t>t</m:t>
          </m:r>
          <m:r>
            <m:t>u</m:t>
          </m:r>
          <m:r>
            <m:t>r</m:t>
          </m:r>
          <m:r>
            <m:t>e</m:t>
          </m:r>
          <m:sSub>
            <m:e>
              <m:r>
                <m:t>s</m:t>
              </m:r>
            </m:e>
            <m:sub>
              <m:r>
                <m:t>t</m:t>
              </m:r>
            </m:sub>
          </m:sSub>
        </m:oMath>
      </m:oMathPara>
    </w:p>
    <w:p>
      <w:pPr>
        <w:numPr>
          <w:ilvl w:val="0"/>
          <w:numId w:val="1018"/>
        </w:numPr>
        <w:pStyle w:val="Compact"/>
      </w:pPr>
      <m:oMath>
        <m:r>
          <m:t>R</m:t>
        </m:r>
        <m:r>
          <m:t>e</m:t>
        </m:r>
        <m:r>
          <m:t>g</m:t>
        </m:r>
        <m:r>
          <m:t>C</m:t>
        </m:r>
        <m:r>
          <m:t>u</m:t>
        </m:r>
        <m:r>
          <m:t>m</m:t>
        </m:r>
        <m:r>
          <m:t>u</m:t>
        </m:r>
        <m:r>
          <m:t>l</m:t>
        </m:r>
        <m:r>
          <m:t>e</m:t>
        </m:r>
        <m:sSub>
          <m:e>
            <m:r>
              <m:t>s</m:t>
            </m:r>
          </m:e>
          <m:sub>
            <m:r>
              <m:t>t</m:t>
            </m:r>
          </m:sub>
        </m:sSub>
      </m:oMath>
      <w:r>
        <w:t xml:space="preserve"> </w:t>
      </w:r>
      <w:r>
        <w:t xml:space="preserve">: les règlements cumulés</w:t>
      </w:r>
    </w:p>
    <w:p>
      <w:pPr>
        <w:numPr>
          <w:ilvl w:val="0"/>
          <w:numId w:val="1018"/>
        </w:numPr>
        <w:pStyle w:val="Compact"/>
      </w:pPr>
      <m:oMath>
        <m:r>
          <m:t>R</m:t>
        </m:r>
        <m:r>
          <m:t>e</m:t>
        </m:r>
        <m:r>
          <m:t>g</m:t>
        </m:r>
        <m:r>
          <m:t>F</m:t>
        </m:r>
        <m:r>
          <m:t>u</m:t>
        </m:r>
        <m:r>
          <m:t>t</m:t>
        </m:r>
        <m:r>
          <m:t>u</m:t>
        </m:r>
        <m:r>
          <m:t>r</m:t>
        </m:r>
        <m:r>
          <m:t>e</m:t>
        </m:r>
        <m:sSub>
          <m:e>
            <m:r>
              <m:t>s</m:t>
            </m:r>
          </m:e>
          <m:sub>
            <m:r>
              <m:t>t</m:t>
            </m:r>
          </m:sub>
        </m:sSub>
      </m:oMath>
      <w:r>
        <w:t xml:space="preserve">: les règlements futurs</w:t>
      </w:r>
    </w:p>
    <w:p>
      <w:pPr>
        <w:numPr>
          <w:ilvl w:val="0"/>
          <w:numId w:val="1018"/>
        </w:numPr>
        <w:pStyle w:val="Compact"/>
      </w:pPr>
      <m:oMath>
        <m:r>
          <m:t>P</m:t>
        </m:r>
        <m:r>
          <m:t>P</m:t>
        </m:r>
        <m:r>
          <m:t>N</m:t>
        </m:r>
        <m:r>
          <m:t>A</m:t>
        </m:r>
      </m:oMath>
      <w:r>
        <w:t xml:space="preserve">: La provision pour primes non acquises.</w:t>
      </w:r>
    </w:p>
    <w:p>
      <w:pPr>
        <w:numPr>
          <w:ilvl w:val="0"/>
          <w:numId w:val="1018"/>
        </w:numPr>
        <w:pStyle w:val="Compact"/>
      </w:pPr>
      <m:oMath>
        <m:r>
          <m:t>P</m:t>
        </m:r>
        <m:r>
          <m:t>F</m:t>
        </m:r>
        <m:r>
          <m:t>P</m:t>
        </m:r>
      </m:oMath>
      <w:r>
        <w:t xml:space="preserve">: Le montant des primes futures probabilisé.</w:t>
      </w:r>
    </w:p>
    <w:bookmarkEnd w:id="54"/>
    <w:bookmarkStart w:id="55" w:name="X572d2bda42d1df1530f2f73f582d39347f6151e"/>
    <w:p>
      <w:pPr>
        <w:pStyle w:val="Heading5"/>
      </w:pPr>
      <w:r>
        <w:t xml:space="preserve">5.3.1.2 La meilleure estimation des engagements pour sinistres nets (</w:t>
      </w: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oMath>
      <w:r>
        <w:t xml:space="preserve">):</w:t>
      </w:r>
    </w:p>
    <w:p>
      <w:pPr>
        <w:pStyle w:val="FirstParagraph"/>
      </w:pPr>
      <w:r>
        <w:t xml:space="preserve">La meilleure estimation des engagements pour sinistres nets de recours est déterminée en actualisant, les flux de règlements futurs probabilisés nets de recours relatifs aux sinistres survenus afférents aux contrats.</w:t>
      </w:r>
    </w:p>
    <w:p>
      <w:pPr>
        <w:pStyle w:val="BodyText"/>
      </w:pPr>
      <m:oMathPara>
        <m:oMathParaPr>
          <m:jc m:val="center"/>
        </m:oMathParaPr>
        <m:oMath>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nary>
            <m:naryPr>
              <m:chr m:val="∑"/>
              <m:limLoc m:val="undOvr"/>
              <m:subHide m:val="0"/>
              <m:supHide m:val="1"/>
            </m:naryPr>
            <m:sub>
              <m:r>
                <m:t>t</m:t>
              </m:r>
              <m:r>
                <m:rPr>
                  <m:sty m:val="p"/>
                </m:rPr>
                <m:t>≥</m:t>
              </m:r>
              <m:r>
                <m:t>1</m:t>
              </m:r>
            </m:sub>
            <m:sup>
              <m:r>
                <m:t>​</m:t>
              </m:r>
            </m:sup>
            <m:e>
              <m:f>
                <m:fPr>
                  <m:type m:val="bar"/>
                </m:fPr>
                <m:num>
                  <m:r>
                    <m:t>F</m:t>
                  </m:r>
                  <m:r>
                    <m:t>R</m:t>
                  </m:r>
                  <m:r>
                    <m:t>F</m:t>
                  </m:r>
                  <m:sSub>
                    <m:e>
                      <m:r>
                        <m:t>P</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19"/>
        </w:numPr>
        <w:pStyle w:val="Compact"/>
      </w:pPr>
      <m:oMath>
        <m:r>
          <m:t>F</m:t>
        </m:r>
        <m:r>
          <m:t>R</m:t>
        </m:r>
        <m:r>
          <m:t>F</m:t>
        </m:r>
        <m:sSub>
          <m:e>
            <m:r>
              <m:t>P</m:t>
            </m:r>
          </m:e>
          <m:sub>
            <m:r>
              <m:t>t</m:t>
            </m:r>
          </m:sub>
        </m:sSub>
      </m:oMath>
      <w:r>
        <w:t xml:space="preserve"> </w:t>
      </w:r>
      <w:r>
        <w:t xml:space="preserve">: les flux de règlements futurs probabilisés nets de recours relatifs aux</w:t>
      </w:r>
      <w:r>
        <w:t xml:space="preserve"> </w:t>
      </w:r>
      <w:r>
        <w:rPr>
          <w:iCs/>
          <w:i/>
        </w:rPr>
        <w:t xml:space="preserve">sinistres survenus</w:t>
      </w:r>
      <w:r>
        <w:t xml:space="preserve">, sont estimés sur la base d’un triangle de règlements par année de survenance net de recours conformément à la méthode l’annexe N°5.</w:t>
      </w:r>
    </w:p>
    <w:bookmarkEnd w:id="55"/>
    <w:bookmarkEnd w:id="56"/>
    <w:bookmarkStart w:id="57" w:name="X7e63ab4301a770f99d7cb8d654e83cd2564e4b4"/>
    <w:p>
      <w:pPr>
        <w:pStyle w:val="Heading4"/>
      </w:pPr>
      <w:r>
        <w:t xml:space="preserve">5.3.2 La meilleure estimation des frais de gestion:</w:t>
      </w:r>
    </w:p>
    <w:p>
      <w:pPr>
        <w:pStyle w:val="FirstParagraph"/>
      </w:pPr>
      <w:r>
        <w:t xml:space="preserve">la meilleure estimation des frais de gestion correspond à la somme actualisée des flux de frais de gestion futurs liés aux contrats.</w:t>
      </w:r>
    </w:p>
    <w:p>
      <w:pPr>
        <w:pStyle w:val="BodyText"/>
      </w:pPr>
      <m:oMathPara>
        <m:oMathParaPr>
          <m:jc m:val="center"/>
        </m:oMathParaPr>
        <m:oMath>
          <m:sSub>
            <m:e>
              <m:r>
                <m:t>​</m:t>
              </m:r>
            </m:e>
            <m:sub>
              <m:r>
                <m:t>n</m:t>
              </m:r>
              <m:r>
                <m:t>v</m:t>
              </m:r>
              <m:r>
                <m:t>h</m:t>
              </m:r>
              <m:r>
                <m:t>r</m:t>
              </m:r>
            </m:sub>
          </m:sSub>
          <m:r>
            <m:t>B</m:t>
          </m:r>
          <m:sSub>
            <m:e>
              <m:r>
                <m:t>E</m:t>
              </m:r>
            </m:e>
            <m:sub>
              <m:r>
                <m:t>f</m:t>
              </m:r>
              <m:r>
                <m:t>r</m:t>
              </m:r>
              <m:r>
                <m:t>a</m:t>
              </m:r>
              <m:r>
                <m:t>i</m:t>
              </m:r>
              <m:r>
                <m:t>s</m:t>
              </m:r>
              <m:r>
                <m:t>G</m:t>
              </m:r>
              <m:r>
                <m:t>e</m:t>
              </m:r>
              <m:r>
                <m:t>s</m:t>
              </m:r>
              <m:r>
                <m:t>t</m:t>
              </m:r>
              <m:r>
                <m:t>i</m:t>
              </m:r>
              <m:r>
                <m:t>o</m:t>
              </m:r>
              <m:r>
                <m:t>n</m:t>
              </m:r>
            </m:sub>
          </m:sSub>
          <m:r>
            <m:rPr>
              <m:sty m:val="p"/>
            </m:rPr>
            <m:t>=</m:t>
          </m:r>
          <m:nary>
            <m:naryPr>
              <m:chr m:val="∑"/>
              <m:limLoc m:val="undOvr"/>
              <m:subHide m:val="0"/>
              <m:supHide m:val="1"/>
            </m:naryPr>
            <m:sub>
              <m:r>
                <m:t>t</m:t>
              </m:r>
              <m:r>
                <m:rPr>
                  <m:sty m:val="p"/>
                </m:rPr>
                <m:t>≥</m:t>
              </m:r>
              <m:r>
                <m:t>1</m:t>
              </m:r>
            </m:sub>
            <m:sup>
              <m:r>
                <m:t>​</m:t>
              </m:r>
            </m:sup>
            <m:e>
              <m:f>
                <m:fPr>
                  <m:type m:val="bar"/>
                </m:fPr>
                <m:num>
                  <m:r>
                    <m:t>F</m:t>
                  </m:r>
                  <m:r>
                    <m:t>F</m:t>
                  </m:r>
                  <m:r>
                    <m:t>G</m:t>
                  </m:r>
                  <m:sSub>
                    <m:e>
                      <m:r>
                        <m:t>F</m:t>
                      </m:r>
                    </m:e>
                    <m:sub>
                      <m:r>
                        <m:t>t</m:t>
                      </m:r>
                    </m:sub>
                  </m:sSub>
                </m:num>
                <m:den>
                  <m:sSup>
                    <m:e>
                      <m:d>
                        <m:dPr>
                          <m:begChr m:val="("/>
                          <m:endChr m:val=")"/>
                          <m:sepChr m:val=""/>
                          <m:grow/>
                        </m:dPr>
                        <m:e>
                          <m:r>
                            <m:t>1</m:t>
                          </m:r>
                          <m:r>
                            <m:rPr>
                              <m:sty m:val="p"/>
                            </m:rPr>
                            <m:t>+</m:t>
                          </m:r>
                          <m:sSub>
                            <m:e>
                              <m:r>
                                <m:t>r</m:t>
                              </m:r>
                            </m:e>
                            <m:sub>
                              <m:r>
                                <m:t>t</m:t>
                              </m:r>
                            </m:sub>
                          </m:sSub>
                        </m:e>
                      </m:d>
                    </m:e>
                    <m:sup>
                      <m:r>
                        <m:t>t</m:t>
                      </m:r>
                    </m:sup>
                  </m:sSup>
                </m:den>
              </m:f>
            </m:e>
          </m:nary>
        </m:oMath>
      </m:oMathPara>
    </w:p>
    <w:p>
      <w:pPr>
        <w:pStyle w:val="FirstParagraph"/>
      </w:pPr>
      <w:r>
        <w:t xml:space="preserve">avec:</w:t>
      </w:r>
    </w:p>
    <w:p>
      <w:pPr>
        <w:numPr>
          <w:ilvl w:val="0"/>
          <w:numId w:val="1020"/>
        </w:numPr>
        <w:pStyle w:val="Compact"/>
      </w:pPr>
      <m:oMath>
        <m:r>
          <m:t>F</m:t>
        </m:r>
        <m:r>
          <m:t>F</m:t>
        </m:r>
        <m:r>
          <m:t>G</m:t>
        </m:r>
        <m:r>
          <m:t>F</m:t>
        </m:r>
      </m:oMath>
      <w:r>
        <w:t xml:space="preserve">: les flux de frais de gestion futurs. telle que:</w:t>
      </w:r>
    </w:p>
    <w:p>
      <w:pPr>
        <w:pStyle w:val="Compact"/>
      </w:pPr>
      <m:oMathPara>
        <m:oMathParaPr>
          <m:jc m:val="center"/>
        </m:oMathParaPr>
        <m:oMath>
          <m:r>
            <m:t>F</m:t>
          </m:r>
          <m:r>
            <m:t>F</m:t>
          </m:r>
          <m:r>
            <m:t>G</m:t>
          </m:r>
          <m:r>
            <m:t>F</m:t>
          </m:r>
          <m:r>
            <m:rPr>
              <m:sty m:val="p"/>
            </m:rPr>
            <m:t>=</m:t>
          </m:r>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d>
            <m:dPr>
              <m:begChr m:val="("/>
              <m:endChr m:val=")"/>
              <m:sepChr m:val=""/>
              <m:grow/>
            </m:dPr>
            <m:e>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limLow>
                <m:e>
                  <m:r>
                    <m:rPr>
                      <m:sty m:val="p"/>
                    </m:rPr>
                    <m:t>+</m:t>
                  </m:r>
                </m:e>
                <m:lim>
                  <m:r>
                    <m:t>n</m:t>
                  </m:r>
                  <m:r>
                    <m:t>v</m:t>
                  </m:r>
                  <m:r>
                    <m:t>h</m:t>
                  </m:r>
                  <m:r>
                    <m:t>r</m:t>
                  </m:r>
                </m:lim>
              </m:limLow>
              <m:r>
                <m:t>B</m:t>
              </m:r>
              <m:sSubSup>
                <m:e>
                  <m:r>
                    <m:t>E</m:t>
                  </m:r>
                </m:e>
                <m:sub>
                  <m:r>
                    <m:t>p</m:t>
                  </m:r>
                  <m:r>
                    <m:t>r</m:t>
                  </m:r>
                  <m:r>
                    <m:t>i</m:t>
                  </m:r>
                  <m:r>
                    <m:t>m</m:t>
                  </m:r>
                  <m:r>
                    <m:t>e</m:t>
                  </m:r>
                  <m:r>
                    <m:t>s</m:t>
                  </m:r>
                </m:sub>
                <m:sup>
                  <m:r>
                    <m:t>e</m:t>
                  </m:r>
                  <m:r>
                    <m:t>n</m:t>
                  </m:r>
                  <m:r>
                    <m:t>g</m:t>
                  </m:r>
                </m:sup>
              </m:sSubSup>
            </m:e>
          </m:d>
        </m:oMath>
      </m:oMathPara>
    </w:p>
    <w:p>
      <w:pPr>
        <w:pStyle w:val="FirstParagraph"/>
      </w:pPr>
      <w:r>
        <w:t xml:space="preserve">et:</w:t>
      </w:r>
    </w:p>
    <w:p>
      <w:pPr>
        <w:numPr>
          <w:ilvl w:val="0"/>
          <w:numId w:val="1021"/>
        </w:numPr>
        <w:pStyle w:val="Compact"/>
      </w:pPr>
      <m:oMath>
        <m:r>
          <m:t>T</m:t>
        </m:r>
        <m:sSub>
          <m:e>
            <m:r>
              <m:t>x</m:t>
            </m:r>
          </m:e>
          <m:sub>
            <m:r>
              <m:t>f</m:t>
            </m:r>
            <m:r>
              <m:t>r</m:t>
            </m:r>
            <m:r>
              <m:t>a</m:t>
            </m:r>
            <m:r>
              <m:t>i</m:t>
            </m:r>
            <m:r>
              <m:t>s</m:t>
            </m:r>
            <m:r>
              <m:t>g</m:t>
            </m:r>
            <m:r>
              <m:t>e</m:t>
            </m:r>
            <m:r>
              <m:t>s</m:t>
            </m:r>
            <m:r>
              <m:t>t</m:t>
            </m:r>
            <m:r>
              <m:t>i</m:t>
            </m:r>
            <m:r>
              <m:t>o</m:t>
            </m:r>
            <m:sSub>
              <m:e>
                <m:r>
                  <m:t>n</m:t>
                </m:r>
              </m:e>
              <m:sub>
                <m:r>
                  <m:t>m</m:t>
                </m:r>
                <m:r>
                  <m:t>o</m:t>
                </m:r>
                <m:r>
                  <m:t>y</m:t>
                </m:r>
              </m:sub>
            </m:sSub>
          </m:sub>
        </m:sSub>
      </m:oMath>
      <w:r>
        <w:t xml:space="preserve"> </w:t>
      </w:r>
      <w:r>
        <w:t xml:space="preserve">: Le taux de frais de gestion moyen,il est estimé, par sous-catégories d’opérations d’assurance, en considérant la moyenne sur les trois derniers exercices clos des taux de frais de gestion.</w:t>
      </w:r>
    </w:p>
    <w:p>
      <w:pPr>
        <w:pStyle w:val="FirstParagraph"/>
      </w:pPr>
      <w:r>
        <w:t xml:space="preserve">Donc:</w:t>
      </w:r>
    </w:p>
    <w:p>
      <w:pPr>
        <w:pStyle w:val="BodyText"/>
      </w:pPr>
      <m:oMathPara>
        <m:oMathParaPr>
          <m:jc m:val="center"/>
        </m:oMathParaPr>
        <m:oMath>
          <m:sSub>
            <m:e>
              <m:r>
                <m:t>​</m:t>
              </m:r>
            </m:e>
            <m:sub>
              <m:r>
                <m:t>t</m:t>
              </m:r>
            </m:sub>
          </m:sSub>
          <m:r>
            <m:t>T</m:t>
          </m:r>
          <m:sSub>
            <m:e>
              <m:r>
                <m:t>x</m:t>
              </m:r>
            </m:e>
            <m:sub>
              <m:r>
                <m:t>f</m:t>
              </m:r>
              <m:r>
                <m:t>r</m:t>
              </m:r>
              <m:r>
                <m:t>a</m:t>
              </m:r>
              <m:r>
                <m:t>i</m:t>
              </m:r>
              <m:r>
                <m:t>s</m:t>
              </m:r>
              <m:r>
                <m:t>G</m:t>
              </m:r>
              <m:r>
                <m:t>e</m:t>
              </m:r>
              <m:r>
                <m:t>s</m:t>
              </m:r>
              <m:r>
                <m:t>t</m:t>
              </m:r>
              <m:r>
                <m:t>i</m:t>
              </m:r>
              <m:r>
                <m:t>o</m:t>
              </m:r>
              <m:sSub>
                <m:e>
                  <m:r>
                    <m:t>n</m:t>
                  </m:r>
                </m:e>
                <m:sub>
                  <m:r>
                    <m:t>m</m:t>
                  </m:r>
                  <m:r>
                    <m:t>o</m:t>
                  </m:r>
                  <m:r>
                    <m:t>y</m:t>
                  </m:r>
                </m:sub>
              </m:sSub>
            </m:sub>
          </m:sSub>
          <m:r>
            <m:rPr>
              <m:sty m:val="p"/>
            </m:rPr>
            <m:t>=</m:t>
          </m:r>
          <m:f>
            <m:fPr>
              <m:type m:val="bar"/>
            </m:fPr>
            <m:num>
              <m:r>
                <m:t>T</m:t>
              </m:r>
              <m:sSub>
                <m:e>
                  <m:r>
                    <m:t>x</m:t>
                  </m:r>
                </m:e>
                <m:sub>
                  <m:r>
                    <m:t>f</m:t>
                  </m:r>
                  <m:r>
                    <m:t>r</m:t>
                  </m:r>
                  <m:r>
                    <m:t>a</m:t>
                  </m:r>
                  <m:r>
                    <m:t>i</m:t>
                  </m:r>
                  <m:r>
                    <m:t>s</m:t>
                  </m:r>
                  <m:r>
                    <m:t>G</m:t>
                  </m:r>
                  <m:r>
                    <m:t>e</m:t>
                  </m:r>
                  <m:r>
                    <m:t>s</m:t>
                  </m:r>
                  <m:r>
                    <m:t>t</m:t>
                  </m:r>
                  <m:r>
                    <m:t>i</m:t>
                  </m:r>
                  <m:r>
                    <m:t>o</m:t>
                  </m:r>
                  <m:sSub>
                    <m:e>
                      <m:r>
                        <m:t>n</m:t>
                      </m:r>
                    </m:e>
                    <m:sub>
                      <m:r>
                        <m:t>t</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1</m:t>
                      </m:r>
                    </m:sub>
                  </m:sSub>
                </m:sub>
              </m:sSub>
              <m:r>
                <m:rPr>
                  <m:sty m:val="p"/>
                </m:rPr>
                <m:t>+</m:t>
              </m:r>
              <m:r>
                <m:t>T</m:t>
              </m:r>
              <m:sSub>
                <m:e>
                  <m:r>
                    <m:t>x</m:t>
                  </m:r>
                </m:e>
                <m:sub>
                  <m:r>
                    <m:t>f</m:t>
                  </m:r>
                  <m:r>
                    <m:t>r</m:t>
                  </m:r>
                  <m:r>
                    <m:t>a</m:t>
                  </m:r>
                  <m:r>
                    <m:t>i</m:t>
                  </m:r>
                  <m:r>
                    <m:t>s</m:t>
                  </m:r>
                  <m:r>
                    <m:t>G</m:t>
                  </m:r>
                  <m:r>
                    <m:t>e</m:t>
                  </m:r>
                  <m:r>
                    <m:t>s</m:t>
                  </m:r>
                  <m:r>
                    <m:t>t</m:t>
                  </m:r>
                  <m:r>
                    <m:t>i</m:t>
                  </m:r>
                  <m:r>
                    <m:t>o</m:t>
                  </m:r>
                  <m:sSub>
                    <m:e>
                      <m:r>
                        <m:t>n</m:t>
                      </m:r>
                    </m:e>
                    <m:sub>
                      <m:r>
                        <m:t>t</m:t>
                      </m:r>
                      <m:r>
                        <m:rPr>
                          <m:sty m:val="p"/>
                        </m:rPr>
                        <m:t>−</m:t>
                      </m:r>
                      <m:r>
                        <m:t>2</m:t>
                      </m:r>
                    </m:sub>
                  </m:sSub>
                </m:sub>
              </m:sSub>
            </m:num>
            <m:den>
              <m:r>
                <m:t>3</m:t>
              </m:r>
            </m:den>
          </m:f>
        </m:oMath>
      </m:oMathPara>
    </w:p>
    <w:p>
      <w:pPr>
        <w:pStyle w:val="FirstParagraph"/>
      </w:pPr>
      <w:r>
        <w:t xml:space="preserve">ainsi que :</w:t>
      </w:r>
    </w:p>
    <w:p>
      <w:pPr>
        <w:pStyle w:val="BodyText"/>
      </w:pPr>
      <m:oMathPara>
        <m:oMathParaPr>
          <m:jc m:val="center"/>
        </m:oMathParaPr>
        <m:oMath>
          <m:r>
            <m:t>T</m:t>
          </m:r>
          <m:sSub>
            <m:e>
              <m:r>
                <m:t>x</m:t>
              </m:r>
            </m:e>
            <m:sub>
              <m:r>
                <m:t>f</m:t>
              </m:r>
              <m:r>
                <m:t>r</m:t>
              </m:r>
              <m:r>
                <m:t>a</m:t>
              </m:r>
              <m:r>
                <m:t>i</m:t>
              </m:r>
              <m:r>
                <m:t>s</m:t>
              </m:r>
              <m:r>
                <m:t>g</m:t>
              </m:r>
              <m:r>
                <m:t>e</m:t>
              </m:r>
              <m:r>
                <m:t>s</m:t>
              </m:r>
              <m:r>
                <m:t>t</m:t>
              </m:r>
              <m:r>
                <m:t>i</m:t>
              </m:r>
              <m:r>
                <m:t>o</m:t>
              </m:r>
              <m:sSub>
                <m:e>
                  <m:r>
                    <m:t>n</m:t>
                  </m:r>
                </m:e>
                <m:sub>
                  <m:r>
                    <m:t>t</m:t>
                  </m:r>
                </m:sub>
              </m:sSub>
            </m:sub>
          </m:sSub>
          <m:r>
            <m:rPr>
              <m:sty m:val="p"/>
            </m:rPr>
            <m:t>=</m:t>
          </m:r>
          <m:f>
            <m:fPr>
              <m:type m:val="bar"/>
            </m:fPr>
            <m:num>
              <m:r>
                <m:t>F</m:t>
              </m:r>
              <m:r>
                <m:t>G</m:t>
              </m:r>
            </m:num>
            <m:den>
              <m:sSub>
                <m:e>
                  <m:r>
                    <m:t>​</m:t>
                  </m:r>
                </m:e>
                <m:sub>
                  <m:r>
                    <m:t>n</m:t>
                  </m:r>
                  <m:r>
                    <m:t>v</m:t>
                  </m:r>
                  <m:r>
                    <m:t>h</m:t>
                  </m:r>
                  <m:r>
                    <m:t>r</m:t>
                  </m:r>
                </m:sub>
              </m:sSub>
              <m:r>
                <m:t>B</m:t>
              </m:r>
              <m:sSubSup>
                <m:e>
                  <m:r>
                    <m:t>E</m:t>
                  </m:r>
                </m:e>
                <m:sub>
                  <m:r>
                    <m:t>s</m:t>
                  </m:r>
                  <m:r>
                    <m:t>i</m:t>
                  </m:r>
                  <m:r>
                    <m:t>n</m:t>
                  </m:r>
                  <m:r>
                    <m:t>i</m:t>
                  </m:r>
                  <m:r>
                    <m:t>s</m:t>
                  </m:r>
                  <m:r>
                    <m:t>t</m:t>
                  </m:r>
                  <m:r>
                    <m:t>r</m:t>
                  </m:r>
                  <m:r>
                    <m:t>e</m:t>
                  </m:r>
                  <m:r>
                    <m:t>s</m:t>
                  </m:r>
                </m:sub>
                <m:sup>
                  <m:r>
                    <m:t>e</m:t>
                  </m:r>
                  <m:r>
                    <m:t>n</m:t>
                  </m:r>
                  <m:r>
                    <m:t>g</m:t>
                  </m:r>
                </m:sup>
              </m:sSubSup>
              <m:r>
                <m:rPr>
                  <m:sty m:val="p"/>
                </m:rPr>
                <m:t>+</m:t>
              </m:r>
              <m:r>
                <m:t>R</m:t>
              </m:r>
              <m:r>
                <m:t>e</m:t>
              </m:r>
              <m:r>
                <m:t>g</m:t>
              </m:r>
              <m:r>
                <m:t>l</m:t>
              </m:r>
              <m:r>
                <m:t>e</m:t>
              </m:r>
              <m:r>
                <m:t>m</m:t>
              </m:r>
              <m:r>
                <m:t>e</m:t>
              </m:r>
              <m:r>
                <m:t>n</m:t>
              </m:r>
              <m:r>
                <m:t>t</m:t>
              </m:r>
              <m:sSub>
                <m:e>
                  <m:r>
                    <m:t>s</m:t>
                  </m:r>
                </m:e>
                <m:sub>
                  <m:r>
                    <m:t>C</m:t>
                  </m:r>
                  <m:r>
                    <m:t>l</m:t>
                  </m:r>
                  <m:r>
                    <m:t>o</m:t>
                  </m:r>
                  <m:r>
                    <m:t>s</m:t>
                  </m:r>
                </m:sub>
              </m:sSub>
            </m:den>
          </m:f>
        </m:oMath>
      </m:oMathPara>
    </w:p>
    <w:p>
      <w:pPr>
        <w:numPr>
          <w:ilvl w:val="0"/>
          <w:numId w:val="1022"/>
        </w:numPr>
        <w:pStyle w:val="Compact"/>
      </w:pPr>
      <m:oMath>
        <m:r>
          <m:t>F</m:t>
        </m:r>
        <m:r>
          <m:t>G</m:t>
        </m:r>
      </m:oMath>
      <w:r>
        <w:t xml:space="preserve">: le montant frais de gestion.</w:t>
      </w:r>
    </w:p>
    <w:p>
      <w:pPr>
        <w:numPr>
          <w:ilvl w:val="0"/>
          <w:numId w:val="1022"/>
        </w:numPr>
        <w:pStyle w:val="Compact"/>
      </w:pPr>
      <m:oMath>
        <m:r>
          <m:t>R</m:t>
        </m:r>
        <m:r>
          <m:t>e</m:t>
        </m:r>
        <m:r>
          <m:t>g</m:t>
        </m:r>
        <m:r>
          <m:t>l</m:t>
        </m:r>
        <m:r>
          <m:t>e</m:t>
        </m:r>
        <m:r>
          <m:t>m</m:t>
        </m:r>
        <m:r>
          <m:t>e</m:t>
        </m:r>
        <m:r>
          <m:t>n</m:t>
        </m:r>
        <m:r>
          <m:t>t</m:t>
        </m:r>
        <m:sSub>
          <m:e>
            <m:r>
              <m:t>s</m:t>
            </m:r>
          </m:e>
          <m:sub>
            <m:r>
              <m:t>C</m:t>
            </m:r>
            <m:r>
              <m:t>l</m:t>
            </m:r>
            <m:r>
              <m:t>o</m:t>
            </m:r>
            <m:r>
              <m:t>s</m:t>
            </m:r>
          </m:sub>
        </m:sSub>
      </m:oMath>
      <w:r>
        <w:t xml:space="preserve"> </w:t>
      </w:r>
      <w:r>
        <w:t xml:space="preserve">: les règlements au titre de l’exercice clos.</w:t>
      </w:r>
    </w:p>
    <w:bookmarkEnd w:id="57"/>
    <w:bookmarkEnd w:id="58"/>
    <w:bookmarkStart w:id="63" w:name="Xf3f8abd7a5710234231d4d992dd0ccf8ee2969b"/>
    <w:p>
      <w:pPr>
        <w:pStyle w:val="Heading3"/>
      </w:pPr>
      <w:r>
        <w:t xml:space="preserve">5.4 Part des cessionnaires dans les provisions techniques prudentielles:</w:t>
      </w:r>
    </w:p>
    <w:p>
      <w:pPr>
        <w:pStyle w:val="FirstParagraph"/>
      </w:pPr>
      <w:r>
        <w:t xml:space="preserve">La part des cessionnaires dans les provisions techniques prudentielles est évaluée en considérant la différence entre d’une part, la meilleure estimation des engagements cédés et d’autre part, l’ajustement pour défaut de contrepartie.</w:t>
      </w:r>
    </w:p>
    <w:p>
      <w:pPr>
        <w:pStyle w:val="BodyText"/>
      </w:pPr>
      <m:oMathPara>
        <m:oMathParaPr>
          <m:jc m:val="center"/>
        </m:oMathParaPr>
        <m:oMath>
          <m:r>
            <m:t>P</m:t>
          </m:r>
          <m:r>
            <m:t>a</m:t>
          </m:r>
          <m:r>
            <m:t>r</m:t>
          </m:r>
          <m:sSub>
            <m:e>
              <m:r>
                <m:t>t</m:t>
              </m:r>
            </m:e>
            <m:sub>
              <m:r>
                <m:t>c</m:t>
              </m:r>
              <m:r>
                <m:t>e</m:t>
              </m:r>
              <m:r>
                <m:t>s</m:t>
              </m:r>
              <m:r>
                <m:t>s</m:t>
              </m:r>
            </m:sub>
          </m:sSub>
          <m:r>
            <m:rPr>
              <m:sty m:val="p"/>
            </m:rPr>
            <m:t>=</m:t>
          </m:r>
          <m:r>
            <m:t>B</m:t>
          </m:r>
          <m:sSubSup>
            <m:e>
              <m:r>
                <m:t>E</m:t>
              </m:r>
            </m:e>
            <m:sub>
              <m:r>
                <m:t>c</m:t>
              </m:r>
              <m:r>
                <m:t>e</m:t>
              </m:r>
              <m:r>
                <m:t>d</m:t>
              </m:r>
              <m:r>
                <m:t>e</m:t>
              </m:r>
              <m:r>
                <m:t>s</m:t>
              </m:r>
            </m:sub>
            <m:sup>
              <m:r>
                <m:t>e</m:t>
              </m:r>
              <m:r>
                <m:t>n</m:t>
              </m:r>
              <m:r>
                <m:t>g</m:t>
              </m:r>
            </m:sup>
          </m:sSubSup>
          <m:r>
            <m:rPr>
              <m:sty m:val="p"/>
            </m:rPr>
            <m:t>−</m:t>
          </m:r>
          <m:r>
            <m:t>A</m:t>
          </m:r>
          <m:r>
            <m:t>j</m:t>
          </m:r>
          <m:r>
            <m:t>u</m:t>
          </m:r>
          <m:r>
            <m:t>s</m:t>
          </m:r>
          <m:sSub>
            <m:e>
              <m:r>
                <m:t>t</m:t>
              </m:r>
            </m:e>
            <m:sub>
              <m:r>
                <m:t>D</m:t>
              </m:r>
              <m:r>
                <m:t>C</m:t>
              </m:r>
            </m:sub>
          </m:sSub>
        </m:oMath>
      </m:oMathPara>
    </w:p>
    <w:bookmarkStart w:id="61" w:name="X2a1b8cf2422c04aac5fbeb38e9044a51a42d991"/>
    <w:p>
      <w:pPr>
        <w:pStyle w:val="Heading4"/>
      </w:pPr>
      <w:r>
        <w:t xml:space="preserve">5.4.1 La meilleure estimation des engagements cédés (</w:t>
      </w:r>
      <m:oMath>
        <m:r>
          <m:t>B</m:t>
        </m:r>
        <m:sSubSup>
          <m:e>
            <m:r>
              <m:t>E</m:t>
            </m:r>
          </m:e>
          <m:sub>
            <m:r>
              <m:t>c</m:t>
            </m:r>
            <m:r>
              <m:t>e</m:t>
            </m:r>
            <m:r>
              <m:t>d</m:t>
            </m:r>
            <m:r>
              <m:t>e</m:t>
            </m:r>
            <m:r>
              <m:t>s</m:t>
            </m:r>
          </m:sub>
          <m:sup>
            <m:r>
              <m:t>e</m:t>
            </m:r>
            <m:r>
              <m:t>n</m:t>
            </m:r>
            <m:r>
              <m:t>g</m:t>
            </m:r>
          </m:sup>
        </m:sSubSup>
      </m:oMath>
      <w:r>
        <w:t xml:space="preserve">):</w:t>
      </w:r>
    </w:p>
    <w:bookmarkStart w:id="59" w:name="X0f00ae71319169104bfd1725b5f02737fc4d35e"/>
    <w:p>
      <w:pPr>
        <w:pStyle w:val="Heading5"/>
      </w:pPr>
      <w:r>
        <w:t xml:space="preserve">Les opérations d’assurance vie, décès ou de capitalisation</w:t>
      </w:r>
    </w:p>
    <w:p>
      <w:pPr>
        <w:pStyle w:val="FirstParagraph"/>
      </w:pPr>
      <w:r>
        <w:t xml:space="preserve">la meilleure estimation des engagements cédés est évaluée en multipliant la meilleure estimation des</w:t>
      </w:r>
      <w:r>
        <w:t xml:space="preserve"> </w:t>
      </w:r>
      <w:r>
        <w:t xml:space="preserve">engagements par le rapport entre d’une part, la part des cessionnaires dans les provisions</w:t>
      </w:r>
      <w:r>
        <w:t xml:space="preserve"> </w:t>
      </w:r>
      <w:r>
        <w:t xml:space="preserve">mathématiques et dans les provisions pour capitaux, rentes et rachats à payer et d’autre part, la</w:t>
      </w:r>
      <w:r>
        <w:t xml:space="preserve"> </w:t>
      </w:r>
      <w:r>
        <w:t xml:space="preserve">somme des provisions mathématiques , des provisions pour capitaux, rentes et rachats à payer bruts</w:t>
      </w:r>
      <w:r>
        <w:t xml:space="preserve"> </w:t>
      </w:r>
      <w:r>
        <w:t xml:space="preserve">de réassurance.</w:t>
      </w:r>
    </w:p>
    <w:p>
      <w:pPr>
        <w:pStyle w:val="BodyText"/>
      </w:pPr>
      <m:oMathPara>
        <m:oMathParaPr>
          <m:jc m:val="center"/>
        </m:oMathParaPr>
        <m:oMath>
          <m:sSub>
            <m:e>
              <m:r>
                <m:t>​</m:t>
              </m:r>
            </m:e>
            <m:sub>
              <m:r>
                <m:t>v</m:t>
              </m:r>
              <m:r>
                <m:t>i</m:t>
              </m:r>
              <m:r>
                <m:t>e</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c</m:t>
              </m:r>
            </m:sub>
          </m:sSub>
          <m:limLow>
            <m:e>
              <m:r>
                <m:rPr>
                  <m:sty m:val="p"/>
                </m:rPr>
                <m:t>×</m:t>
              </m:r>
            </m:e>
            <m:lim>
              <m:r>
                <m:t>v</m:t>
              </m:r>
              <m:r>
                <m:t>i</m:t>
              </m:r>
              <m:r>
                <m:t>e</m:t>
              </m:r>
            </m:lim>
          </m:limLow>
          <m:r>
            <m:t>B</m:t>
          </m:r>
          <m:sSup>
            <m:e>
              <m:r>
                <m:t>E</m:t>
              </m:r>
            </m:e>
            <m:sup>
              <m:r>
                <m:t>e</m:t>
              </m:r>
              <m:r>
                <m:t>n</m:t>
              </m:r>
              <m:r>
                <m:t>g</m:t>
              </m:r>
            </m:sup>
          </m:sSup>
        </m:oMath>
      </m:oMathPara>
    </w:p>
    <w:p>
      <w:pPr>
        <w:pStyle w:val="FirstParagraph"/>
      </w:pPr>
      <w:r>
        <w:t xml:space="preserve">Avec :</w:t>
      </w:r>
    </w:p>
    <w:p>
      <w:pPr>
        <w:numPr>
          <w:ilvl w:val="0"/>
          <w:numId w:val="1023"/>
        </w:numPr>
        <w:pStyle w:val="Compact"/>
      </w:pPr>
      <m:oMath>
        <m:r>
          <m:t>t</m:t>
        </m:r>
        <m:r>
          <m:t>a</m:t>
        </m:r>
        <m:r>
          <m:t>u</m:t>
        </m:r>
        <m:sSub>
          <m:e>
            <m:r>
              <m:t>x</m:t>
            </m:r>
          </m:e>
          <m:sub>
            <m:r>
              <m:t>c</m:t>
            </m:r>
          </m:sub>
        </m:sSub>
      </m:oMath>
      <w:r>
        <w:t xml:space="preserve"> </w:t>
      </w:r>
      <w:r>
        <w:t xml:space="preserve">(taux de cession): le rapport entre d’une part, la part des cessionnaires dans les provisions mathématiques et dans les provisions pour capitaux, rentes et rachats à payer et d’autre part, la somme des provisions mathématiques, des provisions pour capitaux, rentes et rachats à payer bruts de réassurance.</w:t>
      </w:r>
    </w:p>
    <w:bookmarkEnd w:id="59"/>
    <w:bookmarkStart w:id="60" w:name="les-opérations-non-vie"/>
    <w:p>
      <w:pPr>
        <w:pStyle w:val="Heading5"/>
      </w:pPr>
      <w:r>
        <w:t xml:space="preserve">Les opérations non vie</w:t>
      </w:r>
    </w:p>
    <w:p>
      <w:pPr>
        <w:pStyle w:val="FirstParagraph"/>
      </w:pPr>
      <w:r>
        <w:t xml:space="preserve">Pour les opérations non vie, la meilleure estimation des engagements cédés correspond à la somme de la meilleure estimation des engagements pour sinistres cédés et de la meilleure estimation des engagements pour primes cédés.</w:t>
      </w:r>
    </w:p>
    <w:p>
      <w:pPr>
        <w:pStyle w:val="BodyText"/>
      </w:pPr>
      <m:oMathPara>
        <m:oMathParaPr>
          <m:jc m:val="center"/>
        </m:oMathParaPr>
        <m:oMath>
          <m:sSub>
            <m:e>
              <m:r>
                <m:t>​</m:t>
              </m:r>
            </m:e>
            <m:sub>
              <m:r>
                <m:t>n</m:t>
              </m:r>
              <m:r>
                <m:t>v</m:t>
              </m:r>
              <m:r>
                <m:t>i</m:t>
              </m:r>
              <m:r>
                <m:t>e</m:t>
              </m:r>
            </m:sub>
          </m:sSub>
          <m:r>
            <m:t>B</m:t>
          </m:r>
          <m:sSubSup>
            <m:e>
              <m:r>
                <m:t>E</m:t>
              </m:r>
            </m:e>
            <m:sub>
              <m:r>
                <m:t>c</m:t>
              </m:r>
              <m:r>
                <m:t>e</m:t>
              </m:r>
              <m:r>
                <m:t>d</m:t>
              </m:r>
              <m:r>
                <m:t>e</m:t>
              </m:r>
              <m:r>
                <m:t>s</m:t>
              </m:r>
            </m:sub>
            <m:sup>
              <m:r>
                <m:t>e</m:t>
              </m:r>
              <m:r>
                <m:t>n</m:t>
              </m:r>
              <m:r>
                <m:t>g</m:t>
              </m:r>
            </m:sup>
          </m:sSubSup>
          <m:r>
            <m:rPr>
              <m:sty m:val="p"/>
            </m:rPr>
            <m:t>=</m:t>
          </m:r>
          <m:sSub>
            <m:e>
              <m:r>
                <m:t> </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sSub>
            <m:e>
              <m:r>
                <m:t> </m:t>
              </m:r>
            </m:e>
            <m:sub>
              <m:r>
                <m:t>p</m:t>
              </m:r>
              <m:r>
                <m:t>r</m:t>
              </m:r>
              <m:r>
                <m:t>i</m:t>
              </m:r>
              <m:r>
                <m:t>m</m:t>
              </m:r>
              <m:r>
                <m:t>e</m:t>
              </m:r>
              <m:r>
                <m:t>s</m:t>
              </m:r>
            </m:sub>
          </m:sSub>
          <m:r>
            <m:t>B</m:t>
          </m:r>
          <m:sSubSup>
            <m:e>
              <m:r>
                <m:t>E</m:t>
              </m:r>
            </m:e>
            <m:sub>
              <m:r>
                <m:t>c</m:t>
              </m:r>
              <m:r>
                <m:t>e</m:t>
              </m:r>
              <m:r>
                <m:t>d</m:t>
              </m:r>
              <m:r>
                <m:t>e</m:t>
              </m:r>
              <m:r>
                <m:t>s</m:t>
              </m:r>
            </m:sub>
            <m:sup>
              <m:r>
                <m:t>e</m:t>
              </m:r>
              <m:r>
                <m:t>n</m:t>
              </m:r>
              <m:r>
                <m:t>g</m:t>
              </m:r>
            </m:sup>
          </m:sSubSup>
        </m:oMath>
      </m:oMathPara>
    </w:p>
    <w:p>
      <w:pPr>
        <w:pStyle w:val="FirstParagraph"/>
      </w:pPr>
      <w:r>
        <w:t xml:space="preserve">Avec :</w:t>
      </w:r>
    </w:p>
    <w:p>
      <w:pPr>
        <w:pStyle w:val="BlockText"/>
      </w:pPr>
      <m:oMath>
        <m:sSub>
          <m:e>
            <m:r>
              <m:t>​</m:t>
            </m:r>
          </m:e>
          <m:sub>
            <m:r>
              <m:t>s</m:t>
            </m:r>
            <m:r>
              <m:t>i</m:t>
            </m:r>
            <m:r>
              <m:t>n</m:t>
            </m:r>
            <m:r>
              <m:t>s</m:t>
            </m:r>
            <m:r>
              <m:t>i</m:t>
            </m:r>
            <m:r>
              <m:t>t</m:t>
            </m:r>
            <m:r>
              <m:t>r</m:t>
            </m:r>
            <m:r>
              <m:t>e</m:t>
            </m:r>
            <m:r>
              <m:t>s</m:t>
            </m:r>
          </m:sub>
        </m:sSub>
        <m:r>
          <m:t>B</m:t>
        </m:r>
        <m:sSubSup>
          <m:e>
            <m:r>
              <m:t>E</m:t>
            </m:r>
          </m:e>
          <m:sub>
            <m:r>
              <m:t>c</m:t>
            </m:r>
            <m:r>
              <m:t>e</m:t>
            </m:r>
            <m:r>
              <m:t>d</m:t>
            </m:r>
            <m:r>
              <m:t>e</m:t>
            </m:r>
            <m:r>
              <m:t>s</m:t>
            </m:r>
          </m:sub>
          <m:sup>
            <m:r>
              <m:t>e</m:t>
            </m:r>
            <m:r>
              <m:t>n</m:t>
            </m:r>
            <m:r>
              <m:t>g</m:t>
            </m:r>
          </m:sup>
        </m:sSubSup>
        <m:r>
          <m:rPr>
            <m:sty m:val="p"/>
          </m:rPr>
          <m:t>=</m:t>
        </m:r>
        <m:r>
          <m:t>t</m:t>
        </m:r>
        <m:r>
          <m:t>a</m:t>
        </m:r>
        <m:r>
          <m:t>u</m:t>
        </m:r>
        <m:sSub>
          <m:e>
            <m:r>
              <m:t>x</m:t>
            </m:r>
          </m:e>
          <m:sub>
            <m:r>
              <m:t>s</m:t>
            </m:r>
          </m:sub>
        </m:sSub>
        <m:r>
          <m:rPr>
            <m:sty m:val="p"/>
          </m:rPr>
          <m:t>×</m:t>
        </m:r>
        <m:r>
          <m:t>B</m:t>
        </m:r>
        <m:sSubSup>
          <m:e>
            <m:r>
              <m:t>E</m:t>
            </m:r>
          </m:e>
          <m:sub>
            <m:r>
              <m:t>s</m:t>
            </m:r>
            <m:r>
              <m:t>i</m:t>
            </m:r>
            <m:r>
              <m:t>n</m:t>
            </m:r>
            <m:r>
              <m:t>s</m:t>
            </m:r>
            <m:r>
              <m:t>i</m:t>
            </m:r>
            <m:r>
              <m:t>t</m:t>
            </m:r>
            <m:r>
              <m:t>r</m:t>
            </m:r>
            <m:r>
              <m:t>e</m:t>
            </m:r>
            <m:r>
              <m:t>s</m:t>
            </m:r>
          </m:sub>
          <m:sup>
            <m:r>
              <m:t>e</m:t>
            </m:r>
            <m:r>
              <m:t>n</m:t>
            </m:r>
            <m:r>
              <m:t>g</m:t>
            </m:r>
          </m:sup>
        </m:sSubSup>
      </m:oMath>
      <w:r>
        <w:t xml:space="preserve"> </w:t>
      </w:r>
      <w:r>
        <w:t xml:space="preserve">: La meilleure estimation des engagements pour sinistres cédés visée à la spécification technique 33 ci- dessus est évaluée en multipliant la meilleure estimation des engagements pour sinistres nets de recours visée à par (</w:t>
      </w:r>
      <m:oMath>
        <m:r>
          <m:t>t</m:t>
        </m:r>
        <m:r>
          <m:t>a</m:t>
        </m:r>
        <m:r>
          <m:t>u</m:t>
        </m:r>
        <m:sSub>
          <m:e>
            <m:r>
              <m:t>x</m:t>
            </m:r>
          </m:e>
          <m:sub>
            <m:r>
              <m:t>s</m:t>
            </m:r>
          </m:sub>
        </m:sSub>
      </m:oMath>
      <w:r>
        <w:t xml:space="preserve">) le rapport entre la part des cessionnaires dans les provisions pour sinistres à payer et la provision pour sinistres à payer brute de réassurance.</w:t>
      </w:r>
    </w:p>
    <w:p>
      <w:pPr>
        <w:pStyle w:val="BlockText"/>
      </w:pPr>
      <m:oMath>
        <m:sSub>
          <m:e>
            <m:r>
              <m:t>​</m:t>
            </m:r>
          </m:e>
          <m:sub>
            <m:r>
              <m:t>p</m:t>
            </m:r>
            <m:r>
              <m:t>r</m:t>
            </m:r>
            <m:r>
              <m:t>i</m:t>
            </m:r>
            <m:r>
              <m:t>m</m:t>
            </m:r>
            <m:r>
              <m:t>e</m:t>
            </m:r>
            <m:r>
              <m:t>s</m:t>
            </m:r>
          </m:sub>
        </m:sSub>
        <m:r>
          <m:t>B</m:t>
        </m:r>
        <m:sSubSup>
          <m:e>
            <m:r>
              <m:t>E</m:t>
            </m:r>
          </m:e>
          <m:sub>
            <m:r>
              <m:t>c</m:t>
            </m:r>
            <m:r>
              <m:t>e</m:t>
            </m:r>
            <m:r>
              <m:t>d</m:t>
            </m:r>
            <m:r>
              <m:t>e</m:t>
            </m:r>
            <m:r>
              <m:t>s</m:t>
            </m:r>
          </m:sub>
          <m:sup>
            <m:r>
              <m:t>e</m:t>
            </m:r>
            <m:r>
              <m:t>n</m:t>
            </m:r>
            <m:r>
              <m:t>g</m:t>
            </m:r>
          </m:sup>
        </m:sSubSup>
        <m:r>
          <m:rPr>
            <m:sty m:val="p"/>
          </m:rPr>
          <m:t>=</m:t>
        </m:r>
        <m:sSubSup>
          <m:e>
            <m:r>
              <m:t>r</m:t>
            </m:r>
          </m:e>
          <m:sub>
            <m:r>
              <m:t>c</m:t>
            </m:r>
            <m:r>
              <m:t>e</m:t>
            </m:r>
            <m:r>
              <m:t>s</m:t>
            </m:r>
            <m:r>
              <m:t>s</m:t>
            </m:r>
            <m:r>
              <m:t>i</m:t>
            </m:r>
            <m:r>
              <m:t>o</m:t>
            </m:r>
            <m:r>
              <m:t>n</m:t>
            </m:r>
          </m:sub>
          <m:sup>
            <m:r>
              <m:t>p</m:t>
            </m:r>
            <m:r>
              <m:t>r</m:t>
            </m:r>
            <m:r>
              <m:t>i</m:t>
            </m:r>
            <m:r>
              <m:t>m</m:t>
            </m:r>
            <m:r>
              <m:t>e</m:t>
            </m:r>
            <m:r>
              <m:t>s</m:t>
            </m:r>
          </m:sup>
        </m:sSubSup>
        <m:r>
          <m:rPr>
            <m:sty m:val="p"/>
          </m:rPr>
          <m:t>×</m:t>
        </m:r>
        <m:r>
          <m:t>B</m:t>
        </m:r>
        <m:sSubSup>
          <m:e>
            <m:r>
              <m:t>E</m:t>
            </m:r>
          </m:e>
          <m:sub>
            <m:r>
              <m:t>p</m:t>
            </m:r>
            <m:r>
              <m:t>r</m:t>
            </m:r>
            <m:r>
              <m:t>i</m:t>
            </m:r>
            <m:r>
              <m:t>m</m:t>
            </m:r>
            <m:r>
              <m:t>e</m:t>
            </m:r>
            <m:r>
              <m:t>s</m:t>
            </m:r>
          </m:sub>
          <m:sup>
            <m:r>
              <m:t>e</m:t>
            </m:r>
            <m:r>
              <m:t>n</m:t>
            </m:r>
            <m:r>
              <m:t>g</m:t>
            </m:r>
          </m:sup>
        </m:sSubSup>
      </m:oMath>
      <w:r>
        <w:t xml:space="preserve"> </w:t>
      </w:r>
      <w:r>
        <w:t xml:space="preserve">: La meilleure estimation des engagements pour primes cédés visée est évaluée en multipliant la meilleure estimation des engagements pour primes visée par le taux de cession de primes. Le taux de cession (</w:t>
      </w:r>
      <m:oMath>
        <m:sSubSup>
          <m:e>
            <m:r>
              <m:t>r</m:t>
            </m:r>
          </m:e>
          <m:sub>
            <m:r>
              <m:t>c</m:t>
            </m:r>
            <m:r>
              <m:t>e</m:t>
            </m:r>
            <m:r>
              <m:t>s</m:t>
            </m:r>
            <m:r>
              <m:t>s</m:t>
            </m:r>
            <m:r>
              <m:t>i</m:t>
            </m:r>
            <m:r>
              <m:t>o</m:t>
            </m:r>
            <m:r>
              <m:t>n</m:t>
            </m:r>
          </m:sub>
          <m:sup>
            <m:r>
              <m:t>p</m:t>
            </m:r>
            <m:r>
              <m:t>r</m:t>
            </m:r>
            <m:r>
              <m:t>i</m:t>
            </m:r>
            <m:r>
              <m:t>m</m:t>
            </m:r>
            <m:r>
              <m:t>e</m:t>
            </m:r>
            <m:r>
              <m:t>s</m:t>
            </m:r>
          </m:sup>
        </m:sSubSup>
      </m:oMath>
      <w:r>
        <w:t xml:space="preserve">) de primes précité correspond au rapport entre les primes brutes non vie (cessions) et les primes émises de l’exercice.</w:t>
      </w:r>
    </w:p>
    <w:bookmarkEnd w:id="60"/>
    <w:bookmarkEnd w:id="61"/>
    <w:bookmarkStart w:id="62" w:name="lajustement-pour-défaut-de-contrepartie"/>
    <w:p>
      <w:pPr>
        <w:pStyle w:val="Heading4"/>
      </w:pPr>
      <w:r>
        <w:t xml:space="preserve">5.4.2 L’ajustement pour défaut de contrepartie:</w:t>
      </w:r>
    </w:p>
    <w:p>
      <w:pPr>
        <w:pStyle w:val="FirstParagraph"/>
      </w:pPr>
      <w:r>
        <w:t xml:space="preserve">L’ajustement pour défaut de contrepartie est déterminé en actualisant les flux d’ajustement futurs sur la base de la courbe des taux fixée par l’Autorité.</w:t>
      </w:r>
    </w:p>
    <w:p>
      <w:pPr>
        <w:pStyle w:val="BodyText"/>
      </w:pPr>
      <w:r>
        <w:t xml:space="preserve">Les flux d’ajustement futurs sont déterminés conformément à la méthode, telle que décrite à</w:t>
      </w:r>
      <w:r>
        <w:t xml:space="preserve"> </w:t>
      </w:r>
      <w:r>
        <w:rPr>
          <w:bCs/>
          <w:b/>
        </w:rPr>
        <w:t xml:space="preserve">l’annexe N°6</w:t>
      </w:r>
      <w:r>
        <w:t xml:space="preserve"> </w:t>
      </w:r>
      <w:r>
        <w:t xml:space="preserve">de la circulaire de l’ACAPS.</w:t>
      </w:r>
    </w:p>
    <w:bookmarkEnd w:id="62"/>
    <w:bookmarkEnd w:id="63"/>
    <w:bookmarkEnd w:id="64"/>
    <w:bookmarkStart w:id="93" w:name="capital-de-solvabilité-requis"/>
    <w:p>
      <w:pPr>
        <w:pStyle w:val="Heading2"/>
      </w:pPr>
      <w:r>
        <w:t xml:space="preserve">6 Capital de Solvabilité Requis :</w:t>
      </w:r>
    </w:p>
    <w:p>
      <w:pPr>
        <w:pStyle w:val="FirstParagraph"/>
      </w:pPr>
      <w:r>
        <w:t xml:space="preserve">Le Capital de Solvabilité Requis (CSR) est une notion très importante dans les domaines d’assurance et de réassurance, il permet la garantie de tous les risques quantifiables auxquels les entreprises de ces domaines sont exposés. Le CSR correspond au capital dont a besoin une entreprise d’assurance ou de réassurance pour faire face à tous les risques qui peuvent survenir dans le futur et limiter la probabilité de ruine à 0,5%, c’est-à-dire à une seule occurrence tous les 200 ans.</w:t>
      </w:r>
    </w:p>
    <w:p>
      <w:pPr>
        <w:pStyle w:val="BodyText"/>
      </w:pPr>
      <w:r>
        <w:t xml:space="preserve">Commençons d’abord par la définition des différents risques dans les secteurs d’assurance et de réassurance :</w:t>
      </w:r>
    </w:p>
    <w:p>
      <w:pPr>
        <w:numPr>
          <w:ilvl w:val="0"/>
          <w:numId w:val="1024"/>
        </w:numPr>
      </w:pPr>
      <w:r>
        <w:rPr>
          <w:bCs/>
          <w:b/>
        </w:rPr>
        <w:t xml:space="preserve">Risque de souscription</w:t>
      </w:r>
      <w:r>
        <w:t xml:space="preserve"> </w:t>
      </w:r>
      <w:r>
        <w:t xml:space="preserve">: le risque de perte ou de changement défavorable de la situation financière, en</w:t>
      </w:r>
      <w:r>
        <w:t xml:space="preserve"> </w:t>
      </w:r>
      <w:r>
        <w:t xml:space="preserve">raison d’hypothèses inadéquates en matière de sinistralité, de tarification et de provisionnement.</w:t>
      </w:r>
    </w:p>
    <w:p>
      <w:pPr>
        <w:numPr>
          <w:ilvl w:val="0"/>
          <w:numId w:val="1024"/>
        </w:numPr>
      </w:pPr>
      <w:r>
        <w:rPr>
          <w:bCs/>
          <w:b/>
        </w:rPr>
        <w:t xml:space="preserve">Risque de marché</w:t>
      </w:r>
      <w:r>
        <w:t xml:space="preserve"> </w:t>
      </w:r>
      <w:r>
        <w:t xml:space="preserve">: le risque de perte ou de changement défavorable de la situation financière</w:t>
      </w:r>
      <w:r>
        <w:t xml:space="preserve"> </w:t>
      </w:r>
      <w:r>
        <w:t xml:space="preserve">résultant, directement ou indirectement, de fluctuations affectant le niveau de la valeur des actifs, des</w:t>
      </w:r>
      <w:r>
        <w:t xml:space="preserve"> </w:t>
      </w:r>
      <w:r>
        <w:t xml:space="preserve">passifs et des instruments financiers.</w:t>
      </w:r>
    </w:p>
    <w:p>
      <w:pPr>
        <w:numPr>
          <w:ilvl w:val="0"/>
          <w:numId w:val="1024"/>
        </w:numPr>
      </w:pPr>
      <w:r>
        <w:rPr>
          <w:bCs/>
          <w:b/>
        </w:rPr>
        <w:t xml:space="preserve">Risque de spread</w:t>
      </w:r>
      <w:r>
        <w:t xml:space="preserve"> </w:t>
      </w:r>
      <w:r>
        <w:t xml:space="preserve">(marge de crédit) : le risque de perte ou de changement défavorable de la situation</w:t>
      </w:r>
      <w:r>
        <w:t xml:space="preserve"> </w:t>
      </w:r>
      <w:r>
        <w:t xml:space="preserve">financière résultant des changements touchant les marges additionnelles par rapport aux taux de</w:t>
      </w:r>
      <w:r>
        <w:t xml:space="preserve"> </w:t>
      </w:r>
      <w:r>
        <w:t xml:space="preserve">référence exigée par les investisseurs sur les emprunts émis par des entités autres que l’Etat.</w:t>
      </w:r>
    </w:p>
    <w:p>
      <w:pPr>
        <w:numPr>
          <w:ilvl w:val="0"/>
          <w:numId w:val="1024"/>
        </w:numPr>
      </w:pPr>
      <w:r>
        <w:rPr>
          <w:bCs/>
          <w:b/>
        </w:rPr>
        <w:t xml:space="preserve">Risque de contrepartie</w:t>
      </w:r>
      <w:r>
        <w:t xml:space="preserve"> </w:t>
      </w:r>
      <w:r>
        <w:t xml:space="preserve">: le risque de perte ou de changement défavorable de la situation financière</w:t>
      </w:r>
      <w:r>
        <w:t xml:space="preserve"> </w:t>
      </w:r>
      <w:r>
        <w:t xml:space="preserve">résultant d’un défaut de paiement d’une contrepartie ou d’une dégradation de sa qualité de crédit.</w:t>
      </w:r>
    </w:p>
    <w:p>
      <w:pPr>
        <w:numPr>
          <w:ilvl w:val="0"/>
          <w:numId w:val="1024"/>
        </w:numPr>
      </w:pPr>
      <w:r>
        <w:rPr>
          <w:bCs/>
          <w:b/>
        </w:rPr>
        <w:t xml:space="preserve">Risque opérationnel</w:t>
      </w:r>
      <w:r>
        <w:t xml:space="preserve"> </w:t>
      </w:r>
      <w:r>
        <w:t xml:space="preserve">: le risque de perte ou de changement défavorable de la situation financière</w:t>
      </w:r>
      <w:r>
        <w:t xml:space="preserve"> </w:t>
      </w:r>
      <w:r>
        <w:t xml:space="preserve">résultant de procédures internes, de membres du personnel, de systèmes inadéquats ou défaillants,</w:t>
      </w:r>
      <w:r>
        <w:t xml:space="preserve"> </w:t>
      </w:r>
      <w:r>
        <w:t xml:space="preserve">ou d’événements extérieurs.</w:t>
      </w:r>
    </w:p>
    <w:p>
      <w:pPr>
        <w:numPr>
          <w:ilvl w:val="0"/>
          <w:numId w:val="1024"/>
        </w:numPr>
      </w:pPr>
      <w:r>
        <w:rPr>
          <w:bCs/>
          <w:b/>
        </w:rPr>
        <w:t xml:space="preserve">Risque de concentration</w:t>
      </w:r>
      <w:r>
        <w:t xml:space="preserve"> </w:t>
      </w:r>
      <w:r>
        <w:t xml:space="preserve">: le risque de perte ou de changement défavorable de la situation financière</w:t>
      </w:r>
      <w:r>
        <w:t xml:space="preserve"> </w:t>
      </w:r>
      <w:r>
        <w:t xml:space="preserve">résultant d’un manque de diversité des émetteurs auxquels l’entreprise d’assurances et de</w:t>
      </w:r>
      <w:r>
        <w:t xml:space="preserve"> </w:t>
      </w:r>
      <w:r>
        <w:t xml:space="preserve">réassurance est exposée.</w:t>
      </w:r>
    </w:p>
    <w:p>
      <w:pPr>
        <w:pStyle w:val="FirstParagraph"/>
      </w:pPr>
      <w:r>
        <w:t xml:space="preserve">Selon le circulaire de l’ACAPS (l’Autorité de Contrôle des Assurances et de la Prévoyance Sociale) publié le premier Janvier 2020, Le capital de solvabilité requis est constitué de la somme des éléments suivants :</w:t>
      </w:r>
    </w:p>
    <w:p>
      <w:pPr>
        <w:numPr>
          <w:ilvl w:val="0"/>
          <w:numId w:val="1025"/>
        </w:numPr>
      </w:pPr>
      <w:r>
        <w:t xml:space="preserve">Le capital de solvabilité requis de base.</w:t>
      </w:r>
    </w:p>
    <w:p>
      <w:pPr>
        <w:numPr>
          <w:ilvl w:val="0"/>
          <w:numId w:val="1025"/>
        </w:numPr>
      </w:pPr>
      <w:r>
        <w:t xml:space="preserve">L’exigence de capital relative au risque opérationnel.</w:t>
      </w:r>
    </w:p>
    <w:p>
      <w:pPr>
        <w:numPr>
          <w:ilvl w:val="0"/>
          <w:numId w:val="1025"/>
        </w:numPr>
      </w:pPr>
      <w:r>
        <w:t xml:space="preserve">L’ajustement visant à tenir compte de la capacité d’absorption des pertes par les assurés.</w:t>
      </w:r>
    </w:p>
    <w:p>
      <w:pPr>
        <w:numPr>
          <w:ilvl w:val="0"/>
          <w:numId w:val="1025"/>
        </w:numPr>
      </w:pPr>
      <w:r>
        <w:t xml:space="preserve">L’ajustement visant à tenir compte de la capacité d’absorption des pertes par les impôts différés.</w:t>
      </w:r>
    </w:p>
    <w:bookmarkStart w:id="85" w:name="X8b89129f00e23abf7e0dc64742a1933841bd13f"/>
    <w:p>
      <w:pPr>
        <w:pStyle w:val="Heading3"/>
      </w:pPr>
      <w:r>
        <w:t xml:space="preserve">6.1 Le capital de solvabilité requis de base</w:t>
      </w:r>
      <w:r>
        <w:t xml:space="preserve"> </w:t>
      </w:r>
      <m:oMath>
        <m:r>
          <m:t>C</m:t>
        </m:r>
        <m:r>
          <m:t>S</m:t>
        </m:r>
        <m:sSub>
          <m:e>
            <m:r>
              <m:t>R</m:t>
            </m:r>
          </m:e>
          <m:sub>
            <m:r>
              <m:t>b</m:t>
            </m:r>
            <m:r>
              <m:t>a</m:t>
            </m:r>
            <m:r>
              <m:t>s</m:t>
            </m:r>
            <m:r>
              <m:t>e</m:t>
            </m:r>
          </m:sub>
        </m:sSub>
      </m:oMath>
    </w:p>
    <w:p>
      <w:pPr>
        <w:pStyle w:val="FirstParagraph"/>
      </w:pPr>
      <w:r>
        <w:t xml:space="preserve">Le capital de solvabilité requis de base est le montant total des exigences de capitaux liées aux risques de</w:t>
      </w:r>
      <w:r>
        <w:t xml:space="preserve"> </w:t>
      </w:r>
      <w:r>
        <w:rPr>
          <w:iCs/>
          <w:i/>
        </w:rPr>
        <w:t xml:space="preserve">marché</w:t>
      </w:r>
      <w:r>
        <w:t xml:space="preserve">, de</w:t>
      </w:r>
      <w:r>
        <w:t xml:space="preserve"> </w:t>
      </w:r>
      <w:r>
        <w:rPr>
          <w:iCs/>
          <w:i/>
        </w:rPr>
        <w:t xml:space="preserve">concentration</w:t>
      </w:r>
      <w:r>
        <w:t xml:space="preserve">, de</w:t>
      </w:r>
      <w:r>
        <w:t xml:space="preserve"> </w:t>
      </w:r>
      <w:r>
        <w:rPr>
          <w:iCs/>
          <w:i/>
        </w:rPr>
        <w:t xml:space="preserve">contrepartie</w:t>
      </w:r>
      <w:r>
        <w:t xml:space="preserve">, de</w:t>
      </w:r>
      <w:r>
        <w:t xml:space="preserve"> </w:t>
      </w:r>
      <w:r>
        <w:rPr>
          <w:iCs/>
          <w:i/>
        </w:rPr>
        <w:t xml:space="preserve">souscription</w:t>
      </w:r>
      <w:r>
        <w:t xml:space="preserve"> </w:t>
      </w:r>
      <w:r>
        <w:t xml:space="preserve">vie et de</w:t>
      </w:r>
      <w:r>
        <w:t xml:space="preserve"> </w:t>
      </w:r>
      <w:r>
        <w:rPr>
          <w:iCs/>
          <w:i/>
        </w:rPr>
        <w:t xml:space="preserve">souscription non-vie</w:t>
      </w:r>
      <w:r>
        <w:t xml:space="preserve"> </w:t>
      </w:r>
      <w:r>
        <w:t xml:space="preserve">et ce, après application des coefficients de corrélations.</w:t>
      </w:r>
    </w:p>
    <w:p>
      <w:pPr>
        <w:pStyle w:val="BodyText"/>
      </w:pPr>
      <m:oMathPara>
        <m:oMathParaPr>
          <m:jc m:val="center"/>
        </m:oMathParaPr>
        <m:oMath>
          <m:r>
            <m:t>C</m:t>
          </m:r>
          <m:r>
            <m:t>S</m:t>
          </m:r>
          <m:sSub>
            <m:e>
              <m:r>
                <m:t>R</m:t>
              </m:r>
            </m:e>
            <m:sub>
              <m:r>
                <m:t>b</m:t>
              </m:r>
              <m:r>
                <m:t>a</m:t>
              </m:r>
              <m:r>
                <m:t>s</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i</m:t>
                  </m:r>
                  <m:r>
                    <m:t>s</m:t>
                  </m:r>
                  <m:r>
                    <m:t>k</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26"/>
        </w:numPr>
      </w:pPr>
      <w:r>
        <w:t xml:space="preserve">Risk</w:t>
      </w:r>
      <w:r>
        <w:t xml:space="preserve"> </w:t>
      </w:r>
      <m:oMath>
        <m:r>
          <m:rPr>
            <m:sty m:val="p"/>
          </m:rPr>
          <m:t>∈</m:t>
        </m:r>
      </m:oMath>
      <w:r>
        <w:t xml:space="preserve"> </w:t>
      </w:r>
      <w:r>
        <w:t xml:space="preserve">{Marché, Concentration, Contrepartie, Souscription Vie, Souscription Non - Vie}</w:t>
      </w:r>
    </w:p>
    <w:p>
      <w:pPr>
        <w:numPr>
          <w:ilvl w:val="0"/>
          <w:numId w:val="1026"/>
        </w:numPr>
      </w:pPr>
      <m:oMath>
        <m:r>
          <m:t>ρ</m:t>
        </m:r>
      </m:oMath>
      <w:r>
        <w:t xml:space="preserve"> </w:t>
      </w:r>
      <w:r>
        <w:t xml:space="preserve">: Coefficients de corrélations.</w:t>
      </w:r>
    </w:p>
    <w:p>
      <w:pPr>
        <w:pStyle w:val="FirstParagraph"/>
      </w:pPr>
      <w:r>
        <w:t xml:space="preserve">avec la matrice de corrélations suivante:</w:t>
      </w:r>
    </w:p>
    <w:tbl>
      <w:tblPr>
        <w:tblStyle w:val="Table"/>
        <w:tblW w:type="pct" w:w="5000"/>
        <w:tblLook w:firstRow="1" w:lastRow="0" w:firstColumn="0" w:lastColumn="0" w:noHBand="0" w:noVBand="0" w:val="0020"/>
      </w:tblPr>
      <w:tblGrid>
        <w:gridCol w:w="1673"/>
        <w:gridCol w:w="780"/>
        <w:gridCol w:w="1450"/>
        <w:gridCol w:w="1338"/>
        <w:gridCol w:w="1115"/>
        <w:gridCol w:w="1561"/>
      </w:tblGrid>
      <w:tr>
        <w:trPr>
          <w:tblHeader w:val="true"/>
        </w:trPr>
        <w:tc>
          <w:tcPr/>
          <w:p>
            <w:pPr>
              <w:pStyle w:val="Compact"/>
            </w:pPr>
          </w:p>
        </w:tc>
        <w:tc>
          <w:tcPr/>
          <w:p>
            <w:pPr>
              <w:pStyle w:val="Compact"/>
              <w:jc w:val="left"/>
            </w:pPr>
            <w:r>
              <w:t xml:space="preserve">Marché</w:t>
            </w:r>
          </w:p>
        </w:tc>
        <w:tc>
          <w:tcPr/>
          <w:p>
            <w:pPr>
              <w:pStyle w:val="Compact"/>
              <w:jc w:val="left"/>
            </w:pPr>
            <w:r>
              <w:t xml:space="preserve">Concentration</w:t>
            </w:r>
          </w:p>
        </w:tc>
        <w:tc>
          <w:tcPr/>
          <w:p>
            <w:pPr>
              <w:pStyle w:val="Compact"/>
              <w:jc w:val="left"/>
            </w:pPr>
            <w:r>
              <w:t xml:space="preserve">Contrepartie</w:t>
            </w:r>
          </w:p>
        </w:tc>
        <w:tc>
          <w:tcPr/>
          <w:p>
            <w:pPr>
              <w:pStyle w:val="Compact"/>
              <w:jc w:val="left"/>
            </w:pPr>
            <w:r>
              <w:t xml:space="preserve">Sousc. vie</w:t>
            </w:r>
          </w:p>
        </w:tc>
        <w:tc>
          <w:tcPr/>
          <w:p>
            <w:pPr>
              <w:pStyle w:val="Compact"/>
              <w:jc w:val="left"/>
            </w:pPr>
            <w:r>
              <w:t xml:space="preserve">Sousc. non-vie</w:t>
            </w:r>
          </w:p>
        </w:tc>
      </w:tr>
      <w:tr>
        <w:tc>
          <w:tcPr/>
          <w:p>
            <w:pPr>
              <w:pStyle w:val="Compact"/>
              <w:jc w:val="left"/>
            </w:pPr>
            <w:r>
              <w:t xml:space="preserve">Marché</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Concentration</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Contrepartie</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Sousc. 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c>
          <w:tcPr/>
          <w:p>
            <w:pPr>
              <w:pStyle w:val="Compact"/>
              <w:jc w:val="left"/>
            </w:pPr>
            <w:r>
              <w:t xml:space="preserve">x</w:t>
            </w:r>
          </w:p>
        </w:tc>
      </w:tr>
      <w:tr>
        <w:tc>
          <w:tcPr/>
          <w:p>
            <w:pPr>
              <w:pStyle w:val="Compact"/>
              <w:jc w:val="left"/>
            </w:pPr>
            <w:r>
              <w:t xml:space="preserve">Sousc. non-vie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1</w:t>
            </w:r>
          </w:p>
        </w:tc>
      </w:tr>
    </w:tbl>
    <w:bookmarkStart w:id="70" w:name="X7d0de4e6ff3ca13baeb836adc8c41f16eaa6dfb"/>
    <w:p>
      <w:pPr>
        <w:pStyle w:val="Heading4"/>
      </w:pPr>
      <w:r>
        <w:t xml:space="preserve">6.1.1 EXIGENCE DE CAPITAL RELATIVE AUX RISQUES DE MARCHE</w:t>
      </w:r>
      <w:r>
        <w:t xml:space="preserve"> </w:t>
      </w:r>
      <m:oMath>
        <m:r>
          <m:t>C</m:t>
        </m:r>
        <m:r>
          <m:t>S</m:t>
        </m:r>
        <m:sSub>
          <m:e>
            <m:r>
              <m:t>R</m:t>
            </m:r>
          </m:e>
          <m:sub>
            <m:r>
              <m:t>m</m:t>
            </m:r>
            <m:r>
              <m:t>a</m:t>
            </m:r>
            <m:r>
              <m:t>r</m:t>
            </m:r>
            <m:r>
              <m:t>c</m:t>
            </m:r>
            <m:r>
              <m:t>h</m:t>
            </m:r>
            <m:r>
              <m:t>e</m:t>
            </m:r>
          </m:sub>
        </m:sSub>
      </m:oMath>
    </w:p>
    <w:p>
      <w:pPr>
        <w:pStyle w:val="FirstParagraph"/>
      </w:pPr>
      <w:r>
        <w:t xml:space="preserve">L’exigence de capital relative au risque de marché est le montant total des exigences de capitaux relatives aux sous-risques action, taux, immobilier, écart de taux et change et ce, après application des coefficients de corrélations.</w:t>
      </w:r>
    </w:p>
    <w:p>
      <w:pPr>
        <w:pStyle w:val="BodyText"/>
      </w:pPr>
      <m:oMathPara>
        <m:oMathParaPr>
          <m:jc m:val="center"/>
        </m:oMathParaPr>
        <m:oMath>
          <m:r>
            <m:t>C</m:t>
          </m:r>
          <m:r>
            <m:t>S</m:t>
          </m:r>
          <m:sSub>
            <m:e>
              <m:r>
                <m:t>R</m:t>
              </m:r>
            </m:e>
            <m:sub>
              <m:r>
                <m:t>m</m:t>
              </m:r>
              <m:r>
                <m:t>a</m:t>
              </m:r>
              <m:r>
                <m:t>r</m:t>
              </m:r>
              <m:r>
                <m:t>c</m:t>
              </m:r>
              <m:r>
                <m:t>h</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R</m:t>
                  </m:r>
                  <m:r>
                    <m:t>M</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p>
    <w:p>
      <w:pPr>
        <w:numPr>
          <w:ilvl w:val="0"/>
          <w:numId w:val="1027"/>
        </w:numPr>
      </w:pPr>
      <w:r>
        <w:t xml:space="preserve">RM</w:t>
      </w:r>
      <w:r>
        <w:t xml:space="preserve"> </w:t>
      </w:r>
      <m:oMath>
        <m:r>
          <m:rPr>
            <m:sty m:val="p"/>
          </m:rPr>
          <m:t>∈</m:t>
        </m:r>
      </m:oMath>
      <w:r>
        <w:t xml:space="preserve"> </w:t>
      </w:r>
      <w:r>
        <w:t xml:space="preserve">{action, taux, immobilier, écart de taux et change}</w:t>
      </w:r>
    </w:p>
    <w:p>
      <w:pPr>
        <w:numPr>
          <w:ilvl w:val="0"/>
          <w:numId w:val="1027"/>
        </w:numPr>
      </w:pPr>
      <m:oMath>
        <m:r>
          <m:t>ρ</m:t>
        </m:r>
      </m:oMath>
      <w:r>
        <w:t xml:space="preserve"> </w:t>
      </w:r>
      <w:r>
        <w:t xml:space="preserve">: Coefficients de corrélations.</w:t>
      </w:r>
    </w:p>
    <w:bookmarkStart w:id="65" w:name="X3cf8c7738901705451aeaf1bf62340f8a8e3146"/>
    <w:p>
      <w:pPr>
        <w:pStyle w:val="Heading5"/>
      </w:pPr>
      <w:r>
        <w:t xml:space="preserve">6.1.1.1 L’exigence de capital relative au risque action (</w:t>
      </w:r>
      <m:oMath>
        <m:r>
          <m:t>C</m:t>
        </m:r>
        <m:r>
          <m:t>S</m:t>
        </m:r>
        <m:sSub>
          <m:e>
            <m:r>
              <m:t>R</m:t>
            </m:r>
          </m:e>
          <m:sub>
            <m:r>
              <m:t>a</m:t>
            </m:r>
            <m:r>
              <m:t>c</m:t>
            </m:r>
            <m:r>
              <m:t>t</m:t>
            </m:r>
            <m:r>
              <m:t>i</m:t>
            </m:r>
            <m:r>
              <m:t>o</m:t>
            </m:r>
            <m:r>
              <m:t>n</m:t>
            </m:r>
          </m:sub>
        </m:sSub>
      </m:oMath>
      <w:r>
        <w:t xml:space="preserve">)</w:t>
      </w:r>
    </w:p>
    <w:p>
      <w:pPr>
        <w:pStyle w:val="FirstParagraph"/>
      </w:pPr>
      <w:r>
        <w:t xml:space="preserve">L’exigence de capital relative au risque action est le montant de la perte de fonds propres résultant des baisses simultanées des valeurs des actions.</w:t>
      </w:r>
    </w:p>
    <w:p>
      <w:pPr>
        <w:pStyle w:val="BodyText"/>
      </w:pPr>
      <w:r>
        <w:t xml:space="preserve">Les taux de baisse à appliquer pour le calcul de l’exigence précitée sont fixés pour les catégories d’actions suivantes:</w:t>
      </w:r>
    </w:p>
    <w:p>
      <w:pPr>
        <w:pStyle w:val="BodyText"/>
      </w:pPr>
      <w:r>
        <w:t xml:space="preserve">• Actions cotées à long terme</w:t>
      </w:r>
    </w:p>
    <w:p>
      <w:pPr>
        <w:pStyle w:val="BodyText"/>
      </w:pPr>
      <w:r>
        <w:t xml:space="preserve">• Autres actions cotées</w:t>
      </w:r>
    </w:p>
    <w:p>
      <w:pPr>
        <w:pStyle w:val="BodyText"/>
      </w:pPr>
      <w:r>
        <w:t xml:space="preserve">• Actions non cotées à long terme</w:t>
      </w:r>
    </w:p>
    <w:p>
      <w:pPr>
        <w:pStyle w:val="BodyText"/>
      </w:pPr>
      <w:r>
        <w:t xml:space="preserve">• Autres actions non cotées</w:t>
      </w:r>
    </w:p>
    <w:p>
      <w:pPr>
        <w:pStyle w:val="BodyText"/>
      </w:pPr>
      <w:r>
        <w:t xml:space="preserve">• Entités d’infrastructures</w:t>
      </w:r>
    </w:p>
    <w:p>
      <w:pPr>
        <w:pStyle w:val="BodyText"/>
      </w:pPr>
      <m:oMathPara>
        <m:oMathParaPr>
          <m:jc m:val="center"/>
        </m:oMathParaPr>
        <m:oMath>
          <m:r>
            <m:t>C</m:t>
          </m:r>
          <m:r>
            <m:t>S</m:t>
          </m:r>
          <m:sSub>
            <m:e>
              <m:r>
                <m:t>R</m:t>
              </m:r>
            </m:e>
            <m:sub>
              <m:r>
                <m:t>a</m:t>
              </m:r>
              <m:r>
                <m:t>c</m:t>
              </m:r>
              <m:r>
                <m:t>t</m:t>
              </m:r>
              <m:r>
                <m:t>i</m:t>
              </m:r>
              <m:r>
                <m:t>o</m:t>
              </m:r>
              <m:r>
                <m:t>n</m:t>
              </m:r>
            </m:sub>
          </m:sSub>
          <m:r>
            <m:rPr>
              <m:sty m:val="p"/>
            </m:rPr>
            <m:t>=</m:t>
          </m:r>
          <m:r>
            <m:t>V</m:t>
          </m:r>
          <m:sSubSup>
            <m:e>
              <m:r>
                <m:t>M</m:t>
              </m:r>
            </m:e>
            <m:sub>
              <m:r>
                <m:t>a</m:t>
              </m:r>
              <m:r>
                <m:t>c</m:t>
              </m:r>
              <m:r>
                <m:t>t</m:t>
              </m:r>
              <m:r>
                <m:t>i</m:t>
              </m:r>
              <m:r>
                <m:t>o</m:t>
              </m:r>
              <m:r>
                <m:t>n</m:t>
              </m:r>
            </m:sub>
            <m:sup>
              <m:r>
                <m:rPr>
                  <m:nor/>
                  <m:sty m:val="p"/>
                </m:rPr>
                <m:t>cas de baisse</m:t>
              </m:r>
            </m:sup>
          </m:sSubSup>
          <m:r>
            <m:rPr>
              <m:sty m:val="p"/>
            </m:rPr>
            <m:t>−</m:t>
          </m:r>
          <m:r>
            <m:t>V</m:t>
          </m:r>
          <m:sSub>
            <m:e>
              <m:r>
                <m:t>M</m:t>
              </m:r>
            </m:e>
            <m:sub>
              <m:r>
                <m:t>a</m:t>
              </m:r>
              <m:r>
                <m:t>c</m:t>
              </m:r>
              <m:r>
                <m:t>t</m:t>
              </m:r>
              <m:r>
                <m:t>i</m:t>
              </m:r>
              <m:r>
                <m:t>o</m:t>
              </m:r>
              <m:r>
                <m:t>n</m:t>
              </m:r>
            </m:sub>
          </m:sSub>
        </m:oMath>
      </m:oMathPara>
    </w:p>
    <w:bookmarkEnd w:id="65"/>
    <w:bookmarkStart w:id="66" w:name="X4731aa5458fe1c45bdb9bc7a63d0b9bdcef0af7"/>
    <w:p>
      <w:pPr>
        <w:pStyle w:val="Heading5"/>
      </w:pPr>
      <w:r>
        <w:t xml:space="preserve">6.1.1.2 L’exigence de capital relative au risque de taux (</w:t>
      </w:r>
      <m:oMath>
        <m:r>
          <m:t>C</m:t>
        </m:r>
        <m:r>
          <m:t>S</m:t>
        </m:r>
        <m:sSub>
          <m:e>
            <m:r>
              <m:t>R</m:t>
            </m:r>
          </m:e>
          <m:sub>
            <m:r>
              <m:t>t</m:t>
            </m:r>
            <m:r>
              <m:t>a</m:t>
            </m:r>
            <m:r>
              <m:t>u</m:t>
            </m:r>
            <m:r>
              <m:t>x</m:t>
            </m:r>
          </m:sub>
        </m:sSub>
      </m:oMath>
      <w:r>
        <w:t xml:space="preserve">)</w:t>
      </w:r>
    </w:p>
    <w:p>
      <w:pPr>
        <w:pStyle w:val="FirstParagraph"/>
      </w:pPr>
      <w:r>
        <w:t xml:space="preserve">L’exigence de capital relative au risque de taux, est le montant de la perte maximale de fonds propres qui résulterait de l’application de coefficients à la baisse ou à la hausse à la courbe des taux sur tout actif ou passif.</w:t>
      </w:r>
    </w:p>
    <w:p>
      <w:pPr>
        <w:pStyle w:val="BodyText"/>
      </w:pPr>
      <m:oMathPara>
        <m:oMathParaPr>
          <m:jc m:val="center"/>
        </m:oMathParaPr>
        <m:oMath>
          <m:r>
            <m:t>C</m:t>
          </m:r>
          <m:r>
            <m:t>S</m:t>
          </m:r>
          <m:sSub>
            <m:e>
              <m:r>
                <m:t>R</m:t>
              </m:r>
            </m:e>
            <m:sub>
              <m:r>
                <m:t>t</m:t>
              </m:r>
              <m:r>
                <m:t>a</m:t>
              </m:r>
              <m:r>
                <m:t>u</m:t>
              </m:r>
              <m:r>
                <m:t>x</m:t>
              </m:r>
            </m:sub>
          </m:sSub>
          <m:r>
            <m:rPr>
              <m:sty m:val="p"/>
            </m:rPr>
            <m:t>=</m:t>
          </m:r>
          <m:r>
            <m:t>m</m:t>
          </m:r>
          <m:r>
            <m:t>a</m:t>
          </m:r>
          <m:r>
            <m:t>x</m:t>
          </m:r>
          <m:d>
            <m:dPr>
              <m:begChr m:val="("/>
              <m:endChr m:val=")"/>
              <m:sepChr m:val=""/>
              <m:grow/>
            </m:dPr>
            <m:e>
              <m:r>
                <m:t>C</m:t>
              </m:r>
              <m:r>
                <m:t>S</m:t>
              </m:r>
              <m:sSub>
                <m:e>
                  <m:r>
                    <m:t>R</m:t>
                  </m:r>
                </m:e>
                <m:sub>
                  <m:r>
                    <m:t>t</m:t>
                  </m:r>
                  <m:r>
                    <m:t>a</m:t>
                  </m:r>
                  <m:r>
                    <m:t>u</m:t>
                  </m:r>
                  <m:r>
                    <m:t>x</m:t>
                  </m:r>
                  <m:r>
                    <m:rPr>
                      <m:sty m:val="p"/>
                    </m:rPr>
                    <m:t>−</m:t>
                  </m:r>
                  <m:r>
                    <m:t>h</m:t>
                  </m:r>
                  <m:r>
                    <m:t>a</m:t>
                  </m:r>
                  <m:r>
                    <m:t>u</m:t>
                  </m:r>
                  <m:r>
                    <m:t>s</m:t>
                  </m:r>
                  <m:r>
                    <m:t>s</m:t>
                  </m:r>
                  <m:r>
                    <m:t>e</m:t>
                  </m:r>
                </m:sub>
              </m:sSub>
              <m:r>
                <m:rPr>
                  <m:sty m:val="p"/>
                </m:rPr>
                <m:t>;</m:t>
              </m:r>
              <m:r>
                <m:t>C</m:t>
              </m:r>
              <m:r>
                <m:t>S</m:t>
              </m:r>
              <m:sSub>
                <m:e>
                  <m:r>
                    <m:t>R</m:t>
                  </m:r>
                </m:e>
                <m:sub>
                  <m:r>
                    <m:t>t</m:t>
                  </m:r>
                  <m:r>
                    <m:t>a</m:t>
                  </m:r>
                  <m:r>
                    <m:t>u</m:t>
                  </m:r>
                  <m:r>
                    <m:t>x</m:t>
                  </m:r>
                  <m:r>
                    <m:rPr>
                      <m:sty m:val="p"/>
                    </m:rPr>
                    <m:t>−</m:t>
                  </m:r>
                  <m:r>
                    <m:t>b</m:t>
                  </m:r>
                  <m:r>
                    <m:t>a</m:t>
                  </m:r>
                  <m:r>
                    <m:t>i</m:t>
                  </m:r>
                  <m:r>
                    <m:t>s</m:t>
                  </m:r>
                  <m:r>
                    <m:t>s</m:t>
                  </m:r>
                  <m:r>
                    <m:t>e</m:t>
                  </m:r>
                </m:sub>
              </m:sSub>
            </m:e>
          </m:d>
        </m:oMath>
      </m:oMathPara>
    </w:p>
    <w:p>
      <w:pPr>
        <w:pStyle w:val="FirstParagraph"/>
      </w:pPr>
      <w:r>
        <w:t xml:space="preserve">avec :  </w:t>
      </w:r>
      <w:r>
        <w:t xml:space="preserve"> </w:t>
      </w:r>
      <m:oMath>
        <m:r>
          <m:t>C</m:t>
        </m:r>
        <m:r>
          <m:t>S</m:t>
        </m:r>
        <m:sSub>
          <m:e>
            <m:r>
              <m:t>R</m:t>
            </m:r>
          </m:e>
          <m:sub>
            <m:r>
              <m:t>t</m:t>
            </m:r>
            <m:r>
              <m:t>a</m:t>
            </m:r>
            <m:r>
              <m:t>u</m:t>
            </m:r>
            <m:r>
              <m:t>x</m:t>
            </m:r>
            <m:r>
              <m:rPr>
                <m:sty m:val="p"/>
              </m:rPr>
              <m:t>−</m:t>
            </m:r>
            <m:r>
              <m:t>i</m:t>
            </m:r>
          </m:sub>
        </m:sSub>
        <m:r>
          <m:rPr>
            <m:sty m:val="p"/>
          </m:rPr>
          <m:t>=</m:t>
        </m:r>
        <m:r>
          <m:t>B</m:t>
        </m:r>
        <m:sSup>
          <m:e>
            <m:r>
              <m:t>E</m:t>
            </m:r>
          </m:e>
          <m:sup>
            <m:r>
              <m:t>s</m:t>
            </m:r>
            <m:r>
              <m:t>c</m:t>
            </m:r>
            <m:r>
              <m:t>é</m:t>
            </m:r>
            <m:r>
              <m:t>n</m:t>
            </m:r>
            <m:r>
              <m:t>a</m:t>
            </m:r>
            <m:r>
              <m:t>r</m:t>
            </m:r>
            <m:r>
              <m:t>i</m:t>
            </m:r>
            <m:r>
              <m:t>o</m:t>
            </m:r>
            <m:r>
              <m:rPr>
                <m:sty m:val="p"/>
              </m:rPr>
              <m:t>−</m:t>
            </m:r>
            <m:r>
              <m:t>i</m:t>
            </m:r>
          </m:sup>
        </m:sSup>
        <m:r>
          <m:rPr>
            <m:sty m:val="p"/>
          </m:rPr>
          <m:t>−</m:t>
        </m:r>
        <m:r>
          <m:t>B</m:t>
        </m:r>
        <m:r>
          <m:t>E</m:t>
        </m:r>
      </m:oMath>
      <w:r>
        <w:t xml:space="preserve"> </w:t>
      </w:r>
      <w:r>
        <w:t xml:space="preserve"> </w:t>
      </w:r>
      <m:oMath>
        <m:r>
          <m:t>i</m:t>
        </m:r>
        <m:r>
          <m:rPr>
            <m:sty m:val="p"/>
          </m:rPr>
          <m:t>∈</m:t>
        </m:r>
        <m:r>
          <m:rPr>
            <m:sty m:val="p"/>
          </m:rPr>
          <m:t>{</m:t>
        </m:r>
        <m:r>
          <m:t>h</m:t>
        </m:r>
        <m:r>
          <m:t>a</m:t>
        </m:r>
        <m:r>
          <m:t>u</m:t>
        </m:r>
        <m:r>
          <m:t>s</m:t>
        </m:r>
        <m:r>
          <m:t>s</m:t>
        </m:r>
        <m:r>
          <m:t>e</m:t>
        </m:r>
        <m:r>
          <m:rPr>
            <m:sty m:val="p"/>
          </m:rPr>
          <m:t>,</m:t>
        </m:r>
        <m:r>
          <m:t>b</m:t>
        </m:r>
        <m:r>
          <m:t>a</m:t>
        </m:r>
        <m:r>
          <m:t>i</m:t>
        </m:r>
        <m:r>
          <m:t>s</m:t>
        </m:r>
        <m:r>
          <m:t>s</m:t>
        </m:r>
        <m:r>
          <m:t>e</m:t>
        </m:r>
        <m:r>
          <m:rPr>
            <m:sty m:val="p"/>
          </m:rPr>
          <m:t>}</m:t>
        </m:r>
      </m:oMath>
    </w:p>
    <w:bookmarkEnd w:id="66"/>
    <w:bookmarkStart w:id="67" w:name="X40fb47ea19ba513da95205d89bb9da70a68e95c"/>
    <w:p>
      <w:pPr>
        <w:pStyle w:val="Heading5"/>
      </w:pPr>
      <w:r>
        <w:t xml:space="preserve">6.1.1.3 L’exigence de capital relative au risque immobilier (</w:t>
      </w:r>
      <m:oMath>
        <m:r>
          <m:t>C</m:t>
        </m:r>
        <m:r>
          <m:t>S</m:t>
        </m:r>
        <m:sSub>
          <m:e>
            <m:r>
              <m:t>R</m:t>
            </m:r>
          </m:e>
          <m:sub>
            <m:r>
              <m:t>i</m:t>
            </m:r>
            <m:r>
              <m:t>m</m:t>
            </m:r>
            <m:r>
              <m:t>m</m:t>
            </m:r>
            <m:r>
              <m:t>o</m:t>
            </m:r>
            <m:r>
              <m:t>b</m:t>
            </m:r>
            <m:r>
              <m:t>i</m:t>
            </m:r>
            <m:r>
              <m:t>l</m:t>
            </m:r>
            <m:r>
              <m:t>i</m:t>
            </m:r>
            <m:r>
              <m:t>e</m:t>
            </m:r>
            <m:r>
              <m:t>r</m:t>
            </m:r>
          </m:sub>
        </m:sSub>
      </m:oMath>
      <w:r>
        <w:t xml:space="preserve">)</w:t>
      </w:r>
    </w:p>
    <w:p>
      <w:pPr>
        <w:pStyle w:val="FirstParagraph"/>
      </w:pPr>
      <w:r>
        <w:t xml:space="preserve">L’exigence de capital relative au risque immobilier est la perte de fonds propres due à une baisse de X% de la valeur des actifs immobiliers.</w:t>
      </w:r>
    </w:p>
    <w:p>
      <w:pPr>
        <w:pStyle w:val="BodyText"/>
      </w:pPr>
      <m:oMathPara>
        <m:oMathParaPr>
          <m:jc m:val="center"/>
        </m:oMathParaPr>
        <m:oMath>
          <m:r>
            <m:t>C</m:t>
          </m:r>
          <m:r>
            <m:t>S</m:t>
          </m:r>
          <m:sSub>
            <m:e>
              <m:r>
                <m:t>R</m:t>
              </m:r>
            </m:e>
            <m:sub>
              <m:r>
                <m:t>i</m:t>
              </m:r>
              <m:r>
                <m:t>m</m:t>
              </m:r>
              <m:r>
                <m:t>m</m:t>
              </m:r>
              <m:r>
                <m:t>o</m:t>
              </m:r>
              <m:r>
                <m:t>b</m:t>
              </m:r>
              <m:r>
                <m:t>i</m:t>
              </m:r>
              <m:r>
                <m:t>l</m:t>
              </m:r>
              <m:r>
                <m:t>i</m:t>
              </m:r>
              <m:r>
                <m:t>e</m:t>
              </m:r>
              <m:r>
                <m:t>r</m:t>
              </m:r>
            </m:sub>
          </m:sSub>
          <m:r>
            <m:rPr>
              <m:sty m:val="p"/>
            </m:rPr>
            <m:t>=</m:t>
          </m:r>
          <m:r>
            <m:t>B</m:t>
          </m:r>
          <m:sSubSup>
            <m:e>
              <m:r>
                <m:t>E</m:t>
              </m:r>
            </m:e>
            <m:sub>
              <m:r>
                <m:t>e</m:t>
              </m:r>
              <m:r>
                <m:t>n</m:t>
              </m:r>
              <m:r>
                <m:t>g</m:t>
              </m:r>
            </m:sub>
            <m:sup>
              <m:r>
                <m:rPr>
                  <m:nor/>
                  <m:sty m:val="p"/>
                </m:rPr>
                <m:t>baisse actifs immobiliers</m:t>
              </m:r>
            </m:sup>
          </m:sSubSup>
          <m:r>
            <m:rPr>
              <m:sty m:val="p"/>
            </m:rPr>
            <m:t>−</m:t>
          </m:r>
          <m:r>
            <m:t>B</m:t>
          </m:r>
          <m:sSub>
            <m:e>
              <m:r>
                <m:t>E</m:t>
              </m:r>
            </m:e>
            <m:sub>
              <m:r>
                <m:t>e</m:t>
              </m:r>
              <m:r>
                <m:t>n</m:t>
              </m:r>
              <m:r>
                <m:t>g</m:t>
              </m:r>
            </m:sub>
          </m:sSub>
        </m:oMath>
      </m:oMathPara>
    </w:p>
    <w:bookmarkEnd w:id="67"/>
    <w:bookmarkStart w:id="68" w:name="Xe3398b52d710566ac6543c034c7b139b3b8d7ba"/>
    <w:p>
      <w:pPr>
        <w:pStyle w:val="Heading5"/>
      </w:pPr>
      <w:r>
        <w:t xml:space="preserve">6.1.1.4 L’exigence de capital relative au risque d’écart (</w:t>
      </w:r>
      <m:oMath>
        <m:r>
          <m:t>C</m:t>
        </m:r>
        <m:r>
          <m:t>S</m:t>
        </m:r>
        <m:sSub>
          <m:e>
            <m:r>
              <m:t>R</m:t>
            </m:r>
          </m:e>
          <m:sub>
            <m:r>
              <m:rPr>
                <m:nor/>
                <m:sty m:val="p"/>
              </m:rPr>
              <m:t>Ecart_taux</m:t>
            </m:r>
          </m:sub>
        </m:sSub>
      </m:oMath>
      <w:r>
        <w:t xml:space="preserve">)</w:t>
      </w:r>
    </w:p>
    <w:p>
      <w:pPr>
        <w:pStyle w:val="FirstParagraph"/>
      </w:pPr>
      <w:r>
        <w:t xml:space="preserve">L’exigence de capital relative au risque d’écart de taux est la perte de fonds propres due à l’application des taux de baisse à la valeur des titres de créances non émis ou non garantis par l’Etat.</w:t>
      </w:r>
    </w:p>
    <w:p>
      <w:pPr>
        <w:pStyle w:val="BodyText"/>
      </w:pPr>
      <w:r>
        <w:t xml:space="preserve">Les taux de baisse à appliquer sont calculés en fonction de la duration et de la prime de risque à l’émission.</w:t>
      </w:r>
    </w:p>
    <w:bookmarkEnd w:id="68"/>
    <w:bookmarkStart w:id="69" w:name="X0b86f92798bd2d75800a724a913850a71127576"/>
    <w:p>
      <w:pPr>
        <w:pStyle w:val="Heading5"/>
      </w:pPr>
      <w:r>
        <w:t xml:space="preserve">6.1.1.5 L’exigence de capital relative au sous-risque de change (</w:t>
      </w:r>
      <m:oMath>
        <m:r>
          <m:t>C</m:t>
        </m:r>
        <m:r>
          <m:t>S</m:t>
        </m:r>
        <m:sSub>
          <m:e>
            <m:r>
              <m:t>R</m:t>
            </m:r>
          </m:e>
          <m:sub>
            <m:r>
              <m:t>c</m:t>
            </m:r>
            <m:r>
              <m:t>h</m:t>
            </m:r>
            <m:r>
              <m:t>a</m:t>
            </m:r>
            <m:r>
              <m:t>n</m:t>
            </m:r>
            <m:r>
              <m:t>g</m:t>
            </m:r>
            <m:r>
              <m:t>e</m:t>
            </m:r>
          </m:sub>
        </m:sSub>
      </m:oMath>
      <w:r>
        <w:t xml:space="preserve">)</w:t>
      </w:r>
    </w:p>
    <w:p>
      <w:pPr>
        <w:pStyle w:val="FirstParagraph"/>
      </w:pPr>
      <w:r>
        <w:t xml:space="preserve">L’exigence de capital relative au sous-risque de change correspond à la somme des exigences de capitaux pour risque de change pour chaque devise étrangère.</w:t>
      </w:r>
    </w:p>
    <w:p>
      <w:pPr>
        <w:pStyle w:val="BodyText"/>
      </w:pPr>
      <w:r>
        <w:t xml:space="preserve">L’exigence de capital pour risque de change pour chaque devise étrangère correspond à la plus élevée des exigences de capitaux suivantes:</w:t>
      </w:r>
    </w:p>
    <w:p>
      <w:pPr>
        <w:numPr>
          <w:ilvl w:val="0"/>
          <w:numId w:val="1028"/>
        </w:numPr>
        <w:pStyle w:val="Compact"/>
      </w:pPr>
      <w:r>
        <w:t xml:space="preserve">l’exigence de capital pour risque d’augmentation de la valeur de la devise étrangère par rapport au dirham.</w:t>
      </w:r>
    </w:p>
    <w:p>
      <w:pPr>
        <w:numPr>
          <w:ilvl w:val="0"/>
          <w:numId w:val="1028"/>
        </w:numPr>
        <w:pStyle w:val="Compact"/>
      </w:pPr>
      <w:r>
        <w:t xml:space="preserve">l’exigence de capital pour risque de diminution de la valeur de la devise étrangère par rapport au dirham.</w:t>
      </w:r>
    </w:p>
    <w:p>
      <w:pPr>
        <w:pStyle w:val="FirstParagraph"/>
      </w:pPr>
      <w:r>
        <w:t xml:space="preserve">L’exigence de capital pour risques d’augmentation ou de diminution de la valeur de la devise étrangère par rapport au dirham est egale à la perte de fonds propres qui résulterait des scénarios d’augmentation ou de diminution, respectivement de</w:t>
      </w:r>
      <w:r>
        <w:t xml:space="preserve"> </w:t>
      </w:r>
      <m:oMath>
        <m:r>
          <m:t>X</m:t>
        </m:r>
        <m:r>
          <m:rPr>
            <m:sty m:val="p"/>
          </m:rPr>
          <m:t>%</m:t>
        </m:r>
      </m:oMath>
      <w:r>
        <w:t xml:space="preserve"> </w:t>
      </w:r>
      <w:r>
        <w:t xml:space="preserve">et</w:t>
      </w:r>
      <w:r>
        <w:t xml:space="preserve"> </w:t>
      </w:r>
      <m:oMath>
        <m:r>
          <m:t>X</m:t>
        </m:r>
        <m:r>
          <m:rPr>
            <m:sty m:val="p"/>
          </m:rPr>
          <m:t>%</m:t>
        </m:r>
      </m:oMath>
      <w:r>
        <w:t xml:space="preserve">, de la valeur de la devise étrangère par rapport au dirham.</w:t>
      </w:r>
    </w:p>
    <w:p>
      <w:pPr>
        <w:pStyle w:val="BodyText"/>
      </w:pPr>
      <m:oMathPara>
        <m:oMathParaPr>
          <m:jc m:val="center"/>
        </m:oMathParaPr>
        <m:oMath>
          <m:r>
            <m:t>C</m:t>
          </m:r>
          <m:r>
            <m:t>S</m:t>
          </m:r>
          <m:sSub>
            <m:e>
              <m:r>
                <m:t>R</m:t>
              </m:r>
            </m:e>
            <m:sub>
              <m:r>
                <m:t>c</m:t>
              </m:r>
              <m:r>
                <m:t>h</m:t>
              </m:r>
              <m:r>
                <m:t>a</m:t>
              </m:r>
              <m:r>
                <m:t>n</m:t>
              </m:r>
              <m:r>
                <m:t>g</m:t>
              </m:r>
              <m:r>
                <m:t>e</m:t>
              </m:r>
            </m:sub>
          </m:sSub>
          <m:r>
            <m:rPr>
              <m:sty m:val="p"/>
            </m:rPr>
            <m:t>=</m:t>
          </m:r>
          <m:nary>
            <m:naryPr>
              <m:chr m:val="∑"/>
              <m:limLoc m:val="undOvr"/>
              <m:subHide m:val="0"/>
              <m:supHide m:val="1"/>
            </m:naryPr>
            <m:sub>
              <m:r>
                <m:t>i</m:t>
              </m:r>
              <m:r>
                <m:rPr>
                  <m:sty m:val="p"/>
                </m:rPr>
                <m:t>∈</m:t>
              </m:r>
              <m:r>
                <m:t>R</m:t>
              </m:r>
              <m:r>
                <m:t>C</m:t>
              </m:r>
            </m:sub>
            <m:sup>
              <m:r>
                <m:t>​</m:t>
              </m:r>
            </m:sup>
            <m:e>
              <m:r>
                <m:t>C</m:t>
              </m:r>
            </m:e>
          </m:nary>
          <m:r>
            <m:t>S</m:t>
          </m:r>
          <m:sSubSup>
            <m:e>
              <m:r>
                <m:t>R</m:t>
              </m:r>
            </m:e>
            <m:sub>
              <m:r>
                <m:t>i</m:t>
              </m:r>
            </m:sub>
            <m:sup>
              <m:r>
                <m:t>c</m:t>
              </m:r>
              <m:r>
                <m:t>h</m:t>
              </m:r>
              <m:r>
                <m:t>a</m:t>
              </m:r>
              <m:r>
                <m:t>n</m:t>
              </m:r>
              <m:r>
                <m:t>g</m:t>
              </m:r>
              <m:r>
                <m:t>e</m:t>
              </m:r>
            </m:sup>
          </m:sSubSup>
        </m:oMath>
      </m:oMathPara>
    </w:p>
    <w:p>
      <w:pPr>
        <w:pStyle w:val="FirstParagraph"/>
      </w:pPr>
      <w:r>
        <w:t xml:space="preserve">avec :</w:t>
      </w:r>
      <w:r>
        <w:t xml:space="preserve"> </w:t>
      </w:r>
      <m:oMath>
        <m:r>
          <m:t>R</m:t>
        </m:r>
        <m:r>
          <m:t>C</m:t>
        </m:r>
      </m:oMath>
      <w:r>
        <w:t xml:space="preserve"> </w:t>
      </w:r>
      <w:r>
        <w:t xml:space="preserve">= {risque de change pour chaque devise étrangère }</w:t>
      </w:r>
      <w:r>
        <w:t xml:space="preserve"> </w:t>
      </w:r>
      <w:r>
        <w:t xml:space="preserve">et</w:t>
      </w:r>
    </w:p>
    <w:p>
      <w:pPr>
        <w:pStyle w:val="BodyText"/>
      </w:pPr>
      <m:oMathPara>
        <m:oMathParaPr>
          <m:jc m:val="center"/>
        </m:oMathParaPr>
        <m:oMath>
          <m:r>
            <m:t>C</m:t>
          </m:r>
          <m:r>
            <m:t>S</m:t>
          </m:r>
          <m:sSubSup>
            <m:e>
              <m:r>
                <m:t>R</m:t>
              </m:r>
            </m:e>
            <m:sub>
              <m:r>
                <m:t>i</m:t>
              </m:r>
            </m:sub>
            <m:sup>
              <m:r>
                <m:t>c</m:t>
              </m:r>
              <m:r>
                <m:t>h</m:t>
              </m:r>
              <m:r>
                <m:t>a</m:t>
              </m:r>
              <m:r>
                <m:t>n</m:t>
              </m:r>
              <m:r>
                <m:t>g</m:t>
              </m:r>
              <m:r>
                <m:t>e</m:t>
              </m:r>
            </m:sup>
          </m:sSubSup>
          <m:r>
            <m:rPr>
              <m:sty m:val="p"/>
            </m:rPr>
            <m:t>=</m:t>
          </m:r>
          <m:r>
            <m:t>m</m:t>
          </m:r>
          <m:r>
            <m:t>a</m:t>
          </m:r>
          <m:r>
            <m:t>x</m:t>
          </m:r>
          <m:d>
            <m:dPr>
              <m:begChr m:val="("/>
              <m:endChr m:val=")"/>
              <m:sepChr m:val=""/>
              <m:grow/>
            </m:dPr>
            <m:e>
              <m:r>
                <m:t>C</m:t>
              </m:r>
              <m:r>
                <m:t>S</m:t>
              </m:r>
              <m:sSubSup>
                <m:e>
                  <m:r>
                    <m:t>R</m:t>
                  </m:r>
                </m:e>
                <m:sub>
                  <m:r>
                    <m:t>i</m:t>
                  </m:r>
                </m:sub>
                <m:sup>
                  <m:r>
                    <m:t>a</m:t>
                  </m:r>
                  <m:r>
                    <m:t>u</m:t>
                  </m:r>
                  <m:r>
                    <m:t>g</m:t>
                  </m:r>
                  <m:r>
                    <m:t>m</m:t>
                  </m:r>
                  <m:r>
                    <m:t>e</m:t>
                  </m:r>
                  <m:r>
                    <m:t>n</m:t>
                  </m:r>
                  <m:r>
                    <m:t>t</m:t>
                  </m:r>
                  <m:r>
                    <m:t>a</m:t>
                  </m:r>
                  <m:r>
                    <m:t>t</m:t>
                  </m:r>
                  <m:r>
                    <m:t>i</m:t>
                  </m:r>
                  <m:r>
                    <m:t>o</m:t>
                  </m:r>
                  <m:r>
                    <m:t>n</m:t>
                  </m:r>
                </m:sup>
              </m:sSubSup>
              <m:r>
                <m:rPr>
                  <m:sty m:val="p"/>
                </m:rPr>
                <m:t>;</m:t>
              </m:r>
              <m:r>
                <m:t>C</m:t>
              </m:r>
              <m:r>
                <m:t>S</m:t>
              </m:r>
              <m:sSubSup>
                <m:e>
                  <m:r>
                    <m:t>R</m:t>
                  </m:r>
                </m:e>
                <m:sub>
                  <m:r>
                    <m:t>i</m:t>
                  </m:r>
                </m:sub>
                <m:sup>
                  <m:r>
                    <m:t>d</m:t>
                  </m:r>
                  <m:r>
                    <m:t>i</m:t>
                  </m:r>
                  <m:r>
                    <m:t>m</m:t>
                  </m:r>
                  <m:r>
                    <m:t>i</m:t>
                  </m:r>
                  <m:r>
                    <m:t>n</m:t>
                  </m:r>
                  <m:r>
                    <m:t>u</m:t>
                  </m:r>
                  <m:r>
                    <m:t>t</m:t>
                  </m:r>
                  <m:r>
                    <m:t>i</m:t>
                  </m:r>
                  <m:r>
                    <m:t>o</m:t>
                  </m:r>
                  <m:r>
                    <m:t>n</m:t>
                  </m:r>
                </m:sup>
              </m:sSubSup>
            </m:e>
          </m:d>
        </m:oMath>
      </m:oMathPara>
    </w:p>
    <w:p>
      <w:pPr>
        <w:pStyle w:val="FirstParagraph"/>
      </w:pPr>
      <w:r>
        <w:t xml:space="preserve">- augmentation : le risque d’augmentation de la valeur de la devise étrangère par rapport au dirham.</w:t>
      </w:r>
      <w:r>
        <w:t xml:space="preserve"> </w:t>
      </w:r>
      <w:r>
        <w:t xml:space="preserve">- diminution : le risque de diminution de la valeur de la devise étrangère par rapport au dirham.</w:t>
      </w:r>
    </w:p>
    <w:p>
      <w:pPr>
        <w:pStyle w:val="BodyText"/>
      </w:pPr>
      <w:r>
        <w:t xml:space="preserve">tel que:  </w:t>
      </w:r>
      <w:r>
        <w:t xml:space="preserve"> </w:t>
      </w:r>
      <m:oMath>
        <m:r>
          <m:t>C</m:t>
        </m:r>
        <m:r>
          <m:t>S</m:t>
        </m:r>
        <m:sSubSup>
          <m:e>
            <m:r>
              <m:t>R</m:t>
            </m:r>
          </m:e>
          <m:sub>
            <m:r>
              <m:t>i</m:t>
            </m:r>
          </m:sub>
          <m:sup>
            <m:r>
              <m:t>j</m:t>
            </m:r>
          </m:sup>
        </m:sSubSup>
        <m:r>
          <m:rPr>
            <m:sty m:val="p"/>
          </m:rPr>
          <m:t>=</m:t>
        </m:r>
        <m:r>
          <m:t>B</m:t>
        </m:r>
        <m:sSup>
          <m:e>
            <m:r>
              <m:t>E</m:t>
            </m:r>
          </m:e>
          <m:sup>
            <m:r>
              <m:rPr>
                <m:nor/>
                <m:sty m:val="p"/>
              </m:rPr>
              <m:t>scénario j</m:t>
            </m:r>
          </m:sup>
        </m:sSup>
        <m:r>
          <m:rPr>
            <m:sty m:val="p"/>
          </m:rPr>
          <m:t>−</m:t>
        </m:r>
        <m:r>
          <m:t>B</m:t>
        </m:r>
        <m:r>
          <m:t>E</m:t>
        </m:r>
      </m:oMath>
      <w:r>
        <w:t xml:space="preserve"> </w:t>
      </w:r>
      <w:r>
        <w:t xml:space="preserve"> </w:t>
      </w:r>
      <m:oMath>
        <m:r>
          <m:t>j</m:t>
        </m:r>
        <m:r>
          <m:rPr>
            <m:sty m:val="p"/>
          </m:rPr>
          <m:t>∈</m:t>
        </m:r>
        <m:r>
          <m:rPr>
            <m:sty m:val="p"/>
          </m:rPr>
          <m:t>{</m:t>
        </m:r>
        <m:r>
          <m:t>a</m:t>
        </m:r>
        <m:r>
          <m:t>u</m:t>
        </m:r>
        <m:r>
          <m:t>g</m:t>
        </m:r>
        <m:r>
          <m:t>m</m:t>
        </m:r>
        <m:r>
          <m:t>e</m:t>
        </m:r>
        <m:r>
          <m:t>n</m:t>
        </m:r>
        <m:r>
          <m:t>t</m:t>
        </m:r>
        <m:r>
          <m:t>a</m:t>
        </m:r>
        <m:r>
          <m:t>t</m:t>
        </m:r>
        <m:r>
          <m:t>i</m:t>
        </m:r>
        <m:r>
          <m:t>o</m:t>
        </m:r>
        <m:r>
          <m:t>n</m:t>
        </m:r>
        <m:r>
          <m:rPr>
            <m:sty m:val="p"/>
          </m:rPr>
          <m:t>;</m:t>
        </m:r>
        <m:r>
          <m:t>d</m:t>
        </m:r>
        <m:r>
          <m:t>i</m:t>
        </m:r>
        <m:r>
          <m:t>m</m:t>
        </m:r>
        <m:r>
          <m:t>i</m:t>
        </m:r>
        <m:r>
          <m:t>n</m:t>
        </m:r>
        <m:r>
          <m:t>u</m:t>
        </m:r>
        <m:r>
          <m:t>t</m:t>
        </m:r>
        <m:r>
          <m:t>i</m:t>
        </m:r>
        <m:r>
          <m:t>o</m:t>
        </m:r>
        <m:r>
          <m:t>n</m:t>
        </m:r>
        <m:r>
          <m:rPr>
            <m:sty m:val="p"/>
          </m:rPr>
          <m:t>}</m:t>
        </m:r>
      </m:oMath>
    </w:p>
    <w:bookmarkEnd w:id="69"/>
    <w:bookmarkEnd w:id="70"/>
    <w:bookmarkStart w:id="73" w:name="X9c0184a5ab36aa780ba8e9d38716205766fa364"/>
    <w:p>
      <w:pPr>
        <w:pStyle w:val="Heading4"/>
      </w:pPr>
      <w:r>
        <w:t xml:space="preserve">6.1.2 Exigence de capital relative au risque de contrepartie (</w:t>
      </w:r>
      <m:oMath>
        <m:r>
          <m:t>C</m:t>
        </m:r>
        <m:r>
          <m:t>S</m:t>
        </m:r>
        <m:sSub>
          <m:e>
            <m:r>
              <m:t>R</m:t>
            </m:r>
          </m:e>
          <m:sub>
            <m:r>
              <m:t>c</m:t>
            </m:r>
            <m:r>
              <m:t>o</m:t>
            </m:r>
            <m:r>
              <m:t>n</m:t>
            </m:r>
            <m:r>
              <m:t>t</m:t>
            </m:r>
            <m:r>
              <m:t>r</m:t>
            </m:r>
            <m:r>
              <m:t>e</m:t>
            </m:r>
            <m:r>
              <m:t>p</m:t>
            </m:r>
            <m:r>
              <m:t>a</m:t>
            </m:r>
            <m:r>
              <m:t>r</m:t>
            </m:r>
            <m:r>
              <m:t>t</m:t>
            </m:r>
            <m:r>
              <m:t>i</m:t>
            </m:r>
            <m:r>
              <m:t>e</m:t>
            </m:r>
          </m:sub>
        </m:sSub>
      </m:oMath>
      <w:r>
        <w:t xml:space="preserve">)</w:t>
      </w:r>
    </w:p>
    <w:p>
      <w:pPr>
        <w:pStyle w:val="FirstParagraph"/>
      </w:pPr>
      <w:r>
        <w:t xml:space="preserve">L’exigence de capital relative au risque de contrepartie est le montant total des exigences de capitaux relatives aux sous-risques de contrepartie de</w:t>
      </w:r>
      <w:r>
        <w:t xml:space="preserve"> </w:t>
      </w:r>
      <w:r>
        <w:rPr>
          <w:iCs/>
          <w:i/>
        </w:rPr>
        <w:t xml:space="preserve">type 1</w:t>
      </w:r>
      <w:r>
        <w:t xml:space="preserve"> </w:t>
      </w:r>
      <w:r>
        <w:t xml:space="preserve">et de</w:t>
      </w:r>
      <w:r>
        <w:t xml:space="preserve"> </w:t>
      </w:r>
      <w:r>
        <w:rPr>
          <w:iCs/>
          <w:i/>
        </w:rPr>
        <w:t xml:space="preserve">type 2</w:t>
      </w:r>
      <w:r>
        <w:t xml:space="preserve"> </w:t>
      </w:r>
      <w:r>
        <w:t xml:space="preserve">, une fois les coefficients de corrélation appliqués.</w:t>
      </w:r>
    </w:p>
    <w:p>
      <w:pPr>
        <w:pStyle w:val="BodyText"/>
      </w:pPr>
      <m:oMathPara>
        <m:oMathParaPr>
          <m:jc m:val="center"/>
        </m:oMathParaPr>
        <m:oMath>
          <m:r>
            <m:t>C</m:t>
          </m:r>
          <m:r>
            <m:t>S</m:t>
          </m:r>
          <m:sSub>
            <m:e>
              <m:r>
                <m:t>R</m:t>
              </m:r>
            </m:e>
            <m:sub>
              <m:r>
                <m:t>c</m:t>
              </m:r>
              <m:r>
                <m:t>o</m:t>
              </m:r>
              <m:r>
                <m:t>n</m:t>
              </m:r>
              <m:r>
                <m:t>t</m:t>
              </m:r>
              <m:r>
                <m:t>r</m:t>
              </m:r>
              <m:r>
                <m:t>e</m:t>
              </m:r>
              <m:r>
                <m:t>p</m:t>
              </m:r>
              <m:r>
                <m:t>a</m:t>
              </m:r>
              <m:r>
                <m:t>r</m:t>
              </m:r>
              <m:r>
                <m:t>t</m:t>
              </m:r>
              <m:r>
                <m:t>i</m:t>
              </m:r>
              <m:r>
                <m:t>e</m:t>
              </m:r>
            </m:sub>
          </m:sSub>
          <m:r>
            <m:rPr>
              <m:sty m:val="p"/>
            </m:rPr>
            <m:t>=</m:t>
          </m:r>
          <m:rad>
            <m:radPr>
              <m:degHide m:val="1"/>
            </m:radPr>
            <m:deg/>
            <m:e>
              <m:nary>
                <m:naryPr>
                  <m:chr m:val="∑"/>
                  <m:limLoc m:val="undOvr"/>
                  <m:subHide m:val="0"/>
                  <m:supHide m:val="1"/>
                </m:naryPr>
                <m:sub>
                  <m:r>
                    <m:t>i</m:t>
                  </m:r>
                  <m:r>
                    <m:rPr>
                      <m:sty m:val="p"/>
                    </m:rPr>
                    <m:t>,</m:t>
                  </m:r>
                  <m:r>
                    <m:t>j</m:t>
                  </m:r>
                  <m:r>
                    <m:rPr>
                      <m:sty m:val="p"/>
                    </m:rPr>
                    <m:t>∈</m:t>
                  </m:r>
                  <m:r>
                    <m:t>t</m:t>
                  </m:r>
                  <m:r>
                    <m:t>y</m:t>
                  </m:r>
                  <m:r>
                    <m:t>p</m:t>
                  </m:r>
                  <m:r>
                    <m:t>e</m:t>
                  </m:r>
                </m:sub>
                <m:sup>
                  <m:r>
                    <m:t>​</m:t>
                  </m:r>
                </m:sup>
                <m:e>
                  <m:d>
                    <m:dPr>
                      <m:begChr m:val="("/>
                      <m:endChr m:val=")"/>
                      <m:sepChr m:val=""/>
                      <m:grow/>
                    </m:dPr>
                    <m:e>
                      <m:sSub>
                        <m:e>
                          <m:r>
                            <m:t>ρ</m:t>
                          </m:r>
                        </m:e>
                        <m:sub>
                          <m:r>
                            <m:t>i</m:t>
                          </m:r>
                          <m:r>
                            <m:rPr>
                              <m:sty m:val="p"/>
                            </m:rPr>
                            <m:t>,</m:t>
                          </m:r>
                          <m:r>
                            <m:t>j</m:t>
                          </m:r>
                        </m:sub>
                      </m:sSub>
                      <m:r>
                        <m:rPr>
                          <m:sty m:val="p"/>
                        </m:rPr>
                        <m:t>×</m:t>
                      </m:r>
                      <m:r>
                        <m:t>C</m:t>
                      </m:r>
                      <m:r>
                        <m:t>S</m:t>
                      </m:r>
                      <m:sSubSup>
                        <m:e>
                          <m:r>
                            <m:t>R</m:t>
                          </m:r>
                        </m:e>
                        <m:sub>
                          <m:r>
                            <m:t>c</m:t>
                          </m:r>
                          <m:r>
                            <m:t>o</m:t>
                          </m:r>
                          <m:r>
                            <m:t>n</m:t>
                          </m:r>
                          <m:r>
                            <m:t>t</m:t>
                          </m:r>
                          <m:r>
                            <m:t>r</m:t>
                          </m:r>
                          <m:r>
                            <m:t>e</m:t>
                          </m:r>
                          <m:r>
                            <m:t>p</m:t>
                          </m:r>
                          <m:r>
                            <m:t>a</m:t>
                          </m:r>
                          <m:r>
                            <m:t>r</m:t>
                          </m:r>
                          <m:r>
                            <m:t>t</m:t>
                          </m:r>
                          <m:r>
                            <m:t>i</m:t>
                          </m:r>
                          <m:r>
                            <m:t>e</m:t>
                          </m:r>
                        </m:sub>
                        <m:sup>
                          <m:r>
                            <m:t>i</m:t>
                          </m:r>
                        </m:sup>
                      </m:sSubSup>
                      <m:r>
                        <m:rPr>
                          <m:sty m:val="p"/>
                        </m:rPr>
                        <m:t>×</m:t>
                      </m:r>
                      <m:r>
                        <m:t>C</m:t>
                      </m:r>
                      <m:r>
                        <m:t>S</m:t>
                      </m:r>
                      <m:sSubSup>
                        <m:e>
                          <m:r>
                            <m:t>R</m:t>
                          </m:r>
                        </m:e>
                        <m:sub>
                          <m:r>
                            <m:t>c</m:t>
                          </m:r>
                          <m:r>
                            <m:t>o</m:t>
                          </m:r>
                          <m:r>
                            <m:t>n</m:t>
                          </m:r>
                          <m:r>
                            <m:t>t</m:t>
                          </m:r>
                          <m:r>
                            <m:t>r</m:t>
                          </m:r>
                          <m:r>
                            <m:t>e</m:t>
                          </m:r>
                          <m:r>
                            <m:t>p</m:t>
                          </m:r>
                          <m:r>
                            <m:t>a</m:t>
                          </m:r>
                          <m:r>
                            <m:t>r</m:t>
                          </m:r>
                          <m:r>
                            <m:t>t</m:t>
                          </m:r>
                          <m:r>
                            <m:t>i</m:t>
                          </m:r>
                          <m:r>
                            <m:t>e</m:t>
                          </m:r>
                        </m:sub>
                        <m:sup>
                          <m:r>
                            <m:t>j</m:t>
                          </m:r>
                        </m:sup>
                      </m:sSubSup>
                    </m:e>
                  </m:d>
                </m:e>
              </m:nary>
            </m:e>
          </m:rad>
        </m:oMath>
      </m:oMathPara>
    </w:p>
    <w:p>
      <w:pPr>
        <w:pStyle w:val="FirstParagraph"/>
      </w:pPr>
      <w:r>
        <w:t xml:space="preserve">avec :</w:t>
      </w:r>
      <w:r>
        <w:t xml:space="preserve"> </w:t>
      </w:r>
      <m:oMath>
        <m:r>
          <m:t>t</m:t>
        </m:r>
        <m:r>
          <m:t>y</m:t>
        </m:r>
        <m:r>
          <m:t>p</m:t>
        </m:r>
        <m:r>
          <m:t>e</m:t>
        </m:r>
        <m:r>
          <m:rPr>
            <m:sty m:val="p"/>
          </m:rPr>
          <m:t>∈</m:t>
        </m:r>
        <m:r>
          <m:rPr>
            <m:sty m:val="p"/>
          </m:rPr>
          <m:t>{</m:t>
        </m:r>
        <m:r>
          <m:t>t</m:t>
        </m:r>
        <m:r>
          <m:t>y</m:t>
        </m:r>
        <m:r>
          <m:t>p</m:t>
        </m:r>
        <m:r>
          <m:t>e</m:t>
        </m:r>
        <m:r>
          <m:t>1</m:t>
        </m:r>
        <m:r>
          <m:rPr>
            <m:sty m:val="p"/>
          </m:rPr>
          <m:t>;</m:t>
        </m:r>
        <m:r>
          <m:t>t</m:t>
        </m:r>
        <m:r>
          <m:t>y</m:t>
        </m:r>
        <m:r>
          <m:t>p</m:t>
        </m:r>
        <m:r>
          <m:t>e</m:t>
        </m:r>
        <m:r>
          <m:t>2</m:t>
        </m:r>
        <m:r>
          <m:rPr>
            <m:sty m:val="p"/>
          </m:rPr>
          <m:t>}</m:t>
        </m:r>
      </m:oMath>
    </w:p>
    <w:bookmarkStart w:id="71" w:name="X303ad4190ba297cc4664f228835544b0eb3361f"/>
    <w:p>
      <w:pPr>
        <w:pStyle w:val="Heading5"/>
      </w:pPr>
      <w:r>
        <w:t xml:space="preserve">6.1.2.1 Exigence de capital relative au risque de contrepartie de type 1:</w:t>
      </w:r>
    </w:p>
    <w:p>
      <w:pPr>
        <w:pStyle w:val="FirstParagraph"/>
      </w:pPr>
      <w:r>
        <w:t xml:space="preserve">L’exigence de capital relative au risque de contrepartie de type 1 est calculé en fonction des montants</w:t>
      </w:r>
      <w:r>
        <w:t xml:space="preserve"> </w:t>
      </w:r>
      <w:r>
        <w:t xml:space="preserve">de pertes en cas de défaut des cessionnaires, des cédantes et des organismes dépositaires, selon la</w:t>
      </w:r>
      <w:r>
        <w:t xml:space="preserve"> </w:t>
      </w:r>
      <w:r>
        <w:t xml:space="preserve">méthode suivante: ** voir l’annexe 9**</w:t>
      </w:r>
    </w:p>
    <w:p>
      <w:pPr>
        <w:pStyle w:val="BodyText"/>
      </w:pPr>
      <w:r>
        <w:rPr>
          <w:bCs/>
          <w:b/>
        </w:rPr>
        <w:t xml:space="preserve">1ère étape:</w:t>
      </w:r>
      <w:r>
        <w:t xml:space="preserve"> </w:t>
      </w:r>
      <w:r>
        <w:t xml:space="preserve">Calcul des pertes en cas de défaut des différentes contreparties</w:t>
      </w:r>
      <w:r>
        <w:t xml:space="preserve"> </w:t>
      </w:r>
      <m:oMath>
        <m:r>
          <m:t>i</m:t>
        </m:r>
      </m:oMath>
      <w:r>
        <w:t xml:space="preserve">.</w:t>
      </w:r>
    </w:p>
    <w:p>
      <w:pPr>
        <w:numPr>
          <w:ilvl w:val="0"/>
          <w:numId w:val="1029"/>
        </w:numPr>
        <w:pStyle w:val="Compact"/>
      </w:pPr>
      <w:r>
        <w:t xml:space="preserve">Pour un contrat de réassurance:</w:t>
      </w:r>
    </w:p>
    <w:p>
      <w:pPr>
        <w:pStyle w:val="FirstParagraph"/>
      </w:pPr>
      <m:oMathPara>
        <m:oMathParaPr>
          <m:jc m:val="center"/>
        </m:oMathParaPr>
        <m:oMath>
          <m:r>
            <m:t>L</m:t>
          </m:r>
          <m:r>
            <m:t>G</m:t>
          </m:r>
          <m:sSub>
            <m:e>
              <m:r>
                <m:t>D</m:t>
              </m:r>
            </m:e>
            <m:sub>
              <m:r>
                <m:t>i</m:t>
              </m:r>
            </m:sub>
          </m:sSub>
          <m:r>
            <m:rPr>
              <m:sty m:val="p"/>
            </m:rPr>
            <m:t>=</m:t>
          </m:r>
          <m:r>
            <m:t>m</m:t>
          </m:r>
          <m:r>
            <m:t>a</m:t>
          </m:r>
          <m:r>
            <m:t>x</m:t>
          </m:r>
          <m:d>
            <m:dPr>
              <m:begChr m:val="("/>
              <m:endChr m:val=")"/>
              <m:sepChr m:val=""/>
              <m:grow/>
            </m:dPr>
            <m:e>
              <m:r>
                <m:t>X</m:t>
              </m:r>
              <m:r>
                <m:rPr>
                  <m:sty m:val="p"/>
                </m:rPr>
                <m:t>*</m:t>
              </m:r>
              <m:d>
                <m:dPr>
                  <m:begChr m:val="("/>
                  <m:endChr m:val=")"/>
                  <m:sepChr m:val=""/>
                  <m:grow/>
                </m:dPr>
                <m:e>
                  <m:r>
                    <m:t>B</m:t>
                  </m:r>
                  <m:sSub>
                    <m:e>
                      <m:r>
                        <m:t>E</m:t>
                      </m:r>
                    </m:e>
                    <m:sub>
                      <m:r>
                        <m:t>c</m:t>
                      </m:r>
                      <m:r>
                        <m:t>é</m:t>
                      </m:r>
                      <m:r>
                        <m:t>d</m:t>
                      </m:r>
                      <m:r>
                        <m:t>é</m:t>
                      </m:r>
                      <m:sSub>
                        <m:e>
                          <m:r>
                            <m:t>e</m:t>
                          </m:r>
                        </m:e>
                        <m:sub>
                          <m:r>
                            <m:t>i</m:t>
                          </m:r>
                        </m:sub>
                      </m:sSub>
                    </m:sub>
                  </m:sSub>
                  <m:r>
                    <m:rPr>
                      <m:sty m:val="p"/>
                    </m:rPr>
                    <m:t>+</m:t>
                  </m:r>
                  <m:r>
                    <m:rPr>
                      <m:nor/>
                      <m:sty m:val="p"/>
                    </m:rPr>
                    <m:t>créances sur les cessionaires</m:t>
                  </m:r>
                  <m:r>
                    <m:rPr>
                      <m:sty m:val="p"/>
                    </m:rPr>
                    <m:t>+</m:t>
                  </m:r>
                  <m:r>
                    <m:t>A</m:t>
                  </m:r>
                  <m:sSub>
                    <m:e>
                      <m:r>
                        <m:t>R</m:t>
                      </m:r>
                    </m:e>
                    <m:sub>
                      <m:r>
                        <m:t>i</m:t>
                      </m:r>
                    </m:sub>
                  </m:sSub>
                </m:e>
              </m:d>
              <m:r>
                <m:rPr>
                  <m:sty m:val="p"/>
                </m:rPr>
                <m:t>−</m:t>
              </m:r>
              <m:r>
                <m:rPr>
                  <m:nor/>
                  <m:sty m:val="p"/>
                </m:rPr>
                <m:t>Dépot en espèces ou en valeur</m:t>
              </m:r>
              <m:r>
                <m:rPr>
                  <m:sty m:val="p"/>
                </m:rPr>
                <m:t>;</m:t>
              </m:r>
              <m:r>
                <m:t>0</m:t>
              </m:r>
            </m:e>
          </m:d>
        </m:oMath>
      </m:oMathPara>
    </w:p>
    <w:p>
      <w:pPr>
        <w:pStyle w:val="FirstParagraph"/>
      </w:pPr>
      <w:r>
        <w:t xml:space="preserve">Où :</w:t>
      </w:r>
    </w:p>
    <w:p>
      <w:pPr>
        <w:numPr>
          <w:ilvl w:val="0"/>
          <w:numId w:val="1030"/>
        </w:numPr>
      </w:pPr>
      <m:oMath>
        <m:r>
          <m:t>B</m:t>
        </m:r>
        <m:sSub>
          <m:e>
            <m:r>
              <m:t>E</m:t>
            </m:r>
          </m:e>
          <m:sub>
            <m:r>
              <m:t>c</m:t>
            </m:r>
            <m:r>
              <m:t>é</m:t>
            </m:r>
            <m:r>
              <m:t>d</m:t>
            </m:r>
            <m:r>
              <m:t>é</m:t>
            </m:r>
            <m:sSub>
              <m:e>
                <m:r>
                  <m:t>e</m:t>
                </m:r>
              </m:e>
              <m:sub>
                <m:r>
                  <m:t>i</m:t>
                </m:r>
              </m:sub>
            </m:sSub>
          </m:sub>
        </m:sSub>
      </m:oMath>
      <w:r>
        <w:t xml:space="preserve"> </w:t>
      </w:r>
      <w:r>
        <w:t xml:space="preserve">: La meilleure estimation des engagements cédés au cessionnaire ;</w:t>
      </w:r>
    </w:p>
    <w:p>
      <w:pPr>
        <w:numPr>
          <w:ilvl w:val="0"/>
          <w:numId w:val="1030"/>
        </w:numPr>
      </w:pPr>
      <m:oMath>
        <m:r>
          <m:t>L</m:t>
        </m:r>
        <m:r>
          <m:t>G</m:t>
        </m:r>
        <m:sSub>
          <m:e>
            <m:r>
              <m:t>D</m:t>
            </m:r>
          </m:e>
          <m:sub>
            <m:r>
              <m:t>i</m:t>
            </m:r>
          </m:sub>
        </m:sSub>
      </m:oMath>
      <w:r>
        <w:t xml:space="preserve"> </w:t>
      </w:r>
      <w:r>
        <w:t xml:space="preserve">: la perte en cas de défaut du cessionnaire i ;</w:t>
      </w:r>
    </w:p>
    <w:p>
      <w:pPr>
        <w:numPr>
          <w:ilvl w:val="0"/>
          <w:numId w:val="1030"/>
        </w:numPr>
      </w:pPr>
      <m:oMath>
        <m:r>
          <m:rPr>
            <m:nor/>
            <m:sty m:val="p"/>
          </m:rPr>
          <m:t>Depot en espèces ou en valeur</m:t>
        </m:r>
      </m:oMath>
      <w:r>
        <w:t xml:space="preserve"> </w:t>
      </w:r>
      <w:r>
        <w:t xml:space="preserve">: le montant des dépôts en espèces ou en valeurs du cessionnaire i ;</w:t>
      </w:r>
    </w:p>
    <w:p>
      <w:pPr>
        <w:numPr>
          <w:ilvl w:val="0"/>
          <w:numId w:val="1030"/>
        </w:numPr>
      </w:pPr>
      <m:oMath>
        <m:r>
          <m:t>A</m:t>
        </m:r>
        <m:sSub>
          <m:e>
            <m:r>
              <m:t>R</m:t>
            </m:r>
          </m:e>
          <m:sub>
            <m:r>
              <m:t>i</m:t>
            </m:r>
          </m:sub>
        </m:sSub>
      </m:oMath>
      <w:r>
        <w:t xml:space="preserve"> </w:t>
      </w:r>
      <w:r>
        <w:t xml:space="preserve">: le montant d’atténuation du risque via les différents contrats de réassurance conclus avec le cessionnaire i. Il correspond à la différence entre les montants d’exigences de capital pour les risques de souscription vie et non-vie calculés compte non tenu de la réassurance et compte tenu de la réassurance.</w:t>
      </w:r>
    </w:p>
    <w:p>
      <w:pPr>
        <w:numPr>
          <w:ilvl w:val="0"/>
          <w:numId w:val="1030"/>
        </w:numPr>
      </w:pPr>
      <w:r>
        <w:t xml:space="preserve">Pour un contrat d’acceptation:</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Dépôts en espèces aupret de la cédante </m:t>
                  </m:r>
                </m:e>
                <m:sub>
                  <m:r>
                    <m:t>i</m:t>
                  </m:r>
                </m:sub>
              </m:sSub>
              <m:r>
                <m:rPr>
                  <m:sty m:val="p"/>
                </m:rPr>
                <m:t>+</m:t>
              </m:r>
              <m:sSub>
                <m:e>
                  <m:r>
                    <m:rPr>
                      <m:nor/>
                      <m:sty m:val="p"/>
                    </m:rPr>
                    <m:t>Créance sur la cédante</m:t>
                  </m:r>
                </m:e>
                <m:sub>
                  <m:r>
                    <m:t>i</m:t>
                  </m:r>
                </m:sub>
              </m:sSub>
              <m:r>
                <m:rPr>
                  <m:sty m:val="p"/>
                </m:rPr>
                <m:t>−</m:t>
              </m:r>
              <m:sSub>
                <m:e>
                  <m:r>
                    <m:rPr>
                      <m:nor/>
                      <m:sty m:val="p"/>
                    </m:rPr>
                    <m:t>Provision techniques</m:t>
                  </m:r>
                </m:e>
                <m:sub>
                  <m:r>
                    <m:t>i</m:t>
                  </m:r>
                </m:sub>
              </m:sSub>
              <m:r>
                <m:rPr>
                  <m:sty m:val="p"/>
                </m:rPr>
                <m:t>;</m:t>
              </m:r>
              <m:r>
                <m:t>0</m:t>
              </m:r>
            </m:e>
          </m:d>
        </m:oMath>
      </m:oMathPara>
    </w:p>
    <w:p>
      <w:pPr>
        <w:numPr>
          <w:ilvl w:val="0"/>
          <w:numId w:val="1000"/>
        </w:numPr>
      </w:pPr>
      <w:r>
        <w:t xml:space="preserve">Où :</w:t>
      </w:r>
    </w:p>
    <w:p>
      <w:pPr>
        <w:numPr>
          <w:ilvl w:val="0"/>
          <w:numId w:val="1030"/>
        </w:numPr>
      </w:pPr>
      <m:oMath>
        <m:r>
          <m:t>L</m:t>
        </m:r>
        <m:r>
          <m:t>G</m:t>
        </m:r>
        <m:sSub>
          <m:e>
            <m:r>
              <m:t>D</m:t>
            </m:r>
          </m:e>
          <m:sub>
            <m:r>
              <m:t>i</m:t>
            </m:r>
          </m:sub>
        </m:sSub>
      </m:oMath>
      <w:r>
        <w:t xml:space="preserve">: la perte en cas de défaut de la cédante i ;</w:t>
      </w:r>
    </w:p>
    <w:p>
      <w:pPr>
        <w:numPr>
          <w:ilvl w:val="0"/>
          <w:numId w:val="1030"/>
        </w:numPr>
      </w:pPr>
      <m:oMath>
        <m:sSub>
          <m:e>
            <m:r>
              <m:rPr>
                <m:nor/>
                <m:sty m:val="p"/>
              </m:rPr>
              <m:t>Dépôts en espèces aupret de la cédante </m:t>
            </m:r>
          </m:e>
          <m:sub>
            <m:r>
              <m:t>i</m:t>
            </m:r>
          </m:sub>
        </m:sSub>
      </m:oMath>
      <w:r>
        <w:t xml:space="preserve"> </w:t>
      </w:r>
      <w:r>
        <w:t xml:space="preserve">: le montant des dépôts en espèces déposés chez la cédante i ;</w:t>
      </w:r>
    </w:p>
    <w:p>
      <w:pPr>
        <w:numPr>
          <w:ilvl w:val="0"/>
          <w:numId w:val="1030"/>
        </w:numPr>
      </w:pPr>
      <m:oMath>
        <m:sSub>
          <m:e>
            <m:r>
              <m:rPr>
                <m:nor/>
                <m:sty m:val="p"/>
              </m:rPr>
              <m:t>Provision techniques</m:t>
            </m:r>
          </m:e>
          <m:sub>
            <m:r>
              <m:t>i</m:t>
            </m:r>
          </m:sub>
        </m:sSub>
      </m:oMath>
      <w:r>
        <w:t xml:space="preserve"> </w:t>
      </w:r>
      <w:r>
        <w:t xml:space="preserve">: le montant des provisions techniques acceptées avec la cédante i</w:t>
      </w:r>
    </w:p>
    <w:p>
      <w:pPr>
        <w:numPr>
          <w:ilvl w:val="0"/>
          <w:numId w:val="1030"/>
        </w:numPr>
      </w:pPr>
      <w:r>
        <w:t xml:space="preserve">Pour un avoir auprès d’un organisme dépositaire :</w:t>
      </w:r>
    </w:p>
    <w:p>
      <w:pPr>
        <w:pStyle w:val="BodyText"/>
      </w:pPr>
      <m:oMathPara>
        <m:oMathParaPr>
          <m:jc m:val="center"/>
        </m:oMathParaPr>
        <m:oMath>
          <m:r>
            <m:t>L</m:t>
          </m:r>
          <m:r>
            <m:t>G</m:t>
          </m:r>
          <m:sSub>
            <m:e>
              <m:r>
                <m:t>D</m:t>
              </m:r>
            </m:e>
            <m:sub>
              <m:r>
                <m:t>i</m:t>
              </m:r>
            </m:sub>
          </m:sSub>
          <m:r>
            <m:rPr>
              <m:sty m:val="p"/>
            </m:rPr>
            <m:t>=</m:t>
          </m:r>
          <m:r>
            <m:t>m</m:t>
          </m:r>
          <m:r>
            <m:t>a</m:t>
          </m:r>
          <m:r>
            <m:t>x</m:t>
          </m:r>
          <m:d>
            <m:dPr>
              <m:begChr m:val="("/>
              <m:endChr m:val=")"/>
              <m:sepChr m:val=""/>
              <m:grow/>
            </m:dPr>
            <m:e>
              <m:sSub>
                <m:e>
                  <m:r>
                    <m:rPr>
                      <m:nor/>
                      <m:sty m:val="p"/>
                    </m:rPr>
                    <m:t>Avoirs en banque</m:t>
                  </m:r>
                </m:e>
                <m:sub>
                  <m:r>
                    <m:t>i</m:t>
                  </m:r>
                </m:sub>
              </m:sSub>
              <m:r>
                <m:rPr>
                  <m:sty m:val="p"/>
                </m:rPr>
                <m:t>;</m:t>
              </m:r>
              <m:r>
                <m:t>0</m:t>
              </m:r>
            </m:e>
          </m:d>
        </m:oMath>
      </m:oMathPara>
    </w:p>
    <w:p>
      <w:pPr>
        <w:numPr>
          <w:ilvl w:val="0"/>
          <w:numId w:val="1000"/>
        </w:numPr>
      </w:pPr>
      <w:r>
        <w:t xml:space="preserve">Où :</w:t>
      </w:r>
    </w:p>
    <w:p>
      <w:pPr>
        <w:pStyle w:val="FirstParagraph"/>
      </w:pPr>
      <w:r>
        <w:t xml:space="preserve">-</w:t>
      </w:r>
      <m:oMath>
        <m:r>
          <m:t>L</m:t>
        </m:r>
        <m:r>
          <m:t>G</m:t>
        </m:r>
        <m:sSub>
          <m:e>
            <m:r>
              <m:t>D</m:t>
            </m:r>
          </m:e>
          <m:sub>
            <m:r>
              <m:t>i</m:t>
            </m:r>
          </m:sub>
        </m:sSub>
      </m:oMath>
      <w:r>
        <w:t xml:space="preserve"> </w:t>
      </w:r>
      <w:r>
        <w:t xml:space="preserve">: la perte en cas de défaut de la banque i ;</w:t>
      </w:r>
    </w:p>
    <w:p>
      <w:pPr>
        <w:pStyle w:val="BodyText"/>
      </w:pPr>
      <w:r>
        <w:rPr>
          <w:bCs/>
          <w:b/>
        </w:rPr>
        <w:t xml:space="preserve">2ème étape:</w:t>
      </w:r>
      <w:r>
        <w:t xml:space="preserve"> </w:t>
      </w:r>
      <w:r>
        <w:t xml:space="preserve">Sommation des LGD par échelle de notation :</w:t>
      </w:r>
    </w:p>
    <w:p>
      <w:pPr>
        <w:pStyle w:val="BodyText"/>
      </w:pPr>
      <w:r>
        <w:t xml:space="preserve">Pour chaque échelle de notation</w:t>
      </w:r>
      <w:r>
        <w:t xml:space="preserve"> </w:t>
      </w:r>
      <m:oMath>
        <m:r>
          <m:t>k</m:t>
        </m:r>
      </m:oMath>
      <w:r>
        <w:t xml:space="preserve"> </w:t>
      </w:r>
      <w:r>
        <w:t xml:space="preserve">:</w:t>
      </w:r>
    </w:p>
    <w:p>
      <w:pPr>
        <w:pStyle w:val="BodyText"/>
      </w:pPr>
      <m:oMathPara>
        <m:oMathParaPr>
          <m:jc m:val="center"/>
        </m:oMathParaPr>
        <m:oMath>
          <m:r>
            <m:t>T</m:t>
          </m:r>
          <m:r>
            <m:t>L</m:t>
          </m:r>
          <m:r>
            <m:t>G</m:t>
          </m:r>
          <m:sSub>
            <m:e>
              <m:r>
                <m:t>D</m:t>
              </m:r>
            </m:e>
            <m:sub>
              <m:r>
                <m:t>K</m:t>
              </m:r>
            </m:sub>
          </m:sSub>
          <m:r>
            <m:rPr>
              <m:sty m:val="p"/>
            </m:rPr>
            <m:t>=</m:t>
          </m:r>
          <m:nary>
            <m:naryPr>
              <m:chr m:val="∑"/>
              <m:limLoc m:val="undOvr"/>
              <m:subHide m:val="0"/>
              <m:supHide m:val="1"/>
            </m:naryPr>
            <m:sub>
              <m:r>
                <m:rPr>
                  <m:nor/>
                  <m:sty m:val="p"/>
                </m:rPr>
                <m:t>Contrepartie faisant partie de la même échels de notation k</m:t>
              </m:r>
            </m:sub>
            <m:sup>
              <m:r>
                <m:t>​</m:t>
              </m:r>
            </m:sup>
            <m:e>
              <m:r>
                <m:t>L</m:t>
              </m:r>
            </m:e>
          </m:nary>
          <m:r>
            <m:t>G</m:t>
          </m:r>
          <m:sSub>
            <m:e>
              <m:r>
                <m:t>D</m:t>
              </m:r>
            </m:e>
            <m:sub>
              <m:r>
                <m:t>k</m:t>
              </m:r>
            </m:sub>
          </m:sSub>
        </m:oMath>
      </m:oMathPara>
    </w:p>
    <w:p>
      <w:pPr>
        <w:pStyle w:val="FirstParagraph"/>
      </w:pPr>
      <w:r>
        <w:rPr>
          <w:bCs/>
          <w:b/>
        </w:rPr>
        <w:t xml:space="preserve">3ème étape:</w:t>
      </w:r>
      <w:r>
        <w:t xml:space="preserve"> </w:t>
      </w:r>
      <w:r>
        <w:t xml:space="preserve">Calcul des volumes suivants :</w:t>
      </w:r>
    </w:p>
    <w:p>
      <w:pPr>
        <w:pStyle w:val="BodyText"/>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r>
                <m:rPr>
                  <m:sty m:val="p"/>
                </m:rPr>
                <m:t>,</m:t>
              </m:r>
              <m:r>
                <m:t>k</m:t>
              </m:r>
            </m:sub>
            <m:sup>
              <m:r>
                <m:t>​</m:t>
              </m:r>
            </m:sup>
            <m:e>
              <m:f>
                <m:fPr>
                  <m:type m:val="bar"/>
                </m:fPr>
                <m:num>
                  <m:r>
                    <m:t>P</m:t>
                  </m:r>
                  <m:sSub>
                    <m:e>
                      <m:r>
                        <m:t>D</m:t>
                      </m:r>
                    </m:e>
                    <m:sub>
                      <m:r>
                        <m:t>k</m:t>
                      </m:r>
                    </m:sub>
                  </m:sSub>
                  <m:r>
                    <m:rPr>
                      <m:sty m:val="p"/>
                    </m:rPr>
                    <m:t>*</m:t>
                  </m:r>
                  <m:d>
                    <m:dPr>
                      <m:begChr m:val="("/>
                      <m:endChr m:val=")"/>
                      <m:sepChr m:val=""/>
                      <m:grow/>
                    </m:dPr>
                    <m:e>
                      <m:r>
                        <m:t>1</m:t>
                      </m:r>
                      <m:r>
                        <m:rPr>
                          <m:sty m:val="p"/>
                        </m:rPr>
                        <m:t>−</m:t>
                      </m:r>
                      <m:r>
                        <m:t>P</m:t>
                      </m:r>
                      <m:sSub>
                        <m:e>
                          <m:r>
                            <m:t>D</m:t>
                          </m:r>
                        </m:e>
                        <m:sub>
                          <m:r>
                            <m:t>k</m:t>
                          </m:r>
                        </m:sub>
                      </m:sSub>
                    </m:e>
                  </m:d>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d>
                    <m:dPr>
                      <m:begChr m:val="("/>
                      <m:endChr m:val=")"/>
                      <m:sepChr m:val=""/>
                      <m:grow/>
                    </m:dPr>
                    <m:e>
                      <m:r>
                        <m:t>P</m:t>
                      </m:r>
                      <m:sSub>
                        <m:e>
                          <m:r>
                            <m:t>D</m:t>
                          </m:r>
                        </m:e>
                        <m:sub>
                          <m:r>
                            <m:t>j</m:t>
                          </m:r>
                        </m:sub>
                      </m:sSub>
                      <m:r>
                        <m:rPr>
                          <m:sty m:val="p"/>
                        </m:rPr>
                        <m:t>+</m:t>
                      </m:r>
                      <m:r>
                        <m:t>P</m:t>
                      </m:r>
                      <m:sSub>
                        <m:e>
                          <m:r>
                            <m:t>D</m:t>
                          </m:r>
                        </m:e>
                        <m:sub>
                          <m:r>
                            <m:t>k</m:t>
                          </m:r>
                        </m:sub>
                      </m:sSub>
                    </m:e>
                  </m:d>
                  <m:r>
                    <m:rPr>
                      <m:sty m:val="p"/>
                    </m:rPr>
                    <m:t>−</m:t>
                  </m:r>
                  <m:r>
                    <m:t>P</m:t>
                  </m:r>
                  <m:sSub>
                    <m:e>
                      <m:r>
                        <m:t>D</m:t>
                      </m:r>
                    </m:e>
                    <m:sub>
                      <m:r>
                        <m:t>j</m:t>
                      </m:r>
                    </m:sub>
                  </m:sSub>
                  <m:r>
                    <m:rPr>
                      <m:sty m:val="p"/>
                    </m:rPr>
                    <m:t>*</m:t>
                  </m:r>
                  <m:r>
                    <m:t>P</m:t>
                  </m:r>
                  <m:sSub>
                    <m:e>
                      <m:r>
                        <m:t>D</m:t>
                      </m:r>
                    </m:e>
                    <m:sub>
                      <m:r>
                        <m:t>k</m:t>
                      </m:r>
                    </m:sub>
                  </m:sSub>
                </m:den>
              </m:f>
            </m:e>
          </m:nary>
          <m:r>
            <m:rPr>
              <m:sty m:val="p"/>
            </m:rPr>
            <m:t>*</m:t>
          </m:r>
          <m:r>
            <m:t>T</m:t>
          </m:r>
          <m:r>
            <m:t>L</m:t>
          </m:r>
          <m:r>
            <m:t>G</m:t>
          </m:r>
          <m:sSub>
            <m:e>
              <m:r>
                <m:t>D</m:t>
              </m:r>
            </m:e>
            <m:sub>
              <m:r>
                <m:t>j</m:t>
              </m:r>
            </m:sub>
          </m:sSub>
          <m:r>
            <m:rPr>
              <m:sty m:val="p"/>
            </m:rPr>
            <m:t>*</m:t>
          </m:r>
          <m:r>
            <m:t>T</m:t>
          </m:r>
          <m:r>
            <m:t>L</m:t>
          </m:r>
          <m:r>
            <m:t>G</m:t>
          </m:r>
          <m:sSub>
            <m:e>
              <m:r>
                <m:t>D</m:t>
              </m:r>
            </m:e>
            <m:sub>
              <m:r>
                <m:t>k</m:t>
              </m:r>
            </m:sub>
          </m:sSub>
        </m:oMath>
      </m:oMathPara>
    </w:p>
    <w:p>
      <w:pPr>
        <w:pStyle w:val="FirstParagraph"/>
      </w:pPr>
      <m:oMathPara>
        <m:oMathParaPr>
          <m:jc m:val="center"/>
        </m:oMathParaPr>
        <m:oMath>
          <m:sSub>
            <m:e>
              <m:r>
                <m:t>V</m:t>
              </m:r>
            </m:e>
            <m:sub>
              <m:r>
                <m:t>i</m:t>
              </m:r>
              <m:r>
                <m:t>n</m:t>
              </m:r>
              <m:r>
                <m:t>t</m:t>
              </m:r>
              <m:r>
                <m:t>e</m:t>
              </m:r>
              <m:r>
                <m:t>r</m:t>
              </m:r>
            </m:sub>
          </m:sSub>
          <m:r>
            <m:rPr>
              <m:sty m:val="p"/>
            </m:rPr>
            <m:t>=</m:t>
          </m:r>
          <m:nary>
            <m:naryPr>
              <m:chr m:val="∑"/>
              <m:limLoc m:val="undOvr"/>
              <m:subHide m:val="0"/>
              <m:supHide m:val="1"/>
            </m:naryPr>
            <m:sub>
              <m:r>
                <m:t>j</m:t>
              </m:r>
            </m:sub>
            <m:sup>
              <m:r>
                <m:t>​</m:t>
              </m:r>
            </m:sup>
            <m:e>
              <m:f>
                <m:fPr>
                  <m:type m:val="bar"/>
                </m:fPr>
                <m:num>
                  <m:r>
                    <m:t>X</m:t>
                  </m:r>
                  <m:r>
                    <m:rPr>
                      <m:sty m:val="p"/>
                    </m:rPr>
                    <m:t>*</m:t>
                  </m:r>
                  <m:r>
                    <m:t>P</m:t>
                  </m:r>
                  <m:sSub>
                    <m:e>
                      <m:r>
                        <m:t>D</m:t>
                      </m:r>
                    </m:e>
                    <m:sub>
                      <m:r>
                        <m:t>j</m:t>
                      </m:r>
                    </m:sub>
                  </m:sSub>
                  <m:r>
                    <m:rPr>
                      <m:sty m:val="p"/>
                    </m:rPr>
                    <m:t>*</m:t>
                  </m:r>
                  <m:d>
                    <m:dPr>
                      <m:begChr m:val="("/>
                      <m:endChr m:val=")"/>
                      <m:sepChr m:val=""/>
                      <m:grow/>
                    </m:dPr>
                    <m:e>
                      <m:r>
                        <m:t>1</m:t>
                      </m:r>
                      <m:r>
                        <m:rPr>
                          <m:sty m:val="p"/>
                        </m:rPr>
                        <m:t>−</m:t>
                      </m:r>
                      <m:r>
                        <m:t>P</m:t>
                      </m:r>
                      <m:sSub>
                        <m:e>
                          <m:r>
                            <m:t>D</m:t>
                          </m:r>
                        </m:e>
                        <m:sub>
                          <m:r>
                            <m:t>j</m:t>
                          </m:r>
                        </m:sub>
                      </m:sSub>
                    </m:e>
                  </m:d>
                </m:num>
                <m:den>
                  <m:r>
                    <m:t>X</m:t>
                  </m:r>
                  <m:r>
                    <m:rPr>
                      <m:sty m:val="p"/>
                    </m:rPr>
                    <m:t>−</m:t>
                  </m:r>
                  <m:r>
                    <m:t>P</m:t>
                  </m:r>
                  <m:sSub>
                    <m:e>
                      <m:r>
                        <m:t>D</m:t>
                      </m:r>
                    </m:e>
                    <m:sub>
                      <m:r>
                        <m:t>j</m:t>
                      </m:r>
                    </m:sub>
                  </m:sSub>
                </m:den>
              </m:f>
            </m:e>
          </m:nary>
          <m:r>
            <m:rPr>
              <m:sty m:val="p"/>
            </m:rPr>
            <m:t>*</m:t>
          </m:r>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m:oMathPara>
    </w:p>
    <w:p>
      <w:pPr>
        <w:pStyle w:val="FirstParagraph"/>
      </w:pPr>
      <w:r>
        <w:t xml:space="preserve">Où :</w:t>
      </w:r>
    </w:p>
    <w:p>
      <w:pPr>
        <w:numPr>
          <w:ilvl w:val="0"/>
          <w:numId w:val="1031"/>
        </w:numPr>
        <w:pStyle w:val="Compact"/>
      </w:pPr>
      <m:oMath>
        <m:r>
          <m:t>P</m:t>
        </m:r>
        <m:sSub>
          <m:e>
            <m:r>
              <m:t>D</m:t>
            </m:r>
          </m:e>
          <m:sub>
            <m:r>
              <m:t>j</m:t>
            </m:r>
          </m:sub>
        </m:sSub>
      </m:oMath>
      <w:r>
        <w:t xml:space="preserve"> </w:t>
      </w:r>
      <w:r>
        <w:t xml:space="preserve">et</w:t>
      </w:r>
      <m:oMath>
        <m:r>
          <m:t>P</m:t>
        </m:r>
        <m:sSub>
          <m:e>
            <m:r>
              <m:t>D</m:t>
            </m:r>
          </m:e>
          <m:sub>
            <m:r>
              <m:t>k</m:t>
            </m:r>
          </m:sub>
        </m:sSub>
      </m:oMath>
      <w:r>
        <w:t xml:space="preserve">: probabilités de défaut des contreparties j et k, établies conformément au tableau prévu au 2) de l’annexe n°12.</w:t>
      </w:r>
    </w:p>
    <w:p>
      <w:pPr>
        <w:numPr>
          <w:ilvl w:val="0"/>
          <w:numId w:val="1031"/>
        </w:numPr>
        <w:pStyle w:val="Compact"/>
      </w:pPr>
      <m:oMath>
        <m:r>
          <m:t>T</m:t>
        </m:r>
        <m:r>
          <m:t>L</m:t>
        </m:r>
        <m:r>
          <m:t>G</m:t>
        </m:r>
        <m:sSub>
          <m:e>
            <m:r>
              <m:t>D</m:t>
            </m:r>
          </m:e>
          <m:sub>
            <m:r>
              <m:t>j</m:t>
            </m:r>
          </m:sub>
        </m:sSub>
      </m:oMath>
      <w:r>
        <w:t xml:space="preserve"> </w:t>
      </w:r>
      <w:r>
        <w:t xml:space="preserve">et</w:t>
      </w:r>
      <w:r>
        <w:t xml:space="preserve"> </w:t>
      </w:r>
      <m:oMath>
        <m:r>
          <m:t>T</m:t>
        </m:r>
        <m:r>
          <m:t>L</m:t>
        </m:r>
        <m:r>
          <m:t>G</m:t>
        </m:r>
        <m:sSub>
          <m:e>
            <m:r>
              <m:t>D</m:t>
            </m:r>
          </m:e>
          <m:sub>
            <m:r>
              <m:t>k</m:t>
            </m:r>
          </m:sub>
        </m:sSub>
      </m:oMath>
      <w:r>
        <w:t xml:space="preserve"> </w:t>
      </w:r>
      <w:r>
        <w:t xml:space="preserve">: somme des pertes en cas de défaut pour les contreparties dont la probabilité de défaut est, respectivement, de</w:t>
      </w:r>
      <w:r>
        <w:t xml:space="preserve"> </w:t>
      </w:r>
      <m:oMath>
        <m:r>
          <m:t>P</m:t>
        </m:r>
        <m:sSub>
          <m:e>
            <m:r>
              <m:t>D</m:t>
            </m:r>
          </m:e>
          <m:sub>
            <m:r>
              <m:t>j</m:t>
            </m:r>
          </m:sub>
        </m:sSub>
      </m:oMath>
      <w:r>
        <w:t xml:space="preserve"> </w:t>
      </w:r>
      <w:r>
        <w:t xml:space="preserve">et</w:t>
      </w:r>
      <m:oMath>
        <m:r>
          <m:t>P</m:t>
        </m:r>
        <m:sSub>
          <m:e>
            <m:r>
              <m:t>D</m:t>
            </m:r>
          </m:e>
          <m:sub>
            <m:r>
              <m:t>k</m:t>
            </m:r>
          </m:sub>
        </m:sSub>
      </m:oMath>
      <w:r>
        <w:t xml:space="preserve">.</w:t>
      </w:r>
    </w:p>
    <w:p>
      <w:pPr>
        <w:numPr>
          <w:ilvl w:val="0"/>
          <w:numId w:val="1031"/>
        </w:numPr>
        <w:pStyle w:val="Compact"/>
      </w:pPr>
      <m:oMath>
        <m:nary>
          <m:naryPr>
            <m:chr m:val="∑"/>
            <m:limLoc m:val="undOvr"/>
            <m:subHide m:val="0"/>
            <m:supHide m:val="1"/>
          </m:naryPr>
          <m:sub>
            <m:r>
              <m:t>P</m:t>
            </m:r>
            <m:sSub>
              <m:e>
                <m:r>
                  <m:t>D</m:t>
                </m:r>
              </m:e>
              <m:sub>
                <m:r>
                  <m:t>j</m:t>
                </m:r>
              </m:sub>
            </m:sSub>
          </m:sub>
          <m:sup>
            <m:r>
              <m:t>​</m:t>
            </m:r>
          </m:sup>
          <m:e>
            <m:r>
              <m:t>L</m:t>
            </m:r>
          </m:e>
        </m:nary>
        <m:r>
          <m:t>G</m:t>
        </m:r>
        <m:sSubSup>
          <m:e>
            <m:r>
              <m:t>D</m:t>
            </m:r>
          </m:e>
          <m:sub>
            <m:r>
              <m:t>i</m:t>
            </m:r>
          </m:sub>
          <m:sup>
            <m:r>
              <m:t>2</m:t>
            </m:r>
          </m:sup>
        </m:sSubSup>
      </m:oMath>
      <w:r>
        <w:t xml:space="preserve"> </w:t>
      </w:r>
      <w:r>
        <w:t xml:space="preserve">: somme couvrant toutes les expositions dont la probabilité de défaut est de</w:t>
      </w:r>
      <w:r>
        <w:t xml:space="preserve"> </w:t>
      </w:r>
      <m:oMath>
        <m:r>
          <m:t>P</m:t>
        </m:r>
        <m:sSub>
          <m:e>
            <m:r>
              <m:t>D</m:t>
            </m:r>
          </m:e>
          <m:sub>
            <m:r>
              <m:t>j</m:t>
            </m:r>
          </m:sub>
        </m:sSub>
      </m:oMath>
      <w:r>
        <w:t xml:space="preserve">.</w:t>
      </w:r>
    </w:p>
    <w:p>
      <w:pPr>
        <w:pStyle w:val="FirstParagraph"/>
      </w:pPr>
      <w:r>
        <w:rPr>
          <w:bCs/>
          <w:b/>
        </w:rPr>
        <w:t xml:space="preserve">4ème étape:</w:t>
      </w:r>
      <w:r>
        <w:t xml:space="preserve"> </w:t>
      </w:r>
      <w:r>
        <w:t xml:space="preserve">Calcul du de la façon suivante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1</m:t>
              </m:r>
            </m:sup>
          </m:sSubSup>
          <m:r>
            <m:rPr>
              <m:sty m:val="p"/>
            </m:rPr>
            <m:t>=</m:t>
          </m:r>
          <m:d>
            <m:dPr>
              <m:begChr m:val="{"/>
              <m:endChr m:val=""/>
              <m:sepChr m:val=""/>
              <m:grow/>
            </m:dPr>
            <m:e>
              <m:m>
                <m:mPr>
                  <m:baseJc m:val="center"/>
                  <m:plcHide m:val="1"/>
                  <m:mcs>
                    <m:mc>
                      <m:mcPr>
                        <m:mcJc m:val="left"/>
                        <m:count m:val="1"/>
                      </m:mcPr>
                    </m:mc>
                    <m:mc>
                      <m:mcPr>
                        <m:mcJc m:val="left"/>
                        <m:count m:val="1"/>
                      </m:mcPr>
                    </m:mc>
                  </m:mcs>
                </m:mP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1</m:t>
                    </m:r>
                  </m:e>
                </m:mr>
                <m:mr>
                  <m:e>
                    <m:r>
                      <m:t>X</m:t>
                    </m:r>
                    <m:r>
                      <m:rPr>
                        <m:sty m:val="p"/>
                      </m:rPr>
                      <m:t>*</m:t>
                    </m:r>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r>
                      <m:rPr>
                        <m:sty m:val="p"/>
                      </m:rPr>
                      <m:t>;</m:t>
                    </m:r>
                    <m:r>
                      <m:t> </m:t>
                    </m:r>
                  </m:e>
                  <m:e>
                    <m:r>
                      <m:rPr>
                        <m:nor/>
                        <m:sty m:val="p"/>
                      </m:rPr>
                      <m:t>si</m:t>
                    </m:r>
                    <m:r>
                      <m:t> </m:t>
                    </m:r>
                    <m:r>
                      <m:t>x</m:t>
                    </m:r>
                    <m:r>
                      <m:t>1</m:t>
                    </m:r>
                    <m:r>
                      <m:rPr>
                        <m:sty m:val="p"/>
                      </m:rPr>
                      <m:t>≤</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r>
                  <m:e>
                    <m:nary>
                      <m:naryPr>
                        <m:chr m:val="∑"/>
                        <m:limLoc m:val="undOvr"/>
                        <m:subHide m:val="0"/>
                        <m:supHide m:val="1"/>
                      </m:naryPr>
                      <m:sub>
                        <m:r>
                          <m:t>i</m:t>
                        </m:r>
                      </m:sub>
                      <m:sup>
                        <m:r>
                          <m:t>​</m:t>
                        </m:r>
                      </m:sup>
                      <m:e>
                        <m:r>
                          <m:t>L</m:t>
                        </m:r>
                      </m:e>
                    </m:nary>
                    <m:r>
                      <m:t>G</m:t>
                    </m:r>
                    <m:sSub>
                      <m:e>
                        <m:r>
                          <m:t>D</m:t>
                        </m:r>
                      </m:e>
                      <m:sub>
                        <m:r>
                          <m:t>i</m:t>
                        </m:r>
                      </m:sub>
                    </m:sSub>
                  </m:e>
                  <m:e>
                    <m:r>
                      <m:rPr>
                        <m:nor/>
                        <m:sty m:val="p"/>
                      </m:rPr>
                      <m:t>si</m:t>
                    </m:r>
                    <m:r>
                      <m:t> </m:t>
                    </m:r>
                    <m:f>
                      <m:fPr>
                        <m:type m:val="bar"/>
                      </m:fPr>
                      <m:num>
                        <m:rad>
                          <m:radPr>
                            <m:degHide m:val="1"/>
                          </m:radPr>
                          <m:deg/>
                          <m:e>
                            <m:sSub>
                              <m:e>
                                <m:r>
                                  <m:t>V</m:t>
                                </m:r>
                              </m:e>
                              <m:sub>
                                <m:r>
                                  <m:t>i</m:t>
                                </m:r>
                                <m:r>
                                  <m:t>n</m:t>
                                </m:r>
                                <m:r>
                                  <m:t>t</m:t>
                                </m:r>
                                <m:r>
                                  <m:t>e</m:t>
                                </m:r>
                                <m:r>
                                  <m:t>r</m:t>
                                </m:r>
                              </m:sub>
                            </m:sSub>
                            <m:r>
                              <m:rPr>
                                <m:sty m:val="p"/>
                              </m:rPr>
                              <m:t>+</m:t>
                            </m:r>
                            <m:sSub>
                              <m:e>
                                <m:r>
                                  <m:t>V</m:t>
                                </m:r>
                              </m:e>
                              <m:sub>
                                <m:r>
                                  <m:t>i</m:t>
                                </m:r>
                                <m:r>
                                  <m:t>n</m:t>
                                </m:r>
                                <m:r>
                                  <m:t>t</m:t>
                                </m:r>
                                <m:r>
                                  <m:t>r</m:t>
                                </m:r>
                                <m:r>
                                  <m:t>a</m:t>
                                </m:r>
                              </m:sub>
                            </m:sSub>
                          </m:e>
                        </m:rad>
                      </m:num>
                      <m:den>
                        <m:nary>
                          <m:naryPr>
                            <m:chr m:val="∑"/>
                            <m:limLoc m:val="undOvr"/>
                            <m:subHide m:val="0"/>
                            <m:supHide m:val="1"/>
                          </m:naryPr>
                          <m:sub>
                            <m:r>
                              <m:t>i</m:t>
                            </m:r>
                          </m:sub>
                          <m:sup>
                            <m:r>
                              <m:t>​</m:t>
                            </m:r>
                          </m:sup>
                          <m:e>
                            <m:r>
                              <m:t>L</m:t>
                            </m:r>
                          </m:e>
                        </m:nary>
                        <m:r>
                          <m:t>G</m:t>
                        </m:r>
                        <m:sSub>
                          <m:e>
                            <m:r>
                              <m:t>D</m:t>
                            </m:r>
                          </m:e>
                          <m:sub>
                            <m:r>
                              <m:t>i</m:t>
                            </m:r>
                          </m:sub>
                        </m:sSub>
                      </m:den>
                    </m:f>
                    <m:r>
                      <m:rPr>
                        <m:sty m:val="p"/>
                      </m:rPr>
                      <m:t>≥</m:t>
                    </m:r>
                    <m:r>
                      <m:t>x</m:t>
                    </m:r>
                    <m:r>
                      <m:t>2</m:t>
                    </m:r>
                  </m:e>
                </m:mr>
              </m:m>
            </m:e>
          </m:d>
        </m:oMath>
      </m:oMathPara>
    </w:p>
    <w:bookmarkEnd w:id="71"/>
    <w:bookmarkStart w:id="72" w:name="Xde70ab66fad04d143ab07d5ec8525e6812bbe93"/>
    <w:p>
      <w:pPr>
        <w:pStyle w:val="Heading5"/>
      </w:pPr>
      <w:r>
        <w:t xml:space="preserve">6.1.2.2 Exigence de capital relative au risque de contrepartie de type 2:</w:t>
      </w:r>
    </w:p>
    <w:p>
      <w:pPr>
        <w:pStyle w:val="FirstParagraph"/>
      </w:pPr>
      <w:r>
        <w:t xml:space="preserve">L’exigence de capital relative au risque de contrepartie de type 2 est le montant total des</w:t>
      </w:r>
      <w:r>
        <w:t xml:space="preserve"> </w:t>
      </w:r>
      <w:r>
        <w:t xml:space="preserve">exigences de capitaux relatives aux risque de contrepartie des assurés, des intermédiaires et des</w:t>
      </w:r>
      <w:r>
        <w:t xml:space="preserve"> </w:t>
      </w:r>
      <w:r>
        <w:t xml:space="preserve">autres contreparties :</w:t>
      </w:r>
    </w:p>
    <w:p>
      <w:pPr>
        <w:pStyle w:val="BodyText"/>
      </w:pPr>
      <m:oMathPara>
        <m:oMathParaPr>
          <m:jc m:val="center"/>
        </m:oMathParaPr>
        <m:oMath>
          <m:r>
            <m:t>C</m:t>
          </m:r>
          <m:r>
            <m:t>S</m:t>
          </m:r>
          <m:sSubSup>
            <m:e>
              <m:r>
                <m:t>R</m:t>
              </m:r>
            </m:e>
            <m:sub>
              <m:r>
                <m:t>c</m:t>
              </m:r>
              <m:r>
                <m:t>o</m:t>
              </m:r>
              <m:r>
                <m:t>n</m:t>
              </m:r>
              <m:r>
                <m:t>t</m:t>
              </m:r>
              <m:r>
                <m:t>r</m:t>
              </m:r>
              <m:r>
                <m:t>e</m:t>
              </m:r>
              <m:r>
                <m:t>p</m:t>
              </m:r>
              <m:r>
                <m:t>a</m:t>
              </m:r>
              <m:r>
                <m:t>r</m:t>
              </m:r>
              <m:r>
                <m:t>t</m:t>
              </m:r>
              <m:r>
                <m:t>i</m:t>
              </m:r>
              <m:r>
                <m:t>e</m:t>
              </m:r>
            </m:sub>
            <m:sup>
              <m:r>
                <m:t>t</m:t>
              </m:r>
              <m:r>
                <m:t>y</m:t>
              </m:r>
              <m:r>
                <m:t>p</m:t>
              </m:r>
              <m:r>
                <m:t>e</m:t>
              </m:r>
              <m:r>
                <m:t>2</m:t>
              </m:r>
            </m:sup>
          </m:sSubSup>
          <m:r>
            <m:rPr>
              <m:sty m:val="p"/>
            </m:rPr>
            <m:t>=</m:t>
          </m:r>
          <m:r>
            <m:t>C</m:t>
          </m:r>
          <m:r>
            <m:t>S</m:t>
          </m:r>
          <m:sSubSup>
            <m:e>
              <m:r>
                <m:t>R</m:t>
              </m:r>
            </m:e>
            <m:sub>
              <m:r>
                <m:t>c</m:t>
              </m:r>
              <m:r>
                <m:t>o</m:t>
              </m:r>
              <m:r>
                <m:t>n</m:t>
              </m:r>
              <m:r>
                <m:t>t</m:t>
              </m:r>
              <m:r>
                <m:t>r</m:t>
              </m:r>
              <m:r>
                <m:t>e</m:t>
              </m:r>
              <m:r>
                <m:t>p</m:t>
              </m:r>
              <m:r>
                <m:t>a</m:t>
              </m:r>
              <m:r>
                <m:t>r</m:t>
              </m:r>
              <m:r>
                <m:t>t</m:t>
              </m:r>
              <m:r>
                <m:t>i</m:t>
              </m:r>
              <m:r>
                <m:t>e</m:t>
              </m:r>
            </m:sub>
            <m:sup>
              <m:r>
                <m:t>A</m:t>
              </m:r>
              <m:r>
                <m:t>s</m:t>
              </m:r>
              <m:r>
                <m:t>s</m:t>
              </m:r>
              <m:r>
                <m:t>u</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I</m:t>
              </m:r>
              <m:r>
                <m:t>n</m:t>
              </m:r>
              <m:r>
                <m:t>t</m:t>
              </m:r>
              <m:r>
                <m:t>e</m:t>
              </m:r>
              <m:r>
                <m:t>r</m:t>
              </m:r>
              <m:r>
                <m:t>m</m:t>
              </m:r>
              <m:r>
                <m:t>e</m:t>
              </m:r>
              <m:r>
                <m:t>d</m:t>
              </m:r>
              <m:r>
                <m:t>i</m:t>
              </m:r>
              <m:r>
                <m:t>a</m:t>
              </m:r>
              <m:r>
                <m:t>i</m:t>
              </m:r>
              <m:r>
                <m:t>r</m:t>
              </m:r>
              <m:r>
                <m:t>e</m:t>
              </m:r>
              <m:r>
                <m:t>s</m:t>
              </m:r>
            </m:sup>
          </m:sSubSup>
          <m:r>
            <m:rPr>
              <m:sty m:val="p"/>
            </m:rPr>
            <m:t>+</m:t>
          </m:r>
          <m:r>
            <m:t>C</m:t>
          </m:r>
          <m:r>
            <m:t>S</m:t>
          </m:r>
          <m:sSubSup>
            <m:e>
              <m:r>
                <m:t>R</m:t>
              </m:r>
            </m:e>
            <m:sub>
              <m:r>
                <m:t>c</m:t>
              </m:r>
              <m:r>
                <m:t>o</m:t>
              </m:r>
              <m:r>
                <m:t>n</m:t>
              </m:r>
              <m:r>
                <m:t>t</m:t>
              </m:r>
              <m:r>
                <m:t>r</m:t>
              </m:r>
              <m:r>
                <m:t>e</m:t>
              </m:r>
              <m:r>
                <m:t>p</m:t>
              </m:r>
              <m:r>
                <m:t>a</m:t>
              </m:r>
              <m:r>
                <m:t>r</m:t>
              </m:r>
              <m:r>
                <m:t>t</m:t>
              </m:r>
              <m:r>
                <m:t>i</m:t>
              </m:r>
              <m:r>
                <m:t>e</m:t>
              </m:r>
            </m:sub>
            <m:sup>
              <m:r>
                <m:t>a</m:t>
              </m:r>
              <m:r>
                <m:t>u</m:t>
              </m:r>
              <m:r>
                <m:t>t</m:t>
              </m:r>
              <m:r>
                <m:t>r</m:t>
              </m:r>
              <m:r>
                <m:t>e</m:t>
              </m:r>
              <m:r>
                <m:t>s</m:t>
              </m:r>
              <m:r>
                <m:rPr>
                  <m:sty m:val="p"/>
                </m:rPr>
                <m:t>−</m:t>
              </m:r>
              <m:r>
                <m:t>c</m:t>
              </m:r>
              <m:r>
                <m:t>o</m:t>
              </m:r>
              <m:r>
                <m:t>n</m:t>
              </m:r>
              <m:r>
                <m:t>t</m:t>
              </m:r>
              <m:r>
                <m:t>r</m:t>
              </m:r>
              <m:r>
                <m:t>e</m:t>
              </m:r>
              <m:r>
                <m:t>p</m:t>
              </m:r>
              <m:r>
                <m:t>a</m:t>
              </m:r>
              <m:r>
                <m:t>r</m:t>
              </m:r>
              <m:r>
                <m:t>t</m:t>
              </m:r>
              <m:r>
                <m:t>i</m:t>
              </m:r>
              <m:r>
                <m:t>e</m:t>
              </m:r>
              <m:r>
                <m:t>s</m:t>
              </m:r>
            </m:sup>
          </m:sSubSup>
        </m:oMath>
      </m:oMathPara>
    </w:p>
    <w:p>
      <w:pPr>
        <w:pStyle w:val="FirstParagraph"/>
      </w:pPr>
      <w:r>
        <w:t xml:space="preserve">avec :</w:t>
      </w:r>
    </w:p>
    <w:p>
      <w:pPr>
        <w:numPr>
          <w:ilvl w:val="0"/>
          <w:numId w:val="1032"/>
        </w:numPr>
      </w:pPr>
      <w:r>
        <w:t xml:space="preserve">L’exigence de capital relative au risque de contrepartie des assurés correspond à</w:t>
      </w:r>
      <w:r>
        <w:t xml:space="preserve"> </w:t>
      </w:r>
      <m:oMath>
        <m:r>
          <m:t>X</m:t>
        </m:r>
        <m:r>
          <m:rPr>
            <m:sty m:val="p"/>
          </m:rPr>
          <m:t>%</m:t>
        </m:r>
      </m:oMath>
      <w:r>
        <w:t xml:space="preserve"> </w:t>
      </w:r>
      <w:r>
        <w:t xml:space="preserve">des créances relatives aux primes ou cotisations qui demeurent impayées six (06) mois après la date de leur émission. Les créances précitées s’entendent nettes de provisions.</w:t>
      </w:r>
    </w:p>
    <w:p>
      <w:pPr>
        <w:numPr>
          <w:ilvl w:val="0"/>
          <w:numId w:val="1032"/>
        </w:numPr>
      </w:pPr>
      <w:r>
        <w:t xml:space="preserve">L’exigence de capital relative au risque de contrepartie des intermédiaires correspond à</w:t>
      </w:r>
      <w:r>
        <w:t xml:space="preserve"> </w:t>
      </w:r>
      <m:oMath>
        <m:r>
          <m:t>X</m:t>
        </m:r>
        <m:r>
          <m:rPr>
            <m:sty m:val="p"/>
          </m:rPr>
          <m:t>%</m:t>
        </m:r>
      </m:oMath>
      <w:r>
        <w:t xml:space="preserve"> </w:t>
      </w:r>
      <w:r>
        <w:t xml:space="preserve">des créances sur les intermédiaires d’assurances nettes de provisions.</w:t>
      </w:r>
    </w:p>
    <w:p>
      <w:pPr>
        <w:numPr>
          <w:ilvl w:val="0"/>
          <w:numId w:val="1032"/>
        </w:numPr>
      </w:pPr>
      <w:r>
        <w:t xml:space="preserve">L’exigence de capital relative au risque lié aux autres contreparties correspond à</w:t>
      </w:r>
      <w:r>
        <w:t xml:space="preserve"> </w:t>
      </w:r>
      <m:oMath>
        <m:r>
          <m:t>X</m:t>
        </m:r>
        <m:r>
          <m:rPr>
            <m:sty m:val="p"/>
          </m:rPr>
          <m:t>%</m:t>
        </m:r>
      </m:oMath>
      <w:r>
        <w:t xml:space="preserve"> </w:t>
      </w:r>
      <w:r>
        <w:t xml:space="preserve">de la somme des créances de l’actif circulant, autres que les créances vis-à-vis de l’Etat des contreparties visées aux 1) et 2) ci-dessus et les montants des chèques et valeurs à encaisser, nettes de provisions et qui demeurent impayées pendant une période supérieure à six (06) mois.</w:t>
      </w:r>
    </w:p>
    <w:bookmarkEnd w:id="72"/>
    <w:bookmarkEnd w:id="73"/>
    <w:bookmarkStart w:id="74" w:name="Xac2a78756e1947e45e0b443464340ca4e07c6ed"/>
    <w:p>
      <w:pPr>
        <w:pStyle w:val="Heading4"/>
      </w:pPr>
      <w:r>
        <w:t xml:space="preserve">6.1.3 Exigence de capital relative au risque de concentration (</w:t>
      </w:r>
      <m:oMath>
        <m:r>
          <m:t>C</m:t>
        </m:r>
        <m:r>
          <m:t>S</m:t>
        </m:r>
        <m:sSub>
          <m:e>
            <m:r>
              <m:t>R</m:t>
            </m:r>
          </m:e>
          <m:sub>
            <m:r>
              <m:t>c</m:t>
            </m:r>
            <m:r>
              <m:t>o</m:t>
            </m:r>
            <m:r>
              <m:t>n</m:t>
            </m:r>
            <m:r>
              <m:t>c</m:t>
            </m:r>
            <m:r>
              <m:t>e</m:t>
            </m:r>
            <m:r>
              <m:t>n</m:t>
            </m:r>
            <m:r>
              <m:t>t</m:t>
            </m:r>
            <m:r>
              <m:t>r</m:t>
            </m:r>
            <m:r>
              <m:t>a</m:t>
            </m:r>
            <m:r>
              <m:t>t</m:t>
            </m:r>
            <m:r>
              <m:t>i</m:t>
            </m:r>
            <m:r>
              <m:t>o</m:t>
            </m:r>
            <m:r>
              <m:t>n</m:t>
            </m:r>
          </m:sub>
        </m:sSub>
      </m:oMath>
      <w:r>
        <w:t xml:space="preserve">)</w:t>
      </w:r>
    </w:p>
    <w:p>
      <w:pPr>
        <w:pStyle w:val="FirstParagraph"/>
      </w:pPr>
      <w:r>
        <w:t xml:space="preserve">L’exigence de capital relative au risque de concentration correspond à la perte des fonds propres due à la baisse des actifs associés aux ensembles d’émetteurs appartenant aux mêmes groupes. Elle correspond à la racine carrée de la somme des carrés des exigences de capitaux relatives au sous-risque de concentration relatifs aux différents groupes d’émetteurs.</w:t>
      </w:r>
    </w:p>
    <w:p>
      <w:pPr>
        <w:pStyle w:val="BodyText"/>
      </w:pPr>
      <m:oMathPara>
        <m:oMathParaPr>
          <m:jc m:val="center"/>
        </m:oMathParaPr>
        <m:oMath>
          <m:r>
            <m:t>C</m:t>
          </m:r>
          <m:r>
            <m:t>S</m:t>
          </m:r>
          <m:sSub>
            <m:e>
              <m:r>
                <m:t>R</m:t>
              </m:r>
            </m:e>
            <m:sub>
              <m:r>
                <m:t>c</m:t>
              </m:r>
              <m:r>
                <m:t>o</m:t>
              </m:r>
              <m:r>
                <m:t>n</m:t>
              </m:r>
              <m:r>
                <m:t>c</m:t>
              </m:r>
              <m:r>
                <m:t>e</m:t>
              </m:r>
              <m:r>
                <m:t>n</m:t>
              </m:r>
              <m:r>
                <m:t>t</m:t>
              </m:r>
              <m:r>
                <m:t>r</m:t>
              </m:r>
              <m:r>
                <m:t>a</m:t>
              </m:r>
              <m:r>
                <m:t>t</m:t>
              </m:r>
              <m:r>
                <m:t>i</m:t>
              </m:r>
              <m:r>
                <m:t>o</m:t>
              </m:r>
              <m:r>
                <m:t>n</m:t>
              </m:r>
            </m:sub>
          </m:sSub>
          <m:r>
            <m:rPr>
              <m:sty m:val="p"/>
            </m:rPr>
            <m:t>=</m:t>
          </m:r>
          <m:rad>
            <m:radPr>
              <m:degHide m:val="1"/>
            </m:radPr>
            <m:deg/>
            <m:e>
              <m:nary>
                <m:naryPr>
                  <m:chr m:val="∑"/>
                  <m:limLoc m:val="undOvr"/>
                  <m:subHide m:val="0"/>
                  <m:supHide m:val="1"/>
                </m:naryPr>
                <m:sub>
                  <m:r>
                    <m:t>i</m:t>
                  </m:r>
                </m:sub>
                <m:sup>
                  <m:r>
                    <m:t>​</m:t>
                  </m:r>
                </m:sup>
                <m:e>
                  <m:r>
                    <m:t>C</m:t>
                  </m:r>
                </m:e>
              </m:nary>
              <m:r>
                <m:t>S</m:t>
              </m:r>
              <m:sSubSup>
                <m:e>
                  <m:r>
                    <m:t>R</m:t>
                  </m:r>
                </m:e>
                <m:sub>
                  <m:r>
                    <m:t>i</m:t>
                  </m:r>
                </m:sub>
                <m:sup>
                  <m:r>
                    <m:t>2</m:t>
                  </m:r>
                </m:sup>
              </m:sSubSup>
            </m:e>
          </m:rad>
        </m:oMath>
      </m:oMathPara>
    </w:p>
    <w:p>
      <w:pPr>
        <w:pStyle w:val="FirstParagraph"/>
      </w:pPr>
      <w:r>
        <w:t xml:space="preserve">avec</w:t>
      </w:r>
      <w:r>
        <w:t xml:space="preserve"> </w:t>
      </w:r>
      <m:oMath>
        <m:r>
          <m:t>i</m:t>
        </m:r>
        <m:r>
          <m:rPr>
            <m:sty m:val="p"/>
          </m:rPr>
          <m:t>∈</m:t>
        </m:r>
        <m:r>
          <m:rPr>
            <m:sty m:val="p"/>
          </m:rPr>
          <m:t>{</m:t>
        </m:r>
        <m:r>
          <m:rPr>
            <m:nor/>
            <m:sty m:val="p"/>
          </m:rPr>
          <m:t>Les sous-risques de concentration relatifs aux differents groupes d’emetteurs.</m:t>
        </m:r>
        <m:r>
          <m:rPr>
            <m:sty m:val="p"/>
          </m:rPr>
          <m:t>}</m:t>
        </m:r>
      </m:oMath>
    </w:p>
    <w:p>
      <w:pPr>
        <w:pStyle w:val="BodyText"/>
      </w:pPr>
      <w:r>
        <w:t xml:space="preserve">Pour chaque groupe d’émetteurs, l’exigence de capital relative au risque de concentration egale à</w:t>
      </w:r>
      <w:r>
        <w:t xml:space="preserve"> </w:t>
      </w:r>
      <m:oMath>
        <m:r>
          <m:t>X</m:t>
        </m:r>
        <m:r>
          <m:rPr>
            <m:sty m:val="p"/>
          </m:rPr>
          <m:t>%</m:t>
        </m:r>
      </m:oMath>
      <w:r>
        <w:t xml:space="preserve"> </w:t>
      </w:r>
      <w:r>
        <w:t xml:space="preserve">de l’écart positif constaté entre le montant des placements de l’entreprise d’assurances et de réassurance, autres que les valeurs de l’Etat ou celles jouissant de sa garantie, relatifs à l’ensemble d’émetteurs appartenant au groupe précité et</w:t>
      </w:r>
      <w:r>
        <w:t xml:space="preserve"> </w:t>
      </w:r>
      <m:oMath>
        <m:r>
          <m:t>X</m:t>
        </m:r>
        <m:r>
          <m:rPr>
            <m:sty m:val="p"/>
          </m:rPr>
          <m:t>%</m:t>
        </m:r>
      </m:oMath>
      <w:r>
        <w:t xml:space="preserve"> </w:t>
      </w:r>
      <w:r>
        <w:t xml:space="preserve">du total de ses placements.</w:t>
      </w:r>
    </w:p>
    <w:bookmarkEnd w:id="74"/>
    <w:bookmarkStart w:id="80" w:name="X8bdc5d6c520394ae1ab3fd8ff0e20bf39ae18c3"/>
    <w:p>
      <w:pPr>
        <w:pStyle w:val="Heading4"/>
      </w:pPr>
      <w:r>
        <w:t xml:space="preserve">6.1.4 Exigence de capital relative au risque de souscription vie (</w:t>
      </w: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oMath>
      <w:r>
        <w:t xml:space="preserve">)</w:t>
      </w:r>
    </w:p>
    <w:p>
      <w:pPr>
        <w:pStyle w:val="FirstParagraph"/>
      </w:pPr>
      <w:r>
        <w:t xml:space="preserve">L’exigence de capital relative au risque de souscription vie est la somme total des exigences de capitaux relatives aux sous-risques de mortalité, de longévité, de rachat, de frais et de catastrophe, on appliquant les coefficients de corrélations entre ces sous-risques.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mortalite, longevite, rachat, frais catastrophe</m:t>
        </m:r>
        <m:r>
          <m:rPr>
            <m:sty m:val="p"/>
          </m:rPr>
          <m:t>}</m:t>
        </m:r>
      </m:oMath>
    </w:p>
    <w:bookmarkStart w:id="75" w:name="X70ec578e7130a57a8c8842c95b63e70e295ba28"/>
    <w:p>
      <w:pPr>
        <w:pStyle w:val="Heading5"/>
      </w:pPr>
      <w:r>
        <w:t xml:space="preserve">6.1.4.1 Exigence de capital pour risque de mortalité (</w:t>
      </w:r>
      <m:oMath>
        <m:r>
          <m:t>C</m:t>
        </m:r>
        <m:r>
          <m:t>S</m:t>
        </m:r>
        <m:sSub>
          <m:e>
            <m:r>
              <m:t>R</m:t>
            </m:r>
          </m:e>
          <m:sub>
            <m:r>
              <m:t>m</m:t>
            </m:r>
            <m:r>
              <m:t>o</m:t>
            </m:r>
            <m:r>
              <m:t>r</m:t>
            </m:r>
            <m:r>
              <m:t>t</m:t>
            </m:r>
            <m:r>
              <m:t>a</m:t>
            </m:r>
            <m:r>
              <m:t>l</m:t>
            </m:r>
            <m:r>
              <m:t>i</m:t>
            </m:r>
            <m:r>
              <m:t>t</m:t>
            </m:r>
            <m:r>
              <m:t>e</m:t>
            </m:r>
          </m:sub>
        </m:sSub>
      </m:oMath>
      <w:r>
        <w:t xml:space="preserve">)</w:t>
      </w:r>
    </w:p>
    <w:p>
      <w:pPr>
        <w:pStyle w:val="FirstParagraph"/>
      </w:pPr>
      <w:r>
        <w:t xml:space="preserve">L’exigence de capital pour risque de mortalité correspond à la perte de fonds propres due à la hausse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hausse des taux de mortalité précitée ne s’applique qu’aux contrats d’assurance pour lesquels une</w:t>
      </w:r>
      <w:r>
        <w:t xml:space="preserve"> </w:t>
      </w:r>
      <w:r>
        <w:t xml:space="preserve">hausse des taux de mortalité entraîne une augmentation des provisions techniques prudentielles.</w:t>
      </w:r>
    </w:p>
    <w:p>
      <w:pPr>
        <w:pStyle w:val="BodyText"/>
      </w:pPr>
      <m:oMathPara>
        <m:oMathParaPr>
          <m:jc m:val="center"/>
        </m:oMathParaPr>
        <m:oMath>
          <m:r>
            <m:t>C</m:t>
          </m:r>
          <m:r>
            <m:t>S</m:t>
          </m:r>
          <m:sSub>
            <m:e>
              <m:r>
                <m:t>R</m:t>
              </m:r>
            </m:e>
            <m:sub>
              <m:r>
                <m:t>m</m:t>
              </m:r>
              <m:r>
                <m:t>o</m:t>
              </m:r>
              <m:r>
                <m:t>r</m:t>
              </m:r>
              <m:r>
                <m:t>t</m:t>
              </m:r>
              <m:r>
                <m:t>a</m:t>
              </m:r>
              <m:r>
                <m:t>l</m:t>
              </m:r>
              <m:r>
                <m:t>i</m:t>
              </m:r>
              <m:r>
                <m:t>t</m:t>
              </m:r>
              <m:r>
                <m:t>e</m:t>
              </m:r>
            </m:sub>
          </m:sSub>
          <m:r>
            <m:rPr>
              <m:sty m:val="p"/>
            </m:rPr>
            <m:t>=</m:t>
          </m:r>
          <m:r>
            <m:t>B</m:t>
          </m:r>
          <m:sSup>
            <m:e>
              <m:r>
                <m:t>E</m:t>
              </m:r>
            </m:e>
            <m:sup>
              <m:r>
                <m:t>h</m:t>
              </m:r>
              <m:r>
                <m:t>a</m:t>
              </m:r>
              <m:r>
                <m:t>u</m:t>
              </m:r>
              <m:r>
                <m:t>s</m:t>
              </m:r>
              <m:r>
                <m:t>s</m:t>
              </m:r>
              <m:r>
                <m:t>e</m:t>
              </m:r>
            </m:sup>
          </m:sSup>
          <m:r>
            <m:rPr>
              <m:sty m:val="p"/>
            </m:rPr>
            <m:t>−</m:t>
          </m:r>
          <m:r>
            <m:t>B</m:t>
          </m:r>
          <m:r>
            <m:t>E</m:t>
          </m:r>
        </m:oMath>
      </m:oMathPara>
    </w:p>
    <w:bookmarkEnd w:id="75"/>
    <w:bookmarkStart w:id="76" w:name="X92ef2d5d6d1f309ee4dc38a892eea4151c6a010"/>
    <w:p>
      <w:pPr>
        <w:pStyle w:val="Heading5"/>
      </w:pPr>
      <w:r>
        <w:t xml:space="preserve">6.1.4.2 Exigence de capital pour risque de longévité (</w:t>
      </w:r>
      <m:oMath>
        <m:r>
          <m:t>C</m:t>
        </m:r>
        <m:r>
          <m:t>S</m:t>
        </m:r>
        <m:sSub>
          <m:e>
            <m:r>
              <m:t>R</m:t>
            </m:r>
          </m:e>
          <m:sub>
            <m:r>
              <m:t>l</m:t>
            </m:r>
            <m:r>
              <m:t>o</m:t>
            </m:r>
            <m:r>
              <m:t>n</m:t>
            </m:r>
            <m:r>
              <m:t>g</m:t>
            </m:r>
            <m:r>
              <m:t>é</m:t>
            </m:r>
            <m:r>
              <m:t>v</m:t>
            </m:r>
            <m:r>
              <m:t>i</m:t>
            </m:r>
            <m:r>
              <m:t>t</m:t>
            </m:r>
            <m:r>
              <m:t>é</m:t>
            </m:r>
          </m:sub>
        </m:sSub>
      </m:oMath>
      <w:r>
        <w:t xml:space="preserve">)</w:t>
      </w:r>
    </w:p>
    <w:p>
      <w:pPr>
        <w:pStyle w:val="FirstParagraph"/>
      </w:pPr>
      <w:r>
        <w:t xml:space="preserve">L’exigence de capital pour risque de longévité correspond à la perte de fonds propres qui résulterait de la baisse de</w:t>
      </w:r>
      <w:r>
        <w:t xml:space="preserve"> </w:t>
      </w:r>
      <m:oMath>
        <m:r>
          <m:t>X</m:t>
        </m:r>
        <m:r>
          <m:rPr>
            <m:sty m:val="p"/>
          </m:rPr>
          <m:t>%</m:t>
        </m:r>
      </m:oMath>
      <w:r>
        <w:t xml:space="preserve"> </w:t>
      </w:r>
      <w:r>
        <w:t xml:space="preserve">des taux de mortalité retenus pour le calcul des provisions techniques prudentielles.</w:t>
      </w:r>
    </w:p>
    <w:p>
      <w:pPr>
        <w:pStyle w:val="BodyText"/>
      </w:pPr>
      <w:r>
        <w:t xml:space="preserve">La baisse des taux de mortalité précitée ne s’applique qu’aux contrats d’assurance pour lesquels une</w:t>
      </w:r>
      <w:r>
        <w:t xml:space="preserve"> </w:t>
      </w:r>
      <w:r>
        <w:t xml:space="preserve">baisse des taux de mortalité entraîne une augmentation des provisions techniques prudentielles.</w:t>
      </w:r>
    </w:p>
    <w:p>
      <w:pPr>
        <w:pStyle w:val="BodyText"/>
      </w:pPr>
      <m:oMathPara>
        <m:oMathParaPr>
          <m:jc m:val="center"/>
        </m:oMathParaPr>
        <m:oMath>
          <m:r>
            <m:t>C</m:t>
          </m:r>
          <m:r>
            <m:t>S</m:t>
          </m:r>
          <m:sSub>
            <m:e>
              <m:r>
                <m:t>R</m:t>
              </m:r>
            </m:e>
            <m:sub>
              <m:r>
                <m:t>l</m:t>
              </m:r>
              <m:r>
                <m:t>o</m:t>
              </m:r>
              <m:r>
                <m:t>n</m:t>
              </m:r>
              <m:r>
                <m:t>g</m:t>
              </m:r>
              <m:r>
                <m:t>é</m:t>
              </m:r>
              <m:r>
                <m:t>v</m:t>
              </m:r>
              <m:r>
                <m:t>i</m:t>
              </m:r>
              <m:r>
                <m:t>t</m:t>
              </m:r>
              <m:r>
                <m:t>é</m:t>
              </m:r>
            </m:sub>
          </m:sSub>
          <m:r>
            <m:rPr>
              <m:sty m:val="p"/>
            </m:rPr>
            <m:t>=</m:t>
          </m:r>
          <m:r>
            <m:t>B</m:t>
          </m:r>
          <m:sSup>
            <m:e>
              <m:r>
                <m:t>E</m:t>
              </m:r>
            </m:e>
            <m:sup>
              <m:r>
                <m:t>b</m:t>
              </m:r>
              <m:r>
                <m:t>a</m:t>
              </m:r>
              <m:r>
                <m:t>i</m:t>
              </m:r>
              <m:r>
                <m:t>s</m:t>
              </m:r>
              <m:r>
                <m:t>s</m:t>
              </m:r>
              <m:r>
                <m:t>e</m:t>
              </m:r>
            </m:sup>
          </m:sSup>
          <m:r>
            <m:rPr>
              <m:sty m:val="p"/>
            </m:rPr>
            <m:t>−</m:t>
          </m:r>
          <m:r>
            <m:t>B</m:t>
          </m:r>
          <m:r>
            <m:t>E</m:t>
          </m:r>
        </m:oMath>
      </m:oMathPara>
    </w:p>
    <w:bookmarkEnd w:id="76"/>
    <w:bookmarkStart w:id="77" w:name="Xe142ffdc5761a23c812b30051e7ff3529769432"/>
    <w:p>
      <w:pPr>
        <w:pStyle w:val="Heading5"/>
      </w:pPr>
      <w:r>
        <w:t xml:space="preserve">6.1.4.3 Exigence de capital pour risque de rachat (</w:t>
      </w:r>
      <m:oMath>
        <m:r>
          <m:t>C</m:t>
        </m:r>
        <m:r>
          <m:t>S</m:t>
        </m:r>
        <m:sSub>
          <m:e>
            <m:r>
              <m:t>R</m:t>
            </m:r>
          </m:e>
          <m:sub>
            <m:r>
              <m:t>r</m:t>
            </m:r>
            <m:r>
              <m:t>a</m:t>
            </m:r>
            <m:r>
              <m:t>c</m:t>
            </m:r>
            <m:r>
              <m:t>h</m:t>
            </m:r>
            <m:r>
              <m:t>a</m:t>
            </m:r>
            <m:r>
              <m:t>t</m:t>
            </m:r>
          </m:sub>
        </m:sSub>
      </m:oMath>
      <w:r>
        <w:t xml:space="preserve">)</w:t>
      </w:r>
    </w:p>
    <w:p>
      <w:pPr>
        <w:pStyle w:val="FirstParagraph"/>
      </w:pPr>
      <w:r>
        <w:t xml:space="preserve">L’exigence de capital pour risque de rachat est correspond au maximun entre les exigences de capitaux suivantes:</w:t>
      </w:r>
    </w:p>
    <w:p>
      <w:pPr>
        <w:numPr>
          <w:ilvl w:val="0"/>
          <w:numId w:val="1033"/>
        </w:numPr>
        <w:pStyle w:val="Compact"/>
      </w:pPr>
      <w:r>
        <w:t xml:space="preserve">L’exigence de capital pour risque de hausse des taux de rachat : cette exigence signifie la perte de fonds propre qui résulterait d’une revalorisation des provisions techniques prudentielles suite à une hausse de</w:t>
      </w:r>
      <w:r>
        <w:t xml:space="preserve"> </w:t>
      </w:r>
      <m:oMath>
        <m:r>
          <m:t>X</m:t>
        </m:r>
        <m:r>
          <m:rPr>
            <m:sty m:val="p"/>
          </m:rPr>
          <m:t>%</m:t>
        </m:r>
      </m:oMath>
      <w:r>
        <w:t xml:space="preserve"> </w:t>
      </w:r>
      <w:r>
        <w:t xml:space="preserve">des taux de rachat retenus, en montant et en nombre. Toutefois, les taux de rachat augmentés de la hausse précitée ne doivent pas dépasser</w:t>
      </w:r>
      <w:r>
        <w:t xml:space="preserve"> </w:t>
      </w:r>
      <m:oMath>
        <m:r>
          <m:t>X</m:t>
        </m:r>
        <m:r>
          <m:rPr>
            <m:sty m:val="p"/>
          </m:rPr>
          <m:t>%</m:t>
        </m:r>
      </m:oMath>
      <w:r>
        <w:t xml:space="preserve">.</w:t>
      </w:r>
    </w:p>
    <w:p>
      <w:pPr>
        <w:pStyle w:val="FirstParagraph"/>
      </w:pPr>
      <w:r>
        <w:t xml:space="preserve">La hausse des taux de rachat précitée ne s’applique qu’aux contrats d’assurance pour lesquels une hausse des taux de rachat entraîne une augmentation des provisions techniques prudentielles.</w:t>
      </w:r>
    </w:p>
    <w:p>
      <w:pPr>
        <w:numPr>
          <w:ilvl w:val="0"/>
          <w:numId w:val="1034"/>
        </w:numPr>
        <w:pStyle w:val="Compact"/>
      </w:pPr>
      <w:r>
        <w:t xml:space="preserve">L’exigence de capital pour risque de baisse des taux de rachat : cette exigence correspond à la perte de fonds propre qui résulterait d’une revalorisation des provisions technique prudentielles due à une baisse de X% des taux de rachat retenus, en montant et en nombre.</w:t>
      </w:r>
    </w:p>
    <w:p>
      <w:pPr>
        <w:pStyle w:val="FirstParagraph"/>
      </w:pPr>
      <w:r>
        <w:t xml:space="preserve">La baisse des taux de rachat précitée ne s’applique qu’aux contrats d’assurance pour lesquels une baisse des taux de rachat entraîne une augmentation des provisions techniques prudentielles.</w:t>
      </w:r>
    </w:p>
    <w:p>
      <w:pPr>
        <w:pStyle w:val="BodyText"/>
      </w:pPr>
      <m:oMathPara>
        <m:oMathParaPr>
          <m:jc m:val="center"/>
        </m:oMathParaPr>
        <m:oMath>
          <m:r>
            <m:t>C</m:t>
          </m:r>
          <m:r>
            <m:t>S</m:t>
          </m:r>
          <m:sSub>
            <m:e>
              <m:r>
                <m:t>R</m:t>
              </m:r>
            </m:e>
            <m:sub>
              <m:r>
                <m:t>r</m:t>
              </m:r>
              <m:r>
                <m:t>a</m:t>
              </m:r>
              <m:r>
                <m:t>c</m:t>
              </m:r>
              <m:r>
                <m:t>h</m:t>
              </m:r>
              <m:r>
                <m:t>a</m:t>
              </m:r>
              <m:r>
                <m:t>t</m:t>
              </m:r>
            </m:sub>
          </m:sSub>
          <m:r>
            <m:rPr>
              <m:sty m:val="p"/>
            </m:rPr>
            <m:t>=</m:t>
          </m:r>
          <m:r>
            <m:t>m</m:t>
          </m:r>
          <m:r>
            <m:t>a</m:t>
          </m:r>
          <m:r>
            <m:t>x</m:t>
          </m:r>
          <m:d>
            <m:dPr>
              <m:begChr m:val="("/>
              <m:endChr m:val=")"/>
              <m:sepChr m:val=""/>
              <m:grow/>
            </m:dPr>
            <m:e>
              <m:r>
                <m:t>C</m:t>
              </m:r>
              <m:r>
                <m:t>S</m:t>
              </m:r>
              <m:sSubSup>
                <m:e>
                  <m:r>
                    <m:t>R</m:t>
                  </m:r>
                </m:e>
                <m:sub>
                  <m:r>
                    <m:t>r</m:t>
                  </m:r>
                  <m:r>
                    <m:t>a</m:t>
                  </m:r>
                  <m:r>
                    <m:t>c</m:t>
                  </m:r>
                  <m:r>
                    <m:t>h</m:t>
                  </m:r>
                  <m:r>
                    <m:t>a</m:t>
                  </m:r>
                  <m:r>
                    <m:t>t</m:t>
                  </m:r>
                </m:sub>
                <m:sup>
                  <m:r>
                    <m:rPr>
                      <m:nor/>
                      <m:sty m:val="p"/>
                    </m:rPr>
                    <m:t>hausse taux</m:t>
                  </m:r>
                </m:sup>
              </m:sSubSup>
              <m:r>
                <m:rPr>
                  <m:sty m:val="p"/>
                </m:rPr>
                <m:t>;</m:t>
              </m:r>
              <m:r>
                <m:t>C</m:t>
              </m:r>
              <m:r>
                <m:t>S</m:t>
              </m:r>
              <m:sSubSup>
                <m:e>
                  <m:r>
                    <m:t>R</m:t>
                  </m:r>
                </m:e>
                <m:sub>
                  <m:r>
                    <m:t>r</m:t>
                  </m:r>
                  <m:r>
                    <m:t>a</m:t>
                  </m:r>
                  <m:r>
                    <m:t>c</m:t>
                  </m:r>
                  <m:r>
                    <m:t>h</m:t>
                  </m:r>
                  <m:r>
                    <m:t>a</m:t>
                  </m:r>
                  <m:r>
                    <m:t>t</m:t>
                  </m:r>
                </m:sub>
                <m:sup>
                  <m:r>
                    <m:rPr>
                      <m:nor/>
                      <m:sty m:val="p"/>
                    </m:rPr>
                    <m:t>baisse taux</m:t>
                  </m:r>
                </m:sup>
              </m:sSubSup>
            </m:e>
          </m:d>
        </m:oMath>
      </m:oMathPara>
    </w:p>
    <w:p>
      <w:pPr>
        <w:pStyle w:val="FirstParagraph"/>
      </w:pPr>
      <w:r>
        <w:t xml:space="preserve">avec :</w:t>
      </w:r>
    </w:p>
    <w:p>
      <w:pPr>
        <w:pStyle w:val="BodyText"/>
      </w:pPr>
      <m:oMathPara>
        <m:oMathParaPr>
          <m:jc m:val="center"/>
        </m:oMathParaPr>
        <m:oMath>
          <m:r>
            <m:t>C</m:t>
          </m:r>
          <m:r>
            <m:t>S</m:t>
          </m:r>
          <m:sSubSup>
            <m:e>
              <m:r>
                <m:t>R</m:t>
              </m:r>
            </m:e>
            <m:sub>
              <m:r>
                <m:t>r</m:t>
              </m:r>
              <m:r>
                <m:t>a</m:t>
              </m:r>
              <m:r>
                <m:t>c</m:t>
              </m:r>
              <m:r>
                <m:t>h</m:t>
              </m:r>
              <m:r>
                <m:t>a</m:t>
              </m:r>
              <m:r>
                <m:t>t</m:t>
              </m:r>
            </m:sub>
            <m:sup>
              <m:r>
                <m:rPr>
                  <m:nor/>
                  <m:sty m:val="p"/>
                </m:rPr>
                <m:t>hausse taux</m:t>
              </m:r>
            </m:sup>
          </m:sSubSup>
          <m:r>
            <m:rPr>
              <m:sty m:val="p"/>
            </m:rPr>
            <m:t>=</m:t>
          </m:r>
          <m:r>
            <m:t>B</m:t>
          </m:r>
          <m:sSubSup>
            <m:e>
              <m:r>
                <m:t>E</m:t>
              </m:r>
            </m:e>
            <m:sub>
              <m:r>
                <m:t>r</m:t>
              </m:r>
              <m:r>
                <m:t>a</m:t>
              </m:r>
              <m:r>
                <m:t>c</m:t>
              </m:r>
              <m:r>
                <m:t>h</m:t>
              </m:r>
              <m:r>
                <m:t>a</m:t>
              </m:r>
              <m:r>
                <m:t>t</m:t>
              </m:r>
            </m:sub>
            <m:sup>
              <m:r>
                <m:rPr>
                  <m:nor/>
                  <m:sty m:val="p"/>
                </m:rPr>
                <m:t>hausse taux</m:t>
              </m:r>
            </m:sup>
          </m:sSubSup>
          <m:r>
            <m:rPr>
              <m:sty m:val="p"/>
            </m:rPr>
            <m:t>−</m:t>
          </m:r>
          <m:r>
            <m:t>B</m:t>
          </m:r>
          <m:r>
            <m:t>E</m:t>
          </m:r>
        </m:oMath>
      </m:oMathPara>
    </w:p>
    <w:p>
      <w:pPr>
        <w:pStyle w:val="FirstParagraph"/>
      </w:pPr>
      <m:oMathPara>
        <m:oMathParaPr>
          <m:jc m:val="center"/>
        </m:oMathParaPr>
        <m:oMath>
          <m:r>
            <m:t>C</m:t>
          </m:r>
          <m:r>
            <m:t>S</m:t>
          </m:r>
          <m:sSubSup>
            <m:e>
              <m:r>
                <m:t>R</m:t>
              </m:r>
            </m:e>
            <m:sub>
              <m:r>
                <m:t>r</m:t>
              </m:r>
              <m:r>
                <m:t>a</m:t>
              </m:r>
              <m:r>
                <m:t>c</m:t>
              </m:r>
              <m:r>
                <m:t>h</m:t>
              </m:r>
              <m:r>
                <m:t>a</m:t>
              </m:r>
              <m:r>
                <m:t>t</m:t>
              </m:r>
            </m:sub>
            <m:sup>
              <m:r>
                <m:rPr>
                  <m:nor/>
                  <m:sty m:val="p"/>
                </m:rPr>
                <m:t>baisse taux</m:t>
              </m:r>
            </m:sup>
          </m:sSubSup>
          <m:r>
            <m:rPr>
              <m:sty m:val="p"/>
            </m:rPr>
            <m:t>=</m:t>
          </m:r>
          <m:r>
            <m:t>B</m:t>
          </m:r>
          <m:sSubSup>
            <m:e>
              <m:r>
                <m:t>E</m:t>
              </m:r>
            </m:e>
            <m:sub>
              <m:r>
                <m:t>r</m:t>
              </m:r>
              <m:r>
                <m:t>a</m:t>
              </m:r>
              <m:r>
                <m:t>c</m:t>
              </m:r>
              <m:r>
                <m:t>h</m:t>
              </m:r>
              <m:r>
                <m:t>a</m:t>
              </m:r>
              <m:r>
                <m:t>t</m:t>
              </m:r>
            </m:sub>
            <m:sup>
              <m:r>
                <m:rPr>
                  <m:nor/>
                  <m:sty m:val="p"/>
                </m:rPr>
                <m:t>baisse taux</m:t>
              </m:r>
            </m:sup>
          </m:sSubSup>
          <m:r>
            <m:rPr>
              <m:sty m:val="p"/>
            </m:rPr>
            <m:t>−</m:t>
          </m:r>
          <m:r>
            <m:t>B</m:t>
          </m:r>
          <m:r>
            <m:t>E</m:t>
          </m:r>
        </m:oMath>
      </m:oMathPara>
    </w:p>
    <w:bookmarkEnd w:id="77"/>
    <w:bookmarkStart w:id="78" w:name="X2ad39c1112d69d7cc07addd7e09c4a1062144f3"/>
    <w:p>
      <w:pPr>
        <w:pStyle w:val="Heading5"/>
      </w:pPr>
      <w:r>
        <w:t xml:space="preserve">6.1.4.4 Exigence de capital relative au risque de frais (</w:t>
      </w:r>
      <m:oMath>
        <m:r>
          <m:t>C</m:t>
        </m:r>
        <m:r>
          <m:t>S</m:t>
        </m:r>
        <m:sSub>
          <m:e>
            <m:r>
              <m:t>R</m:t>
            </m:r>
          </m:e>
          <m:sub>
            <m:r>
              <m:t>f</m:t>
            </m:r>
            <m:r>
              <m:t>r</m:t>
            </m:r>
            <m:r>
              <m:t>a</m:t>
            </m:r>
            <m:r>
              <m:t>i</m:t>
            </m:r>
            <m:r>
              <m:t>s</m:t>
            </m:r>
          </m:sub>
        </m:sSub>
      </m:oMath>
      <w:r>
        <w:t xml:space="preserve">)</w:t>
      </w:r>
    </w:p>
    <w:p>
      <w:pPr>
        <w:pStyle w:val="FirstParagraph"/>
      </w:pPr>
      <w:r>
        <w:t xml:space="preserve">L’exigence de capital relative au risque de frais correspond à la perte de fonds propres due à des augmentations combinées de :</w:t>
      </w:r>
    </w:p>
    <w:p>
      <w:pPr>
        <w:numPr>
          <w:ilvl w:val="0"/>
          <w:numId w:val="1035"/>
        </w:numPr>
        <w:pStyle w:val="Compact"/>
      </w:pPr>
      <m:oMath>
        <m:r>
          <m:t>X</m:t>
        </m:r>
      </m:oMath>
      <w:r>
        <w:t xml:space="preserve"> </w:t>
      </w:r>
      <w:r>
        <w:t xml:space="preserve">du montant de frais de gestion unitaire moyen retenu pour le calcul des provisions techniques prudentielles des opérations d’assurance vie, décès ou de capitalisation et des rentes découlant des opérations non-vie et ce, par sous-catégorie;</w:t>
      </w:r>
    </w:p>
    <w:p>
      <w:pPr>
        <w:numPr>
          <w:ilvl w:val="0"/>
          <w:numId w:val="1035"/>
        </w:numPr>
        <w:pStyle w:val="Compact"/>
      </w:pPr>
      <m:oMath>
        <m:r>
          <m:t>X</m:t>
        </m:r>
      </m:oMath>
      <w:r>
        <w:t xml:space="preserve"> </w:t>
      </w:r>
      <w:r>
        <w:t xml:space="preserve">par année de projection du montant de frais de gestion unitaire moyen précité.</w:t>
      </w:r>
    </w:p>
    <w:p>
      <w:pPr>
        <w:pStyle w:val="Compact"/>
      </w:pPr>
      <m:oMathPara>
        <m:oMathParaPr>
          <m:jc m:val="center"/>
        </m:oMathParaPr>
        <m:oMath>
          <m:r>
            <m:t>C</m:t>
          </m:r>
          <m:r>
            <m:t>S</m:t>
          </m:r>
          <m:sSub>
            <m:e>
              <m:r>
                <m:t>R</m:t>
              </m:r>
            </m:e>
            <m:sub>
              <m:r>
                <m:t>f</m:t>
              </m:r>
              <m:r>
                <m:t>r</m:t>
              </m:r>
              <m:r>
                <m:t>a</m:t>
              </m:r>
              <m:r>
                <m:t>i</m:t>
              </m:r>
              <m:r>
                <m:t>s</m:t>
              </m:r>
            </m:sub>
          </m:sSub>
          <m:r>
            <m:rPr>
              <m:sty m:val="p"/>
            </m:rPr>
            <m:t>=</m:t>
          </m:r>
          <m:r>
            <m:t>B</m:t>
          </m:r>
          <m:sSubSup>
            <m:e>
              <m:r>
                <m:t>E</m:t>
              </m:r>
            </m:e>
            <m:sub>
              <m:r>
                <m:t>f</m:t>
              </m:r>
              <m:r>
                <m:t>r</m:t>
              </m:r>
              <m:r>
                <m:t>a</m:t>
              </m:r>
              <m:r>
                <m:t>i</m:t>
              </m:r>
              <m:r>
                <m:t>s</m:t>
              </m:r>
            </m:sub>
            <m:sup>
              <m:r>
                <m:rPr>
                  <m:nor/>
                  <m:sty m:val="p"/>
                </m:rPr>
                <m:t>chocé</m:t>
              </m:r>
            </m:sup>
          </m:sSubSup>
          <m:r>
            <m:rPr>
              <m:sty m:val="p"/>
            </m:rPr>
            <m:t>−</m:t>
          </m:r>
          <m:r>
            <m:t>B</m:t>
          </m:r>
          <m:sSub>
            <m:e>
              <m:r>
                <m:t>E</m:t>
              </m:r>
            </m:e>
            <m:sub>
              <m:r>
                <m:t>f</m:t>
              </m:r>
              <m:r>
                <m:t>r</m:t>
              </m:r>
              <m:r>
                <m:t>a</m:t>
              </m:r>
              <m:r>
                <m:t>i</m:t>
              </m:r>
              <m:r>
                <m:t>s</m:t>
              </m:r>
            </m:sub>
          </m:sSub>
        </m:oMath>
      </m:oMathPara>
    </w:p>
    <w:bookmarkEnd w:id="78"/>
    <w:bookmarkStart w:id="79" w:name="X7a733b5774bbec975e5e71b96ffb3b71cffef89"/>
    <w:p>
      <w:pPr>
        <w:pStyle w:val="Heading5"/>
      </w:pPr>
      <w:r>
        <w:t xml:space="preserve">6.1.4.5 Exigence de capital relative au risque de catastrophe (</w:t>
      </w:r>
      <m:oMath>
        <m:r>
          <m:t>C</m:t>
        </m:r>
        <m:r>
          <m:t>S</m:t>
        </m:r>
        <m:sSub>
          <m:e>
            <m:r>
              <m:t>R</m:t>
            </m:r>
          </m:e>
          <m:sub>
            <m:r>
              <m:t>c</m:t>
            </m:r>
            <m:r>
              <m:t>a</m:t>
            </m:r>
            <m:r>
              <m:t>t</m:t>
            </m:r>
            <m:r>
              <m:t>a</m:t>
            </m:r>
            <m:r>
              <m:t>s</m:t>
            </m:r>
            <m:r>
              <m:t>t</m:t>
            </m:r>
            <m:r>
              <m:t>r</m:t>
            </m:r>
            <m:r>
              <m:t>o</m:t>
            </m:r>
            <m:r>
              <m:t>p</m:t>
            </m:r>
            <m:r>
              <m:t>h</m:t>
            </m:r>
            <m:r>
              <m:t>e</m:t>
            </m:r>
          </m:sub>
        </m:sSub>
      </m:oMath>
      <w:r>
        <w:t xml:space="preserve">)</w:t>
      </w:r>
    </w:p>
    <w:p>
      <w:pPr>
        <w:pStyle w:val="FirstParagraph"/>
      </w:pPr>
      <w:r>
        <w:t xml:space="preserve">L’exigence de capital relative au risque de catastrophe vie correspond à l’application d’un coefficient de</w:t>
      </w:r>
      <w:r>
        <w:t xml:space="preserve"> </w:t>
      </w:r>
      <m:oMath>
        <m:r>
          <m:t>X</m:t>
        </m:r>
        <m:r>
          <m:rPr>
            <m:sty m:val="p"/>
          </m:rPr>
          <m:t>%</m:t>
        </m:r>
      </m:oMath>
      <w:r>
        <w:t xml:space="preserve"> </w:t>
      </w:r>
      <w:r>
        <w:t xml:space="preserve">aux montants des capitaux sous risque relatifs aux garanties en cas de décès nets de réassurance.</w:t>
      </w:r>
    </w:p>
    <w:bookmarkEnd w:id="79"/>
    <w:bookmarkEnd w:id="80"/>
    <w:bookmarkStart w:id="84" w:name="X1b6aa8fc00d4f5599dfcf10f97be846d7f67a01"/>
    <w:p>
      <w:pPr>
        <w:pStyle w:val="Heading4"/>
      </w:pPr>
      <w:r>
        <w:t xml:space="preserve">6.1.5 Exigence de capital relative au risque de souscription non vie (</w:t>
      </w: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oMath>
      <w:r>
        <w:t xml:space="preserve">)</w:t>
      </w:r>
    </w:p>
    <w:p>
      <w:pPr>
        <w:pStyle w:val="FirstParagraph"/>
      </w:pPr>
      <w:r>
        <w:t xml:space="preserve">L’exigence de capital relative au risque de souscription non-vie est la somme totale des exigences de capitaux relatives aux</w:t>
      </w:r>
      <w:r>
        <w:t xml:space="preserve"> </w:t>
      </w:r>
      <w:r>
        <w:t xml:space="preserve">, une fois les coefficients de corrélation appliqués..</w:t>
      </w:r>
    </w:p>
    <w:p>
      <w:pPr>
        <w:pStyle w:val="BodyText"/>
      </w:pPr>
      <m:oMathPara>
        <m:oMathParaPr>
          <m:jc m:val="center"/>
        </m:oMathParaPr>
        <m:oMath>
          <m:sSub>
            <m:e>
              <m:r>
                <m:t>​</m:t>
              </m:r>
            </m:e>
            <m:sub>
              <m:r>
                <m:t>s</m:t>
              </m:r>
              <m:r>
                <m:t>o</m:t>
              </m:r>
              <m:r>
                <m:t>u</m:t>
              </m:r>
              <m:r>
                <m:t>s</m:t>
              </m:r>
              <m:r>
                <m:t>c</m:t>
              </m:r>
              <m:r>
                <m:t>r</m:t>
              </m:r>
              <m:r>
                <m:t>i</m:t>
              </m:r>
              <m:r>
                <m:t>p</m:t>
              </m:r>
              <m:r>
                <m:t>t</m:t>
              </m:r>
              <m:r>
                <m:t>i</m:t>
              </m:r>
              <m:r>
                <m:t>o</m:t>
              </m:r>
              <m:r>
                <m:t>n</m:t>
              </m:r>
            </m:sub>
          </m:sSub>
          <m:r>
            <m:t>C</m:t>
          </m:r>
          <m:r>
            <m:t>S</m:t>
          </m:r>
          <m:sSub>
            <m:e>
              <m:r>
                <m:t>R</m:t>
              </m:r>
            </m:e>
            <m:sub>
              <m:r>
                <m:t>n</m:t>
              </m:r>
              <m:r>
                <m:t>o</m:t>
              </m:r>
              <m:r>
                <m:t>n</m:t>
              </m:r>
              <m:r>
                <m:rPr>
                  <m:sty m:val="p"/>
                </m:rPr>
                <m:t>−</m:t>
              </m:r>
              <m:r>
                <m:t>v</m:t>
              </m:r>
              <m:r>
                <m:t>i</m:t>
              </m:r>
              <m:r>
                <m:t>e</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primes, provisions, catastrophe</m:t>
        </m:r>
        <m:r>
          <m:rPr>
            <m:sty m:val="p"/>
          </m:rPr>
          <m:t>}</m:t>
        </m:r>
      </m:oMath>
      <w:r>
        <w:t xml:space="preserve"> </w:t>
      </w:r>
      <w:r>
        <w:t xml:space="preserve">et</w:t>
      </w:r>
      <w:r>
        <w:t xml:space="preserve"> </w:t>
      </w:r>
      <m:oMath>
        <m:r>
          <m:t>ρ</m:t>
        </m:r>
      </m:oMath>
      <w:r>
        <w:t xml:space="preserve"> </w:t>
      </w:r>
      <w:r>
        <w:t xml:space="preserve">es le coefficient de corrélation.</w:t>
      </w:r>
    </w:p>
    <w:bookmarkStart w:id="81" w:name="Xaf5135c38b35f3935e7fbb38292cb902ba10fce"/>
    <w:p>
      <w:pPr>
        <w:pStyle w:val="Heading5"/>
      </w:pPr>
      <w:r>
        <w:t xml:space="preserve">6.1.5.1 Exigence de capital relative au sous-risque de primes (</w:t>
      </w:r>
      <m:oMath>
        <m:r>
          <m:t>C</m:t>
        </m:r>
        <m:r>
          <m:t>S</m:t>
        </m:r>
        <m:sSub>
          <m:e>
            <m:r>
              <m:t>R</m:t>
            </m:r>
          </m:e>
          <m:sub>
            <m:r>
              <m:t>p</m:t>
            </m:r>
            <m:r>
              <m:t>r</m:t>
            </m:r>
            <m:r>
              <m:t>i</m:t>
            </m:r>
            <m:r>
              <m:t>m</m:t>
            </m:r>
            <m:r>
              <m:t>e</m:t>
            </m:r>
            <m:r>
              <m:t>s</m:t>
            </m:r>
          </m:sub>
        </m:sSub>
      </m:oMath>
      <w:r>
        <w:t xml:space="preserve">)</w:t>
      </w:r>
    </w:p>
    <w:p>
      <w:pPr>
        <w:pStyle w:val="FirstParagraph"/>
      </w:pPr>
      <w:r>
        <w:t xml:space="preserve">L’exigence de capital relative au sous-risque de primes est le montant total des exigences de capitaux relatives aux sous-risques de primes par sous-catégorie et ce, après application des coefficients de corrélations.</w:t>
      </w:r>
    </w:p>
    <w:p>
      <w:pPr>
        <w:pStyle w:val="BodyText"/>
      </w:pPr>
      <m:oMathPara>
        <m:oMathParaPr>
          <m:jc m:val="center"/>
        </m:oMathParaPr>
        <m:oMath>
          <m:r>
            <m:t>C</m:t>
          </m:r>
          <m:r>
            <m:t>S</m:t>
          </m:r>
          <m:sSub>
            <m:e>
              <m:r>
                <m:t>R</m:t>
              </m:r>
            </m:e>
            <m:sub>
              <m:r>
                <m:t>p</m:t>
              </m:r>
              <m:r>
                <m:t>r</m:t>
              </m:r>
              <m:r>
                <m:t>i</m:t>
              </m:r>
              <m:r>
                <m:t>m</m:t>
              </m:r>
              <m:r>
                <m:t>e</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rPr>
            <m:nor/>
            <m:sty m:val="p"/>
          </m:rPr>
          <m:t>Les sous-risques de primes par sous-categorie </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primes.</w:t>
      </w:r>
    </w:p>
    <w:p>
      <w:pPr>
        <w:pStyle w:val="BodyText"/>
      </w:pPr>
      <w:r>
        <w:t xml:space="preserve">Pour chaque sous-catégorie, l’exigence de capital afférente au sous risque de primes est égale à X fois le produit de l’écart-type de primes et du montant des primes acquises augmenté de la provision pour primes non-acquises nettes de réassurance au titre de l’exercice inventorié.</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i</m:t>
              </m:r>
              <m:r>
                <m:t>m</m:t>
              </m:r>
              <m:r>
                <m:t>e</m:t>
              </m:r>
              <m:r>
                <m:t>s</m:t>
              </m:r>
            </m:sup>
          </m:sSubSup>
          <m:r>
            <m:rPr>
              <m:sty m:val="p"/>
            </m:rPr>
            <m:t>=</m:t>
          </m:r>
          <m:r>
            <m:t>X</m:t>
          </m:r>
          <m:r>
            <m:rPr>
              <m:sty m:val="p"/>
            </m:rPr>
            <m:t>*</m:t>
          </m:r>
          <m:sSub>
            <m:e>
              <m:r>
                <m:t>σ</m:t>
              </m:r>
            </m:e>
            <m:sub>
              <m:r>
                <m:t>p</m:t>
              </m:r>
              <m:r>
                <m:t>r</m:t>
              </m:r>
              <m:r>
                <m:t>i</m:t>
              </m:r>
              <m:r>
                <m:t>m</m:t>
              </m:r>
              <m:r>
                <m:t>e</m:t>
              </m:r>
              <m:r>
                <m:t>s</m:t>
              </m:r>
            </m:sub>
          </m:sSub>
          <m:r>
            <m:rPr>
              <m:sty m:val="p"/>
            </m:rPr>
            <m:t>*</m:t>
          </m:r>
          <m:r>
            <m:t>B</m:t>
          </m:r>
          <m:sSub>
            <m:e>
              <m:r>
                <m:t>E</m:t>
              </m:r>
            </m:e>
            <m:sub>
              <m:r>
                <m:t>p</m:t>
              </m:r>
              <m:r>
                <m:t>r</m:t>
              </m:r>
              <m:r>
                <m:t>i</m:t>
              </m:r>
              <m:r>
                <m:t>m</m:t>
              </m:r>
              <m:r>
                <m:t>e</m:t>
              </m:r>
              <m:r>
                <m:t>s</m:t>
              </m:r>
            </m:sub>
          </m:sSub>
        </m:oMath>
      </m:oMathPara>
    </w:p>
    <w:p>
      <w:pPr>
        <w:pStyle w:val="FirstParagraph"/>
      </w:pPr>
      <w:r>
        <w:t xml:space="preserve">avec :  </w:t>
      </w:r>
      <w:r>
        <w:t xml:space="preserve"> </w:t>
      </w:r>
      <m:oMath>
        <m:r>
          <m:t>B</m:t>
        </m:r>
        <m:sSub>
          <m:e>
            <m:r>
              <m:t>E</m:t>
            </m:r>
          </m:e>
          <m:sub>
            <m:r>
              <m:t>p</m:t>
            </m:r>
            <m:r>
              <m:t>r</m:t>
            </m:r>
            <m:r>
              <m:t>i</m:t>
            </m:r>
            <m:r>
              <m:t>m</m:t>
            </m:r>
            <m:r>
              <m:t>e</m:t>
            </m:r>
            <m:r>
              <m:t>s</m:t>
            </m:r>
          </m:sub>
        </m:sSub>
        <m:r>
          <m:rPr>
            <m:sty m:val="p"/>
          </m:rPr>
          <m:t>=</m:t>
        </m:r>
        <m:r>
          <m:t>P</m:t>
        </m:r>
        <m:r>
          <m:t>r</m:t>
        </m:r>
        <m:r>
          <m:t>i</m:t>
        </m:r>
        <m:r>
          <m:t>m</m:t>
        </m:r>
        <m:r>
          <m:t>e</m:t>
        </m:r>
        <m:sSubSup>
          <m:e>
            <m:r>
              <m:t>s</m:t>
            </m:r>
          </m:e>
          <m:sub>
            <m:r>
              <m:t>a</m:t>
            </m:r>
            <m:r>
              <m:t>c</m:t>
            </m:r>
            <m:r>
              <m:t>q</m:t>
            </m:r>
            <m:r>
              <m:t>u</m:t>
            </m:r>
            <m:r>
              <m:t>i</m:t>
            </m:r>
            <m:r>
              <m:t>s</m:t>
            </m:r>
            <m:r>
              <m:t>e</m:t>
            </m:r>
            <m:r>
              <m:t>s</m:t>
            </m:r>
          </m:sub>
          <m:sup>
            <m:r>
              <m:t>n</m:t>
            </m:r>
            <m:r>
              <m:t>e</m:t>
            </m:r>
            <m:r>
              <m:t>t</m:t>
            </m:r>
            <m:r>
              <m:t>t</m:t>
            </m:r>
            <m:r>
              <m:t>e</m:t>
            </m:r>
            <m:r>
              <m:t>s</m:t>
            </m:r>
          </m:sup>
        </m:sSubSup>
        <m:r>
          <m:rPr>
            <m:sty m:val="p"/>
          </m:rPr>
          <m:t>+</m:t>
        </m:r>
        <m:r>
          <m:t>P</m:t>
        </m:r>
        <m:r>
          <m:t>r</m:t>
        </m:r>
        <m:r>
          <m:t>o</m:t>
        </m:r>
        <m:r>
          <m:t>v</m:t>
        </m:r>
        <m:r>
          <m:t>i</m:t>
        </m:r>
        <m:r>
          <m:t>s</m:t>
        </m:r>
        <m:r>
          <m:t>i</m:t>
        </m:r>
        <m:r>
          <m:t>o</m:t>
        </m:r>
        <m:sSubSup>
          <m:e>
            <m:r>
              <m:t>n</m:t>
            </m:r>
          </m:e>
          <m:sub>
            <m:r>
              <m:t>p</m:t>
            </m:r>
            <m:r>
              <m:t>r</m:t>
            </m:r>
            <m:r>
              <m:t>i</m:t>
            </m:r>
            <m:r>
              <m:t>m</m:t>
            </m:r>
            <m:r>
              <m:t>e</m:t>
            </m:r>
            <m:sSub>
              <m:e>
                <m:r>
                  <m:t>s</m:t>
                </m:r>
              </m:e>
              <m:sub>
                <m:r>
                  <m:t>n</m:t>
                </m:r>
                <m:r>
                  <m:t>o</m:t>
                </m:r>
                <m:r>
                  <m:t>n</m:t>
                </m:r>
                <m:r>
                  <m:rPr>
                    <m:sty m:val="p"/>
                  </m:rPr>
                  <m:t>−</m:t>
                </m:r>
                <m:r>
                  <m:t>a</m:t>
                </m:r>
                <m:r>
                  <m:t>c</m:t>
                </m:r>
                <m:r>
                  <m:t>q</m:t>
                </m:r>
                <m:r>
                  <m:t>u</m:t>
                </m:r>
                <m:r>
                  <m:t>i</m:t>
                </m:r>
                <m:r>
                  <m:t>s</m:t>
                </m:r>
                <m:r>
                  <m:t>e</m:t>
                </m:r>
              </m:sub>
            </m:sSub>
          </m:sub>
          <m:sup>
            <m:r>
              <m:t>n</m:t>
            </m:r>
            <m:r>
              <m:t>e</m:t>
            </m:r>
            <m:r>
              <m:t>t</m:t>
            </m:r>
            <m:r>
              <m:t>t</m:t>
            </m:r>
            <m:r>
              <m:t>e</m:t>
            </m:r>
            <m:r>
              <m:t>s</m:t>
            </m:r>
          </m:sup>
        </m:sSubSup>
      </m:oMath>
    </w:p>
    <w:bookmarkEnd w:id="81"/>
    <w:bookmarkStart w:id="82" w:name="X97c27c4f6aaa2dc3a04acf8f040871c5ebd6f65"/>
    <w:p>
      <w:pPr>
        <w:pStyle w:val="Heading5"/>
      </w:pPr>
      <w:r>
        <w:t xml:space="preserve">6.1.5.2 Exigence de capital relative au sous-risque de provisions (</w:t>
      </w:r>
      <m:oMath>
        <m:r>
          <m:t>C</m:t>
        </m:r>
        <m:r>
          <m:t>S</m:t>
        </m:r>
        <m:sSub>
          <m:e>
            <m:r>
              <m:t>R</m:t>
            </m:r>
          </m:e>
          <m:sub>
            <m:r>
              <m:t>p</m:t>
            </m:r>
            <m:r>
              <m:t>r</m:t>
            </m:r>
            <m:r>
              <m:t>o</m:t>
            </m:r>
            <m:r>
              <m:t>v</m:t>
            </m:r>
            <m:r>
              <m:t>i</m:t>
            </m:r>
            <m:r>
              <m:t>s</m:t>
            </m:r>
            <m:r>
              <m:t>i</m:t>
            </m:r>
            <m:r>
              <m:t>o</m:t>
            </m:r>
            <m:r>
              <m:t>n</m:t>
            </m:r>
            <m:r>
              <m:t>s</m:t>
            </m:r>
          </m:sub>
        </m:sSub>
      </m:oMath>
      <w:r>
        <w:t xml:space="preserve">)</w:t>
      </w:r>
    </w:p>
    <w:p>
      <w:pPr>
        <w:pStyle w:val="FirstParagraph"/>
      </w:pPr>
      <w:r>
        <w:t xml:space="preserve">L’exigence de capital relative au sous-risque de provisions est la somme total des exigences de capitaux relatives aux sous-risques de provision par sous-catégorie, on prenant on considration les coefficients de correlation entre les sous-risques.</w:t>
      </w:r>
    </w:p>
    <w:p>
      <w:pPr>
        <w:pStyle w:val="BodyText"/>
      </w:pPr>
      <m:oMathPara>
        <m:oMathParaPr>
          <m:jc m:val="center"/>
        </m:oMathParaPr>
        <m:oMath>
          <m:r>
            <m:t>C</m:t>
          </m:r>
          <m:r>
            <m:t>S</m:t>
          </m:r>
          <m:sSub>
            <m:e>
              <m:r>
                <m:t>R</m:t>
              </m:r>
            </m:e>
            <m:sub>
              <m:r>
                <m:t>p</m:t>
              </m:r>
              <m:r>
                <m:t>r</m:t>
              </m:r>
              <m:r>
                <m:t>o</m:t>
              </m:r>
              <m:r>
                <m:t>v</m:t>
              </m:r>
              <m:r>
                <m:t>i</m:t>
              </m:r>
              <m:r>
                <m:t>s</m:t>
              </m:r>
              <m:r>
                <m:t>i</m:t>
              </m:r>
              <m:r>
                <m:t>o</m:t>
              </m:r>
              <m:r>
                <m:t>n</m:t>
              </m:r>
              <m:r>
                <m:t>s</m:t>
              </m:r>
            </m:sub>
          </m:sSub>
          <m:r>
            <m:rPr>
              <m:sty m:val="p"/>
            </m:rPr>
            <m:t>=</m:t>
          </m:r>
          <m:rad>
            <m:radPr>
              <m:degHide m:val="1"/>
            </m:radPr>
            <m:deg/>
            <m:e>
              <m:nary>
                <m:naryPr>
                  <m:chr m:val="∑"/>
                  <m:limLoc m:val="undOvr"/>
                  <m:subHide m:val="0"/>
                  <m:supHide m:val="1"/>
                </m:naryPr>
                <m:sub>
                  <m:r>
                    <m:t>i</m:t>
                  </m:r>
                  <m:r>
                    <m:rPr>
                      <m:sty m:val="p"/>
                    </m:rPr>
                    <m:t>,</m:t>
                  </m:r>
                  <m:r>
                    <m:t>j</m:t>
                  </m:r>
                </m:sub>
                <m:sup>
                  <m:r>
                    <m:t>​</m:t>
                  </m:r>
                </m:sup>
                <m:e>
                  <m:d>
                    <m:dPr>
                      <m:begChr m:val="("/>
                      <m:endChr m:val=")"/>
                      <m:sepChr m:val=""/>
                      <m:grow/>
                    </m:dPr>
                    <m:e>
                      <m:sSub>
                        <m:e>
                          <m:r>
                            <m:t>ρ</m:t>
                          </m:r>
                        </m:e>
                        <m:sub>
                          <m:r>
                            <m:t>i</m:t>
                          </m:r>
                          <m:r>
                            <m:rPr>
                              <m:sty m:val="p"/>
                            </m:rPr>
                            <m:t>,</m:t>
                          </m:r>
                          <m:r>
                            <m:t>j</m:t>
                          </m:r>
                        </m:sub>
                      </m:sSub>
                      <m:r>
                        <m:rPr>
                          <m:sty m:val="p"/>
                        </m:rPr>
                        <m:t>*</m:t>
                      </m:r>
                      <m:r>
                        <m:t>C</m:t>
                      </m:r>
                      <m:r>
                        <m:t>S</m:t>
                      </m:r>
                      <m:sSub>
                        <m:e>
                          <m:r>
                            <m:t>R</m:t>
                          </m:r>
                        </m:e>
                        <m:sub>
                          <m:r>
                            <m:t>i</m:t>
                          </m:r>
                        </m:sub>
                      </m:sSub>
                      <m:r>
                        <m:rPr>
                          <m:sty m:val="p"/>
                        </m:rPr>
                        <m:t>*</m:t>
                      </m:r>
                      <m:r>
                        <m:t>C</m:t>
                      </m:r>
                      <m:r>
                        <m:t>S</m:t>
                      </m:r>
                      <m:sSub>
                        <m:e>
                          <m:r>
                            <m:t>R</m:t>
                          </m:r>
                        </m:e>
                        <m:sub>
                          <m:r>
                            <m:t>j</m:t>
                          </m:r>
                        </m:sub>
                      </m:sSub>
                    </m:e>
                  </m:d>
                </m:e>
              </m:nary>
            </m:e>
          </m:rad>
        </m:oMath>
      </m:oMathPara>
    </w:p>
    <w:p>
      <w:pPr>
        <w:pStyle w:val="FirstParagraph"/>
      </w:pPr>
      <w:r>
        <w:t xml:space="preserve">avec :</w:t>
      </w:r>
      <w:r>
        <w:t xml:space="preserve"> </w:t>
      </w:r>
      <m:oMath>
        <m:r>
          <m:t>i</m:t>
        </m:r>
        <m:r>
          <m:rPr>
            <m:sty m:val="p"/>
          </m:rPr>
          <m:t>,</m:t>
        </m:r>
        <m:r>
          <m:t>j</m:t>
        </m:r>
        <m:r>
          <m:rPr>
            <m:sty m:val="p"/>
          </m:rPr>
          <m:t>∈</m:t>
        </m:r>
        <m:r>
          <m:rPr>
            <m:sty m:val="p"/>
          </m:rPr>
          <m:t>{</m:t>
        </m:r>
        <m:r>
          <m:t>L</m:t>
        </m:r>
        <m:r>
          <m:t>e</m:t>
        </m:r>
        <m:r>
          <m:t>s</m:t>
        </m:r>
        <m:r>
          <m:t>s</m:t>
        </m:r>
        <m:r>
          <m:t>o</m:t>
        </m:r>
        <m:r>
          <m:t>u</m:t>
        </m:r>
        <m:r>
          <m:t>s</m:t>
        </m:r>
        <m:r>
          <m:rPr>
            <m:sty m:val="p"/>
          </m:rPr>
          <m:t>−</m:t>
        </m:r>
        <m:r>
          <m:t>r</m:t>
        </m:r>
        <m:r>
          <m:t>i</m:t>
        </m:r>
        <m:r>
          <m:t>s</m:t>
        </m:r>
        <m:r>
          <m:t>q</m:t>
        </m:r>
        <m:r>
          <m:t>u</m:t>
        </m:r>
        <m:r>
          <m:t>e</m:t>
        </m:r>
        <m:r>
          <m:t>s</m:t>
        </m:r>
        <m:r>
          <m:t>d</m:t>
        </m:r>
        <m:r>
          <m:t>e</m:t>
        </m:r>
        <m:r>
          <m:t>p</m:t>
        </m:r>
        <m:r>
          <m:t>r</m:t>
        </m:r>
        <m:r>
          <m:t>o</m:t>
        </m:r>
        <m:r>
          <m:t>v</m:t>
        </m:r>
        <m:r>
          <m:t>i</m:t>
        </m:r>
        <m:r>
          <m:t>s</m:t>
        </m:r>
        <m:r>
          <m:t>i</m:t>
        </m:r>
        <m:r>
          <m:t>o</m:t>
        </m:r>
        <m:r>
          <m:t>n</m:t>
        </m:r>
        <m:r>
          <m:t>s</m:t>
        </m:r>
        <m:r>
          <m:t>p</m:t>
        </m:r>
        <m:r>
          <m:t>a</m:t>
        </m:r>
        <m:r>
          <m:t>r</m:t>
        </m:r>
        <m:r>
          <m:t>s</m:t>
        </m:r>
        <m:r>
          <m:t>o</m:t>
        </m:r>
        <m:r>
          <m:t>u</m:t>
        </m:r>
        <m:r>
          <m:t>s</m:t>
        </m:r>
        <m:r>
          <m:rPr>
            <m:sty m:val="p"/>
          </m:rPr>
          <m:t>−</m:t>
        </m:r>
        <m:r>
          <m:t>c</m:t>
        </m:r>
        <m:r>
          <m:t>a</m:t>
        </m:r>
        <m:r>
          <m:t>t</m:t>
        </m:r>
        <m:r>
          <m:t>e</m:t>
        </m:r>
        <m:r>
          <m:t>g</m:t>
        </m:r>
        <m:r>
          <m:t>o</m:t>
        </m:r>
        <m:r>
          <m:t>r</m:t>
        </m:r>
        <m:r>
          <m:t>i</m:t>
        </m:r>
        <m:r>
          <m:t>e</m:t>
        </m:r>
        <m:r>
          <m:rPr>
            <m:sty m:val="p"/>
          </m:rPr>
          <m:t>}</m:t>
        </m:r>
      </m:oMath>
      <w:r>
        <w:t xml:space="preserve"> </w:t>
      </w:r>
      <w:r>
        <w:t xml:space="preserve">et</w:t>
      </w:r>
      <w:r>
        <w:t xml:space="preserve"> </w:t>
      </w:r>
      <m:oMath>
        <m:r>
          <m:t>ρ</m:t>
        </m:r>
      </m:oMath>
      <w:r>
        <w:t xml:space="preserve"> </w:t>
      </w:r>
      <w:r>
        <w:t xml:space="preserve">es le coefficient de corrélation entre les sous-catégories des sous-risques de provisions.</w:t>
      </w:r>
    </w:p>
    <w:p>
      <w:pPr>
        <w:pStyle w:val="BodyText"/>
      </w:pPr>
      <w:r>
        <w:t xml:space="preserve">Pour chaque sous-catégorie, l’exigence de capital afférente au sous risque de provision est égale à X fois le produit de l’écart-type de provisions et du montant de la meilleure estimation des engagements pour sinistres nette de réassurance.</w:t>
      </w:r>
    </w:p>
    <w:p>
      <w:pPr>
        <w:pStyle w:val="BodyText"/>
      </w:pPr>
      <m:oMathPara>
        <m:oMathParaPr>
          <m:jc m:val="center"/>
        </m:oMathParaPr>
        <m:oMath>
          <m:r>
            <m:t>C</m:t>
          </m:r>
          <m:r>
            <m:t>S</m:t>
          </m:r>
          <m:sSubSup>
            <m:e>
              <m:r>
                <m:t>R</m:t>
              </m:r>
            </m:e>
            <m:sub>
              <m:r>
                <m:t>s</m:t>
              </m:r>
              <m:r>
                <m:t>o</m:t>
              </m:r>
              <m:r>
                <m:t>u</m:t>
              </m:r>
              <m:r>
                <m:t>s</m:t>
              </m:r>
              <m:r>
                <m:rPr>
                  <m:sty m:val="p"/>
                </m:rPr>
                <m:t>−</m:t>
              </m:r>
              <m:r>
                <m:t>c</m:t>
              </m:r>
              <m:r>
                <m:t>a</m:t>
              </m:r>
              <m:r>
                <m:t>t</m:t>
              </m:r>
              <m:r>
                <m:t>e</m:t>
              </m:r>
              <m:r>
                <m:t>g</m:t>
              </m:r>
              <m:r>
                <m:t>o</m:t>
              </m:r>
              <m:r>
                <m:t>r</m:t>
              </m:r>
              <m:r>
                <m:t>i</m:t>
              </m:r>
              <m:r>
                <m:t>e</m:t>
              </m:r>
            </m:sub>
            <m:sup>
              <m:r>
                <m:t>p</m:t>
              </m:r>
              <m:r>
                <m:t>r</m:t>
              </m:r>
              <m:r>
                <m:t>o</m:t>
              </m:r>
              <m:r>
                <m:t>v</m:t>
              </m:r>
              <m:r>
                <m:t>i</m:t>
              </m:r>
              <m:r>
                <m:t>s</m:t>
              </m:r>
              <m:r>
                <m:t>i</m:t>
              </m:r>
              <m:r>
                <m:t>o</m:t>
              </m:r>
              <m:r>
                <m:t>n</m:t>
              </m:r>
              <m:r>
                <m:t>s</m:t>
              </m:r>
            </m:sup>
          </m:sSubSup>
          <m:r>
            <m:rPr>
              <m:sty m:val="p"/>
            </m:rPr>
            <m:t>=</m:t>
          </m:r>
          <m:r>
            <m:t>X</m:t>
          </m:r>
          <m:r>
            <m:rPr>
              <m:sty m:val="p"/>
            </m:rPr>
            <m:t>*</m:t>
          </m:r>
          <m:sSub>
            <m:e>
              <m:r>
                <m:t>σ</m:t>
              </m:r>
            </m:e>
            <m:sub>
              <m:r>
                <m:t>p</m:t>
              </m:r>
              <m:r>
                <m:t>r</m:t>
              </m:r>
              <m:r>
                <m:t>o</m:t>
              </m:r>
              <m:r>
                <m:t>v</m:t>
              </m:r>
              <m:r>
                <m:t>i</m:t>
              </m:r>
              <m:r>
                <m:t>s</m:t>
              </m:r>
              <m:r>
                <m:t>i</m:t>
              </m:r>
              <m:r>
                <m:t>o</m:t>
              </m:r>
              <m:r>
                <m:t>n</m:t>
              </m:r>
              <m:r>
                <m:t>s</m:t>
              </m:r>
            </m:sub>
          </m:sSub>
          <m:r>
            <m:rPr>
              <m:sty m:val="p"/>
            </m:rPr>
            <m:t>*</m:t>
          </m:r>
          <m:r>
            <m:t>B</m:t>
          </m:r>
          <m:sSub>
            <m:e>
              <m:r>
                <m:t>E</m:t>
              </m:r>
            </m:e>
            <m:sub>
              <m:r>
                <m:t>e</m:t>
              </m:r>
              <m:r>
                <m:t>n</m:t>
              </m:r>
              <m:r>
                <m:t>g</m:t>
              </m:r>
              <m:r>
                <m:t>a</m:t>
              </m:r>
              <m:r>
                <m:t>g</m:t>
              </m:r>
              <m:r>
                <m:t>e</m:t>
              </m:r>
              <m:r>
                <m:t>m</m:t>
              </m:r>
              <m:r>
                <m:t>e</m:t>
              </m:r>
              <m:r>
                <m:t>n</m:t>
              </m:r>
              <m:r>
                <m:t>t</m:t>
              </m:r>
              <m:r>
                <m:t>s</m:t>
              </m:r>
            </m:sub>
          </m:sSub>
        </m:oMath>
      </m:oMathPara>
    </w:p>
    <w:bookmarkEnd w:id="82"/>
    <w:bookmarkStart w:id="83" w:name="X2d899550002a89faf70685e2ededa357230b7ec"/>
    <w:p>
      <w:pPr>
        <w:pStyle w:val="Heading5"/>
      </w:pPr>
      <w:r>
        <w:t xml:space="preserve">6.1.5.3 Exigence de capital relative au risque de catastrophe non-vie</w:t>
      </w:r>
    </w:p>
    <w:p>
      <w:pPr>
        <w:pStyle w:val="FirstParagraph"/>
      </w:pPr>
      <w:r>
        <w:t xml:space="preserve">L’exigence de capital relative au risque de catastrophe non-vie correspond au racine carrée de la somme des carrés des exigences de capitaux relatives au sous-risque de catastrophe non-vie des garanties suivantes :</w:t>
      </w:r>
    </w:p>
    <w:p>
      <w:pPr>
        <w:numPr>
          <w:ilvl w:val="0"/>
          <w:numId w:val="1036"/>
        </w:numPr>
        <w:pStyle w:val="Compact"/>
      </w:pPr>
      <w:r>
        <w:t xml:space="preserve">Individuelles accidents et Invalidité ;</w:t>
      </w:r>
    </w:p>
    <w:p>
      <w:pPr>
        <w:numPr>
          <w:ilvl w:val="0"/>
          <w:numId w:val="1036"/>
        </w:numPr>
        <w:pStyle w:val="Compact"/>
      </w:pPr>
      <w:r>
        <w:t xml:space="preserve">Maladie;</w:t>
      </w:r>
    </w:p>
    <w:p>
      <w:pPr>
        <w:numPr>
          <w:ilvl w:val="0"/>
          <w:numId w:val="1036"/>
        </w:numPr>
        <w:pStyle w:val="Compact"/>
      </w:pPr>
      <w:r>
        <w:t xml:space="preserve">Accidents du travail et maladies professionnelles ;</w:t>
      </w:r>
    </w:p>
    <w:p>
      <w:pPr>
        <w:numPr>
          <w:ilvl w:val="0"/>
          <w:numId w:val="1036"/>
        </w:numPr>
        <w:pStyle w:val="Compact"/>
      </w:pPr>
      <w:r>
        <w:t xml:space="preserve">Responsabilité civile automobile des véhicules terrestres à moteur;</w:t>
      </w:r>
    </w:p>
    <w:p>
      <w:pPr>
        <w:numPr>
          <w:ilvl w:val="0"/>
          <w:numId w:val="1036"/>
        </w:numPr>
        <w:pStyle w:val="Compact"/>
      </w:pPr>
      <w:r>
        <w:t xml:space="preserve">Responsabilité civile (autre que la responsabilité civile automobile et la responsabilité civile résultant de l’emploi de véhicules fluviaux ou maritimes ou de l’emploi des aéronefs) ;</w:t>
      </w:r>
    </w:p>
    <w:p>
      <w:pPr>
        <w:numPr>
          <w:ilvl w:val="0"/>
          <w:numId w:val="1036"/>
        </w:numPr>
        <w:pStyle w:val="Compact"/>
      </w:pPr>
      <w:r>
        <w:t xml:space="preserve">Incendie ;</w:t>
      </w:r>
    </w:p>
    <w:p>
      <w:pPr>
        <w:numPr>
          <w:ilvl w:val="0"/>
          <w:numId w:val="1036"/>
        </w:numPr>
        <w:pStyle w:val="Compact"/>
      </w:pPr>
      <w:r>
        <w:t xml:space="preserve">Maritime corps, facultés et responsabilité civile résultant de l’emploi de véhicules fluviaux et maritimes ;</w:t>
      </w:r>
    </w:p>
    <w:p>
      <w:pPr>
        <w:numPr>
          <w:ilvl w:val="0"/>
          <w:numId w:val="1036"/>
        </w:numPr>
        <w:pStyle w:val="Compact"/>
      </w:pPr>
      <w:r>
        <w:t xml:space="preserve">Aviation corps et responsabilité civile résultant de l’emploi des aéronefs ;</w:t>
      </w:r>
    </w:p>
    <w:p>
      <w:pPr>
        <w:numPr>
          <w:ilvl w:val="0"/>
          <w:numId w:val="1036"/>
        </w:numPr>
        <w:pStyle w:val="Compact"/>
      </w:pPr>
      <w:r>
        <w:t xml:space="preserve">Marchandises transportées par voie terrestre ;</w:t>
      </w:r>
    </w:p>
    <w:p>
      <w:pPr>
        <w:numPr>
          <w:ilvl w:val="0"/>
          <w:numId w:val="1036"/>
        </w:numPr>
        <w:pStyle w:val="Compact"/>
      </w:pPr>
      <w:r>
        <w:t xml:space="preserve">Assurance récolte, grêle ou gelée et éléments naturels ;</w:t>
      </w:r>
    </w:p>
    <w:p>
      <w:pPr>
        <w:numPr>
          <w:ilvl w:val="0"/>
          <w:numId w:val="1036"/>
        </w:numPr>
        <w:pStyle w:val="Compact"/>
      </w:pPr>
      <w:r>
        <w:t xml:space="preserve">Crédit et caution</w:t>
      </w:r>
    </w:p>
    <w:bookmarkEnd w:id="83"/>
    <w:bookmarkEnd w:id="84"/>
    <w:bookmarkEnd w:id="85"/>
    <w:bookmarkStart w:id="86" w:name="X784839fd8516b8df5730ae0da267f1818a874be"/>
    <w:p>
      <w:pPr>
        <w:pStyle w:val="Heading3"/>
      </w:pPr>
      <w:r>
        <w:t xml:space="preserve">6.2 Exigence de capital relative au risque opérationnel (</w:t>
      </w:r>
      <m:oMath>
        <m:r>
          <m:t>C</m:t>
        </m:r>
        <m:r>
          <m:t>S</m:t>
        </m:r>
        <m:sSub>
          <m:e>
            <m:r>
              <m:t>R</m:t>
            </m:r>
          </m:e>
          <m:sub>
            <m:r>
              <m:t>o</m:t>
            </m:r>
            <m:r>
              <m:t>p</m:t>
            </m:r>
            <m:r>
              <m:t>é</m:t>
            </m:r>
            <m:r>
              <m:t>r</m:t>
            </m:r>
            <m:r>
              <m:t>a</m:t>
            </m:r>
            <m:r>
              <m:t>t</m:t>
            </m:r>
            <m:r>
              <m:t>i</m:t>
            </m:r>
            <m:r>
              <m:t>o</m:t>
            </m:r>
            <m:r>
              <m:t>n</m:t>
            </m:r>
            <m:r>
              <m:t>n</m:t>
            </m:r>
            <m:r>
              <m:t>e</m:t>
            </m:r>
            <m:r>
              <m:t>l</m:t>
            </m:r>
          </m:sub>
        </m:sSub>
      </m:oMath>
      <w:r>
        <w:t xml:space="preserve">)</w:t>
      </w:r>
    </w:p>
    <w:p>
      <w:pPr>
        <w:pStyle w:val="FirstParagraph"/>
      </w:pPr>
      <w:r>
        <w:t xml:space="preserve">L’exigence de capital relative au risque opérationnel correspond à X% du capital de solvabilité requis de base.</w:t>
      </w:r>
    </w:p>
    <w:p>
      <w:pPr>
        <w:pStyle w:val="BodyText"/>
      </w:pPr>
      <m:oMathPara>
        <m:oMathParaPr>
          <m:jc m:val="center"/>
        </m:oMathParaPr>
        <m:oMath>
          <m:r>
            <m:t>C</m:t>
          </m:r>
          <m:r>
            <m:t>S</m:t>
          </m:r>
          <m:sSub>
            <m:e>
              <m:r>
                <m:t>R</m:t>
              </m:r>
            </m:e>
            <m:sub>
              <m:r>
                <m:t>o</m:t>
              </m:r>
              <m:r>
                <m:t>p</m:t>
              </m:r>
              <m:r>
                <m:t>é</m:t>
              </m:r>
              <m:r>
                <m:t>r</m:t>
              </m:r>
              <m:r>
                <m:t>a</m:t>
              </m:r>
              <m:r>
                <m:t>t</m:t>
              </m:r>
              <m:r>
                <m:t>i</m:t>
              </m:r>
              <m:r>
                <m:t>o</m:t>
              </m:r>
              <m:r>
                <m:t>n</m:t>
              </m:r>
              <m:r>
                <m:t>n</m:t>
              </m:r>
              <m:r>
                <m:t>e</m:t>
              </m:r>
              <m:r>
                <m:t>l</m:t>
              </m:r>
            </m:sub>
          </m:sSub>
          <m:r>
            <m:rPr>
              <m:sty m:val="p"/>
            </m:rPr>
            <m:t>=</m:t>
          </m:r>
          <m:r>
            <m:t>X</m:t>
          </m:r>
          <m:r>
            <m:rPr>
              <m:sty m:val="p"/>
            </m:rPr>
            <m:t>%</m:t>
          </m:r>
          <m:r>
            <m:rPr>
              <m:sty m:val="p"/>
            </m:rPr>
            <m:t>*</m:t>
          </m:r>
          <m:r>
            <m:t>C</m:t>
          </m:r>
          <m:r>
            <m:t>S</m:t>
          </m:r>
          <m:sSub>
            <m:e>
              <m:r>
                <m:t>R</m:t>
              </m:r>
            </m:e>
            <m:sub>
              <m:r>
                <m:t>b</m:t>
              </m:r>
              <m:r>
                <m:t>a</m:t>
              </m:r>
              <m:r>
                <m:t>s</m:t>
              </m:r>
              <m:r>
                <m:t>e</m:t>
              </m:r>
            </m:sub>
          </m:sSub>
        </m:oMath>
      </m:oMathPara>
    </w:p>
    <w:bookmarkEnd w:id="86"/>
    <w:bookmarkStart w:id="92" w:name="X384c0c3c983e0c0cecb046cfdf19f3cf5bf77b3"/>
    <w:p>
      <w:pPr>
        <w:pStyle w:val="Heading3"/>
      </w:pPr>
      <w:r>
        <w:t xml:space="preserve">6.3 Ajustement du capital de solvabilité requis</w:t>
      </w:r>
    </w:p>
    <w:bookmarkStart w:id="87" w:name="X60f7df077bb6b37af80367e8ec055588dd69751"/>
    <w:p>
      <w:pPr>
        <w:pStyle w:val="Heading4"/>
      </w:pPr>
      <w:r>
        <w:t xml:space="preserve">6.3.1 Ajustement visant à tenir compte de la capacité d’absorption des pertes par les assurés (</w:t>
      </w:r>
      <m:oMath>
        <m:r>
          <m:t>A</m:t>
        </m:r>
        <m:r>
          <m:t>d</m:t>
        </m:r>
        <m:sSubSup>
          <m:e>
            <m:r>
              <m:t>j</m:t>
            </m:r>
          </m:e>
          <m:sub>
            <m:r>
              <m:t>a</m:t>
            </m:r>
            <m:r>
              <m:t>s</m:t>
            </m:r>
            <m:r>
              <m:t>s</m:t>
            </m:r>
            <m:r>
              <m:t>u</m:t>
            </m:r>
            <m:r>
              <m:t>r</m:t>
            </m:r>
            <m:r>
              <m:t>e</m:t>
            </m:r>
            <m:r>
              <m:t>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assurés egale au minimum de l’écart entre le capital de solvabilité requis de base calculées brutes et nettes d’absorption par les assurés, d’une part, et le montant des bénéfices discrétionnaires futures d’autre part.</w:t>
      </w:r>
    </w:p>
    <w:p>
      <w:pPr>
        <w:pStyle w:val="BodyText"/>
      </w:pPr>
      <m:oMathPara>
        <m:oMathParaPr>
          <m:jc m:val="center"/>
        </m:oMathParaPr>
        <m:oMath>
          <m:r>
            <m:t>A</m:t>
          </m:r>
          <m:r>
            <m:t>d</m:t>
          </m:r>
          <m:sSubSup>
            <m:e>
              <m:r>
                <m:t>j</m:t>
              </m:r>
            </m:e>
            <m:sub>
              <m:r>
                <m:t>a</m:t>
              </m:r>
              <m:r>
                <m:t>s</m:t>
              </m:r>
              <m:r>
                <m:t>s</m:t>
              </m:r>
              <m:r>
                <m:t>u</m:t>
              </m:r>
              <m:r>
                <m:t>r</m:t>
              </m:r>
              <m:r>
                <m:t>e</m:t>
              </m:r>
              <m:r>
                <m:t>s</m:t>
              </m:r>
            </m:sub>
            <m:sup>
              <m:r>
                <m:t>P</m:t>
              </m:r>
              <m:r>
                <m:t>e</m:t>
              </m:r>
              <m:r>
                <m:t>r</m:t>
              </m:r>
              <m:r>
                <m:t>t</m:t>
              </m:r>
              <m:r>
                <m:t>e</m:t>
              </m:r>
              <m:r>
                <m:t>s</m:t>
              </m:r>
            </m:sup>
          </m:sSubSup>
          <m:r>
            <m:rPr>
              <m:sty m:val="p"/>
            </m:rPr>
            <m:t>=</m:t>
          </m:r>
          <m:r>
            <m:t>m</m:t>
          </m:r>
          <m:r>
            <m:t>i</m:t>
          </m:r>
          <m:r>
            <m:t>n</m:t>
          </m:r>
          <m:d>
            <m:dPr>
              <m:begChr m:val="("/>
              <m:endChr m:val=")"/>
              <m:sepChr m:val=""/>
              <m:grow/>
            </m:dPr>
            <m:e>
              <m:r>
                <m:t>C</m:t>
              </m:r>
              <m:r>
                <m:t>S</m:t>
              </m:r>
              <m:sSubSup>
                <m:e>
                  <m:r>
                    <m:t>R</m:t>
                  </m:r>
                </m:e>
                <m:sub>
                  <m:r>
                    <m:t>b</m:t>
                  </m:r>
                  <m:r>
                    <m:t>a</m:t>
                  </m:r>
                  <m:r>
                    <m:t>s</m:t>
                  </m:r>
                  <m:r>
                    <m:t>e</m:t>
                  </m:r>
                </m:sub>
                <m:sup>
                  <m:r>
                    <m:t>n</m:t>
                  </m:r>
                  <m:r>
                    <m:t>e</m:t>
                  </m:r>
                  <m:r>
                    <m:t>t</m:t>
                  </m:r>
                  <m:r>
                    <m:t>t</m:t>
                  </m:r>
                  <m:r>
                    <m:t>e</m:t>
                  </m:r>
                  <m:r>
                    <m:t>s</m:t>
                  </m:r>
                </m:sup>
              </m:sSubSup>
              <m:r>
                <m:rPr>
                  <m:sty m:val="p"/>
                </m:rPr>
                <m:t>−</m:t>
              </m:r>
              <m:r>
                <m:t>C</m:t>
              </m:r>
              <m:r>
                <m:t>S</m:t>
              </m:r>
              <m:sSubSup>
                <m:e>
                  <m:r>
                    <m:t>R</m:t>
                  </m:r>
                </m:e>
                <m:sub>
                  <m:r>
                    <m:t>b</m:t>
                  </m:r>
                  <m:r>
                    <m:t>a</m:t>
                  </m:r>
                  <m:r>
                    <m:t>s</m:t>
                  </m:r>
                  <m:r>
                    <m:t>e</m:t>
                  </m:r>
                </m:sub>
                <m:sup>
                  <m:r>
                    <m:t>b</m:t>
                  </m:r>
                  <m:r>
                    <m:t>r</m:t>
                  </m:r>
                  <m:r>
                    <m:t>u</m:t>
                  </m:r>
                  <m:r>
                    <m:t>t</m:t>
                  </m:r>
                  <m:r>
                    <m:t>e</m:t>
                  </m:r>
                  <m:r>
                    <m:t>s</m:t>
                  </m:r>
                </m:sup>
              </m:sSubSup>
              <m:r>
                <m:rPr>
                  <m:sty m:val="p"/>
                </m:rPr>
                <m:t>;</m:t>
              </m:r>
              <m:r>
                <m:t>B</m:t>
              </m:r>
              <m:r>
                <m:t>D</m:t>
              </m:r>
              <m:r>
                <m:t>F</m:t>
              </m:r>
            </m:e>
          </m:d>
        </m:oMath>
      </m:oMathPara>
    </w:p>
    <w:bookmarkEnd w:id="87"/>
    <w:bookmarkStart w:id="91" w:name="Xbd336be1e04da1ede3fc1224bb2eedd17c6bfce"/>
    <w:p>
      <w:pPr>
        <w:pStyle w:val="Heading4"/>
      </w:pPr>
      <w:r>
        <w:t xml:space="preserve">6.3.2 Ajustement visant à tenir compte de la capacité d’absorption des pertes par les impôts différés (</w:t>
      </w:r>
      <m:oMath>
        <m:r>
          <m:t>A</m:t>
        </m:r>
        <m:r>
          <m:t>j</m:t>
        </m:r>
        <m:sSubSup>
          <m:e>
            <m:r>
              <m:t>t</m:t>
            </m:r>
          </m:e>
          <m:sub>
            <m:r>
              <m:rPr>
                <m:nor/>
                <m:sty m:val="p"/>
              </m:rPr>
              <m:t>impots differes</m:t>
            </m:r>
          </m:sub>
          <m:sup>
            <m:r>
              <m:t>P</m:t>
            </m:r>
            <m:r>
              <m:t>e</m:t>
            </m:r>
            <m:r>
              <m:t>r</m:t>
            </m:r>
            <m:r>
              <m:t>t</m:t>
            </m:r>
            <m:r>
              <m:t>e</m:t>
            </m:r>
            <m:r>
              <m:t>s</m:t>
            </m:r>
          </m:sup>
        </m:sSubSup>
      </m:oMath>
      <w:r>
        <w:t xml:space="preserve">)</w:t>
      </w:r>
    </w:p>
    <w:p>
      <w:pPr>
        <w:pStyle w:val="FirstParagraph"/>
      </w:pPr>
      <w:r>
        <w:t xml:space="preserve">L’ajustement visant à tenir compte de la capacité d’absorption des pertes par les impôts différés correspond au produit du taux d’impôts et le minimum de la somme du capital de solvabilité requis de base et l’exigence de capital relative au risque opérationnel diminuée de l’ajustement visant à tenir compte de la capacité d’absorption des pertes par les assurés, d’une part, et l’écart positif entre les impôts différés-passif et les impôts différés-actif, d’autre part.</w:t>
      </w:r>
    </w:p>
    <w:p>
      <w:pPr>
        <w:pStyle w:val="BodyText"/>
      </w:pPr>
      <m:oMathPara>
        <m:oMathParaPr>
          <m:jc m:val="center"/>
        </m:oMathParaPr>
        <m:oMath>
          <m:r>
            <m:t>A</m:t>
          </m:r>
          <m:r>
            <m:t>j</m:t>
          </m:r>
          <m:sSubSup>
            <m:e>
              <m:r>
                <m:t>t</m:t>
              </m:r>
            </m:e>
            <m:sub>
              <m:r>
                <m:rPr>
                  <m:nor/>
                  <m:sty m:val="p"/>
                </m:rPr>
                <m:t>impots differes</m:t>
              </m:r>
            </m:sub>
            <m:sup>
              <m:r>
                <m:t>P</m:t>
              </m:r>
              <m:r>
                <m:t>e</m:t>
              </m:r>
              <m:r>
                <m:t>r</m:t>
              </m:r>
              <m:r>
                <m:t>t</m:t>
              </m:r>
              <m:r>
                <m:t>e</m:t>
              </m:r>
              <m:r>
                <m:t>s</m:t>
              </m:r>
            </m:sup>
          </m:sSubSup>
          <m:r>
            <m:rPr>
              <m:sty m:val="p"/>
            </m:rPr>
            <m:t>=</m:t>
          </m:r>
          <m:r>
            <m:t>T</m:t>
          </m:r>
          <m:sSub>
            <m:e>
              <m:r>
                <m:t>x</m:t>
              </m:r>
            </m:e>
            <m:sub>
              <m:r>
                <m:t>i</m:t>
              </m:r>
              <m:r>
                <m:t>m</m:t>
              </m:r>
              <m:r>
                <m:t>p</m:t>
              </m:r>
              <m:r>
                <m:t>o</m:t>
              </m:r>
              <m:r>
                <m:t>t</m:t>
              </m:r>
              <m:r>
                <m:t>s</m:t>
              </m:r>
            </m:sub>
          </m:sSub>
          <m:r>
            <m:rPr>
              <m:sty m:val="p"/>
            </m:rPr>
            <m:t>×</m:t>
          </m:r>
          <m:r>
            <m:t>m</m:t>
          </m:r>
          <m:r>
            <m:t>i</m:t>
          </m:r>
          <m:r>
            <m:t>n</m:t>
          </m:r>
          <m:d>
            <m:dPr>
              <m:begChr m:val="("/>
              <m:endChr m:val=")"/>
              <m:sepChr m:val=""/>
              <m:grow/>
            </m:dPr>
            <m:e>
              <m:r>
                <m:t>C</m:t>
              </m:r>
              <m:r>
                <m:t>S</m:t>
              </m:r>
              <m:sSub>
                <m:e>
                  <m:r>
                    <m:t>R</m:t>
                  </m:r>
                </m:e>
                <m:sub>
                  <m:r>
                    <m:t>b</m:t>
                  </m:r>
                  <m:r>
                    <m:t>a</m:t>
                  </m:r>
                  <m:r>
                    <m:t>s</m:t>
                  </m:r>
                  <m:r>
                    <m:t>e</m:t>
                  </m:r>
                </m:sub>
              </m:sSub>
              <m:r>
                <m:rPr>
                  <m:sty m:val="p"/>
                </m:rPr>
                <m:t>+</m:t>
              </m:r>
              <m:r>
                <m:t>C</m:t>
              </m:r>
              <m:r>
                <m:t>S</m:t>
              </m:r>
              <m:r>
                <m:t>R</m:t>
              </m:r>
              <m:r>
                <m:t>o</m:t>
              </m:r>
              <m:r>
                <m:t>p</m:t>
              </m:r>
              <m:r>
                <m:t>e</m:t>
              </m:r>
              <m:r>
                <m:t>r</m:t>
              </m:r>
              <m:r>
                <m:t>a</m:t>
              </m:r>
              <m:r>
                <m:t>t</m:t>
              </m:r>
              <m:r>
                <m:t>i</m:t>
              </m:r>
              <m:r>
                <m:t>o</m:t>
              </m:r>
              <m:r>
                <m:t>n</m:t>
              </m:r>
              <m:r>
                <m:t>n</m:t>
              </m:r>
              <m:r>
                <m:t>e</m:t>
              </m:r>
              <m:r>
                <m:t>l</m:t>
              </m:r>
              <m:r>
                <m:rPr>
                  <m:sty m:val="p"/>
                </m:rPr>
                <m:t>−</m:t>
              </m:r>
              <m:r>
                <m:t>A</m:t>
              </m:r>
              <m:r>
                <m:t>d</m:t>
              </m:r>
              <m:sSubSup>
                <m:e>
                  <m:r>
                    <m:t>j</m:t>
                  </m:r>
                </m:e>
                <m:sub>
                  <m:r>
                    <m:t>a</m:t>
                  </m:r>
                  <m:r>
                    <m:t>s</m:t>
                  </m:r>
                  <m:r>
                    <m:t>s</m:t>
                  </m:r>
                  <m:r>
                    <m:t>u</m:t>
                  </m:r>
                  <m:r>
                    <m:t>r</m:t>
                  </m:r>
                  <m:r>
                    <m:t>e</m:t>
                  </m:r>
                  <m:r>
                    <m:t>s</m:t>
                  </m:r>
                </m:sub>
                <m:sup>
                  <m:r>
                    <m:t>P</m:t>
                  </m:r>
                  <m:r>
                    <m:t>e</m:t>
                  </m:r>
                  <m:r>
                    <m:t>r</m:t>
                  </m:r>
                  <m:r>
                    <m:t>t</m:t>
                  </m:r>
                  <m:r>
                    <m:t>e</m:t>
                  </m:r>
                  <m:r>
                    <m:t>s</m:t>
                  </m:r>
                </m:sup>
              </m:sSubSup>
              <m:r>
                <m:rPr>
                  <m:sty m:val="p"/>
                </m:rPr>
                <m:t>;</m:t>
              </m:r>
              <m:r>
                <m:t>I</m:t>
              </m:r>
              <m:r>
                <m:t>m</m:t>
              </m:r>
              <m:r>
                <m:t>p</m:t>
              </m:r>
              <m:r>
                <m:t>o</m:t>
              </m:r>
              <m:r>
                <m:t>t</m:t>
              </m:r>
              <m:sSubSup>
                <m:e>
                  <m:r>
                    <m:t>s</m:t>
                  </m:r>
                </m:e>
                <m:sub>
                  <m:r>
                    <m:t>p</m:t>
                  </m:r>
                  <m:r>
                    <m:t>a</m:t>
                  </m:r>
                  <m:r>
                    <m:t>s</m:t>
                  </m:r>
                  <m:r>
                    <m:t>s</m:t>
                  </m:r>
                  <m:r>
                    <m:t>i</m:t>
                  </m:r>
                  <m:r>
                    <m:t>f</m:t>
                  </m:r>
                </m:sub>
                <m:sup>
                  <m:r>
                    <m:t>d</m:t>
                  </m:r>
                  <m:r>
                    <m:t>i</m:t>
                  </m:r>
                  <m:r>
                    <m:t>f</m:t>
                  </m:r>
                  <m:r>
                    <m:t>f</m:t>
                  </m:r>
                  <m:r>
                    <m:t>e</m:t>
                  </m:r>
                  <m:r>
                    <m:t>r</m:t>
                  </m:r>
                  <m:r>
                    <m:t>e</m:t>
                  </m:r>
                  <m:r>
                    <m:t>s</m:t>
                  </m:r>
                </m:sup>
              </m:sSubSup>
              <m:r>
                <m:rPr>
                  <m:sty m:val="p"/>
                </m:rPr>
                <m:t>−</m:t>
              </m:r>
              <m:r>
                <m:t>I</m:t>
              </m:r>
              <m:r>
                <m:t>m</m:t>
              </m:r>
              <m:r>
                <m:t>p</m:t>
              </m:r>
              <m:r>
                <m:t>o</m:t>
              </m:r>
              <m:r>
                <m:t>t</m:t>
              </m:r>
              <m:sSubSup>
                <m:e>
                  <m:r>
                    <m:t>s</m:t>
                  </m:r>
                </m:e>
                <m:sub>
                  <m:r>
                    <m:t>a</m:t>
                  </m:r>
                  <m:r>
                    <m:t>c</m:t>
                  </m:r>
                  <m:r>
                    <m:t>t</m:t>
                  </m:r>
                  <m:r>
                    <m:t>i</m:t>
                  </m:r>
                  <m:r>
                    <m:t>f</m:t>
                  </m:r>
                </m:sub>
                <m:sup>
                  <m:r>
                    <m:t>d</m:t>
                  </m:r>
                  <m:r>
                    <m:t>i</m:t>
                  </m:r>
                  <m:r>
                    <m:t>f</m:t>
                  </m:r>
                  <m:r>
                    <m:t>f</m:t>
                  </m:r>
                  <m:r>
                    <m:t>e</m:t>
                  </m:r>
                  <m:r>
                    <m:t>r</m:t>
                  </m:r>
                  <m:r>
                    <m:t>e</m:t>
                  </m:r>
                  <m:r>
                    <m:t>s</m:t>
                  </m:r>
                </m:sup>
              </m:sSubSup>
            </m:e>
          </m:d>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Applications/RStudio.app/Contents/Resources/app/quarto/share/formats/docx/tip.png" id="90" name="Picture"/>
                          <pic:cNvPicPr>
                            <a:picLocks noChangeArrowheads="1" noChangeAspect="1"/>
                          </pic:cNvPicPr>
                        </pic:nvPicPr>
                        <pic:blipFill>
                          <a:blip r:embed="rId8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Remarque</w:t>
            </w:r>
          </w:p>
        </w:tc>
      </w:tr>
      <w:tr>
        <w:trPr>
          <w:cantSplit/>
        </w:trPr>
        <w:tc>
          <w:tcPr>
            <w:tcMar>
              <w:top w:w="108" w:type="dxa"/>
              <w:bottom w:w="108" w:type="dxa"/>
            </w:tcMar>
          </w:tcPr>
          <w:p>
            <w:pPr>
              <w:pStyle w:val="BodyText"/>
            </w:pPr>
            <w:pPr>
              <w:spacing w:before="16" w:after="16"/>
            </w:pPr>
            <w:r>
              <w:t xml:space="preserve">Dans le cas où l’écart entre les impôts différés-passif et les impôts différés-actif est négatif, l’ajustement précité est nul.</w:t>
            </w:r>
          </w:p>
        </w:tc>
      </w:tr>
    </w:tbl>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https://www.acaps.ma/fr/l-acaps/missions</w:t>
      </w:r>
    </w:p>
  </w:footnote>
  <w:footnote w:id="23">
    <w:p>
      <w:pPr>
        <w:pStyle w:val="FootnoteText"/>
      </w:pPr>
      <w:r>
        <w:rPr>
          <w:rStyle w:val="FootnoteReference"/>
        </w:rPr>
        <w:footnoteRef/>
      </w:r>
      <w:r>
        <w:t xml:space="preserve"> </w:t>
      </w:r>
      <w:r>
        <w:t xml:space="preserve">https://www.atlas-mag.net/article/marche-africain-de-l-assurance-en-2019-chiffre-d-affaires-des-principaux-pays</w:t>
      </w:r>
    </w:p>
  </w:footnote>
  <w:footnote w:id="30">
    <w:p>
      <w:pPr>
        <w:pStyle w:val="FootnoteText"/>
      </w:pPr>
      <w:r>
        <w:rPr>
          <w:rStyle w:val="FootnoteReference"/>
        </w:rPr>
        <w:footnoteRef/>
      </w:r>
      <w:r>
        <w:t xml:space="preserve"> </w:t>
      </w:r>
      <w:r>
        <w:t xml:space="preserve">Alonso Peña, Ph.D, C++ For Quantitative Finance</w:t>
      </w:r>
    </w:p>
  </w:footnote>
  <w:footnote w:id="47">
    <w:p>
      <w:pPr>
        <w:pStyle w:val="FootnoteText"/>
      </w:pPr>
      <w:r>
        <w:rPr>
          <w:rStyle w:val="FootnoteReference"/>
        </w:rPr>
        <w:footnoteRef/>
      </w:r>
      <w:r>
        <w:t xml:space="preserve"> </w:t>
      </w:r>
      <w:r>
        <w:t xml:space="preserve">Un contrat d’assurance mixte à prime unique sur</w:t>
      </w:r>
      <w:r>
        <w:t xml:space="preserve"> </w:t>
      </w:r>
      <m:oMath>
        <m:r>
          <m:t>N</m:t>
        </m:r>
      </m:oMath>
      <w:r>
        <w:t xml:space="preserve"> </w:t>
      </w:r>
      <w:r>
        <w:t xml:space="preserve">années est un type de contrat d’assurance-vie qui permet de financer l’assurance-vie en une seule fois. Cela signifie que vous payez une prime unique pour couvrir toute la durée du contrat. Ce type de contrat est destiné aux personnes qui disposent d’un capital et souhaitent diversifier leurs placements tout en protégeant leurs proches. Dans sa variante « mixte », elle permet de réaliser un placement rémunérateur tout en assurant une couverture financière à ses proches.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hyperlink" Id="rId22" Target="https://www.atlas-mag.net/article/marche-africain-de-l-assurance-en-2019-chiffre-d-affaires-des-principaux-pays" TargetMode="External" /></Relationships>
</file>

<file path=word/_rels/footnotes.xml.rels><?xml version="1.0" encoding="UTF-8"?><Relationships xmlns="http://schemas.openxmlformats.org/package/2006/relationships"><Relationship Type="http://schemas.openxmlformats.org/officeDocument/2006/relationships/hyperlink" Id="rId22" Target="https://www.atlas-mag.net/article/marche-africain-de-l-assurance-en-2019-chiffre-d-affaires-des-principaux-pay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PFE</dc:title>
  <dc:creator>DIAKITE Abdoul Oudouss, ETTADLAOUI Othmane</dc:creator>
  <cp:keywords/>
  <dcterms:created xsi:type="dcterms:W3CDTF">2023-05-15T17:28:37Z</dcterms:created>
  <dcterms:modified xsi:type="dcterms:W3CDTF">2023-05-15T17:28:37Z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