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2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Pendant longtemps, l’assurance au Maroc n’a pas été toujours une culture de nos ancêtres. Cette notion a été considérée comme immorale car elle développait la négligence et l’idee de pari. L’assurance aussi a été inacceptable par le système juridique islamique,En excluant les besoins de la croissance économique.</w:t>
      </w:r>
      <w:r>
        <w:t xml:space="preserve"> </w:t>
      </w:r>
      <w:r>
        <w:t xml:space="preserve">Ainsi que, Le faible pouvoir d’achat de la plupart des couches de la population qui considèrent l’assurance comme un produit de luxe, réservé seulement aux marocains issus de la classe à revenu élevé, constituait en partie un véritable handicap au développement naturel de ce secteur. Pour toutes ces raisons, l’assurance, toutes branches confondues, totalement étrangère à la tradition juridique du pays, n’a pu voir le jour qu’après l’avènement du protectorat.</w:t>
      </w:r>
    </w:p>
    <w:p>
      <w:pPr>
        <w:pStyle w:val="BodyText"/>
      </w:pPr>
      <w:r>
        <w:t xml:space="preserve">Au fil du temps, cette pratique a réussi à se tisser une place dans la société marocaine. Les premières compagnies d’assurances étaient des compagnies étrangères travaillant dans le domaine de l’assurance maritime, et ce n’est qu’après, que cette activité a pu se généraliser pour toucher d’autres secteurs avec notamment l’arrivée de nouveaux besoins (santé, automobile, biens divers…).</w:t>
      </w:r>
    </w:p>
    <w:p>
      <w:pPr>
        <w:pStyle w:val="BodyText"/>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29"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1131"/>
        <w:gridCol w:w="1131"/>
        <w:gridCol w:w="1131"/>
        <w:gridCol w:w="1131"/>
        <w:gridCol w:w="1131"/>
        <w:gridCol w:w="1131"/>
        <w:gridCol w:w="1131"/>
      </w:tblGrid>
      <w:tr>
        <w:trPr>
          <w:tblHeader w:val="true"/>
        </w:trPr>
        <w:tc>
          <w:tcPr/>
          <w:p>
            <w:pPr>
              <w:pStyle w:val="Compact"/>
              <w:jc w:val="left"/>
            </w:pPr>
            <w:r>
              <w:t xml:space="preserve">Rang</w:t>
            </w:r>
          </w:p>
        </w:tc>
        <w:tc>
          <w:tcPr/>
          <w:p>
            <w:pPr>
              <w:pStyle w:val="Compact"/>
              <w:jc w:val="left"/>
            </w:pPr>
            <w:r>
              <w:t xml:space="preserve">Rang</w:t>
            </w:r>
          </w:p>
        </w:tc>
        <w:tc>
          <w:tcPr/>
          <w:p>
            <w:pPr>
              <w:pStyle w:val="Compact"/>
              <w:jc w:val="left"/>
            </w:pPr>
            <w:r>
              <w:t xml:space="preserve">Pays</w:t>
            </w:r>
          </w:p>
        </w:tc>
        <w:tc>
          <w:tcPr/>
          <w:p>
            <w:pPr>
              <w:pStyle w:val="Compact"/>
              <w:jc w:val="left"/>
            </w:pPr>
            <w:r>
              <w:t xml:space="preserve">Chiffre d'affaires</w:t>
            </w:r>
          </w:p>
        </w:tc>
        <w:tc>
          <w:tcPr/>
          <w:p>
            <w:pPr>
              <w:pStyle w:val="Compact"/>
              <w:jc w:val="left"/>
            </w:pPr>
            <w:r>
              <w:t xml:space="preserve">Chiffre d'affaires</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Régional</w:t>
            </w:r>
          </w:p>
        </w:tc>
        <w:tc>
          <w:tcPr/>
          <w:p>
            <w:pPr>
              <w:pStyle w:val="Compact"/>
              <w:jc w:val="left"/>
            </w:pPr>
            <w:r>
              <w:t xml:space="preserve">Mondial</w:t>
            </w:r>
          </w:p>
        </w:tc>
        <w:tc>
          <w:tcPr/>
          <w:p>
            <w:pPr>
              <w:pStyle w:val="Compact"/>
              <w:jc w:val="left"/>
            </w:pPr>
            <w:r>
              <w:t xml:space="preserve">Pays</w:t>
            </w:r>
          </w:p>
        </w:tc>
        <w:tc>
          <w:tcPr/>
          <w:p>
            <w:pPr>
              <w:pStyle w:val="Compact"/>
              <w:jc w:val="left"/>
            </w:pPr>
            <w:r>
              <w:t xml:space="preserve">2021</w:t>
            </w:r>
          </w:p>
        </w:tc>
        <w:tc>
          <w:tcPr/>
          <w:p>
            <w:pPr>
              <w:pStyle w:val="Compact"/>
              <w:jc w:val="left"/>
            </w:pPr>
            <w:r>
              <w:t xml:space="preserve">2020</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1</w:t>
            </w:r>
          </w:p>
        </w:tc>
        <w:tc>
          <w:tcPr/>
          <w:p>
            <w:pPr>
              <w:pStyle w:val="Compact"/>
              <w:jc w:val="left"/>
            </w:pPr>
            <w:r>
              <w:t xml:space="preserve">19</w:t>
            </w:r>
          </w:p>
        </w:tc>
        <w:tc>
          <w:tcPr/>
          <w:p>
            <w:pPr>
              <w:pStyle w:val="Compact"/>
              <w:jc w:val="left"/>
            </w:pPr>
            <w:r>
              <w:t xml:space="preserve">Afrique du Sud</w:t>
            </w:r>
          </w:p>
        </w:tc>
        <w:tc>
          <w:tcPr/>
          <w:p>
            <w:pPr>
              <w:pStyle w:val="Compact"/>
              <w:jc w:val="left"/>
            </w:pPr>
            <w:r>
              <w:t xml:space="preserve">51 215</w:t>
            </w:r>
          </w:p>
        </w:tc>
        <w:tc>
          <w:tcPr/>
          <w:p>
            <w:pPr>
              <w:pStyle w:val="Compact"/>
              <w:jc w:val="left"/>
            </w:pPr>
            <w:r>
              <w:t xml:space="preserve">41 110</w:t>
            </w:r>
          </w:p>
        </w:tc>
        <w:tc>
          <w:tcPr/>
          <w:p>
            <w:pPr>
              <w:pStyle w:val="Compact"/>
              <w:jc w:val="left"/>
            </w:pPr>
            <w:r>
              <w:t xml:space="preserve">24,58%</w:t>
            </w:r>
          </w:p>
        </w:tc>
        <w:tc>
          <w:tcPr/>
          <w:p>
            <w:pPr>
              <w:pStyle w:val="Compact"/>
              <w:jc w:val="left"/>
            </w:pPr>
            <w:r>
              <w:t xml:space="preserve">69,03%</w:t>
            </w:r>
          </w:p>
        </w:tc>
      </w:tr>
      <w:tr>
        <w:tc>
          <w:tcPr/>
          <w:p>
            <w:pPr>
              <w:pStyle w:val="Compact"/>
              <w:jc w:val="left"/>
            </w:pPr>
            <w:r>
              <w:t xml:space="preserve">2</w:t>
            </w:r>
          </w:p>
        </w:tc>
        <w:tc>
          <w:tcPr/>
          <w:p>
            <w:pPr>
              <w:pStyle w:val="Compact"/>
              <w:jc w:val="left"/>
            </w:pPr>
            <w:r>
              <w:t xml:space="preserve">49</w:t>
            </w:r>
          </w:p>
        </w:tc>
        <w:tc>
          <w:tcPr/>
          <w:p>
            <w:pPr>
              <w:pStyle w:val="Compact"/>
              <w:jc w:val="left"/>
            </w:pPr>
            <w:r>
              <w:t xml:space="preserve">Maroc</w:t>
            </w:r>
          </w:p>
        </w:tc>
        <w:tc>
          <w:tcPr/>
          <w:p>
            <w:pPr>
              <w:pStyle w:val="Compact"/>
              <w:jc w:val="left"/>
            </w:pPr>
            <w:r>
              <w:t xml:space="preserve">5 343</w:t>
            </w:r>
          </w:p>
        </w:tc>
        <w:tc>
          <w:tcPr/>
          <w:p>
            <w:pPr>
              <w:pStyle w:val="Compact"/>
              <w:jc w:val="left"/>
            </w:pPr>
            <w:r>
              <w:t xml:space="preserve">4 774</w:t>
            </w:r>
          </w:p>
        </w:tc>
        <w:tc>
          <w:tcPr/>
          <w:p>
            <w:pPr>
              <w:pStyle w:val="Compact"/>
              <w:jc w:val="left"/>
            </w:pPr>
            <w:r>
              <w:t xml:space="preserve">11,92%</w:t>
            </w:r>
          </w:p>
        </w:tc>
        <w:tc>
          <w:tcPr/>
          <w:p>
            <w:pPr>
              <w:pStyle w:val="Compact"/>
              <w:jc w:val="left"/>
            </w:pPr>
            <w:r>
              <w:t xml:space="preserve">7,20%</w:t>
            </w:r>
          </w:p>
        </w:tc>
      </w:tr>
      <w:tr>
        <w:tc>
          <w:tcPr/>
          <w:p>
            <w:pPr>
              <w:pStyle w:val="Compact"/>
              <w:jc w:val="left"/>
            </w:pPr>
            <w:r>
              <w:t xml:space="preserve">3</w:t>
            </w:r>
          </w:p>
        </w:tc>
        <w:tc>
          <w:tcPr/>
          <w:p>
            <w:pPr>
              <w:pStyle w:val="Compact"/>
              <w:jc w:val="left"/>
            </w:pPr>
            <w:r>
              <w:t xml:space="preserve">55</w:t>
            </w:r>
          </w:p>
        </w:tc>
        <w:tc>
          <w:tcPr/>
          <w:p>
            <w:pPr>
              <w:pStyle w:val="Compact"/>
              <w:jc w:val="left"/>
            </w:pPr>
            <w:r>
              <w:t xml:space="preserve">Egypte</w:t>
            </w:r>
          </w:p>
        </w:tc>
        <w:tc>
          <w:tcPr/>
          <w:p>
            <w:pPr>
              <w:pStyle w:val="Compact"/>
              <w:jc w:val="left"/>
            </w:pPr>
            <w:r>
              <w:t xml:space="preserve">2 808</w:t>
            </w:r>
          </w:p>
        </w:tc>
        <w:tc>
          <w:tcPr/>
          <w:p>
            <w:pPr>
              <w:pStyle w:val="Compact"/>
              <w:jc w:val="left"/>
            </w:pPr>
            <w:r>
              <w:t xml:space="preserve">2 390</w:t>
            </w:r>
          </w:p>
        </w:tc>
        <w:tc>
          <w:tcPr/>
          <w:p>
            <w:pPr>
              <w:pStyle w:val="Compact"/>
              <w:jc w:val="left"/>
            </w:pPr>
            <w:r>
              <w:t xml:space="preserve">17,49%</w:t>
            </w:r>
          </w:p>
        </w:tc>
        <w:tc>
          <w:tcPr/>
          <w:p>
            <w:pPr>
              <w:pStyle w:val="Compact"/>
              <w:jc w:val="left"/>
            </w:pPr>
            <w:r>
              <w:t xml:space="preserve">3,78%</w:t>
            </w:r>
          </w:p>
        </w:tc>
      </w:tr>
      <w:tr>
        <w:tc>
          <w:tcPr/>
          <w:p>
            <w:pPr>
              <w:pStyle w:val="Compact"/>
              <w:jc w:val="left"/>
            </w:pPr>
            <w:r>
              <w:t xml:space="preserve">4</w:t>
            </w:r>
          </w:p>
        </w:tc>
        <w:tc>
          <w:tcPr/>
          <w:p>
            <w:pPr>
              <w:pStyle w:val="Compact"/>
              <w:jc w:val="left"/>
            </w:pPr>
            <w:r>
              <w:t xml:space="preserve">56</w:t>
            </w:r>
          </w:p>
        </w:tc>
        <w:tc>
          <w:tcPr/>
          <w:p>
            <w:pPr>
              <w:pStyle w:val="Compact"/>
              <w:jc w:val="left"/>
            </w:pPr>
            <w:r>
              <w:t xml:space="preserve">Kenya</w:t>
            </w:r>
          </w:p>
        </w:tc>
        <w:tc>
          <w:tcPr/>
          <w:p>
            <w:pPr>
              <w:pStyle w:val="Compact"/>
              <w:jc w:val="left"/>
            </w:pPr>
            <w:r>
              <w:t xml:space="preserve">2 422</w:t>
            </w:r>
          </w:p>
        </w:tc>
        <w:tc>
          <w:tcPr/>
          <w:p>
            <w:pPr>
              <w:pStyle w:val="Compact"/>
              <w:jc w:val="left"/>
            </w:pPr>
            <w:r>
              <w:t xml:space="preserve">2 190</w:t>
            </w:r>
          </w:p>
        </w:tc>
        <w:tc>
          <w:tcPr/>
          <w:p>
            <w:pPr>
              <w:pStyle w:val="Compact"/>
              <w:jc w:val="left"/>
            </w:pPr>
            <w:r>
              <w:t xml:space="preserve">10,59%</w:t>
            </w:r>
          </w:p>
        </w:tc>
        <w:tc>
          <w:tcPr/>
          <w:p>
            <w:pPr>
              <w:pStyle w:val="Compact"/>
              <w:jc w:val="left"/>
            </w:pPr>
            <w:r>
              <w:t xml:space="preserve">3,26%</w:t>
            </w:r>
          </w:p>
        </w:tc>
      </w:tr>
      <w:tr>
        <w:tc>
          <w:tcPr/>
          <w:p>
            <w:pPr>
              <w:pStyle w:val="Compact"/>
              <w:jc w:val="left"/>
            </w:pPr>
            <w:r>
              <w:t xml:space="preserve">5</w:t>
            </w:r>
          </w:p>
        </w:tc>
        <w:tc>
          <w:tcPr/>
          <w:p>
            <w:pPr>
              <w:pStyle w:val="Compact"/>
              <w:jc w:val="left"/>
            </w:pPr>
            <w:r>
              <w:t xml:space="preserve">70</w:t>
            </w:r>
          </w:p>
        </w:tc>
        <w:tc>
          <w:tcPr/>
          <w:p>
            <w:pPr>
              <w:pStyle w:val="Compact"/>
              <w:jc w:val="left"/>
            </w:pPr>
            <w:r>
              <w:t xml:space="preserve">Nigéria</w:t>
            </w:r>
          </w:p>
        </w:tc>
        <w:tc>
          <w:tcPr/>
          <w:p>
            <w:pPr>
              <w:pStyle w:val="Compact"/>
              <w:jc w:val="left"/>
            </w:pPr>
            <w:r>
              <w:t xml:space="preserve">1 582</w:t>
            </w:r>
          </w:p>
        </w:tc>
        <w:tc>
          <w:tcPr/>
          <w:p>
            <w:pPr>
              <w:pStyle w:val="Compact"/>
              <w:jc w:val="left"/>
            </w:pPr>
            <w:r>
              <w:t xml:space="preserve">1 433</w:t>
            </w:r>
          </w:p>
        </w:tc>
        <w:tc>
          <w:tcPr/>
          <w:p>
            <w:pPr>
              <w:pStyle w:val="Compact"/>
              <w:jc w:val="left"/>
            </w:pPr>
            <w:r>
              <w:t xml:space="preserve">10,40%</w:t>
            </w:r>
          </w:p>
        </w:tc>
        <w:tc>
          <w:tcPr/>
          <w:p>
            <w:pPr>
              <w:pStyle w:val="Compact"/>
              <w:jc w:val="left"/>
            </w:pPr>
            <w:r>
              <w:t xml:space="preserve">2,13%</w:t>
            </w:r>
          </w:p>
        </w:tc>
      </w:tr>
      <w:tr>
        <w:tc>
          <w:tcPr/>
          <w:p>
            <w:pPr>
              <w:pStyle w:val="Compact"/>
              <w:jc w:val="left"/>
            </w:pPr>
            <w:r>
              <w:t xml:space="preserve">6</w:t>
            </w:r>
          </w:p>
        </w:tc>
        <w:tc>
          <w:tcPr/>
          <w:p>
            <w:pPr>
              <w:pStyle w:val="Compact"/>
              <w:jc w:val="left"/>
            </w:pPr>
            <w:r>
              <w:t xml:space="preserve">79</w:t>
            </w:r>
          </w:p>
        </w:tc>
        <w:tc>
          <w:tcPr/>
          <w:p>
            <w:pPr>
              <w:pStyle w:val="Compact"/>
              <w:jc w:val="left"/>
            </w:pPr>
            <w:r>
              <w:t xml:space="preserve">Algérie</w:t>
            </w:r>
          </w:p>
        </w:tc>
        <w:tc>
          <w:tcPr/>
          <w:p>
            <w:pPr>
              <w:pStyle w:val="Compact"/>
              <w:jc w:val="left"/>
            </w:pPr>
            <w:r>
              <w:t xml:space="preserve">1 075</w:t>
            </w:r>
          </w:p>
        </w:tc>
        <w:tc>
          <w:tcPr/>
          <w:p>
            <w:pPr>
              <w:pStyle w:val="Compact"/>
              <w:jc w:val="left"/>
            </w:pPr>
            <w:r>
              <w:t xml:space="preserve">1 095</w:t>
            </w:r>
          </w:p>
        </w:tc>
        <w:tc>
          <w:tcPr/>
          <w:p>
            <w:pPr>
              <w:pStyle w:val="Compact"/>
              <w:jc w:val="left"/>
            </w:pPr>
            <w:r>
              <w:t xml:space="preserve">-1,83%</w:t>
            </w:r>
          </w:p>
        </w:tc>
        <w:tc>
          <w:tcPr/>
          <w:p>
            <w:pPr>
              <w:pStyle w:val="Compact"/>
              <w:jc w:val="left"/>
            </w:pPr>
            <w:r>
              <w:t xml:space="preserve">1,45%</w:t>
            </w:r>
          </w:p>
        </w:tc>
      </w:tr>
      <w:tr>
        <w:tc>
          <w:tcPr/>
          <w:p>
            <w:pPr>
              <w:pStyle w:val="Compact"/>
              <w:jc w:val="left"/>
            </w:pPr>
            <w:r>
              <w:t xml:space="preserve">7</w:t>
            </w:r>
          </w:p>
        </w:tc>
        <w:tc>
          <w:tcPr/>
          <w:p>
            <w:pPr>
              <w:pStyle w:val="Compact"/>
              <w:jc w:val="left"/>
            </w:pPr>
            <w:r>
              <w:t xml:space="preserve">81</w:t>
            </w:r>
          </w:p>
        </w:tc>
        <w:tc>
          <w:tcPr/>
          <w:p>
            <w:pPr>
              <w:pStyle w:val="Compact"/>
              <w:jc w:val="left"/>
            </w:pPr>
            <w:r>
              <w:t xml:space="preserve">Tunisie</w:t>
            </w:r>
          </w:p>
        </w:tc>
        <w:tc>
          <w:tcPr/>
          <w:p>
            <w:pPr>
              <w:pStyle w:val="Compact"/>
              <w:jc w:val="left"/>
            </w:pPr>
            <w:r>
              <w:t xml:space="preserve">985</w:t>
            </w:r>
          </w:p>
        </w:tc>
        <w:tc>
          <w:tcPr/>
          <w:p>
            <w:pPr>
              <w:pStyle w:val="Compact"/>
              <w:jc w:val="left"/>
            </w:pPr>
            <w:r>
              <w:t xml:space="preserve">900</w:t>
            </w:r>
          </w:p>
        </w:tc>
        <w:tc>
          <w:tcPr/>
          <w:p>
            <w:pPr>
              <w:pStyle w:val="Compact"/>
              <w:jc w:val="left"/>
            </w:pPr>
            <w:r>
              <w:t xml:space="preserve">9,44%</w:t>
            </w:r>
          </w:p>
        </w:tc>
        <w:tc>
          <w:tcPr/>
          <w:p>
            <w:pPr>
              <w:pStyle w:val="Compact"/>
              <w:jc w:val="left"/>
            </w:pPr>
            <w:r>
              <w:t xml:space="preserve">1,33%</w:t>
            </w:r>
          </w:p>
        </w:tc>
      </w:tr>
      <w:tr>
        <w:tc>
          <w:tcPr/>
          <w:p>
            <w:pPr>
              <w:pStyle w:val="Compact"/>
              <w:jc w:val="left"/>
            </w:pPr>
            <w:r>
              <w:t xml:space="preserve">8</w:t>
            </w:r>
          </w:p>
        </w:tc>
        <w:tc>
          <w:tcPr/>
          <w:p>
            <w:pPr>
              <w:pStyle w:val="Compact"/>
              <w:jc w:val="left"/>
            </w:pPr>
            <w:r>
              <w:t xml:space="preserve">83</w:t>
            </w:r>
          </w:p>
        </w:tc>
        <w:tc>
          <w:tcPr/>
          <w:p>
            <w:pPr>
              <w:pStyle w:val="Compact"/>
              <w:jc w:val="left"/>
            </w:pPr>
            <w:r>
              <w:t xml:space="preserve">Namibie</w:t>
            </w:r>
          </w:p>
        </w:tc>
        <w:tc>
          <w:tcPr/>
          <w:p>
            <w:pPr>
              <w:pStyle w:val="Compact"/>
              <w:jc w:val="left"/>
            </w:pPr>
            <w:r>
              <w:t xml:space="preserve">867</w:t>
            </w:r>
          </w:p>
        </w:tc>
        <w:tc>
          <w:tcPr/>
          <w:p>
            <w:pPr>
              <w:pStyle w:val="Compact"/>
              <w:jc w:val="left"/>
            </w:pPr>
            <w:r>
              <w:t xml:space="preserve">788</w:t>
            </w:r>
          </w:p>
        </w:tc>
        <w:tc>
          <w:tcPr/>
          <w:p>
            <w:pPr>
              <w:pStyle w:val="Compact"/>
              <w:jc w:val="left"/>
            </w:pPr>
            <w:r>
              <w:t xml:space="preserve">10,03%</w:t>
            </w:r>
          </w:p>
        </w:tc>
        <w:tc>
          <w:tcPr/>
          <w:p>
            <w:pPr>
              <w:pStyle w:val="Compact"/>
              <w:jc w:val="left"/>
            </w:pPr>
            <w:r>
              <w:t xml:space="preserve">1,17%</w:t>
            </w:r>
          </w:p>
        </w:tc>
      </w:tr>
      <w:tr>
        <w:tc>
          <w:tcPr/>
          <w:p>
            <w:pPr>
              <w:pStyle w:val="Compact"/>
              <w:jc w:val="left"/>
            </w:pPr>
            <w:r>
              <w:t xml:space="preserve">9</w:t>
            </w:r>
          </w:p>
        </w:tc>
        <w:tc>
          <w:tcPr/>
          <w:p>
            <w:pPr>
              <w:pStyle w:val="Compact"/>
              <w:jc w:val="left"/>
            </w:pPr>
            <w:r>
              <w:t xml:space="preserve">86</w:t>
            </w:r>
          </w:p>
        </w:tc>
        <w:tc>
          <w:tcPr/>
          <w:p>
            <w:pPr>
              <w:pStyle w:val="Compact"/>
              <w:jc w:val="left"/>
            </w:pPr>
            <w:r>
              <w:t xml:space="preserve">Côte d'Ivoire</w:t>
            </w:r>
          </w:p>
        </w:tc>
        <w:tc>
          <w:tcPr/>
          <w:p>
            <w:pPr>
              <w:pStyle w:val="Compact"/>
              <w:jc w:val="left"/>
            </w:pPr>
            <w:r>
              <w:t xml:space="preserve">844</w:t>
            </w:r>
          </w:p>
        </w:tc>
        <w:tc>
          <w:tcPr/>
          <w:p>
            <w:pPr>
              <w:pStyle w:val="Compact"/>
              <w:jc w:val="left"/>
            </w:pPr>
            <w:r>
              <w:t xml:space="preserve">694</w:t>
            </w:r>
          </w:p>
        </w:tc>
        <w:tc>
          <w:tcPr/>
          <w:p>
            <w:pPr>
              <w:pStyle w:val="Compact"/>
              <w:jc w:val="left"/>
            </w:pPr>
            <w:r>
              <w:t xml:space="preserve">21,61%</w:t>
            </w:r>
          </w:p>
        </w:tc>
        <w:tc>
          <w:tcPr/>
          <w:p>
            <w:pPr>
              <w:pStyle w:val="Compact"/>
              <w:jc w:val="left"/>
            </w:pPr>
            <w:r>
              <w:t xml:space="preserve">1,14%</w:t>
            </w:r>
          </w:p>
        </w:tc>
      </w:tr>
      <w:tr>
        <w:tc>
          <w:tcPr/>
          <w:p>
            <w:pPr>
              <w:pStyle w:val="Compact"/>
              <w:jc w:val="left"/>
            </w:pPr>
            <w:r>
              <w:t xml:space="preserve">10</w:t>
            </w:r>
          </w:p>
        </w:tc>
        <w:tc>
          <w:tcPr/>
          <w:p>
            <w:pPr>
              <w:pStyle w:val="Compact"/>
              <w:jc w:val="left"/>
            </w:pPr>
            <w:r>
              <w:t xml:space="preserve">88</w:t>
            </w:r>
          </w:p>
        </w:tc>
        <w:tc>
          <w:tcPr/>
          <w:p>
            <w:pPr>
              <w:pStyle w:val="Compact"/>
              <w:jc w:val="left"/>
            </w:pPr>
            <w:r>
              <w:t xml:space="preserve">Ghana</w:t>
            </w:r>
          </w:p>
        </w:tc>
        <w:tc>
          <w:tcPr/>
          <w:p>
            <w:pPr>
              <w:pStyle w:val="Compact"/>
              <w:jc w:val="left"/>
            </w:pPr>
            <w:r>
              <w:t xml:space="preserve">814</w:t>
            </w:r>
          </w:p>
        </w:tc>
        <w:tc>
          <w:tcPr/>
          <w:p>
            <w:pPr>
              <w:pStyle w:val="Compact"/>
              <w:jc w:val="left"/>
            </w:pPr>
            <w:r>
              <w:t xml:space="preserve">686</w:t>
            </w:r>
          </w:p>
        </w:tc>
        <w:tc>
          <w:tcPr/>
          <w:p>
            <w:pPr>
              <w:pStyle w:val="Compact"/>
              <w:jc w:val="left"/>
            </w:pPr>
            <w:r>
              <w:t xml:space="preserve">18,66%</w:t>
            </w:r>
          </w:p>
        </w:tc>
        <w:tc>
          <w:tcPr/>
          <w:p>
            <w:pPr>
              <w:pStyle w:val="Compact"/>
              <w:jc w:val="left"/>
            </w:pPr>
            <w:r>
              <w:t xml:space="preserve">1,10%</w:t>
            </w:r>
          </w:p>
        </w:tc>
      </w:tr>
      <w:tr>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67 955</w:t>
            </w:r>
          </w:p>
        </w:tc>
        <w:tc>
          <w:tcPr/>
          <w:p>
            <w:pPr>
              <w:pStyle w:val="Compact"/>
              <w:jc w:val="left"/>
            </w:pPr>
            <w:r>
              <w:t xml:space="preserve">56 060</w:t>
            </w:r>
          </w:p>
        </w:tc>
        <w:tc>
          <w:tcPr/>
          <w:p>
            <w:pPr>
              <w:pStyle w:val="Compact"/>
              <w:jc w:val="left"/>
            </w:pPr>
            <w:r>
              <w:t xml:space="preserve">21,22%</w:t>
            </w:r>
          </w:p>
        </w:tc>
        <w:tc>
          <w:tcPr/>
          <w:p>
            <w:pPr>
              <w:pStyle w:val="Compact"/>
              <w:jc w:val="left"/>
            </w:pPr>
            <w:r>
              <w:t xml:space="preserve">91,60%</w:t>
            </w:r>
          </w:p>
        </w:tc>
      </w:tr>
      <w:tr>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6 235</w:t>
            </w:r>
          </w:p>
        </w:tc>
        <w:tc>
          <w:tcPr/>
          <w:p>
            <w:pPr>
              <w:pStyle w:val="Compact"/>
              <w:jc w:val="left"/>
            </w:pPr>
            <w:r>
              <w:t xml:space="preserve">5 821</w:t>
            </w:r>
          </w:p>
        </w:tc>
        <w:tc>
          <w:tcPr/>
          <w:p>
            <w:pPr>
              <w:pStyle w:val="Compact"/>
              <w:jc w:val="left"/>
            </w:pPr>
            <w:r>
              <w:t xml:space="preserve">7,11%</w:t>
            </w:r>
          </w:p>
        </w:tc>
        <w:tc>
          <w:tcPr/>
          <w:p>
            <w:pPr>
              <w:pStyle w:val="Compact"/>
              <w:jc w:val="left"/>
            </w:pPr>
            <w:r>
              <w:t xml:space="preserve">8,40%</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Total</w:t>
            </w:r>
          </w:p>
        </w:tc>
        <w:tc>
          <w:tcPr/>
          <w:p>
            <w:pPr>
              <w:pStyle w:val="Compact"/>
              <w:jc w:val="left"/>
            </w:pPr>
            <w:r>
              <w:t xml:space="preserve">74 190</w:t>
            </w:r>
          </w:p>
        </w:tc>
        <w:tc>
          <w:tcPr/>
          <w:p>
            <w:pPr>
              <w:pStyle w:val="Compact"/>
              <w:jc w:val="left"/>
            </w:pPr>
            <w:r>
              <w:t xml:space="preserve">61 881</w:t>
            </w:r>
          </w:p>
        </w:tc>
        <w:tc>
          <w:tcPr/>
          <w:p>
            <w:pPr>
              <w:pStyle w:val="Compact"/>
              <w:jc w:val="left"/>
            </w:pPr>
            <w:r>
              <w:t xml:space="preserve">19,89%</w:t>
            </w:r>
          </w:p>
        </w:tc>
        <w:tc>
          <w:tcPr/>
          <w:p>
            <w:pPr>
              <w:pStyle w:val="Compact"/>
              <w:jc w:val="left"/>
            </w:pPr>
            <w:r>
              <w:t xml:space="preserve">100,00%</w:t>
            </w:r>
          </w:p>
        </w:tc>
      </w:tr>
    </w:tbl>
    <w:bookmarkEnd w:id="24"/>
    <w:p>
      <w:pPr>
        <w:pStyle w:val="BodyText"/>
      </w:pPr>
      <w:r>
        <w:t xml:space="preserve">Le royaume doit ce succès à la rigueur de sont dispositif prudentiel qui se consolide de plus en plus. La SBR vient en ce sens renforcer cette dynamique. Elle s’établi sur trois piliers :</w:t>
      </w:r>
    </w:p>
    <w:tbl>
      <w:tblPr>
        <w:tblStyle w:val="Table"/>
        <w:tblW w:type="pct" w:w="5000"/>
        <w:tblLook w:firstRow="0" w:lastRow="0" w:firstColumn="0" w:lastColumn="0" w:noHBand="0" w:noVBand="0" w:val="0000"/>
      </w:tblPr>
      <w:tblGrid>
        <w:gridCol w:w="7920"/>
      </w:tblGrid>
      <w:tr>
        <w:tc>
          <w:tcPr/>
          <w:bookmarkStart w:id="28" w:name="fig-piliers"/>
          <w:p>
            <w:pPr>
              <w:pStyle w:val="Figure"/>
              <w:jc w:val="center"/>
            </w:pPr>
            <w:r>
              <w:drawing>
                <wp:inline>
                  <wp:extent cx="5334000" cy="2998910"/>
                  <wp:effectExtent b="0" l="0" r="0" t="0"/>
                  <wp:docPr descr="" title="" id="26" name="Picture"/>
                  <a:graphic>
                    <a:graphicData uri="http://schemas.openxmlformats.org/drawingml/2006/picture">
                      <pic:pic>
                        <pic:nvPicPr>
                          <pic:cNvPr descr="Rapport%20PFE_files/piliers.png" id="27"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28"/>
        </w:tc>
      </w:tr>
    </w:tbl>
    <w:bookmarkEnd w:id="29"/>
    <w:bookmarkStart w:id="39" w:name="modélisation-du-prix-des-actions"/>
    <w:p>
      <w:pPr>
        <w:pStyle w:val="Heading2"/>
      </w:pPr>
      <w:r>
        <w:t xml:space="preserve">3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38" w:name="modèle-de-black-scholes"/>
    <w:p>
      <w:pPr>
        <w:pStyle w:val="Heading3"/>
      </w:pPr>
      <w:r>
        <w:t xml:space="preserve">3.1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30"/>
      </w:r>
    </w:p>
    <w:p>
      <w:pPr>
        <w:pStyle w:val="BodyText"/>
      </w:pPr>
      <w:bookmarkStart w:id="31"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31"/>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32"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32"/>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33"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33"/>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34"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34"/>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6" name="Picture"/>
                  <a:graphic>
                    <a:graphicData uri="http://schemas.openxmlformats.org/drawingml/2006/picture">
                      <pic:pic>
                        <pic:nvPicPr>
                          <pic:cNvPr descr="Rapport-PFE_files/figure-docx/unnamed-chunk-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38"/>
    <w:bookmarkEnd w:id="39"/>
    <w:bookmarkStart w:id="44" w:name="X07868ea8b9ac752e9889fc2a9eede4b2fc4d338"/>
    <w:p>
      <w:pPr>
        <w:pStyle w:val="Heading2"/>
      </w:pPr>
      <w:r>
        <w:t xml:space="preserve">4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 BANK AL MAGHRIB. Ces taux en fait, sont des taux monétaires pour les maturités inférieures ou égales à un an, alors qu’il représente un taux actuariel pour les maturités supérieures à un an, de plus ils ne sont disponibles que pour certaines maturités (Remarque : Insérant une figure).</w:t>
      </w:r>
    </w:p>
    <w:p>
      <w:pPr>
        <w:pStyle w:val="BodyText"/>
      </w:pPr>
      <w:r>
        <w:t xml:space="preserve">Pour cette raison on va suivre les étapes suivantes pour la construction de la courbe des taux zéro-coupon :</w:t>
      </w:r>
    </w:p>
    <w:p>
      <w:pPr>
        <w:numPr>
          <w:ilvl w:val="0"/>
          <w:numId w:val="1002"/>
        </w:numPr>
        <w:pStyle w:val="Compact"/>
      </w:pPr>
      <w:r>
        <w:t xml:space="preserve">1ere étape : Transformation des taux monétaires en taux actuariels.</w:t>
      </w:r>
    </w:p>
    <w:p>
      <w:pPr>
        <w:numPr>
          <w:ilvl w:val="0"/>
          <w:numId w:val="1002"/>
        </w:numPr>
        <w:pStyle w:val="Compact"/>
      </w:pPr>
      <w:r>
        <w:t xml:space="preserve">2eme étape : Interpolation linéaire afin d’obtenir des taux actuariels pour des maturités pleines.</w:t>
      </w:r>
    </w:p>
    <w:p>
      <w:pPr>
        <w:numPr>
          <w:ilvl w:val="0"/>
          <w:numId w:val="1002"/>
        </w:numPr>
        <w:pStyle w:val="Compact"/>
      </w:pPr>
      <w:r>
        <w:t xml:space="preserve">3eme étape : Calcule des taux zéro coupons à partir des taux actuariels des maturités pleines par la Méthode du Bootstrap.</w:t>
      </w:r>
    </w:p>
    <w:p>
      <w:pPr>
        <w:numPr>
          <w:ilvl w:val="0"/>
          <w:numId w:val="1002"/>
        </w:numPr>
        <w:pStyle w:val="Compact"/>
      </w:pPr>
      <w:r>
        <w:t xml:space="preserve">4eme étape : Extrapolation de la courbe des taux zéro-coupon pour des maturités non observées lointaines par la méthode de Smith-Wilson</w:t>
      </w:r>
    </w:p>
    <w:bookmarkStart w:id="40" w:name="Xcbe522a13d0cf3ed962fdea859902dd7c035635"/>
    <w:p>
      <w:pPr>
        <w:pStyle w:val="Heading3"/>
      </w:pPr>
      <w:r>
        <w:t xml:space="preserve">4.1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360</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 (Remarque insertions des résultats obtenu par l’application)</w:t>
      </w:r>
    </w:p>
    <w:bookmarkEnd w:id="40"/>
    <w:bookmarkStart w:id="41" w:name="X96b896b92b42645ba88a707007c4252bf9e5cd7"/>
    <w:p>
      <w:pPr>
        <w:pStyle w:val="Heading3"/>
      </w:pPr>
      <w:r>
        <w:t xml:space="preserve">4.2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 DPL qui correspond au dernier point liquide. Il est déterminé de sorte que le volume cumulé des obligations dont les échéances sont supérieures au DPL est inférieur à 6% du volume total des transactions prises en compte pour la construction de la courbe des taux zéro-coupon. Il correspond aussi à dernière maturité observable.</w:t>
      </w:r>
    </w:p>
    <w:p>
      <w:pPr>
        <w:pStyle w:val="BodyText"/>
      </w:pPr>
      <w:r>
        <w:t xml:space="preserve">La formule d’interpolation pour toute maturité j allant de 1, 2, . . ., DPL 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End w:id="41"/>
    <w:bookmarkStart w:id="42" w:name="la-méthode-de-bootstrap"/>
    <w:p>
      <w:pPr>
        <w:pStyle w:val="Heading3"/>
      </w:pPr>
      <w:r>
        <w:t xml:space="preserve">4.3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3"/>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4"/>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limUpp>
            <m:e>
              <m:r>
                <m:rPr>
                  <m:sty m:val="p"/>
                </m:rPr>
                <m:t>=</m:t>
              </m:r>
            </m:e>
            <m:lim>
              <m:r>
                <m:t>n</m:t>
              </m:r>
            </m:lim>
          </m:limUpp>
          <m:rad>
            <m:radPr>
              <m:degHide m:val="1"/>
            </m:radP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End w:id="42"/>
    <w:bookmarkStart w:id="43" w:name="X336f36db0687334b747abecf8d379445810500d"/>
    <w:p>
      <w:pPr>
        <w:pStyle w:val="Heading3"/>
      </w:pPr>
      <w:r>
        <w:t xml:space="preserve">4.4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5"/>
        </w:numPr>
        <w:pStyle w:val="Compact"/>
      </w:pPr>
      <w:r>
        <w:t xml:space="preserve">le UFR (Ultimate Forward Rate)</w:t>
      </w:r>
    </w:p>
    <w:p>
      <w:pPr>
        <w:numPr>
          <w:ilvl w:val="0"/>
          <w:numId w:val="1005"/>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r>
        <w:t xml:space="preserve"> </w:t>
      </w:r>
      <w:r>
        <w:t xml:space="preserve">-</w:t>
      </w:r>
      <w:r>
        <w:t xml:space="preserve"> </w:t>
      </w:r>
      <m:oMath>
        <m:r>
          <m:t>W</m:t>
        </m:r>
      </m:oMath>
      <w:r>
        <w:t xml:space="preserve"> </w:t>
      </w:r>
      <w:r>
        <w:t xml:space="preserve">représente un ensemble de fonctions à noyau pour chaque prix d’obligation observable d’entrée.</w:t>
      </w:r>
      <w:r>
        <w:t xml:space="preserve"> </w:t>
      </w:r>
      <w:r>
        <w:t xml:space="preserve">-</w:t>
      </w:r>
      <w:r>
        <w:t xml:space="preserve"> </w:t>
      </w:r>
      <m:oMath>
        <m:r>
          <m:t>α</m:t>
        </m:r>
      </m:oMath>
      <w:r>
        <w:t xml:space="preserve"> </w:t>
      </w:r>
      <w:r>
        <w:t xml:space="preserve">: la vitesse de convergence vers le UFR.</w:t>
      </w:r>
      <w:r>
        <w:t xml:space="preserve"> </w:t>
      </w:r>
      <w:r>
        <w:t xml:space="preserve">-</w:t>
      </w:r>
      <w:r>
        <w:t xml:space="preserve"> </w:t>
      </w:r>
      <m:oMath>
        <m:r>
          <m:t>N</m:t>
        </m:r>
      </m:oMath>
      <w:r>
        <w:t xml:space="preserve">: le nombre d’obligations ZC dont le prix est observésur le marché.</w:t>
      </w:r>
      <w:r>
        <w:t xml:space="preserve"> </w:t>
      </w:r>
      <w:r>
        <w:t xml:space="preserve">-</w:t>
      </w:r>
      <w:r>
        <w:t xml:space="preserve"> </w:t>
      </w:r>
      <m:oMath>
        <m:sSub>
          <m:e>
            <m:r>
              <m:t>u</m:t>
            </m:r>
          </m:e>
          <m:sub>
            <m:r>
              <m:t>j</m:t>
            </m:r>
          </m:sub>
        </m:sSub>
      </m:oMath>
      <w:r>
        <w:t xml:space="preserve">: la j-ème maturité disponible. .</w:t>
      </w:r>
      <w:r>
        <w:t xml:space="preserve"> </w:t>
      </w:r>
      <w:r>
        <w:t xml:space="preserve">-</w:t>
      </w:r>
      <w:r>
        <w:t xml:space="preserve"> </w:t>
      </w:r>
      <m:oMath>
        <m:sSub>
          <m:e>
            <m:r>
              <m:t>γ</m:t>
            </m:r>
          </m:e>
          <m:sub>
            <m:r>
              <m:t>j</m:t>
            </m:r>
          </m:sub>
        </m:sSub>
      </m:oMath>
      <w:r>
        <w:t xml:space="preserve"> </w:t>
      </w:r>
      <w:r>
        <w:t xml:space="preserve">: les inconnus à ajuster par rapport à la courbe des taux zéro-coupon disponible avant extrapolation.</w:t>
      </w:r>
    </w:p>
    <w:p>
      <w:pPr>
        <w:pStyle w:val="BodyText"/>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 . .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43"/>
    <w:bookmarkEnd w:id="44"/>
    <w:bookmarkStart w:id="62" w:name="X3c86a714d03aed139a19db084b97b445aa0c8e4"/>
    <w:p>
      <w:pPr>
        <w:pStyle w:val="Heading2"/>
      </w:pPr>
      <w:r>
        <w:t xml:space="preserve">5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6"/>
        </w:numPr>
      </w:pPr>
      <m:oMath>
        <m:r>
          <m:t>P</m:t>
        </m:r>
        <m:r>
          <m:t>T</m:t>
        </m:r>
      </m:oMath>
      <w:r>
        <w:t xml:space="preserve"> </w:t>
      </w:r>
      <w:r>
        <w:t xml:space="preserve">: la provision technique</w:t>
      </w:r>
    </w:p>
    <w:p>
      <w:pPr>
        <w:numPr>
          <w:ilvl w:val="0"/>
          <w:numId w:val="1006"/>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06"/>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6"/>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50" w:name="X32462c7e3a0a11848884f7548d4747bc280232c"/>
    <w:p>
      <w:pPr>
        <w:pStyle w:val="Heading3"/>
      </w:pPr>
      <w:r>
        <w:t xml:space="preserve">5.1 Opérations d’assurance vie, décès ou capitalisation:</w:t>
      </w:r>
    </w:p>
    <w:bookmarkStart w:id="48" w:name="Xc53c51e1abf3296dd0041db77db5363caf8f222"/>
    <w:p>
      <w:pPr>
        <w:pStyle w:val="Heading4"/>
      </w:pPr>
      <w:r>
        <w:t xml:space="preserve">5.1.1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7"/>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7"/>
        </w:numPr>
        <w:pStyle w:val="Compact"/>
      </w:pPr>
      <m:oMath>
        <m:r>
          <m:t>B</m:t>
        </m:r>
        <m:r>
          <m:t>D</m:t>
        </m:r>
        <m:r>
          <m:t>F</m:t>
        </m:r>
      </m:oMath>
      <w:r>
        <w:t xml:space="preserve">: les bénéfices discrétionnaires futurs.</w:t>
      </w:r>
    </w:p>
    <w:bookmarkStart w:id="46" w:name="sec-MEGP"/>
    <w:p>
      <w:pPr>
        <w:pStyle w:val="Heading5"/>
      </w:pPr>
      <w:r>
        <w:t xml:space="preserve">5.1.1.1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08"/>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08"/>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08"/>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08"/>
        </w:numPr>
      </w:pPr>
      <w:r>
        <w:rPr>
          <w:bCs/>
          <w:b/>
        </w:rPr>
        <w:t xml:space="preserve">La table de rachat en montant</w:t>
      </w:r>
      <w:r>
        <w:t xml:space="preserve">.</w:t>
      </w:r>
    </w:p>
    <w:p>
      <w:pPr>
        <w:numPr>
          <w:ilvl w:val="0"/>
          <w:numId w:val="1008"/>
        </w:numPr>
      </w:pPr>
      <w:r>
        <w:rPr>
          <w:bCs/>
          <w:b/>
        </w:rPr>
        <w:t xml:space="preserve">La table de résiliation</w:t>
      </w:r>
      <w:r>
        <w:t xml:space="preserve">.</w:t>
      </w:r>
    </w:p>
    <w:p>
      <w:pPr>
        <w:numPr>
          <w:ilvl w:val="0"/>
          <w:numId w:val="1008"/>
        </w:numPr>
      </w:pPr>
      <w:r>
        <w:rPr>
          <w:bCs/>
          <w:b/>
        </w:rPr>
        <w:t xml:space="preserve">Un taux de sortie en rente</w:t>
      </w:r>
      <w:r>
        <w:t xml:space="preserve">.</w:t>
      </w:r>
    </w:p>
    <w:p>
      <w:pPr>
        <w:pStyle w:val="FirstParagraph"/>
      </w:pPr>
      <w:r>
        <w:rPr>
          <w:bCs/>
          <w:b/>
        </w:rPr>
        <w:t xml:space="preserve">Remarque:</w:t>
      </w:r>
    </w:p>
    <w:p>
      <w:pPr>
        <w:pStyle w:val="BodyText"/>
      </w:pPr>
      <w:r>
        <w:t xml:space="preserve">Les flux de trésorerie futurs probabilisés précités sont déterminés en considérant un horizon de projection suffisant pour la couverture de l’ensemble de la durée de vie des engagements à la date d’inventaire.</w:t>
      </w:r>
    </w:p>
    <w:p>
      <w:pPr>
        <w:pStyle w:val="BodyText"/>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45"/>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bookmarkEnd w:id="46"/>
    <w:bookmarkStart w:id="47" w:name="bénéfices-discrétionnaires-futurs"/>
    <w:p>
      <w:pPr>
        <w:pStyle w:val="Heading5"/>
      </w:pPr>
      <w:r>
        <w:t xml:space="preserve">5.1.1.2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09"/>
        </w:numPr>
      </w:pPr>
      <m:oMath>
        <m:r>
          <m:t>P</m:t>
        </m:r>
        <m:r>
          <m:t>P</m:t>
        </m:r>
        <m:r>
          <m:t>B</m:t>
        </m:r>
      </m:oMath>
      <w:r>
        <w:t xml:space="preserve"> </w:t>
      </w:r>
      <w:r>
        <w:t xml:space="preserve">: Le montant de la provision pour participation aux bénéfices, évaluée à la valeur comptable;</w:t>
      </w:r>
    </w:p>
    <w:p>
      <w:pPr>
        <w:numPr>
          <w:ilvl w:val="0"/>
          <w:numId w:val="1009"/>
        </w:numPr>
      </w:pPr>
      <m:oMath>
        <m:r>
          <m:t>S</m:t>
        </m:r>
        <m:r>
          <m:t>o</m:t>
        </m:r>
        <m:r>
          <m:t>l</m:t>
        </m:r>
        <m:r>
          <m:t>d</m:t>
        </m:r>
        <m:r>
          <m:t>e</m:t>
        </m:r>
        <m:r>
          <m:t>T</m:t>
        </m:r>
      </m:oMath>
      <w:r>
        <w:t xml:space="preserve"> </w:t>
      </w:r>
      <w:r>
        <w:t xml:space="preserve">: Somme des soldes techniques.</w:t>
      </w:r>
    </w:p>
    <w:p>
      <w:pPr>
        <w:numPr>
          <w:ilvl w:val="0"/>
          <w:numId w:val="1009"/>
        </w:numPr>
      </w:pPr>
      <m:oMath>
        <m:r>
          <m:t>S</m:t>
        </m:r>
        <m:r>
          <m:t>o</m:t>
        </m:r>
        <m:r>
          <m:t>l</m:t>
        </m:r>
        <m:r>
          <m:t>d</m:t>
        </m:r>
        <m:r>
          <m:t>e</m:t>
        </m:r>
        <m:r>
          <m:t>F</m:t>
        </m:r>
      </m:oMath>
      <w:r>
        <w:t xml:space="preserve"> </w:t>
      </w:r>
      <w:r>
        <w:t xml:space="preserve">: Somme des soldes Financiers.</w:t>
      </w:r>
    </w:p>
    <w:p>
      <w:pPr>
        <w:numPr>
          <w:ilvl w:val="0"/>
          <w:numId w:val="1009"/>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0"/>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0"/>
        </w:numPr>
        <w:pStyle w:val="Compact"/>
      </w:pPr>
      <m:oMath>
        <m:r>
          <m:t>R</m:t>
        </m:r>
        <m:r>
          <m:t>T</m:t>
        </m:r>
      </m:oMath>
      <w:r>
        <w:t xml:space="preserve"> </w:t>
      </w:r>
      <w:r>
        <w:t xml:space="preserve">:les résultats techniques.</w:t>
      </w:r>
    </w:p>
    <w:p>
      <w:pPr>
        <w:numPr>
          <w:ilvl w:val="0"/>
          <w:numId w:val="1010"/>
        </w:numPr>
        <w:pStyle w:val="Compact"/>
      </w:pPr>
      <m:oMath>
        <m:r>
          <m:t>R</m:t>
        </m:r>
        <m:r>
          <m:t>F</m:t>
        </m:r>
      </m:oMath>
      <w:r>
        <w:t xml:space="preserve"> </w:t>
      </w:r>
      <w:r>
        <w:t xml:space="preserve">:les résultats financiers.</w:t>
      </w:r>
    </w:p>
    <w:bookmarkEnd w:id="47"/>
    <w:bookmarkEnd w:id="48"/>
    <w:bookmarkStart w:id="49" w:name="X0dedfd34ddaeaf1baa3793d4b4da364b43b18e0"/>
    <w:p>
      <w:pPr>
        <w:pStyle w:val="Heading4"/>
      </w:pPr>
      <w:r>
        <w:t xml:space="preserve">5.1.2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1"/>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1"/>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1"/>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49"/>
    <w:bookmarkEnd w:id="50"/>
    <w:bookmarkStart w:id="51" w:name="rentes-découlants-des-opérations-non-vie"/>
    <w:p>
      <w:pPr>
        <w:pStyle w:val="Heading3"/>
      </w:pPr>
      <w:r>
        <w:t xml:space="preserve">5.2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2"/>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2"/>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51"/>
    <w:bookmarkStart w:id="56" w:name="X95164bc6af2e862e4c417e49c6d46de2a1b5d80"/>
    <w:p>
      <w:pPr>
        <w:pStyle w:val="Heading3"/>
      </w:pPr>
      <w:r>
        <w:t xml:space="preserve">5.3 Opérations d’assurance non vie hors rentes:</w:t>
      </w:r>
    </w:p>
    <w:bookmarkStart w:id="54" w:name="la-meilleure-estimation-des-engagements"/>
    <w:p>
      <w:pPr>
        <w:pStyle w:val="Heading4"/>
      </w:pPr>
      <w:r>
        <w:t xml:space="preserve">5.3.1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52" w:name="X8689949a7862be15d42a3aec3dcec69638ae007"/>
    <w:p>
      <w:pPr>
        <w:pStyle w:val="Heading5"/>
      </w:pPr>
      <w:r>
        <w:t xml:space="preserve">5.3.1.1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13"/>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13"/>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f>
            <m:fPr>
              <m:type m:val="bar"/>
            </m:fPr>
            <m:num>
              <m:r>
                <m:t>P</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oMath>
      </m:oMathPara>
    </w:p>
    <w:p>
      <w:pPr>
        <w:pStyle w:val="FirstParagraph"/>
      </w:pPr>
      <w:r>
        <w:t xml:space="preserve">avec:</w:t>
      </w:r>
    </w:p>
    <w:p>
      <w:pPr>
        <w:numPr>
          <w:ilvl w:val="0"/>
          <w:numId w:val="1014"/>
        </w:numPr>
        <w:pStyle w:val="Compact"/>
      </w:pPr>
      <m:oMath>
        <m:r>
          <m:t>P</m:t>
        </m:r>
        <m:r>
          <m:t>F</m:t>
        </m:r>
        <m:r>
          <m:t>P</m:t>
        </m:r>
      </m:oMath>
      <w:r>
        <w:t xml:space="preserve">: Le montant des primes futures probabilisé.</w:t>
      </w:r>
    </w:p>
    <w:p>
      <w:pPr>
        <w:numPr>
          <w:ilvl w:val="0"/>
          <w:numId w:val="1014"/>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15"/>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15"/>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15"/>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15"/>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16"/>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16"/>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16"/>
        </w:numPr>
        <w:pStyle w:val="Compact"/>
      </w:pPr>
      <m:oMath>
        <m:r>
          <m:t>P</m:t>
        </m:r>
        <m:r>
          <m:t>P</m:t>
        </m:r>
        <m:r>
          <m:t>N</m:t>
        </m:r>
        <m:r>
          <m:t>A</m:t>
        </m:r>
      </m:oMath>
      <w:r>
        <w:t xml:space="preserve">: La provision pour primes non acquises.</w:t>
      </w:r>
    </w:p>
    <w:p>
      <w:pPr>
        <w:numPr>
          <w:ilvl w:val="0"/>
          <w:numId w:val="1016"/>
        </w:numPr>
        <w:pStyle w:val="Compact"/>
      </w:pPr>
      <m:oMath>
        <m:r>
          <m:t>P</m:t>
        </m:r>
        <m:r>
          <m:t>F</m:t>
        </m:r>
        <m:r>
          <m:t>P</m:t>
        </m:r>
      </m:oMath>
      <w:r>
        <w:t xml:space="preserve">: Le montant des primes futures probabilisé.</w:t>
      </w:r>
    </w:p>
    <w:bookmarkEnd w:id="52"/>
    <w:bookmarkStart w:id="53" w:name="X572d2bda42d1df1530f2f73f582d39347f6151e"/>
    <w:p>
      <w:pPr>
        <w:pStyle w:val="Heading5"/>
      </w:pPr>
      <w:r>
        <w:t xml:space="preserve">5.3.1.2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17"/>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l’annexe N°5.</w:t>
      </w:r>
    </w:p>
    <w:bookmarkEnd w:id="53"/>
    <w:bookmarkEnd w:id="54"/>
    <w:bookmarkStart w:id="55" w:name="X7e63ab4301a770f99d7cb8d654e83cd2564e4b4"/>
    <w:p>
      <w:pPr>
        <w:pStyle w:val="Heading4"/>
      </w:pPr>
      <w:r>
        <w:t xml:space="preserve">5.3.2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18"/>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19"/>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20"/>
        </w:numPr>
        <w:pStyle w:val="Compact"/>
      </w:pPr>
      <m:oMath>
        <m:r>
          <m:t>F</m:t>
        </m:r>
        <m:r>
          <m:t>G</m:t>
        </m:r>
      </m:oMath>
      <w:r>
        <w:t xml:space="preserve">: le montant frais de gestion.</w:t>
      </w:r>
    </w:p>
    <w:p>
      <w:pPr>
        <w:numPr>
          <w:ilvl w:val="0"/>
          <w:numId w:val="1020"/>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55"/>
    <w:bookmarkEnd w:id="56"/>
    <w:bookmarkStart w:id="61" w:name="Xf3f8abd7a5710234231d4d992dd0ccf8ee2969b"/>
    <w:p>
      <w:pPr>
        <w:pStyle w:val="Heading3"/>
      </w:pPr>
      <w:r>
        <w:t xml:space="preserve">5.4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59" w:name="X2a1b8cf2422c04aac5fbeb38e9044a51a42d991"/>
    <w:p>
      <w:pPr>
        <w:pStyle w:val="Heading4"/>
      </w:pPr>
      <w:r>
        <w:t xml:space="preserve">5.4.1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57"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21"/>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57"/>
    <w:bookmarkStart w:id="58"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58"/>
    <w:bookmarkEnd w:id="59"/>
    <w:bookmarkStart w:id="60" w:name="lajustement-pour-défaut-de-contrepartie"/>
    <w:p>
      <w:pPr>
        <w:pStyle w:val="Heading4"/>
      </w:pPr>
      <w:r>
        <w:t xml:space="preserve">5.4.2 L’ajustement pour défaut de contrepartie:</w:t>
      </w:r>
    </w:p>
    <w:p>
      <w:pPr>
        <w:pStyle w:val="FirstParagraph"/>
      </w:pPr>
      <w:r>
        <w:t xml:space="preserve">L’ajustement pour défaut de contrepartie est déterminé en actualisant les flux d’ajustement futurs sur la base de la courbe des taux fixée par l’Autorité.</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w:t>
      </w:r>
    </w:p>
    <w:bookmarkEnd w:id="60"/>
    <w:bookmarkEnd w:id="61"/>
    <w:bookmarkEnd w:id="62"/>
    <w:bookmarkStart w:id="91" w:name="capital-de-solvabilité-requis"/>
    <w:p>
      <w:pPr>
        <w:pStyle w:val="Heading2"/>
      </w:pPr>
      <w:r>
        <w:t xml:space="preserve">6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22"/>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22"/>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22"/>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22"/>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22"/>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22"/>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23"/>
        </w:numPr>
      </w:pPr>
      <w:r>
        <w:t xml:space="preserve">Le capital de solvabilité requis de base.</w:t>
      </w:r>
    </w:p>
    <w:p>
      <w:pPr>
        <w:numPr>
          <w:ilvl w:val="0"/>
          <w:numId w:val="1023"/>
        </w:numPr>
      </w:pPr>
      <w:r>
        <w:t xml:space="preserve">L’exigence de capital relative au risque opérationnel.</w:t>
      </w:r>
    </w:p>
    <w:p>
      <w:pPr>
        <w:numPr>
          <w:ilvl w:val="0"/>
          <w:numId w:val="1023"/>
        </w:numPr>
      </w:pPr>
      <w:r>
        <w:t xml:space="preserve">L’ajustement visant à tenir compte de la capacité d’absorption des pertes par les assurés.</w:t>
      </w:r>
    </w:p>
    <w:p>
      <w:pPr>
        <w:numPr>
          <w:ilvl w:val="0"/>
          <w:numId w:val="1023"/>
        </w:numPr>
      </w:pPr>
      <w:r>
        <w:t xml:space="preserve">L’ajustement visant à tenir compte de la capacité d’absorption des pertes par les impôts différés.</w:t>
      </w:r>
    </w:p>
    <w:bookmarkStart w:id="83" w:name="X8b89129f00e23abf7e0dc64742a1933841bd13f"/>
    <w:p>
      <w:pPr>
        <w:pStyle w:val="Heading3"/>
      </w:pPr>
      <w:r>
        <w:t xml:space="preserve">6.1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24"/>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24"/>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68" w:name="X7d0de4e6ff3ca13baeb836adc8c41f16eaa6dfb"/>
    <w:p>
      <w:pPr>
        <w:pStyle w:val="Heading4"/>
      </w:pPr>
      <w:r>
        <w:t xml:space="preserve">6.1.1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25"/>
        </w:numPr>
      </w:pPr>
      <w:r>
        <w:t xml:space="preserve">RM</w:t>
      </w:r>
      <w:r>
        <w:t xml:space="preserve"> </w:t>
      </w:r>
      <m:oMath>
        <m:r>
          <m:rPr>
            <m:sty m:val="p"/>
          </m:rPr>
          <m:t>∈</m:t>
        </m:r>
      </m:oMath>
      <w:r>
        <w:t xml:space="preserve"> </w:t>
      </w:r>
      <w:r>
        <w:t xml:space="preserve">{action, taux, immobilier, écart de taux et change}</w:t>
      </w:r>
    </w:p>
    <w:p>
      <w:pPr>
        <w:numPr>
          <w:ilvl w:val="0"/>
          <w:numId w:val="1025"/>
        </w:numPr>
      </w:pPr>
      <m:oMath>
        <m:r>
          <m:t>ρ</m:t>
        </m:r>
      </m:oMath>
      <w:r>
        <w:t xml:space="preserve"> </w:t>
      </w:r>
      <w:r>
        <w:t xml:space="preserve">: Coefficients de corrélations.</w:t>
      </w:r>
    </w:p>
    <w:bookmarkStart w:id="63" w:name="X3cf8c7738901705451aeaf1bf62340f8a8e3146"/>
    <w:p>
      <w:pPr>
        <w:pStyle w:val="Heading5"/>
      </w:pPr>
      <w:r>
        <w:t xml:space="preserve">6.1.1.1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63"/>
    <w:bookmarkStart w:id="64" w:name="X4731aa5458fe1c45bdb9bc7a63d0b9bdcef0af7"/>
    <w:p>
      <w:pPr>
        <w:pStyle w:val="Heading5"/>
      </w:pPr>
      <w:r>
        <w:t xml:space="preserve">6.1.1.2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64"/>
    <w:bookmarkStart w:id="65" w:name="X40fb47ea19ba513da95205d89bb9da70a68e95c"/>
    <w:p>
      <w:pPr>
        <w:pStyle w:val="Heading5"/>
      </w:pPr>
      <w:r>
        <w:t xml:space="preserve">6.1.1.3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65"/>
    <w:bookmarkStart w:id="66" w:name="Xe3398b52d710566ac6543c034c7b139b3b8d7ba"/>
    <w:p>
      <w:pPr>
        <w:pStyle w:val="Heading5"/>
      </w:pPr>
      <w:r>
        <w:t xml:space="preserve">6.1.1.4 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66"/>
    <w:bookmarkStart w:id="67" w:name="X0b86f92798bd2d75800a724a913850a71127576"/>
    <w:p>
      <w:pPr>
        <w:pStyle w:val="Heading5"/>
      </w:pPr>
      <w:r>
        <w:t xml:space="preserve">6.1.1.5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26"/>
        </w:numPr>
        <w:pStyle w:val="Compact"/>
      </w:pPr>
      <w:r>
        <w:t xml:space="preserve">l’exigence de capital pour risque d’augmentation de la valeur de la devise étrangère par rapport au dirham.</w:t>
      </w:r>
    </w:p>
    <w:p>
      <w:pPr>
        <w:numPr>
          <w:ilvl w:val="0"/>
          <w:numId w:val="1026"/>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67"/>
    <w:bookmarkEnd w:id="68"/>
    <w:bookmarkStart w:id="71" w:name="X9c0184a5ab36aa780ba8e9d38716205766fa364"/>
    <w:p>
      <w:pPr>
        <w:pStyle w:val="Heading4"/>
      </w:pPr>
      <w:r>
        <w:t xml:space="preserve">6.1.2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69" w:name="X303ad4190ba297cc4664f228835544b0eb3361f"/>
    <w:p>
      <w:pPr>
        <w:pStyle w:val="Heading5"/>
      </w:pPr>
      <w:r>
        <w:t xml:space="preserve">6.1.2.1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27"/>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28"/>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28"/>
        </w:numPr>
      </w:pPr>
      <m:oMath>
        <m:r>
          <m:t>L</m:t>
        </m:r>
        <m:r>
          <m:t>G</m:t>
        </m:r>
        <m:sSub>
          <m:e>
            <m:r>
              <m:t>D</m:t>
            </m:r>
          </m:e>
          <m:sub>
            <m:r>
              <m:t>i</m:t>
            </m:r>
          </m:sub>
        </m:sSub>
      </m:oMath>
      <w:r>
        <w:t xml:space="preserve"> </w:t>
      </w:r>
      <w:r>
        <w:t xml:space="preserve">: la perte en cas de défaut du cessionnaire i ;</w:t>
      </w:r>
    </w:p>
    <w:p>
      <w:pPr>
        <w:numPr>
          <w:ilvl w:val="0"/>
          <w:numId w:val="1028"/>
        </w:numPr>
      </w:pPr>
      <m:oMath>
        <m:r>
          <m:rPr>
            <m:nor/>
            <m:sty m:val="p"/>
          </m:rPr>
          <m:t>Depot en espèces ou en valeur</m:t>
        </m:r>
      </m:oMath>
      <w:r>
        <w:t xml:space="preserve"> </w:t>
      </w:r>
      <w:r>
        <w:t xml:space="preserve">: le montant des dépôts en espèces ou en valeurs du cessionnaire i ;</w:t>
      </w:r>
    </w:p>
    <w:p>
      <w:pPr>
        <w:numPr>
          <w:ilvl w:val="0"/>
          <w:numId w:val="1028"/>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28"/>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28"/>
        </w:numPr>
      </w:pPr>
      <m:oMath>
        <m:r>
          <m:t>L</m:t>
        </m:r>
        <m:r>
          <m:t>G</m:t>
        </m:r>
        <m:sSub>
          <m:e>
            <m:r>
              <m:t>D</m:t>
            </m:r>
          </m:e>
          <m:sub>
            <m:r>
              <m:t>i</m:t>
            </m:r>
          </m:sub>
        </m:sSub>
      </m:oMath>
      <w:r>
        <w:t xml:space="preserve">: la perte en cas de défaut de la cédante i ;</w:t>
      </w:r>
    </w:p>
    <w:p>
      <w:pPr>
        <w:numPr>
          <w:ilvl w:val="0"/>
          <w:numId w:val="1028"/>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28"/>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28"/>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29"/>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29"/>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29"/>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69"/>
    <w:bookmarkStart w:id="70" w:name="Xde70ab66fad04d143ab07d5ec8525e6812bbe93"/>
    <w:p>
      <w:pPr>
        <w:pStyle w:val="Heading5"/>
      </w:pPr>
      <w:r>
        <w:t xml:space="preserve">6.1.2.2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30"/>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30"/>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30"/>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70"/>
    <w:bookmarkEnd w:id="71"/>
    <w:bookmarkStart w:id="72" w:name="Xac2a78756e1947e45e0b443464340ca4e07c6ed"/>
    <w:p>
      <w:pPr>
        <w:pStyle w:val="Heading4"/>
      </w:pPr>
      <w:r>
        <w:t xml:space="preserve">6.1.3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72"/>
    <w:bookmarkStart w:id="78" w:name="X8bdc5d6c520394ae1ab3fd8ff0e20bf39ae18c3"/>
    <w:p>
      <w:pPr>
        <w:pStyle w:val="Heading4"/>
      </w:pPr>
      <w:r>
        <w:t xml:space="preserve">6.1.4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73" w:name="X70ec578e7130a57a8c8842c95b63e70e295ba28"/>
    <w:p>
      <w:pPr>
        <w:pStyle w:val="Heading5"/>
      </w:pPr>
      <w:r>
        <w:t xml:space="preserve">6.1.4.1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73"/>
    <w:bookmarkStart w:id="74" w:name="X92ef2d5d6d1f309ee4dc38a892eea4151c6a010"/>
    <w:p>
      <w:pPr>
        <w:pStyle w:val="Heading5"/>
      </w:pPr>
      <w:r>
        <w:t xml:space="preserve">6.1.4.2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74"/>
    <w:bookmarkStart w:id="75" w:name="Xe142ffdc5761a23c812b30051e7ff3529769432"/>
    <w:p>
      <w:pPr>
        <w:pStyle w:val="Heading5"/>
      </w:pPr>
      <w:r>
        <w:t xml:space="preserve">6.1.4.3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31"/>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32"/>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75"/>
    <w:bookmarkStart w:id="76" w:name="X2ad39c1112d69d7cc07addd7e09c4a1062144f3"/>
    <w:p>
      <w:pPr>
        <w:pStyle w:val="Heading5"/>
      </w:pPr>
      <w:r>
        <w:t xml:space="preserve">6.1.4.4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33"/>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33"/>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76"/>
    <w:bookmarkStart w:id="77" w:name="X7a733b5774bbec975e5e71b96ffb3b71cffef89"/>
    <w:p>
      <w:pPr>
        <w:pStyle w:val="Heading5"/>
      </w:pPr>
      <w:r>
        <w:t xml:space="preserve">6.1.4.5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77"/>
    <w:bookmarkEnd w:id="78"/>
    <w:bookmarkStart w:id="82" w:name="X1b6aa8fc00d4f5599dfcf10f97be846d7f67a01"/>
    <w:p>
      <w:pPr>
        <w:pStyle w:val="Heading4"/>
      </w:pPr>
      <w:r>
        <w:t xml:space="preserve">6.1.5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79" w:name="Xaf5135c38b35f3935e7fbb38292cb902ba10fce"/>
    <w:p>
      <w:pPr>
        <w:pStyle w:val="Heading5"/>
      </w:pPr>
      <w:r>
        <w:t xml:space="preserve">6.1.5.1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79"/>
    <w:bookmarkStart w:id="80" w:name="X97c27c4f6aaa2dc3a04acf8f040871c5ebd6f65"/>
    <w:p>
      <w:pPr>
        <w:pStyle w:val="Heading5"/>
      </w:pPr>
      <w:r>
        <w:t xml:space="preserve">6.1.5.2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80"/>
    <w:bookmarkStart w:id="81" w:name="X2d899550002a89faf70685e2ededa357230b7ec"/>
    <w:p>
      <w:pPr>
        <w:pStyle w:val="Heading5"/>
      </w:pPr>
      <w:r>
        <w:t xml:space="preserve">6.1.5.3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34"/>
        </w:numPr>
        <w:pStyle w:val="Compact"/>
      </w:pPr>
      <w:r>
        <w:t xml:space="preserve">Individuelles accidents et Invalidité ;</w:t>
      </w:r>
    </w:p>
    <w:p>
      <w:pPr>
        <w:numPr>
          <w:ilvl w:val="0"/>
          <w:numId w:val="1034"/>
        </w:numPr>
        <w:pStyle w:val="Compact"/>
      </w:pPr>
      <w:r>
        <w:t xml:space="preserve">Maladie;</w:t>
      </w:r>
    </w:p>
    <w:p>
      <w:pPr>
        <w:numPr>
          <w:ilvl w:val="0"/>
          <w:numId w:val="1034"/>
        </w:numPr>
        <w:pStyle w:val="Compact"/>
      </w:pPr>
      <w:r>
        <w:t xml:space="preserve">Accidents du travail et maladies professionnelles ;</w:t>
      </w:r>
    </w:p>
    <w:p>
      <w:pPr>
        <w:numPr>
          <w:ilvl w:val="0"/>
          <w:numId w:val="1034"/>
        </w:numPr>
        <w:pStyle w:val="Compact"/>
      </w:pPr>
      <w:r>
        <w:t xml:space="preserve">Responsabilité civile automobile des véhicules terrestres à moteur;</w:t>
      </w:r>
    </w:p>
    <w:p>
      <w:pPr>
        <w:numPr>
          <w:ilvl w:val="0"/>
          <w:numId w:val="1034"/>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34"/>
        </w:numPr>
        <w:pStyle w:val="Compact"/>
      </w:pPr>
      <w:r>
        <w:t xml:space="preserve">Incendie ;</w:t>
      </w:r>
    </w:p>
    <w:p>
      <w:pPr>
        <w:numPr>
          <w:ilvl w:val="0"/>
          <w:numId w:val="1034"/>
        </w:numPr>
        <w:pStyle w:val="Compact"/>
      </w:pPr>
      <w:r>
        <w:t xml:space="preserve">Maritime corps, facultés et responsabilité civile résultant de l’emploi de véhicules fluviaux et maritimes ;</w:t>
      </w:r>
    </w:p>
    <w:p>
      <w:pPr>
        <w:numPr>
          <w:ilvl w:val="0"/>
          <w:numId w:val="1034"/>
        </w:numPr>
        <w:pStyle w:val="Compact"/>
      </w:pPr>
      <w:r>
        <w:t xml:space="preserve">Aviation corps et responsabilité civile résultant de l’emploi des aéronefs ;</w:t>
      </w:r>
    </w:p>
    <w:p>
      <w:pPr>
        <w:numPr>
          <w:ilvl w:val="0"/>
          <w:numId w:val="1034"/>
        </w:numPr>
        <w:pStyle w:val="Compact"/>
      </w:pPr>
      <w:r>
        <w:t xml:space="preserve">Marchandises transportées par voie terrestre ;</w:t>
      </w:r>
    </w:p>
    <w:p>
      <w:pPr>
        <w:numPr>
          <w:ilvl w:val="0"/>
          <w:numId w:val="1034"/>
        </w:numPr>
        <w:pStyle w:val="Compact"/>
      </w:pPr>
      <w:r>
        <w:t xml:space="preserve">Assurance récolte, grêle ou gelée et éléments naturels ;</w:t>
      </w:r>
    </w:p>
    <w:p>
      <w:pPr>
        <w:numPr>
          <w:ilvl w:val="0"/>
          <w:numId w:val="1034"/>
        </w:numPr>
        <w:pStyle w:val="Compact"/>
      </w:pPr>
      <w:r>
        <w:t xml:space="preserve">Crédit et caution</w:t>
      </w:r>
    </w:p>
    <w:bookmarkEnd w:id="81"/>
    <w:bookmarkEnd w:id="82"/>
    <w:bookmarkEnd w:id="83"/>
    <w:bookmarkStart w:id="84" w:name="X784839fd8516b8df5730ae0da267f1818a874be"/>
    <w:p>
      <w:pPr>
        <w:pStyle w:val="Heading3"/>
      </w:pPr>
      <w:r>
        <w:t xml:space="preserve">6.2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84"/>
    <w:bookmarkStart w:id="90" w:name="X384c0c3c983e0c0cecb046cfdf19f3cf5bf77b3"/>
    <w:p>
      <w:pPr>
        <w:pStyle w:val="Heading3"/>
      </w:pPr>
      <w:r>
        <w:t xml:space="preserve">6.3 Ajustement du capital de solvabilité requis</w:t>
      </w:r>
    </w:p>
    <w:bookmarkStart w:id="85" w:name="X60f7df077bb6b37af80367e8ec055588dd69751"/>
    <w:p>
      <w:pPr>
        <w:pStyle w:val="Heading4"/>
      </w:pPr>
      <w:r>
        <w:t xml:space="preserve">6.3.1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85"/>
    <w:bookmarkStart w:id="89" w:name="Xbd336be1e04da1ede3fc1224bb2eedd17c6bfce"/>
    <w:p>
      <w:pPr>
        <w:pStyle w:val="Heading4"/>
      </w:pPr>
      <w:r>
        <w:t xml:space="preserve">6.3.2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oMath>
      </m:oMathPara>
    </w:p>
    <w:p>
      <w:pPr>
        <w:pStyle w:val="FirstParagraph"/>
      </w:pPr>
      <m:oMathPara>
        <m:oMathParaPr>
          <m:jc m:val="center"/>
        </m:oMathParaPr>
        <m:oMath>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PROGRA~1\RStudio\RESOUR~1\app\bin\quarto\share\formats\docx\tip.png" id="88"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rPr>
                <w:bCs/>
                <w:b/>
              </w:rPr>
              <w:t xml:space="preserve">Remarque</w:t>
            </w:r>
          </w:p>
          <w:p>
            <w:pPr>
              <w:pStyle w:val="BodyText"/>
            </w:pPr>
            <w:pPr>
              <w:spacing w:after="16"/>
            </w:pPr>
            <w:r>
              <w:t xml:space="preserve">Dans le cas où l’écart entre les impôts différés-passif et les impôts différés-actif est négatif, l’ajustement précité est nul.</w:t>
            </w:r>
          </w:p>
        </w:tc>
      </w:tr>
    </w:tbl>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30">
    <w:p>
      <w:pPr>
        <w:pStyle w:val="FootnoteText"/>
      </w:pPr>
      <w:r>
        <w:rPr>
          <w:rStyle w:val="FootnoteReference"/>
        </w:rPr>
        <w:footnoteRef/>
      </w:r>
      <w:r>
        <w:t xml:space="preserve"> </w:t>
      </w:r>
      <w:r>
        <w:t xml:space="preserve">Alonso Peña, Ph.D, C++ For Quantitative Finance</w:t>
      </w:r>
    </w:p>
  </w:footnote>
  <w:footnote w:id="45">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2" Target="https://www.atlas-mag.net/article/marche-africain-de-l-assurance-en-2019-chiffre-d-affaires-des-principaux-pays" TargetMode="External" /></Relationships>
</file>

<file path=word/_rels/footnotes.xml.rels><?xml version="1.0" encoding="UTF-8"?><Relationships xmlns="http://schemas.openxmlformats.org/package/2006/relationships"><Relationship Type="http://schemas.openxmlformats.org/officeDocument/2006/relationships/hyperlink" Id="rId22" Target="https://www.atlas-mag.net/article/marche-africain-de-l-assurance-en-2019-chiffre-d-affaires-des-principaux-p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2023-05-12T15:48:06Z</dcterms:created>
  <dcterms:modified xsi:type="dcterms:W3CDTF">2023-05-12T15:48:06Z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