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Override PartName="/word/media/rId28.png" ContentType="image/png"/>
  <Override PartName="/word/media/rId49.png" ContentType="image/png"/>
  <Override PartName="/word/media/rId39.png" ContentType="image/png"/>
  <Override PartName="/word/media/rId11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PFE</w:t>
      </w:r>
    </w:p>
    <w:p>
      <w:pPr>
        <w:pStyle w:val="Author"/>
      </w:pPr>
      <w:r>
        <w:t xml:space="preserve">DIAKITE</w:t>
      </w:r>
      <w:r>
        <w:t xml:space="preserve"> </w:t>
      </w:r>
      <w:r>
        <w:t xml:space="preserve">Abdoul</w:t>
      </w:r>
      <w:r>
        <w:t xml:space="preserve"> </w:t>
      </w:r>
      <w:r>
        <w:t xml:space="preserve">Oudouss,</w:t>
      </w:r>
      <w:r>
        <w:t xml:space="preserve"> </w:t>
      </w:r>
      <w:r>
        <w:t xml:space="preserve">ETTADLAOUI</w:t>
      </w:r>
      <w:r>
        <w:t xml:space="preserve"> </w:t>
      </w:r>
      <w:r>
        <w:t xml:space="preserve">Othmane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1" w:name="introduction"/>
    <w:p>
      <w:pPr>
        <w:pStyle w:val="Heading2"/>
      </w:pPr>
      <w:r>
        <w:t xml:space="preserve">1 Introduction</w:t>
      </w:r>
    </w:p>
    <w:p>
      <w:pPr>
        <w:pStyle w:val="FirstParagraph"/>
      </w:pPr>
      <w:r>
        <w:t xml:space="preserve">Suite aux crises multiples qui ont secoué le monde de la finance et de l’assurance notamment celle de 2008, les autorités se sont rendu compte de l’insuffisance de la supervision prudentielle. Cette dernière s’est montré très chétive lors de la crise d’où la nécessité de mettre en place de nouvelles dispositions prudentielles plus robustes.</w:t>
      </w:r>
    </w:p>
    <w:p>
      <w:pPr>
        <w:pStyle w:val="BodyText"/>
      </w:pPr>
      <w:r>
        <w:t xml:space="preserve">C’est dans ce contexte, à l’image de</w:t>
      </w:r>
      <w:r>
        <w:t xml:space="preserve"> </w:t>
      </w:r>
      <w:r>
        <w:rPr>
          <w:iCs/>
          <w:i/>
        </w:rPr>
        <w:t xml:space="preserve">Bale 2</w:t>
      </w:r>
      <w:r>
        <w:t xml:space="preserve"> </w:t>
      </w:r>
      <w:r>
        <w:t xml:space="preserve">pour la finance, que la</w:t>
      </w:r>
      <w:r>
        <w:t xml:space="preserve"> </w:t>
      </w:r>
      <w:r>
        <w:rPr>
          <w:iCs/>
          <w:i/>
        </w:rPr>
        <w:t xml:space="preserve">Solvabilté 2</w:t>
      </w:r>
      <w:r>
        <w:t xml:space="preserve"> </w:t>
      </w:r>
      <w:r>
        <w:t xml:space="preserve">voit le jour dans le milieu de l’assurance. Cette réforme réglementaire européenne vient renforcer la précédente en adaptant au mieux les exigences de fonds propres des compagnies d’assurances et de réassurances aux risques qu’elles encourent.</w:t>
      </w:r>
    </w:p>
    <w:p>
      <w:pPr>
        <w:pStyle w:val="BodyText"/>
      </w:pPr>
      <w:r>
        <w:t xml:space="preserve">Les insuffisances évoquées n’ont pas épargné le cadre prudentiel marocain. C’est ainsi que l’Autorité de Contrôle des Assurances et de la Prévoyance Sociale (ACAPS</w:t>
      </w:r>
      <w:r>
        <w:rPr>
          <w:rStyle w:val="FootnoteReference"/>
        </w:rPr>
        <w:footnoteReference w:id="20"/>
      </w:r>
      <w:r>
        <w:t xml:space="preserve">) a adopter la norme de Solvabilité Basé sur les Risques (SBR) afin de tenir compte de la diversités des risques encourues par les compagnies d’assurances et de réassurances marocaines. La SBR s’articule autour de trois piliers :</w:t>
      </w:r>
    </w:p>
    <w:p>
      <w:pPr>
        <w:numPr>
          <w:ilvl w:val="0"/>
          <w:numId w:val="1001"/>
        </w:numPr>
        <w:pStyle w:val="Compact"/>
      </w:pPr>
      <w:r>
        <w:rPr>
          <w:iCs/>
          <w:i/>
        </w:rPr>
        <w:t xml:space="preserve">Le pilier I</w:t>
      </w:r>
      <w:r>
        <w:t xml:space="preserve"> </w:t>
      </w:r>
      <w:r>
        <w:t xml:space="preserve">regroupe les</w:t>
      </w:r>
      <w:r>
        <w:t xml:space="preserve"> </w:t>
      </w:r>
      <w:r>
        <w:rPr>
          <w:iCs/>
          <w:i/>
        </w:rPr>
        <w:t xml:space="preserve">exigences quantitatives</w:t>
      </w:r>
      <w:r>
        <w:t xml:space="preserve">, à savoir les règles de valorisation des actifs et des passifs ainsi que les exigences de capital et leur mode de calcul;</w:t>
      </w:r>
    </w:p>
    <w:p>
      <w:pPr>
        <w:numPr>
          <w:ilvl w:val="0"/>
          <w:numId w:val="1001"/>
        </w:numPr>
        <w:pStyle w:val="Compact"/>
      </w:pPr>
      <w:r>
        <w:rPr>
          <w:iCs/>
          <w:i/>
        </w:rPr>
        <w:t xml:space="preserve">Le pilier II</w:t>
      </w:r>
      <w:r>
        <w:t xml:space="preserve"> </w:t>
      </w:r>
      <w:r>
        <w:t xml:space="preserve">porte sur les</w:t>
      </w:r>
      <w:r>
        <w:t xml:space="preserve"> </w:t>
      </w:r>
      <w:r>
        <w:rPr>
          <w:iCs/>
          <w:i/>
        </w:rPr>
        <w:t xml:space="preserve">exigences qualitatives</w:t>
      </w:r>
      <w:r>
        <w:t xml:space="preserve"> </w:t>
      </w:r>
      <w:r>
        <w:t xml:space="preserve">et définit les règles de gouvernance et de gestion des risques, en l’occurrence l’évaluation interne des risques de la solvabilité;</w:t>
      </w:r>
    </w:p>
    <w:p>
      <w:pPr>
        <w:numPr>
          <w:ilvl w:val="0"/>
          <w:numId w:val="1001"/>
        </w:numPr>
        <w:pStyle w:val="Compact"/>
      </w:pPr>
      <w:r>
        <w:rPr>
          <w:iCs/>
          <w:i/>
        </w:rPr>
        <w:t xml:space="preserve">Le pilier III</w:t>
      </w:r>
      <w:r>
        <w:t xml:space="preserve"> </w:t>
      </w:r>
      <w:r>
        <w:t xml:space="preserve">concerne, quant à lui, les</w:t>
      </w:r>
      <w:r>
        <w:t xml:space="preserve"> </w:t>
      </w:r>
      <w:r>
        <w:rPr>
          <w:iCs/>
          <w:i/>
        </w:rPr>
        <w:t xml:space="preserve">obligations de reporting</w:t>
      </w:r>
      <w:r>
        <w:t xml:space="preserve"> </w:t>
      </w:r>
      <w:r>
        <w:t xml:space="preserve">à l’Autorité et de diffusion de l’information au public.</w:t>
      </w:r>
    </w:p>
    <w:bookmarkEnd w:id="21"/>
    <w:bookmarkStart w:id="37" w:name="cadre-réglementaire-marocain"/>
    <w:p>
      <w:pPr>
        <w:pStyle w:val="Heading2"/>
      </w:pPr>
      <w:r>
        <w:t xml:space="preserve">2 Cadre réglementaire marocain</w:t>
      </w:r>
    </w:p>
    <w:p>
      <w:pPr>
        <w:pStyle w:val="FirstParagraph"/>
      </w:pPr>
      <w:r>
        <w:t xml:space="preserve">Le Maroc est l’un des acteurs majeurs de l’assurance en Afrique. Ses compagnies ne cessent de gagner du terrain dans les marchés de la sous-région notamment en Afrique de l’ouest. Selon un rapport de l’</w:t>
      </w:r>
      <w:hyperlink r:id="rId22">
        <w:r>
          <w:rPr>
            <w:rStyle w:val="Hyperlink"/>
          </w:rPr>
          <w:t xml:space="preserve">Atlas Mag</w:t>
        </w:r>
      </w:hyperlink>
      <w:r>
        <w:rPr>
          <w:rStyle w:val="FootnoteReference"/>
        </w:rPr>
        <w:footnoteReference w:id="23"/>
      </w:r>
      <w:r>
        <w:t xml:space="preserve">, le Maroc est classé</w:t>
      </w:r>
      <w:r>
        <w:t xml:space="preserve"> </w:t>
      </w:r>
      <w:r>
        <w:rPr>
          <w:bCs/>
          <w:b/>
        </w:rPr>
        <w:t xml:space="preserve">2ème</w:t>
      </w:r>
      <w:r>
        <w:t xml:space="preserve"> </w:t>
      </w:r>
      <w:r>
        <w:t xml:space="preserve">en arfique et</w:t>
      </w:r>
      <w:r>
        <w:t xml:space="preserve"> </w:t>
      </w:r>
      <w:r>
        <w:rPr>
          <w:bCs/>
          <w:b/>
        </w:rPr>
        <w:t xml:space="preserve">49ème</w:t>
      </w:r>
      <w:r>
        <w:t xml:space="preserve"> </w:t>
      </w:r>
      <w:r>
        <w:t xml:space="preserve">modial avec un</w:t>
      </w:r>
      <w:r>
        <w:t xml:space="preserve"> </w:t>
      </w:r>
      <w:r>
        <w:rPr>
          <w:bCs/>
          <w:b/>
        </w:rPr>
        <w:t xml:space="preserve">chiffre d’affaire de 5 343 millions USD</w:t>
      </w:r>
      <w:r>
        <w:t xml:space="preserve"> </w:t>
      </w:r>
      <w:r>
        <w:t xml:space="preserve">en 2021.</w:t>
      </w:r>
    </w:p>
    <w:bookmarkStart w:id="24" w:name="tbl-classement"/>
    <w:p>
      <w:pPr>
        <w:pStyle w:val="TableCaption"/>
      </w:pPr>
      <w:r>
        <w:t xml:space="preserve">Table 1: Marché africain de l’assurance en 2021</w:t>
      </w:r>
    </w:p>
    <w:tbl>
      <w:tblPr>
        <w:tblStyle w:val="Table"/>
        <w:tblW w:type="auto" w:w="0"/>
        <w:tblLook w:firstRow="1" w:lastRow="0" w:firstColumn="0" w:lastColumn="0" w:noHBand="0" w:noVBand="0" w:val="0020"/>
        <w:tblCaption w:val="Table 1: Marché africain de l’assurance en 2021"/>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Pays</w:t>
            </w:r>
          </w:p>
        </w:tc>
        <w:tc>
          <w:tcPr/>
          <w:p>
            <w:pPr>
              <w:pStyle w:val="Compact"/>
              <w:jc w:val="left"/>
            </w:pPr>
            <w:r>
              <w:t xml:space="preserve">2002</w:t>
            </w:r>
          </w:p>
        </w:tc>
        <w:tc>
          <w:tcPr/>
          <w:p>
            <w:pPr>
              <w:pStyle w:val="Compact"/>
              <w:jc w:val="left"/>
            </w:pPr>
            <w:r>
              <w:t xml:space="preserve">2006</w:t>
            </w:r>
          </w:p>
        </w:tc>
        <w:tc>
          <w:tcPr/>
          <w:p>
            <w:pPr>
              <w:pStyle w:val="Compact"/>
              <w:jc w:val="left"/>
            </w:pPr>
            <w:r>
              <w:t xml:space="preserve">2010</w:t>
            </w:r>
          </w:p>
        </w:tc>
        <w:tc>
          <w:tcPr/>
          <w:p>
            <w:pPr>
              <w:pStyle w:val="Compact"/>
              <w:jc w:val="left"/>
            </w:pPr>
            <w:r>
              <w:t xml:space="preserve">2014</w:t>
            </w:r>
          </w:p>
        </w:tc>
        <w:tc>
          <w:tcPr/>
          <w:p>
            <w:pPr>
              <w:pStyle w:val="Compact"/>
              <w:jc w:val="left"/>
            </w:pPr>
            <w:r>
              <w:t xml:space="preserve">2018</w:t>
            </w:r>
          </w:p>
        </w:tc>
        <w:tc>
          <w:tcPr/>
          <w:p>
            <w:pPr>
              <w:pStyle w:val="Compact"/>
              <w:jc w:val="left"/>
            </w:pPr>
            <w:r>
              <w:t xml:space="preserve">2019</w:t>
            </w:r>
          </w:p>
        </w:tc>
        <w:tc>
          <w:tcPr/>
          <w:p>
            <w:pPr>
              <w:pStyle w:val="Compact"/>
              <w:jc w:val="left"/>
            </w:pPr>
            <w:r>
              <w:t xml:space="preserve">2020</w:t>
            </w:r>
          </w:p>
        </w:tc>
        <w:tc>
          <w:tcPr/>
          <w:p>
            <w:pPr>
              <w:pStyle w:val="Compact"/>
              <w:jc w:val="left"/>
            </w:pPr>
            <w:r>
              <w:t xml:space="preserve">2021</w:t>
            </w:r>
          </w:p>
        </w:tc>
        <w:tc>
          <w:tcPr/>
          <w:p>
            <w:pPr>
              <w:pStyle w:val="Compact"/>
              <w:jc w:val="left"/>
            </w:pPr>
            <w:r>
              <w:t xml:space="preserve">Evolution 2002/2021</w:t>
            </w:r>
          </w:p>
        </w:tc>
      </w:tr>
      <w:tr>
        <w:tc>
          <w:tcPr/>
          <w:p>
            <w:pPr>
              <w:pStyle w:val="Compact"/>
              <w:jc w:val="left"/>
            </w:pPr>
            <w:r>
              <w:t xml:space="preserve">Afrique du sud</w:t>
            </w:r>
          </w:p>
        </w:tc>
        <w:tc>
          <w:tcPr/>
          <w:p>
            <w:pPr>
              <w:pStyle w:val="Compact"/>
              <w:jc w:val="left"/>
            </w:pPr>
            <w:r>
              <w:t xml:space="preserve">19 575</w:t>
            </w:r>
          </w:p>
        </w:tc>
        <w:tc>
          <w:tcPr/>
          <w:p>
            <w:pPr>
              <w:pStyle w:val="Compact"/>
              <w:jc w:val="left"/>
            </w:pPr>
            <w:r>
              <w:t xml:space="preserve">40 743</w:t>
            </w:r>
          </w:p>
        </w:tc>
        <w:tc>
          <w:tcPr/>
          <w:p>
            <w:pPr>
              <w:pStyle w:val="Compact"/>
              <w:jc w:val="left"/>
            </w:pPr>
            <w:r>
              <w:t xml:space="preserve">48 575</w:t>
            </w:r>
          </w:p>
        </w:tc>
        <w:tc>
          <w:tcPr/>
          <w:p>
            <w:pPr>
              <w:pStyle w:val="Compact"/>
              <w:jc w:val="left"/>
            </w:pPr>
            <w:r>
              <w:t xml:space="preserve">50 502</w:t>
            </w:r>
          </w:p>
        </w:tc>
        <w:tc>
          <w:tcPr/>
          <w:p>
            <w:pPr>
              <w:pStyle w:val="Compact"/>
              <w:jc w:val="left"/>
            </w:pPr>
            <w:r>
              <w:t xml:space="preserve">49 002</w:t>
            </w:r>
          </w:p>
        </w:tc>
        <w:tc>
          <w:tcPr/>
          <w:p>
            <w:pPr>
              <w:pStyle w:val="Compact"/>
              <w:jc w:val="left"/>
            </w:pPr>
            <w:r>
              <w:t xml:space="preserve">46 421</w:t>
            </w:r>
          </w:p>
        </w:tc>
        <w:tc>
          <w:tcPr/>
          <w:p>
            <w:pPr>
              <w:pStyle w:val="Compact"/>
              <w:jc w:val="left"/>
            </w:pPr>
            <w:r>
              <w:t xml:space="preserve">41 110</w:t>
            </w:r>
          </w:p>
        </w:tc>
        <w:tc>
          <w:tcPr/>
          <w:p>
            <w:pPr>
              <w:pStyle w:val="Compact"/>
              <w:jc w:val="left"/>
            </w:pPr>
            <w:r>
              <w:t xml:space="preserve">51 215</w:t>
            </w:r>
          </w:p>
        </w:tc>
        <w:tc>
          <w:tcPr/>
          <w:p>
            <w:pPr>
              <w:pStyle w:val="Compact"/>
              <w:jc w:val="left"/>
            </w:pPr>
            <w:r>
              <w:t xml:space="preserve">162%</w:t>
            </w:r>
          </w:p>
        </w:tc>
      </w:tr>
      <w:tr>
        <w:tc>
          <w:tcPr/>
          <w:p>
            <w:pPr>
              <w:pStyle w:val="Compact"/>
              <w:jc w:val="left"/>
            </w:pPr>
            <w:r>
              <w:t xml:space="preserve">Kenya</w:t>
            </w:r>
          </w:p>
        </w:tc>
        <w:tc>
          <w:tcPr/>
          <w:p>
            <w:pPr>
              <w:pStyle w:val="Compact"/>
              <w:jc w:val="left"/>
            </w:pPr>
            <w:r>
              <w:t xml:space="preserve">369</w:t>
            </w:r>
          </w:p>
        </w:tc>
        <w:tc>
          <w:tcPr/>
          <w:p>
            <w:pPr>
              <w:pStyle w:val="Compact"/>
              <w:jc w:val="left"/>
            </w:pPr>
            <w:r>
              <w:t xml:space="preserve">575</w:t>
            </w:r>
          </w:p>
        </w:tc>
        <w:tc>
          <w:tcPr/>
          <w:p>
            <w:pPr>
              <w:pStyle w:val="Compact"/>
              <w:jc w:val="left"/>
            </w:pPr>
            <w:r>
              <w:t xml:space="preserve">998</w:t>
            </w:r>
          </w:p>
        </w:tc>
        <w:tc>
          <w:tcPr/>
          <w:p>
            <w:pPr>
              <w:pStyle w:val="Compact"/>
              <w:jc w:val="left"/>
            </w:pPr>
            <w:r>
              <w:t xml:space="preserve">1 766</w:t>
            </w:r>
          </w:p>
        </w:tc>
        <w:tc>
          <w:tcPr/>
          <w:p>
            <w:pPr>
              <w:pStyle w:val="Compact"/>
              <w:jc w:val="left"/>
            </w:pPr>
            <w:r>
              <w:t xml:space="preserve">2 098</w:t>
            </w:r>
          </w:p>
        </w:tc>
        <w:tc>
          <w:tcPr/>
          <w:p>
            <w:pPr>
              <w:pStyle w:val="Compact"/>
              <w:jc w:val="left"/>
            </w:pPr>
            <w:r>
              <w:t xml:space="preserve">2 229</w:t>
            </w:r>
          </w:p>
        </w:tc>
        <w:tc>
          <w:tcPr/>
          <w:p>
            <w:pPr>
              <w:pStyle w:val="Compact"/>
              <w:jc w:val="left"/>
            </w:pPr>
            <w:r>
              <w:t xml:space="preserve">2 120</w:t>
            </w:r>
          </w:p>
        </w:tc>
        <w:tc>
          <w:tcPr/>
          <w:p>
            <w:pPr>
              <w:pStyle w:val="Compact"/>
              <w:jc w:val="left"/>
            </w:pPr>
            <w:r>
              <w:t xml:space="preserve">2 424</w:t>
            </w:r>
          </w:p>
        </w:tc>
        <w:tc>
          <w:tcPr/>
          <w:p>
            <w:pPr>
              <w:pStyle w:val="Compact"/>
              <w:jc w:val="left"/>
            </w:pPr>
            <w:r>
              <w:t xml:space="preserve">557%</w:t>
            </w:r>
          </w:p>
        </w:tc>
      </w:tr>
      <w:tr>
        <w:tc>
          <w:tcPr/>
          <w:p>
            <w:pPr>
              <w:pStyle w:val="Compact"/>
              <w:jc w:val="left"/>
            </w:pPr>
            <w:r>
              <w:t xml:space="preserve">Nigéria</w:t>
            </w:r>
          </w:p>
        </w:tc>
        <w:tc>
          <w:tcPr/>
          <w:p>
            <w:pPr>
              <w:pStyle w:val="Compact"/>
              <w:jc w:val="left"/>
            </w:pPr>
            <w:r>
              <w:t xml:space="preserve">388</w:t>
            </w:r>
          </w:p>
        </w:tc>
        <w:tc>
          <w:tcPr/>
          <w:p>
            <w:pPr>
              <w:pStyle w:val="Compact"/>
              <w:jc w:val="left"/>
            </w:pPr>
            <w:r>
              <w:t xml:space="preserve">712</w:t>
            </w:r>
          </w:p>
        </w:tc>
        <w:tc>
          <w:tcPr/>
          <w:p>
            <w:pPr>
              <w:pStyle w:val="Compact"/>
              <w:jc w:val="left"/>
            </w:pPr>
            <w:r>
              <w:t xml:space="preserve">1 340</w:t>
            </w:r>
          </w:p>
        </w:tc>
        <w:tc>
          <w:tcPr/>
          <w:p>
            <w:pPr>
              <w:pStyle w:val="Compact"/>
              <w:jc w:val="left"/>
            </w:pPr>
            <w:r>
              <w:t xml:space="preserve">1 792</w:t>
            </w:r>
          </w:p>
        </w:tc>
        <w:tc>
          <w:tcPr/>
          <w:p>
            <w:pPr>
              <w:pStyle w:val="Compact"/>
              <w:jc w:val="left"/>
            </w:pPr>
            <w:r>
              <w:t xml:space="preserve">1 168</w:t>
            </w:r>
          </w:p>
        </w:tc>
        <w:tc>
          <w:tcPr/>
          <w:p>
            <w:pPr>
              <w:pStyle w:val="Compact"/>
              <w:jc w:val="left"/>
            </w:pPr>
            <w:r>
              <w:t xml:space="preserve">1 393</w:t>
            </w:r>
          </w:p>
        </w:tc>
        <w:tc>
          <w:tcPr/>
          <w:p>
            <w:pPr>
              <w:pStyle w:val="Compact"/>
              <w:jc w:val="left"/>
            </w:pPr>
            <w:r>
              <w:t xml:space="preserve">1 213</w:t>
            </w:r>
          </w:p>
        </w:tc>
        <w:tc>
          <w:tcPr/>
          <w:p>
            <w:pPr>
              <w:pStyle w:val="Compact"/>
              <w:jc w:val="left"/>
            </w:pPr>
            <w:r>
              <w:t xml:space="preserve">1 581</w:t>
            </w:r>
          </w:p>
        </w:tc>
        <w:tc>
          <w:tcPr/>
          <w:p>
            <w:pPr>
              <w:pStyle w:val="Compact"/>
              <w:jc w:val="left"/>
            </w:pPr>
            <w:r>
              <w:t xml:space="preserve">307%</w:t>
            </w:r>
          </w:p>
        </w:tc>
      </w:tr>
      <w:tr>
        <w:tc>
          <w:tcPr/>
          <w:p>
            <w:pPr>
              <w:pStyle w:val="Compact"/>
              <w:jc w:val="left"/>
            </w:pPr>
            <w:r>
              <w:t xml:space="preserve">Namibie</w:t>
            </w:r>
          </w:p>
        </w:tc>
        <w:tc>
          <w:tcPr/>
          <w:p>
            <w:pPr>
              <w:pStyle w:val="Compact"/>
              <w:jc w:val="left"/>
            </w:pPr>
            <w:r>
              <w:t xml:space="preserve">321</w:t>
            </w:r>
          </w:p>
        </w:tc>
        <w:tc>
          <w:tcPr/>
          <w:p>
            <w:pPr>
              <w:pStyle w:val="Compact"/>
              <w:jc w:val="left"/>
            </w:pPr>
            <w:r>
              <w:t xml:space="preserve">563</w:t>
            </w:r>
          </w:p>
        </w:tc>
        <w:tc>
          <w:tcPr/>
          <w:p>
            <w:pPr>
              <w:pStyle w:val="Compact"/>
              <w:jc w:val="left"/>
            </w:pPr>
            <w:r>
              <w:t xml:space="preserve">887</w:t>
            </w:r>
          </w:p>
        </w:tc>
        <w:tc>
          <w:tcPr/>
          <w:p>
            <w:pPr>
              <w:pStyle w:val="Compact"/>
              <w:jc w:val="left"/>
            </w:pPr>
            <w:r>
              <w:t xml:space="preserve">995</w:t>
            </w:r>
          </w:p>
        </w:tc>
        <w:tc>
          <w:tcPr/>
          <w:p>
            <w:pPr>
              <w:pStyle w:val="Compact"/>
              <w:jc w:val="left"/>
            </w:pPr>
            <w:r>
              <w:t xml:space="preserve">1 026</w:t>
            </w:r>
          </w:p>
        </w:tc>
        <w:tc>
          <w:tcPr/>
          <w:p>
            <w:pPr>
              <w:pStyle w:val="Compact"/>
              <w:jc w:val="left"/>
            </w:pPr>
            <w:r>
              <w:t xml:space="preserve">1 305</w:t>
            </w:r>
          </w:p>
        </w:tc>
        <w:tc>
          <w:tcPr/>
          <w:p>
            <w:pPr>
              <w:pStyle w:val="Compact"/>
              <w:jc w:val="left"/>
            </w:pPr>
            <w:r>
              <w:t xml:space="preserve">788</w:t>
            </w:r>
          </w:p>
        </w:tc>
        <w:tc>
          <w:tcPr/>
          <w:p>
            <w:pPr>
              <w:pStyle w:val="Compact"/>
              <w:jc w:val="left"/>
            </w:pPr>
            <w:r>
              <w:t xml:space="preserve">867</w:t>
            </w:r>
          </w:p>
        </w:tc>
        <w:tc>
          <w:tcPr/>
          <w:p>
            <w:pPr>
              <w:pStyle w:val="Compact"/>
              <w:jc w:val="left"/>
            </w:pPr>
            <w:r>
              <w:t xml:space="preserve">170%</w:t>
            </w:r>
          </w:p>
        </w:tc>
      </w:tr>
      <w:tr>
        <w:tc>
          <w:tcPr/>
          <w:p>
            <w:pPr>
              <w:pStyle w:val="Compact"/>
              <w:jc w:val="left"/>
            </w:pPr>
            <w:r>
              <w:t xml:space="preserve">Côte d'Ivoire</w:t>
            </w:r>
          </w:p>
        </w:tc>
        <w:tc>
          <w:tcPr/>
          <w:p>
            <w:pPr>
              <w:pStyle w:val="Compact"/>
              <w:jc w:val="left"/>
            </w:pPr>
            <w:r>
              <w:t xml:space="preserve">177</w:t>
            </w:r>
          </w:p>
        </w:tc>
        <w:tc>
          <w:tcPr/>
          <w:p>
            <w:pPr>
              <w:pStyle w:val="Compact"/>
              <w:jc w:val="left"/>
            </w:pPr>
            <w:r>
              <w:t xml:space="preserve">288</w:t>
            </w:r>
          </w:p>
        </w:tc>
        <w:tc>
          <w:tcPr/>
          <w:p>
            <w:pPr>
              <w:pStyle w:val="Compact"/>
              <w:jc w:val="left"/>
            </w:pPr>
            <w:r>
              <w:t xml:space="preserve">398</w:t>
            </w:r>
          </w:p>
        </w:tc>
        <w:tc>
          <w:tcPr/>
          <w:p>
            <w:pPr>
              <w:pStyle w:val="Compact"/>
              <w:jc w:val="left"/>
            </w:pPr>
            <w:r>
              <w:t xml:space="preserve">457</w:t>
            </w:r>
          </w:p>
        </w:tc>
        <w:tc>
          <w:tcPr/>
          <w:p>
            <w:pPr>
              <w:pStyle w:val="Compact"/>
              <w:jc w:val="left"/>
            </w:pPr>
            <w:r>
              <w:t xml:space="preserve">629</w:t>
            </w:r>
          </w:p>
        </w:tc>
        <w:tc>
          <w:tcPr/>
          <w:p>
            <w:pPr>
              <w:pStyle w:val="Compact"/>
              <w:jc w:val="left"/>
            </w:pPr>
            <w:r>
              <w:t xml:space="preserve">671</w:t>
            </w:r>
          </w:p>
        </w:tc>
        <w:tc>
          <w:tcPr/>
          <w:p>
            <w:pPr>
              <w:pStyle w:val="Compact"/>
              <w:jc w:val="left"/>
            </w:pPr>
            <w:r>
              <w:t xml:space="preserve">778</w:t>
            </w:r>
          </w:p>
        </w:tc>
        <w:tc>
          <w:tcPr/>
          <w:p>
            <w:pPr>
              <w:pStyle w:val="Compact"/>
              <w:jc w:val="left"/>
            </w:pPr>
            <w:r>
              <w:t xml:space="preserve">806</w:t>
            </w:r>
          </w:p>
        </w:tc>
        <w:tc>
          <w:tcPr/>
          <w:p>
            <w:pPr>
              <w:pStyle w:val="Compact"/>
              <w:jc w:val="left"/>
            </w:pPr>
            <w:r>
              <w:t xml:space="preserve">355%</w:t>
            </w:r>
          </w:p>
        </w:tc>
      </w:tr>
      <w:tr>
        <w:tc>
          <w:tcPr/>
          <w:p>
            <w:pPr>
              <w:pStyle w:val="Compact"/>
              <w:jc w:val="left"/>
            </w:pPr>
            <w:r>
              <w:t xml:space="preserve">Ghana (1)</w:t>
            </w:r>
          </w:p>
        </w:tc>
        <w:tc>
          <w:tcPr/>
          <w:p>
            <w:pPr>
              <w:pStyle w:val="Compact"/>
              <w:jc w:val="left"/>
            </w:pPr>
            <w:r>
              <w:t xml:space="preserve">-</w:t>
            </w:r>
          </w:p>
        </w:tc>
        <w:tc>
          <w:tcPr/>
          <w:p>
            <w:pPr>
              <w:pStyle w:val="Compact"/>
              <w:jc w:val="left"/>
            </w:pPr>
            <w:r>
              <w:t xml:space="preserve">165</w:t>
            </w:r>
          </w:p>
        </w:tc>
        <w:tc>
          <w:tcPr/>
          <w:p>
            <w:pPr>
              <w:pStyle w:val="Compact"/>
              <w:jc w:val="left"/>
            </w:pPr>
            <w:r>
              <w:t xml:space="preserve">306</w:t>
            </w:r>
          </w:p>
        </w:tc>
        <w:tc>
          <w:tcPr/>
          <w:p>
            <w:pPr>
              <w:pStyle w:val="Compact"/>
              <w:jc w:val="left"/>
            </w:pPr>
            <w:r>
              <w:t xml:space="preserve">385</w:t>
            </w:r>
          </w:p>
        </w:tc>
        <w:tc>
          <w:tcPr/>
          <w:p>
            <w:pPr>
              <w:pStyle w:val="Compact"/>
              <w:jc w:val="left"/>
            </w:pPr>
            <w:r>
              <w:t xml:space="preserve">605</w:t>
            </w:r>
          </w:p>
        </w:tc>
        <w:tc>
          <w:tcPr/>
          <w:p>
            <w:pPr>
              <w:pStyle w:val="Compact"/>
              <w:jc w:val="left"/>
            </w:pPr>
            <w:r>
              <w:t xml:space="preserve">610</w:t>
            </w:r>
          </w:p>
        </w:tc>
        <w:tc>
          <w:tcPr/>
          <w:p>
            <w:pPr>
              <w:pStyle w:val="Compact"/>
              <w:jc w:val="left"/>
            </w:pPr>
            <w:r>
              <w:t xml:space="preserve">669</w:t>
            </w:r>
          </w:p>
        </w:tc>
        <w:tc>
          <w:tcPr/>
          <w:p>
            <w:pPr>
              <w:pStyle w:val="Compact"/>
              <w:jc w:val="left"/>
            </w:pPr>
            <w:r>
              <w:t xml:space="preserve">789</w:t>
            </w:r>
          </w:p>
        </w:tc>
        <w:tc>
          <w:tcPr/>
          <w:p>
            <w:pPr>
              <w:pStyle w:val="Compact"/>
              <w:jc w:val="left"/>
            </w:pPr>
            <w:r>
              <w:t xml:space="preserve">862%</w:t>
            </w:r>
          </w:p>
        </w:tc>
      </w:tr>
      <w:tr>
        <w:tc>
          <w:tcPr/>
          <w:p>
            <w:pPr>
              <w:pStyle w:val="Compact"/>
              <w:jc w:val="left"/>
            </w:pPr>
            <w:r>
              <w:t xml:space="preserve">Maurice</w:t>
            </w:r>
          </w:p>
        </w:tc>
        <w:tc>
          <w:tcPr/>
          <w:p>
            <w:pPr>
              <w:pStyle w:val="Compact"/>
              <w:jc w:val="left"/>
            </w:pPr>
            <w:r>
              <w:t xml:space="preserve">207</w:t>
            </w:r>
          </w:p>
        </w:tc>
        <w:tc>
          <w:tcPr/>
          <w:p>
            <w:pPr>
              <w:pStyle w:val="Compact"/>
              <w:jc w:val="left"/>
            </w:pPr>
            <w:r>
              <w:t xml:space="preserve">318</w:t>
            </w:r>
          </w:p>
        </w:tc>
        <w:tc>
          <w:tcPr/>
          <w:p>
            <w:pPr>
              <w:pStyle w:val="Compact"/>
              <w:jc w:val="left"/>
            </w:pPr>
            <w:r>
              <w:t xml:space="preserve">508</w:t>
            </w:r>
          </w:p>
        </w:tc>
        <w:tc>
          <w:tcPr/>
          <w:p>
            <w:pPr>
              <w:pStyle w:val="Compact"/>
              <w:jc w:val="left"/>
            </w:pPr>
            <w:r>
              <w:t xml:space="preserve">779</w:t>
            </w:r>
          </w:p>
        </w:tc>
        <w:tc>
          <w:tcPr/>
          <w:p>
            <w:pPr>
              <w:pStyle w:val="Compact"/>
              <w:jc w:val="left"/>
            </w:pPr>
            <w:r>
              <w:t xml:space="preserve">627</w:t>
            </w:r>
          </w:p>
        </w:tc>
        <w:tc>
          <w:tcPr/>
          <w:p>
            <w:pPr>
              <w:pStyle w:val="Compact"/>
              <w:jc w:val="left"/>
            </w:pPr>
            <w:r>
              <w:t xml:space="preserve">516</w:t>
            </w:r>
          </w:p>
        </w:tc>
        <w:tc>
          <w:tcPr/>
          <w:p>
            <w:pPr>
              <w:pStyle w:val="Compact"/>
              <w:jc w:val="left"/>
            </w:pPr>
            <w:r>
              <w:t xml:space="preserve">533</w:t>
            </w:r>
          </w:p>
        </w:tc>
        <w:tc>
          <w:tcPr/>
          <w:p>
            <w:pPr>
              <w:pStyle w:val="Compact"/>
              <w:jc w:val="left"/>
            </w:pPr>
            <w:r>
              <w:t xml:space="preserve">523</w:t>
            </w:r>
          </w:p>
        </w:tc>
        <w:tc>
          <w:tcPr/>
          <w:p>
            <w:pPr>
              <w:pStyle w:val="Compact"/>
              <w:jc w:val="left"/>
            </w:pPr>
            <w:r>
              <w:t xml:space="preserve">153%</w:t>
            </w:r>
          </w:p>
        </w:tc>
      </w:tr>
      <w:tr>
        <w:tc>
          <w:tcPr/>
          <w:p>
            <w:pPr>
              <w:pStyle w:val="Compact"/>
              <w:jc w:val="left"/>
            </w:pPr>
            <w:r>
              <w:t xml:space="preserve">Angola</w:t>
            </w:r>
          </w:p>
        </w:tc>
        <w:tc>
          <w:tcPr/>
          <w:p>
            <w:pPr>
              <w:pStyle w:val="Compact"/>
              <w:jc w:val="left"/>
            </w:pPr>
            <w:r>
              <w:t xml:space="preserve">129</w:t>
            </w:r>
          </w:p>
        </w:tc>
        <w:tc>
          <w:tcPr/>
          <w:p>
            <w:pPr>
              <w:pStyle w:val="Compact"/>
              <w:jc w:val="left"/>
            </w:pPr>
            <w:r>
              <w:t xml:space="preserve">680</w:t>
            </w:r>
          </w:p>
        </w:tc>
        <w:tc>
          <w:tcPr/>
          <w:p>
            <w:pPr>
              <w:pStyle w:val="Compact"/>
              <w:jc w:val="left"/>
            </w:pPr>
            <w:r>
              <w:t xml:space="preserve">828</w:t>
            </w:r>
          </w:p>
        </w:tc>
        <w:tc>
          <w:tcPr/>
          <w:p>
            <w:pPr>
              <w:pStyle w:val="Compact"/>
              <w:jc w:val="left"/>
            </w:pPr>
            <w:r>
              <w:t xml:space="preserve">1 055</w:t>
            </w:r>
          </w:p>
        </w:tc>
        <w:tc>
          <w:tcPr/>
          <w:p>
            <w:pPr>
              <w:pStyle w:val="Compact"/>
              <w:jc w:val="left"/>
            </w:pPr>
            <w:r>
              <w:t xml:space="preserve">450</w:t>
            </w:r>
          </w:p>
        </w:tc>
        <w:tc>
          <w:tcPr/>
          <w:p>
            <w:pPr>
              <w:pStyle w:val="Compact"/>
              <w:jc w:val="left"/>
            </w:pPr>
            <w:r>
              <w:t xml:space="preserve">374</w:t>
            </w:r>
          </w:p>
        </w:tc>
        <w:tc>
          <w:tcPr/>
          <w:p>
            <w:pPr>
              <w:pStyle w:val="Compact"/>
              <w:jc w:val="left"/>
            </w:pPr>
            <w:r>
              <w:t xml:space="preserve">338</w:t>
            </w:r>
          </w:p>
        </w:tc>
        <w:tc>
          <w:tcPr/>
          <w:p>
            <w:pPr>
              <w:pStyle w:val="Compact"/>
              <w:jc w:val="left"/>
            </w:pPr>
            <w:r>
              <w:t xml:space="preserve">494</w:t>
            </w:r>
          </w:p>
        </w:tc>
        <w:tc>
          <w:tcPr/>
          <w:p>
            <w:pPr>
              <w:pStyle w:val="Compact"/>
              <w:jc w:val="left"/>
            </w:pPr>
            <w:r>
              <w:t xml:space="preserve">283%</w:t>
            </w:r>
          </w:p>
        </w:tc>
      </w:tr>
      <w:tr>
        <w:tc>
          <w:tcPr/>
          <w:p>
            <w:pPr>
              <w:pStyle w:val="Compact"/>
              <w:jc w:val="left"/>
            </w:pPr>
            <w:r>
              <w:t xml:space="preserve">Autres pays</w:t>
            </w:r>
          </w:p>
        </w:tc>
        <w:tc>
          <w:tcPr/>
          <w:p>
            <w:pPr>
              <w:pStyle w:val="Compact"/>
              <w:jc w:val="left"/>
            </w:pPr>
            <w:r>
              <w:t xml:space="preserve">1 278</w:t>
            </w:r>
          </w:p>
        </w:tc>
        <w:tc>
          <w:tcPr/>
          <w:p>
            <w:pPr>
              <w:pStyle w:val="Compact"/>
              <w:jc w:val="left"/>
            </w:pPr>
            <w:r>
              <w:t xml:space="preserve">2 019</w:t>
            </w:r>
          </w:p>
        </w:tc>
        <w:tc>
          <w:tcPr/>
          <w:p>
            <w:pPr>
              <w:pStyle w:val="Compact"/>
              <w:jc w:val="left"/>
            </w:pPr>
            <w:r>
              <w:t xml:space="preserve">3 045</w:t>
            </w:r>
          </w:p>
        </w:tc>
        <w:tc>
          <w:tcPr/>
          <w:p>
            <w:pPr>
              <w:pStyle w:val="Compact"/>
              <w:jc w:val="left"/>
            </w:pPr>
            <w:r>
              <w:t xml:space="preserve">12 385</w:t>
            </w:r>
          </w:p>
        </w:tc>
        <w:tc>
          <w:tcPr/>
          <w:p>
            <w:pPr>
              <w:pStyle w:val="Compact"/>
              <w:jc w:val="left"/>
            </w:pPr>
            <w:r>
              <w:t xml:space="preserve">13 769</w:t>
            </w:r>
          </w:p>
        </w:tc>
        <w:tc>
          <w:tcPr/>
          <w:p>
            <w:pPr>
              <w:pStyle w:val="Compact"/>
              <w:jc w:val="left"/>
            </w:pPr>
            <w:r>
              <w:t xml:space="preserve">13 763</w:t>
            </w:r>
          </w:p>
        </w:tc>
        <w:tc>
          <w:tcPr/>
          <w:p>
            <w:pPr>
              <w:pStyle w:val="Compact"/>
              <w:jc w:val="left"/>
            </w:pPr>
            <w:r>
              <w:t xml:space="preserve">14 332</w:t>
            </w:r>
          </w:p>
        </w:tc>
        <w:tc>
          <w:tcPr/>
          <w:p>
            <w:pPr>
              <w:pStyle w:val="Compact"/>
              <w:jc w:val="left"/>
            </w:pPr>
            <w:r>
              <w:t xml:space="preserve">15 491</w:t>
            </w:r>
          </w:p>
        </w:tc>
        <w:tc>
          <w:tcPr/>
          <w:p>
            <w:pPr>
              <w:pStyle w:val="Compact"/>
              <w:jc w:val="left"/>
            </w:pPr>
            <w:r>
              <w:t xml:space="preserve">1112%</w:t>
            </w:r>
          </w:p>
        </w:tc>
      </w:tr>
      <w:tr>
        <w:tc>
          <w:tcPr/>
          <w:p>
            <w:pPr>
              <w:pStyle w:val="Compact"/>
              <w:jc w:val="left"/>
            </w:pPr>
            <w:r>
              <w:t xml:space="preserve">Total</w:t>
            </w:r>
          </w:p>
        </w:tc>
        <w:tc>
          <w:tcPr/>
          <w:p>
            <w:pPr>
              <w:pStyle w:val="Compact"/>
              <w:jc w:val="left"/>
            </w:pPr>
            <w:r>
              <w:t xml:space="preserve">22 444</w:t>
            </w:r>
          </w:p>
        </w:tc>
        <w:tc>
          <w:tcPr/>
          <w:p>
            <w:pPr>
              <w:pStyle w:val="Compact"/>
              <w:jc w:val="left"/>
            </w:pPr>
            <w:r>
              <w:t xml:space="preserve">46 063</w:t>
            </w:r>
          </w:p>
        </w:tc>
        <w:tc>
          <w:tcPr/>
          <w:p>
            <w:pPr>
              <w:pStyle w:val="Compact"/>
              <w:jc w:val="left"/>
            </w:pPr>
            <w:r>
              <w:t xml:space="preserve">56 885</w:t>
            </w:r>
          </w:p>
        </w:tc>
        <w:tc>
          <w:tcPr/>
          <w:p>
            <w:pPr>
              <w:pStyle w:val="Compact"/>
              <w:jc w:val="left"/>
            </w:pPr>
            <w:r>
              <w:t xml:space="preserve">70 116</w:t>
            </w:r>
          </w:p>
        </w:tc>
        <w:tc>
          <w:tcPr/>
          <w:p>
            <w:pPr>
              <w:pStyle w:val="Compact"/>
              <w:jc w:val="left"/>
            </w:pPr>
            <w:r>
              <w:t xml:space="preserve">69 374</w:t>
            </w:r>
          </w:p>
        </w:tc>
        <w:tc>
          <w:tcPr/>
          <w:p>
            <w:pPr>
              <w:pStyle w:val="Compact"/>
              <w:jc w:val="left"/>
            </w:pPr>
            <w:r>
              <w:t xml:space="preserve">67 282</w:t>
            </w:r>
          </w:p>
        </w:tc>
        <w:tc>
          <w:tcPr/>
          <w:p>
            <w:pPr>
              <w:pStyle w:val="Compact"/>
              <w:jc w:val="left"/>
            </w:pPr>
            <w:r>
              <w:t xml:space="preserve">61 881</w:t>
            </w:r>
          </w:p>
        </w:tc>
        <w:tc>
          <w:tcPr/>
          <w:p>
            <w:pPr>
              <w:pStyle w:val="Compact"/>
              <w:jc w:val="left"/>
            </w:pPr>
            <w:r>
              <w:t xml:space="preserve">74 190</w:t>
            </w:r>
          </w:p>
        </w:tc>
        <w:tc>
          <w:tcPr/>
          <w:p>
            <w:pPr>
              <w:pStyle w:val="Compact"/>
              <w:jc w:val="left"/>
            </w:pPr>
            <w:r>
              <w:t xml:space="preserve">230%</w:t>
            </w:r>
          </w:p>
        </w:tc>
      </w:tr>
    </w:tbl>
    <w:bookmarkEnd w:id="24"/>
    <w:p>
      <w:pPr>
        <w:pStyle w:val="BodyText"/>
      </w:pPr>
      <w:r>
        <w:t xml:space="preserve">Le Royaume doit ce succès à la rigueur de sont dispositif prudentiel qui se consolide de plus en plus.</w:t>
      </w:r>
      <w:r>
        <w:t xml:space="preserve"> </w:t>
      </w:r>
      <w:r>
        <w:t xml:space="preserve">La SBR (Solvabilité basée sur les risques) est une réforme prudentielle qui vient en ce sens renforcer cette dynamique. elle vise à conoslider la résilience des compagnies d’assurances face aux différents risques qu’elles encourent. Elle repose sur trois piliers : le pilier quantitatif, le pilier qualitatif et le pilier informatif</w:t>
      </w:r>
      <w:r>
        <w:rPr>
          <w:rStyle w:val="FootnoteReference"/>
        </w:rPr>
        <w:footnoteReference w:id="25"/>
      </w:r>
      <w:r>
        <w:t xml:space="preserve">.</w:t>
      </w:r>
    </w:p>
    <w:p>
      <w:pPr>
        <w:pStyle w:val="BodyText"/>
      </w:pPr>
      <w:r>
        <w:t xml:space="preserve">Le pilier quantitatif définit de nouvelles règles pour calculer le niveau de fonds propres minimum que les assureurs doivent détenir, en fonction de l’ensemble de leur activité et des risques associés. Il introduit également un bilan prudentiel, basé sur la valeur de marché des actifs et des passifs, et une classification des fonds propres éligibles</w:t>
      </w:r>
      <w:r>
        <w:rPr>
          <w:rStyle w:val="FootnoteReference"/>
        </w:rPr>
        <w:footnoteReference w:id="26"/>
      </w:r>
      <w:r>
        <w:t xml:space="preserve">.</w:t>
      </w:r>
    </w:p>
    <w:p>
      <w:pPr>
        <w:pStyle w:val="BodyText"/>
      </w:pPr>
      <w:r>
        <w:t xml:space="preserve">Le pilier qualitatif concerne la gouvernance et le contrôle interne des assureurs, ainsi que la gestion des risques. Il impose aux assureurs de mettre en place des fonctions clés, comme la fonction actuarielle ou la fonction de conformité, et de réaliser une évaluation interne des risques et de la solvabilité (</w:t>
      </w:r>
      <w:r>
        <w:rPr>
          <w:iCs/>
          <w:i/>
        </w:rPr>
        <w:t xml:space="preserve">ORSA</w:t>
      </w:r>
      <w:r>
        <w:rPr>
          <w:rStyle w:val="FootnoteReference"/>
        </w:rPr>
        <w:footnoteReference w:id="27"/>
      </w:r>
      <w:r>
        <w:t xml:space="preserve">). Il applique aussi le principe de « personne prudente » pour la politique d’investissement des assureurs.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1\RStudio\RESOUR~1\app\bin\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 principe de « personne prudente »</w:t>
            </w:r>
          </w:p>
        </w:tc>
      </w:tr>
      <w:tr>
        <w:trPr>
          <w:cantSplit/>
        </w:trPr>
        <w:tc>
          <w:tcPr>
            <w:tcMar>
              <w:top w:w="108" w:type="dxa"/>
              <w:bottom w:w="108" w:type="dxa"/>
            </w:tcMar>
          </w:tcPr>
          <w:p>
            <w:pPr>
              <w:pStyle w:val="BodyText"/>
            </w:pPr>
            <w:pPr>
              <w:spacing w:before="16" w:after="16"/>
            </w:pPr>
            <w:r>
              <w:t xml:space="preserve">Le principe de « personne prudente » est un principe qui s’applique à la politique d’investissement des entreprises d’assurance et de réassurance. Il signifie que les assureurs ne doivent investir que dans des actifs dont ils peuvent correctement identifier, mesurer, suivre, gérer, contrôler et déclarer les risques. Ce principe remplace les limitations d’actif qui existaient auparavant dans le cadre réglementaire. Il vise à garantir l’adéquation des actifs aux engagements envers les assurés, en tenant compte des critères de sécurité, qualité, liquidité et rentabilité.</w:t>
            </w:r>
          </w:p>
        </w:tc>
      </w:tr>
    </w:tbl>
    <w:p>
      <w:pPr>
        <w:pStyle w:val="BodyText"/>
      </w:pPr>
      <w:r>
        <w:t xml:space="preserve">Le pilier informatif porte sur le reporting et la publication d’information par les assureurs. Il vise à renforcer la transparence et la discipline de marché, en imposant aux assureurs de communiquer au régulateur et au public des informations sur leur situation financière, leur profil de risque et leur système de gouvernance².</w:t>
      </w:r>
    </w:p>
    <w:p>
      <w:pPr>
        <w:pStyle w:val="BodyText"/>
      </w:pPr>
      <w:r>
        <w:t xml:space="preserve">La réforme SBR est entrée en vigueur progressivement au Maroc depuis 2019. Le régulateur du secteur, l’ACAPS (Autorité de contrôle des assurances et de la prévoyance sociale), a élaboré plusieurs textes réglementaires pour accompagner sa mise œuvre. Le dernier projet de circulaire en date concerne le second pilier relatif à la gouvernance</w:t>
      </w:r>
      <w:r>
        <w:rPr>
          <w:rStyle w:val="FootnoteReference"/>
        </w:rPr>
        <w:footnoteReference w:id="31"/>
      </w:r>
      <w:r>
        <w:t xml:space="preserve">.</w:t>
      </w:r>
    </w:p>
    <w:tbl>
      <w:tblPr>
        <w:tblStyle w:val="Table"/>
        <w:tblW w:type="pct" w:w="5000"/>
        <w:tblLook w:firstRow="0" w:lastRow="0" w:firstColumn="0" w:lastColumn="0" w:noHBand="0" w:noVBand="0" w:val="0000"/>
      </w:tblPr>
      <w:tblGrid>
        <w:gridCol w:w="7920"/>
      </w:tblGrid>
      <w:tr>
        <w:tc>
          <w:tcPr/>
          <w:bookmarkStart w:id="36" w:name="fig-piliers"/>
          <w:p>
            <w:pPr>
              <w:pStyle w:val="Figure"/>
              <w:jc w:val="center"/>
            </w:pPr>
            <w:r>
              <w:drawing>
                <wp:inline>
                  <wp:extent cx="5334000" cy="3000375"/>
                  <wp:effectExtent b="0" l="0" r="0" t="0"/>
                  <wp:docPr descr="" title="" id="34" name="Picture"/>
                  <a:graphic>
                    <a:graphicData uri="http://schemas.openxmlformats.org/drawingml/2006/picture">
                      <pic:pic>
                        <pic:nvPicPr>
                          <pic:cNvPr descr="Rapport-PFE_files/figure-html/piliers.png" id="35"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Les 3 piliers de la SBR</w:t>
            </w:r>
          </w:p>
          <w:bookmarkEnd w:id="36"/>
        </w:tc>
      </w:tr>
    </w:tbl>
    <w:bookmarkEnd w:id="37"/>
    <w:bookmarkStart w:id="43" w:name="piliers-1-exigences-quantitatives"/>
    <w:p>
      <w:pPr>
        <w:pStyle w:val="Heading2"/>
      </w:pPr>
      <w:r>
        <w:t xml:space="preserve">3 Piliers 1: Exigences quantitatives</w:t>
      </w:r>
    </w:p>
    <w:p>
      <w:pPr>
        <w:pStyle w:val="FirstParagraph"/>
      </w:pPr>
      <w:r>
        <w:t xml:space="preserve">Sur les trois piliers de la normes SBR, notre rapport de stage se concentre essentiellement sur le pilier 1. Ce dernier spécifie toutes les dipositions réglementaires afin de satisfaire les exigences quantitatives de la norme.</w:t>
      </w:r>
      <w:r>
        <w:t xml:space="preserve"> </w:t>
      </w:r>
      <w:r>
        <w:t xml:space="preserve">La détermination du capital de solvabilité requis (</w:t>
      </w:r>
      <m:oMath>
        <m:r>
          <m:t>C</m:t>
        </m:r>
        <m:r>
          <m:t>S</m:t>
        </m:r>
        <m:r>
          <m:t>R</m:t>
        </m:r>
      </m:oMath>
      <w:r>
        <w:t xml:space="preserve">) et la fixation des Fonds propres (</w:t>
      </w:r>
      <m:oMath>
        <m:r>
          <m:t>F</m:t>
        </m:r>
        <m:r>
          <m:t>P</m:t>
        </m:r>
      </m:oMath>
      <w:r>
        <w:t xml:space="preserve">) nécessite une analyse économique annuel du bilan prudentiel. L’organisme d’assurance ou de réassurance doit disposer d’une richesse nette suffisante pour faire face à ses risques dans</w:t>
      </w:r>
      <w:r>
        <w:t xml:space="preserve"> </w:t>
      </w:r>
      <m:oMath>
        <m:r>
          <m:t>X</m:t>
        </m:r>
        <m:r>
          <m:rPr>
            <m:sty m:val="p"/>
          </m:rPr>
          <m:t>%</m:t>
        </m:r>
      </m:oMath>
      <w:r>
        <w:rPr>
          <w:rStyle w:val="FootnoteReference"/>
        </w:rPr>
        <w:footnoteReference w:id="38"/>
      </w:r>
      <w:r>
        <w:t xml:space="preserve"> </w:t>
      </w:r>
      <w:r>
        <w:t xml:space="preserve">des situations possibles. Cela implique que sa richesse nette soit supérieure ou égale à l’exigence de solvabilité.</w:t>
      </w:r>
      <w:r>
        <w:t xml:space="preserve"> </w:t>
      </w:r>
      <w:r>
        <w:t xml:space="preserve">Le bilan prudentiel SBR est un bilan qui reflète la situation économique des assureurs, et non pas uniquement leur situation comptable. Il se base sur une valorisation des actifs à leur prix de marché, c’est-à-dire le prix auquel ils pourraient être vendus ou transférés.</w:t>
      </w:r>
      <w:r>
        <w:t xml:space="preserve"> </w:t>
      </w:r>
      <w:r>
        <w:t xml:space="preserve">Les passifs sont constitués essentiellement de dettes et des provisions techniques, qui représentent le coût estimé des engagements pris par les assureurs envers les assurés. Les provisions techniques se décomposent en deux éléments :</w:t>
      </w:r>
    </w:p>
    <w:p>
      <w:pPr>
        <w:numPr>
          <w:ilvl w:val="0"/>
          <w:numId w:val="1002"/>
        </w:numPr>
      </w:pPr>
      <w:r>
        <w:t xml:space="preserve">Le Best Estimate, qui n’est rien d’aute que la valeur actualisée des flux futurs attendus liés aux contrats en cours. L’actualisation se fait en utilisant une courbe de taux sans risque de référence, qui reflète les conditions du marché.</w:t>
      </w:r>
    </w:p>
    <w:p>
      <w:pPr>
        <w:numPr>
          <w:ilvl w:val="0"/>
          <w:numId w:val="1002"/>
        </w:numPr>
      </w:pPr>
      <w:r>
        <w:t xml:space="preserve">La marge de risque, qui correspond au coût du capital nécessaire pour couvrir les risques liés aux passifs jusqu’à leur extinction. Le coût du capital est calculé en appliquant un taux fixe aux exigences de fonds propres futures.</w:t>
      </w:r>
    </w:p>
    <w:p>
      <w:pPr>
        <w:pStyle w:val="FirstParagraph"/>
      </w:pPr>
      <w:r>
        <w:t xml:space="preserve">Le montant des provisions techniques a une influence importante sur la solvabilité des assureurs et sur leurs fonds propres. Plus les provisions techniques sont élevées, plus les assureurs doivent avoir de fonds propres pour couvrir leurs risques.</w:t>
      </w:r>
    </w:p>
    <w:tbl>
      <w:tblPr>
        <w:tblStyle w:val="Table"/>
        <w:tblW w:type="pct" w:w="5000"/>
        <w:tblLook w:firstRow="0" w:lastRow="0" w:firstColumn="0" w:lastColumn="0" w:noHBand="0" w:noVBand="0" w:val="0000"/>
      </w:tblPr>
      <w:tblGrid>
        <w:gridCol w:w="7920"/>
      </w:tblGrid>
      <w:tr>
        <w:tc>
          <w:tcPr/>
          <w:bookmarkStart w:id="42" w:name="fig-bilan"/>
          <w:p>
            <w:pPr>
              <w:pStyle w:val="Figure"/>
              <w:jc w:val="center"/>
            </w:pPr>
            <w:r>
              <w:drawing>
                <wp:inline>
                  <wp:extent cx="5334000" cy="2993010"/>
                  <wp:effectExtent b="0" l="0" r="0" t="0"/>
                  <wp:docPr descr="" title="" id="40" name="Picture"/>
                  <a:graphic>
                    <a:graphicData uri="http://schemas.openxmlformats.org/drawingml/2006/picture">
                      <pic:pic>
                        <pic:nvPicPr>
                          <pic:cNvPr descr="Rapport-PFE_files/figure-html/Bilan.png" id="41" name="Picture"/>
                          <pic:cNvPicPr>
                            <a:picLocks noChangeArrowheads="1" noChangeAspect="1"/>
                          </pic:cNvPicPr>
                        </pic:nvPicPr>
                        <pic:blipFill>
                          <a:blip r:embed="rId39"/>
                          <a:stretch>
                            <a:fillRect/>
                          </a:stretch>
                        </pic:blipFill>
                        <pic:spPr bwMode="auto">
                          <a:xfrm>
                            <a:off x="0" y="0"/>
                            <a:ext cx="5334000" cy="29930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Structure d’un bilan</w:t>
            </w:r>
          </w:p>
          <w:bookmarkEnd w:id="42"/>
        </w:tc>
      </w:tr>
    </w:tbl>
    <w:p>
      <w:pPr>
        <w:pStyle w:val="BodyText"/>
      </w:pPr>
      <w:r>
        <w:t xml:space="preserve">Le calcul du capital de solvabilité requis (SCR) se fait selon une formule standard qui prend en compte les différents types de risques auxquels les assureurs sont exposés. Il s’agit d’une méthode qui part du niveau le plus bas (les risques individuels) et qui remonte au niveau le plus haut (le risque global).</w:t>
      </w:r>
    </w:p>
    <w:p>
      <w:pPr>
        <w:pStyle w:val="BodyText"/>
      </w:pPr>
      <w:r>
        <w:t xml:space="preserve">Les risques quantifiables sont regroupés en quatre catégories : les risques de marché, les risques de souscription, les risques de défaut et les risques opérationnels. Pour chaque catégorie, il existe deux façons de mesurer l’impact des risques sur les fonds propres des assureurs :</w:t>
      </w:r>
    </w:p>
    <w:p>
      <w:pPr>
        <w:numPr>
          <w:ilvl w:val="0"/>
          <w:numId w:val="1003"/>
        </w:numPr>
      </w:pPr>
      <w:r>
        <w:rPr>
          <w:iCs/>
          <w:i/>
        </w:rPr>
        <w:t xml:space="preserve">L’approche par scénario</w:t>
      </w:r>
      <w:r>
        <w:t xml:space="preserve">, qui consiste à appliquer des chocs soudains et extrêmes sur les actifs et les passifs des assureurs, et à observer la variation de leur valeur nette. Par exemple, on peut simuler une baisse des actions, une baisse des taux d’intérêt, un choc de mortalité, une hausse de la sinistralité, etc.</w:t>
      </w:r>
    </w:p>
    <w:p>
      <w:pPr>
        <w:numPr>
          <w:ilvl w:val="0"/>
          <w:numId w:val="1003"/>
        </w:numPr>
      </w:pPr>
      <w:r>
        <w:rPr>
          <w:iCs/>
          <w:i/>
        </w:rPr>
        <w:t xml:space="preserve">L’approche par facteurs</w:t>
      </w:r>
      <w:r>
        <w:t xml:space="preserve">, qui consiste à appliquer une formule mathématique qui détermine la charge en capital en fonction de paramètres prédéfinis. Par exemple, on peut utiliser un pourcentage des primes ou des provisions pour calculer le risque de souscription.</w:t>
      </w:r>
    </w:p>
    <w:p>
      <w:pPr>
        <w:pStyle w:val="FirstParagraph"/>
      </w:pPr>
      <w:r>
        <w:t xml:space="preserve">Les risques ne sont pas indépendants les uns des autres. Il faut donc tenir compte de la diversification entre les risques, c’est-à-dire du fait que certains risques peuvent se compenser ou s’atténuer mutuellement. Pour cela, on utilise des matrices de corrélation qui permettent d’agréger le SCR de chaque module et de chaque sous-module.</w:t>
      </w:r>
    </w:p>
    <w:p>
      <w:pPr>
        <w:pStyle w:val="BodyText"/>
      </w:pPr>
      <w:r>
        <w:t xml:space="preserve">La réassurance est un moyen pour les assureurs de transférer une partie de leurs risques à un autre assureur. Elle réduit donc le SCR des assureurs cédants. Mais elle crée aussi un risque de contrepartie, c’est-à-dire le risque que l’assureur réassureur ne puisse pas honorer ses engagements en cas de sinistre. Il faut donc prendre en compte la réassurance dans la variation des fonds propres après choc.</w:t>
      </w:r>
    </w:p>
    <w:p>
      <w:pPr>
        <w:pStyle w:val="BodyText"/>
      </w:pPr>
      <w:r>
        <w:t xml:space="preserve">Les assureurs peuvent aussi mettre en œuvre des actions de gestion pour limiter l’impact des chocs sur leurs passifs. Par exemple, ils peuvent modifier la tarification ou la distribution de leurs produits, ou ajuster leurs garanties ou leurs options. Ces actions de gestion sont prises en compte dans le calcul des provisions techniques après choc.</w:t>
      </w:r>
    </w:p>
    <w:p>
      <w:pPr>
        <w:pStyle w:val="BodyText"/>
      </w:pPr>
      <w:r>
        <w:t xml:space="preserve">Enfin, les assureurs peuvent bénéficier d’un ajustement pour capacité d’absorption des pertes par les impôts différés. Cela signifie qu’en cas de perte, ils peuvent réduire leur base imposable et donc leur impôt à payer. Cet ajustement diminue le SCR des assureurs.</w:t>
      </w:r>
    </w:p>
    <w:p>
      <w:pPr>
        <w:pStyle w:val="BodyText"/>
      </w:pPr>
      <w:r>
        <w:t xml:space="preserve">L’évaluation des provisions techniques est une étape importante du bilan prudentiel, car elle détermine le coût estimé des engagements pris par les assureurs envers les assurés. Il faut donc que cette évaluation soit encadrée par des règles et des principes, qui garantissent sa fiabilité et sa cohérence. Parmi ces règles et principes, on peut citer :</w:t>
      </w:r>
    </w:p>
    <w:p>
      <w:pPr>
        <w:numPr>
          <w:ilvl w:val="0"/>
          <w:numId w:val="1004"/>
        </w:numPr>
        <w:pStyle w:val="Compact"/>
      </w:pPr>
      <w:r>
        <w:t xml:space="preserve">L’approche réglementaire vs la liberté de modélisation : il s’agit du choix entre utiliser une méthode standardisée définie par le régulateur, ou utiliser une méthode propre à l’assureur, qui doit être validée par le régulateur.</w:t>
      </w:r>
    </w:p>
    <w:p>
      <w:pPr>
        <w:numPr>
          <w:ilvl w:val="0"/>
          <w:numId w:val="1004"/>
        </w:numPr>
        <w:pStyle w:val="Compact"/>
      </w:pPr>
      <w:r>
        <w:t xml:space="preserve">La qualité des données et la segmentation : il s’agit de s’assurer que les données utilisées pour l’évaluation sont complètes, exactes et pertinentes, et qu’elles permettent de distinguer les différents types de contrats et de risques.</w:t>
      </w:r>
    </w:p>
    <w:p>
      <w:pPr>
        <w:numPr>
          <w:ilvl w:val="0"/>
          <w:numId w:val="1004"/>
        </w:numPr>
        <w:pStyle w:val="Compact"/>
      </w:pPr>
      <w:r>
        <w:t xml:space="preserve">La cohérence des hypothèses avec l’expérience et la situation propre de l’institution : il s’agit de vérifier que les hypothèses retenues pour l’évaluation sont basées sur les données historiques et les caractéristiques spécifiques de l’assureur, et qu’elles sont sensibles aux variations des paramètres.</w:t>
      </w:r>
    </w:p>
    <w:p>
      <w:pPr>
        <w:numPr>
          <w:ilvl w:val="0"/>
          <w:numId w:val="1004"/>
        </w:numPr>
        <w:pStyle w:val="Compact"/>
      </w:pPr>
      <w:r>
        <w:t xml:space="preserve">La possibilité de recourir aux</w:t>
      </w:r>
      <w:r>
        <w:t xml:space="preserve"> </w:t>
      </w:r>
      <w:r>
        <w:t xml:space="preserve">“</w:t>
      </w:r>
      <w:r>
        <w:t xml:space="preserve">dires d’experts</w:t>
      </w:r>
      <w:r>
        <w:t xml:space="preserve">”</w:t>
      </w:r>
      <w:r>
        <w:t xml:space="preserve"> </w:t>
      </w:r>
      <w:r>
        <w:t xml:space="preserve">: il s’agit de la possibilité d’utiliser le jugement professionnel des experts actuariels pour compléter ou ajuster les données ou les hypothèses, en cas de manque d’information ou d’incertitude.</w:t>
      </w:r>
    </w:p>
    <w:p>
      <w:pPr>
        <w:numPr>
          <w:ilvl w:val="0"/>
          <w:numId w:val="1004"/>
        </w:numPr>
        <w:pStyle w:val="Compact"/>
      </w:pPr>
      <w:r>
        <w:t xml:space="preserve">La modélisation des frais récurrents en adéquation avec les frontières des contrats : il s’agit de prendre en compte les frais liés à la gestion des contrats, en fonction de leur durée et de leur contenu.</w:t>
      </w:r>
    </w:p>
    <w:p>
      <w:pPr>
        <w:numPr>
          <w:ilvl w:val="0"/>
          <w:numId w:val="1004"/>
        </w:numPr>
        <w:pStyle w:val="Compact"/>
      </w:pPr>
      <w:r>
        <w:t xml:space="preserve">L’intégration des</w:t>
      </w:r>
      <w:r>
        <w:t xml:space="preserve"> </w:t>
      </w:r>
      <w:r>
        <w:t xml:space="preserve">“</w:t>
      </w:r>
      <w:r>
        <w:t xml:space="preserve">management actions</w:t>
      </w:r>
      <w:r>
        <w:t xml:space="preserve">”</w:t>
      </w:r>
      <w:r>
        <w:t xml:space="preserve"> </w:t>
      </w:r>
      <w:r>
        <w:t xml:space="preserve">dans l’évaluation des risques Vie : il s’agit de prendre en compte les actions que l’assureur peut mettre en œuvre pour limiter l’impact des chocs sur ses passifs, comme par exemple modifier la tarification ou la distribution de ses produits, ou ajuster ses garanties ou ses options.</w:t>
      </w:r>
    </w:p>
    <w:p>
      <w:pPr>
        <w:numPr>
          <w:ilvl w:val="0"/>
          <w:numId w:val="1004"/>
        </w:numPr>
        <w:pStyle w:val="Compact"/>
      </w:pPr>
      <w:r>
        <w:t xml:space="preserve">La difficulté de contrôler les approches stochastiques : il s’agit de la difficulté à vérifier la pertinence et la robustesse des méthodes qui utilisent des simulations aléatoires pour évaluer les provisions techniques, notamment en ce qui concerne le générateur de scénarios économiques, l’estimation des paramètres, etc.</w:t>
      </w:r>
    </w:p>
    <w:p>
      <w:pPr>
        <w:pStyle w:val="FirstParagraph"/>
      </w:pPr>
      <w:r>
        <w:t xml:space="preserve">L’évaluation des risques financiers est aussi une étape importante du bilan prudentiel, car elle détermine la valeur de marché des actifs détenus par les assureurs. Ainsi, cette évalution repose sur un certains nombre de principes parmi lesquels nous pouvons citer :</w:t>
      </w:r>
    </w:p>
    <w:p>
      <w:pPr>
        <w:numPr>
          <w:ilvl w:val="0"/>
          <w:numId w:val="1005"/>
        </w:numPr>
        <w:pStyle w:val="Compact"/>
      </w:pPr>
      <w:r>
        <w:t xml:space="preserve">La valorisation de l’immobilier et du non coté : il s’agit de déterminer le prix auquel les actifs immobiliers ou non cotés en bourse pourraient être vendus ou transférés sur le marché.</w:t>
      </w:r>
    </w:p>
    <w:p>
      <w:pPr>
        <w:numPr>
          <w:ilvl w:val="0"/>
          <w:numId w:val="1005"/>
        </w:numPr>
        <w:pStyle w:val="Compact"/>
      </w:pPr>
      <w:r>
        <w:t xml:space="preserve">La mise en transparence des OPCVM : connaître la composition détaillée des organismes de placement collectif en valeurs mobilières (OPCVM), qui sont des fonds d’investissement regroupant plusieurs actifs financiers.</w:t>
      </w:r>
    </w:p>
    <w:p>
      <w:pPr>
        <w:numPr>
          <w:ilvl w:val="0"/>
          <w:numId w:val="1005"/>
        </w:numPr>
        <w:pStyle w:val="Compact"/>
      </w:pPr>
      <w:r>
        <w:t xml:space="preserve">L’ajustement des chocs en fonction de la situation du marché financier et de la géographie du capital : il s’agit d’adapter l’intensité des chocs appliqués aux actifs financiers en fonction du contexte économique et du lieu où ils sont investis.</w:t>
      </w:r>
    </w:p>
    <w:p>
      <w:pPr>
        <w:numPr>
          <w:ilvl w:val="0"/>
          <w:numId w:val="1005"/>
        </w:numPr>
        <w:pStyle w:val="Compact"/>
      </w:pPr>
      <w:r>
        <w:t xml:space="preserve">La problématique des notations externes : il s’agit du problème lié à l’utilisation des notations attribuées par les agences externes pour évaluer le risque de défaut des actifs financiers, qui peuvent être biaisées ou imprécises.</w:t>
      </w:r>
    </w:p>
    <w:p>
      <w:pPr>
        <w:numPr>
          <w:ilvl w:val="0"/>
          <w:numId w:val="1005"/>
        </w:numPr>
        <w:pStyle w:val="Compact"/>
      </w:pPr>
      <w:r>
        <w:t xml:space="preserve">La définition des</w:t>
      </w:r>
      <w:r>
        <w:t xml:space="preserve"> </w:t>
      </w:r>
      <w:r>
        <w:t xml:space="preserve">“</w:t>
      </w:r>
      <w:r>
        <w:t xml:space="preserve">groupes</w:t>
      </w:r>
      <w:r>
        <w:t xml:space="preserve">”</w:t>
      </w:r>
      <w:r>
        <w:t xml:space="preserve"> </w:t>
      </w:r>
      <w:r>
        <w:t xml:space="preserve">et actifs</w:t>
      </w:r>
      <w:r>
        <w:t xml:space="preserve"> </w:t>
      </w:r>
      <w:r>
        <w:t xml:space="preserve">“</w:t>
      </w:r>
      <w:r>
        <w:t xml:space="preserve">stratégiques</w:t>
      </w:r>
      <w:r>
        <w:t xml:space="preserve">”</w:t>
      </w:r>
      <w:r>
        <w:t xml:space="preserve"> </w:t>
      </w:r>
      <w:r>
        <w:t xml:space="preserve">: il s’agit de définir quels sont les groupes ou les actifs financiers qui ont une importance particulière pour l’assureur, et qui doivent donc être traités différemment.</w:t>
      </w:r>
    </w:p>
    <w:p>
      <w:pPr>
        <w:pStyle w:val="FirstParagraph"/>
      </w:pPr>
      <w:r>
        <w:t xml:space="preserve">L’évaluation des impôts différés est également une étape importante du bilan prudentiel, car elle détermine le montant d’impôt que l’assureur peut économiser ou payer en cas de perte ou de bénéfice. L’évalution aps par un test de recouvrabilité et la capacité d’absorption des pertes par les impôts différés. L’objecif est de vérifier que l’assureur dispose d’un bénéfice futur suffisant pour utiliser ses impôts différés actifs, c’est-à-dire le montant d’impôt qu’il peut économiser grâce à ses pertes passées ou présentes. Par contraposée, cela revient aussi de vérifier que l’assureur peut bénéficier d’un ajustement pour capacité d’absorption des pertes par les impôts différés, c’est-à-dire le montant d’impôt qu’il peut économiser grâce à ses pertes futures.</w:t>
      </w:r>
    </w:p>
    <w:p>
      <w:pPr>
        <w:pStyle w:val="BodyText"/>
      </w:pPr>
      <w:r>
        <w:t xml:space="preserve">L’évaluation du capital de solvabilité requis (SCR) est la dernière étape du bilan prudentiel, car elle détermine le montant minimum de fonds propres que l’assureur doit avoir pour couvrir ses risques. Il existe deux approches possibles pour calculer le SCR :</w:t>
      </w:r>
    </w:p>
    <w:p>
      <w:pPr>
        <w:numPr>
          <w:ilvl w:val="0"/>
          <w:numId w:val="1006"/>
        </w:numPr>
      </w:pPr>
      <w:r>
        <w:t xml:space="preserve">La formule standard, qui est une méthode standardisée définie par le régulateur, qui prend en compte les différents types de risques auxquels les assureurs sont exposés, et qui utilise des paramètres prédéfinis.</w:t>
      </w:r>
    </w:p>
    <w:p>
      <w:pPr>
        <w:numPr>
          <w:ilvl w:val="0"/>
          <w:numId w:val="1006"/>
        </w:numPr>
      </w:pPr>
      <w:r>
        <w:t xml:space="preserve">Le modèle interne, qui est une méthode propre à l’assureur, qui prend en compte les spécificités de son profil de risque, et qui utilise ses propres paramètres. Le modèle interne doit être validé par le régulateur.</w:t>
      </w:r>
    </w:p>
    <w:bookmarkEnd w:id="43"/>
    <w:bookmarkStart w:id="55" w:name="valorisation-de-lactif"/>
    <w:p>
      <w:pPr>
        <w:pStyle w:val="Heading2"/>
      </w:pPr>
      <w:r>
        <w:t xml:space="preserve">4 Valorisation de l’actif</w:t>
      </w:r>
    </w:p>
    <w:bookmarkStart w:id="54" w:name="actions-cotées-à-la-bourse"/>
    <w:p>
      <w:pPr>
        <w:pStyle w:val="Heading3"/>
      </w:pPr>
      <w:r>
        <w:t xml:space="preserve">4.1 Actions cotées à la bourse</w:t>
      </w:r>
    </w:p>
    <w:p>
      <w:pPr>
        <w:pStyle w:val="FirstParagraph"/>
      </w:pPr>
      <w:r>
        <w:t xml:space="preserve">Les actions cotées à la bourse de Casablanca sont valorisées conformément à la</w:t>
      </w:r>
      <w:r>
        <w:t xml:space="preserve"> </w:t>
      </w:r>
      <w:r>
        <w:rPr>
          <w:iCs/>
          <w:i/>
        </w:rPr>
        <w:t xml:space="preserve">Spécification technique 7</w:t>
      </w:r>
      <w:r>
        <w:t xml:space="preserve"> </w:t>
      </w:r>
      <w:r>
        <w:t xml:space="preserve">de la</w:t>
      </w:r>
      <w:r>
        <w:t xml:space="preserve"> </w:t>
      </w:r>
      <w:r>
        <w:rPr>
          <w:iCs/>
          <w:i/>
        </w:rPr>
        <w:t xml:space="preserve">Section 2</w:t>
      </w:r>
      <w:r>
        <w:t xml:space="preserve"> </w:t>
      </w:r>
      <w:r>
        <w:t xml:space="preserve">de la circulaire de l’ACAPS comme suit :</w:t>
      </w:r>
    </w:p>
    <w:p>
      <w:pPr>
        <w:numPr>
          <w:ilvl w:val="0"/>
          <w:numId w:val="1007"/>
        </w:numPr>
        <w:pStyle w:val="Compact"/>
      </w:pPr>
      <w:r>
        <w:t xml:space="preserve">Dernier coté avant la date d’inventaire</w:t>
      </w:r>
    </w:p>
    <w:p>
      <w:pPr>
        <w:numPr>
          <w:ilvl w:val="0"/>
          <w:numId w:val="1007"/>
        </w:numPr>
        <w:pStyle w:val="Compact"/>
      </w:pPr>
      <w:r>
        <w:t xml:space="preserve">Moyenne des cours côtés des trois derniers mois précédant la date d’inventaire si le volume ou la quantité journaliers moyens des transactions sur les 3 derniers mois précédant la date d’inventaire sont inférieurs aux seuils fixés par autorité</w:t>
      </w:r>
    </w:p>
    <w:bookmarkStart w:id="53" w:name="modélisation-du-prix-des-actions"/>
    <w:p>
      <w:pPr>
        <w:pStyle w:val="Heading4"/>
      </w:pPr>
      <w:r>
        <w:t xml:space="preserve">4.1.1 Modélisation du prix des actions</w:t>
      </w:r>
    </w:p>
    <w:p>
      <w:pPr>
        <w:pStyle w:val="FirstParagraph"/>
      </w:pPr>
      <w:r>
        <w:t xml:space="preserve">Le prix d’une action ou plus communément appelé cours d’une action représente le prix auquel elle est acheté ou vendue sur un marché boursier. Ce prix fluctue en fonction de l’offre et de la demande pour cette action, ainsi que de nombreux autres facteurs tels que les performances financières de l’entreprise, les conditions économiques générales et les évènements mondiaux. Autrement dit, le cours de l’action représente la valeur perçue de l’entreprise par les investisseurs à un moment.</w:t>
      </w:r>
    </w:p>
    <w:p>
      <w:pPr>
        <w:pStyle w:val="BodyText"/>
      </w:pPr>
      <w:r>
        <w:t xml:space="preserve">Ainsi, si la valeur présente de l’action est une donnée du marché, sa valeur future quant à elle est aléatoire d’où la nécessité de sa modélisation.</w:t>
      </w:r>
    </w:p>
    <w:bookmarkStart w:id="52" w:name="modèle-de-black-scholes"/>
    <w:p>
      <w:pPr>
        <w:pStyle w:val="Heading5"/>
      </w:pPr>
      <w:r>
        <w:t xml:space="preserve">4.1.1.1 Modèle de Black-Scholes</w:t>
      </w:r>
    </w:p>
    <w:p>
      <w:pPr>
        <w:pStyle w:val="FirstParagraph"/>
      </w:pPr>
      <w:r>
        <w:t xml:space="preserve">Le modèle de Black-Scholes modèle a été développé en 1973 par</w:t>
      </w:r>
      <w:r>
        <w:t xml:space="preserve"> </w:t>
      </w:r>
      <w:r>
        <w:rPr>
          <w:iCs/>
          <w:i/>
        </w:rPr>
        <w:t xml:space="preserve">Fischer Black</w:t>
      </w:r>
      <w:r>
        <w:t xml:space="preserve">,</w:t>
      </w:r>
      <w:r>
        <w:t xml:space="preserve"> </w:t>
      </w:r>
      <w:r>
        <w:rPr>
          <w:iCs/>
          <w:i/>
        </w:rPr>
        <w:t xml:space="preserve">Robert Merton</w:t>
      </w:r>
      <w:r>
        <w:t xml:space="preserve"> </w:t>
      </w:r>
      <w:r>
        <w:t xml:space="preserve">et</w:t>
      </w:r>
      <w:r>
        <w:t xml:space="preserve"> </w:t>
      </w:r>
      <w:r>
        <w:rPr>
          <w:iCs/>
          <w:i/>
        </w:rPr>
        <w:t xml:space="preserve">Myron Scholes</w:t>
      </w:r>
      <w:r>
        <w:t xml:space="preserve">, qui ont reçu le prix Nobel d’économie en 1997 pour leurs travaux. Ce modèle est l’un des concepts les plus importants dans la théorie de la finance modèle. Il permet dévaluer le prix d’une option européenne en fnction de son type et du prix de l’actif sous-jacent. Le modèle repose sur plusieurs hypothèses dont l’une d’entre elle est que le cours de l’actif sous jacent suit un mouvement géométrique avec une volatilité constante.</w:t>
      </w:r>
    </w:p>
    <w:p>
      <w:pPr>
        <w:pStyle w:val="BodyText"/>
      </w:pPr>
      <w:r>
        <w:t xml:space="preserve">En termes mathématiques, le prix d’une action peut donc être représenté comme une fonction scalaire du temps actuel</w:t>
      </w:r>
      <w:r>
        <w:t xml:space="preserve"> </w:t>
      </w:r>
      <m:oMath>
        <m:r>
          <m:t>t</m:t>
        </m:r>
      </m:oMath>
      <w:r>
        <w:t xml:space="preserve">. Nous noterons cette fonction</w:t>
      </w:r>
      <w:r>
        <w:t xml:space="preserve"> </w:t>
      </w:r>
      <m:oMath>
        <m:r>
          <m:t>S</m:t>
        </m:r>
        <m:d>
          <m:dPr>
            <m:begChr m:val="("/>
            <m:endChr m:val=")"/>
            <m:sepChr m:val=""/>
            <m:grow/>
          </m:dPr>
          <m:e>
            <m:r>
              <m:t>t</m:t>
            </m:r>
          </m:e>
        </m:d>
      </m:oMath>
      <w:r>
        <w:t xml:space="preserve">. Notons qu’en termes techniques,</w:t>
      </w:r>
      <w:r>
        <w:t xml:space="preserve"> </w:t>
      </w:r>
      <m:oMath>
        <m:r>
          <m:t>S</m:t>
        </m:r>
        <m:d>
          <m:dPr>
            <m:begChr m:val="("/>
            <m:endChr m:val=")"/>
            <m:sepChr m:val=""/>
            <m:grow/>
          </m:dPr>
          <m:e>
            <m:r>
              <m:t>t</m:t>
            </m:r>
          </m:e>
        </m:d>
      </m:oMath>
      <w:r>
        <w:t xml:space="preserve"> </w:t>
      </w:r>
      <w:r>
        <w:t xml:space="preserve">est une série temporelle, qui bien qu’apparemment continue (avec continuité</w:t>
      </w:r>
      <w:r>
        <w:t xml:space="preserve"> </w:t>
      </w:r>
      <m:oMath>
        <m:r>
          <m:t>C</m:t>
        </m:r>
        <m:d>
          <m:dPr>
            <m:begChr m:val="["/>
            <m:endChr m:val="]"/>
            <m:sepChr m:val=""/>
            <m:grow/>
          </m:dPr>
          <m:e>
            <m:r>
              <m:t>0</m:t>
            </m:r>
          </m:e>
        </m:d>
      </m:oMath>
      <w:r>
        <w:t xml:space="preserve">), est en réalité discontinue (sujette de sauts). De plus, ce n’est pas une fonction dont la dérivée première n’existe pas.</w:t>
      </w:r>
    </w:p>
    <w:p>
      <w:pPr>
        <w:pStyle w:val="BodyText"/>
      </w:pPr>
      <w:r>
        <w:t xml:space="preserve">Nous allons modéliser</w:t>
      </w:r>
      <w:r>
        <w:t xml:space="preserve"> </w:t>
      </w:r>
      <m:oMath>
        <m:r>
          <m:t>S</m:t>
        </m:r>
        <m:d>
          <m:dPr>
            <m:begChr m:val="("/>
            <m:endChr m:val=")"/>
            <m:sepChr m:val=""/>
            <m:grow/>
          </m:dPr>
          <m:e>
            <m:r>
              <m:t>t</m:t>
            </m:r>
          </m:e>
        </m:d>
      </m:oMath>
      <w:r>
        <w:t xml:space="preserve"> </w:t>
      </w:r>
      <w:r>
        <w:t xml:space="preserve">comme une variable stochastique. Dans cette situation, nous sommes tenus de ne pas utiliser les outils standards de calcul (tels que les séries de Taylor, les dérivées, l’intégrale de Riemann), mais sont plutôt contraints d’utiliser les outils de calculs stochastiques (tels que le lemme d’Ito, la dérivée de Radon-Nykodym, Riemann -Stieltjes intégrale) pour faire avancer notre modélisation.</w:t>
      </w:r>
    </w:p>
    <w:p>
      <w:pPr>
        <w:pStyle w:val="BodyText"/>
      </w:pPr>
      <w:r>
        <w:t xml:space="preserve">Dans ce contexte, le comportement de la variable</w:t>
      </w:r>
      <w:r>
        <w:t xml:space="preserve"> </w:t>
      </w:r>
      <m:oMath>
        <m:r>
          <m:t>S</m:t>
        </m:r>
        <m:d>
          <m:dPr>
            <m:begChr m:val="("/>
            <m:endChr m:val=")"/>
            <m:sepChr m:val=""/>
            <m:grow/>
          </m:dPr>
          <m:e>
            <m:r>
              <m:t>t</m:t>
            </m:r>
          </m:e>
        </m:d>
      </m:oMath>
      <w:r>
        <w:t xml:space="preserve"> </w:t>
      </w:r>
      <w:r>
        <w:t xml:space="preserve">peut être décrit pour une</w:t>
      </w:r>
      <w:r>
        <w:t xml:space="preserve"> </w:t>
      </w:r>
      <w:r>
        <w:rPr>
          <w:iCs/>
          <w:i/>
        </w:rPr>
        <w:t xml:space="preserve">Equation Différentielle Stochastique</w:t>
      </w:r>
      <w:r>
        <w:t xml:space="preserve"> </w:t>
      </w:r>
      <w:r>
        <w:t xml:space="preserve">(</w:t>
      </w:r>
      <m:oMath>
        <m:r>
          <m:t>E</m:t>
        </m:r>
        <m:r>
          <m:t>D</m:t>
        </m:r>
        <m:r>
          <m:t>S</m:t>
        </m:r>
      </m:oMath>
      <w:r>
        <w:t xml:space="preserve">). Dans le cas des actions, l’</w:t>
      </w:r>
      <m:oMath>
        <m:r>
          <m:t>E</m:t>
        </m:r>
        <m:r>
          <m:t>D</m:t>
        </m:r>
        <m:r>
          <m:t>S</m:t>
        </m:r>
      </m:oMath>
      <w:r>
        <w:t xml:space="preserve"> </w:t>
      </w:r>
      <w:r>
        <w:t xml:space="preserve">standard utilisée pour modéliser la trajectoire du cours est appelé</w:t>
      </w:r>
      <w:r>
        <w:t xml:space="preserve"> </w:t>
      </w:r>
      <w:r>
        <w:rPr>
          <w:iCs/>
          <w:i/>
        </w:rPr>
        <w:t xml:space="preserve">Mouvement Brownien Géométrique</w:t>
      </w:r>
      <w:r>
        <w:t xml:space="preserve"> </w:t>
      </w:r>
      <w:r>
        <w:t xml:space="preserve">(</w:t>
      </w:r>
      <m:oMath>
        <m:r>
          <m:t>G</m:t>
        </m:r>
        <m:r>
          <m:t>B</m:t>
        </m:r>
        <m:r>
          <m:t>M</m:t>
        </m:r>
      </m:oMath>
      <w:r>
        <w:t xml:space="preserve"> </w:t>
      </w:r>
      <w:r>
        <w:t xml:space="preserve">: Geometric Brownian Motion). Sous la mesure de probabilité dite réelle</w:t>
      </w:r>
      <w:r>
        <w:t xml:space="preserve"> </w:t>
      </w:r>
      <m:oMath>
        <m:r>
          <m:t>P</m:t>
        </m:r>
      </m:oMath>
      <w:r>
        <w:t xml:space="preserve">, le mouvement brownien géométrique (</w:t>
      </w:r>
      <m:oMath>
        <m:r>
          <m:t>G</m:t>
        </m:r>
        <m:r>
          <m:t>B</m:t>
        </m:r>
        <m:r>
          <m:t>M</m:t>
        </m:r>
      </m:oMath>
      <w:r>
        <w:t xml:space="preserve">) est formellement représenté en temps continu de la manière suivante :</w:t>
      </w:r>
      <w:r>
        <w:t xml:space="preserve"> </w:t>
      </w:r>
      <w:r>
        <w:rPr>
          <w:rStyle w:val="FootnoteReference"/>
        </w:rPr>
        <w:footnoteReference w:id="44"/>
      </w:r>
    </w:p>
    <w:p>
      <w:pPr>
        <w:pStyle w:val="BodyText"/>
      </w:pPr>
      <w:bookmarkStart w:id="45" w:name="eq-gbmp"/>
      <m:oMathPara>
        <m:oMathParaPr>
          <m:jc m:val="center"/>
        </m:oMathParaPr>
        <m:oMath>
          <m:r>
            <m:t>d</m:t>
          </m:r>
          <m:sSub>
            <m:e>
              <m:r>
                <m:t>S</m:t>
              </m:r>
            </m:e>
            <m:sub>
              <m:r>
                <m:t>t</m:t>
              </m:r>
            </m:sub>
          </m:sSub>
          <m:r>
            <m:rPr>
              <m:sty m:val="p"/>
            </m:rPr>
            <m:t>=</m:t>
          </m:r>
          <m:r>
            <m:t>μ</m:t>
          </m:r>
          <m:sSub>
            <m:e>
              <m:r>
                <m:t>S</m:t>
              </m:r>
            </m:e>
            <m:sub>
              <m:r>
                <m:t>t</m:t>
              </m:r>
            </m:sub>
          </m:sSub>
          <m:r>
            <m:t>d</m:t>
          </m:r>
          <m:r>
            <m:t>t</m:t>
          </m:r>
          <m:r>
            <m:rPr>
              <m:sty m:val="p"/>
            </m:rPr>
            <m:t>+</m:t>
          </m:r>
          <m:r>
            <m:t>σ</m:t>
          </m:r>
          <m:sSub>
            <m:e>
              <m:r>
                <m:t>S</m:t>
              </m:r>
            </m:e>
            <m:sub>
              <m:r>
                <m:t>t</m:t>
              </m:r>
            </m:sub>
          </m:sSub>
          <m:r>
            <m:t>d</m:t>
          </m:r>
          <m:sSubSup>
            <m:e>
              <m:r>
                <m:t>W</m:t>
              </m:r>
            </m:e>
            <m:sub>
              <m:r>
                <m:t>t</m:t>
              </m:r>
            </m:sub>
            <m:sup>
              <m:r>
                <m:t>P</m:t>
              </m:r>
            </m:sup>
          </m:sSubSup>
          <m:r>
            <m:t>  </m:t>
          </m:r>
          <m:d>
            <m:dPr>
              <m:begChr m:val="("/>
              <m:endChr m:val=")"/>
              <m:sepChr m:val=""/>
              <m:grow/>
            </m:dPr>
            <m:e>
              <m:r>
                <m:t>1</m:t>
              </m:r>
            </m:e>
          </m:d>
        </m:oMath>
      </m:oMathPara>
      <w:bookmarkEnd w:id="45"/>
    </w:p>
    <w:p>
      <w:pPr>
        <w:pStyle w:val="FirstParagraph"/>
      </w:pPr>
      <w:r>
        <w:t xml:space="preserve">où</w:t>
      </w:r>
      <w:r>
        <w:t xml:space="preserve"> </w:t>
      </w:r>
      <m:oMath>
        <m:r>
          <m:t>μ</m:t>
        </m:r>
      </m:oMath>
      <w:r>
        <w:t xml:space="preserve"> </w:t>
      </w:r>
      <w:r>
        <w:t xml:space="preserve">représente le drift,</w:t>
      </w:r>
      <w:r>
        <w:t xml:space="preserve"> </w:t>
      </w:r>
      <m:oMath>
        <m:r>
          <m:t>σ</m:t>
        </m:r>
      </m:oMath>
      <w:r>
        <w:t xml:space="preserve"> </w:t>
      </w:r>
      <w:r>
        <w:t xml:space="preserve">la volatilité et</w:t>
      </w:r>
      <w:r>
        <w:t xml:space="preserve"> </w:t>
      </w:r>
      <m:oMath>
        <m:sSup>
          <m:e>
            <m:r>
              <m:t>W</m:t>
            </m:r>
          </m:e>
          <m:sup>
            <m:r>
              <m:t>P</m:t>
            </m:r>
          </m:sup>
        </m:sSup>
      </m:oMath>
      <w:r>
        <w:t xml:space="preserve"> </w:t>
      </w:r>
      <w:r>
        <w:t xml:space="preserve">est mouvement brownien standard sous la probabilité</w:t>
      </w:r>
      <w:r>
        <w:t xml:space="preserve"> </w:t>
      </w:r>
      <m:oMath>
        <m:r>
          <m:t>P</m:t>
        </m:r>
      </m:oMath>
      <w:r>
        <w:t xml:space="preserve">.</w:t>
      </w:r>
    </w:p>
    <w:p>
      <w:pPr>
        <w:pStyle w:val="BodyText"/>
      </w:pPr>
      <w:r>
        <w:t xml:space="preserve">Cependant, dans la littérature, cette représentation n’est pas utilisée pour la valorisation des produit dérivés. Il est remplacé par la représentation suivante sous la mesure de probabilité neutre au risque</w:t>
      </w:r>
      <w:r>
        <w:t xml:space="preserve"> </w:t>
      </w:r>
      <m:oMath>
        <m:r>
          <m:rPr>
            <m:sty m:val="p"/>
            <m:scr m:val="double-struck"/>
          </m:rPr>
          <m:t>Q</m:t>
        </m:r>
      </m:oMath>
      <w:r>
        <w:t xml:space="preserve">:</w:t>
      </w:r>
    </w:p>
    <w:p>
      <w:pPr>
        <w:pStyle w:val="BodyText"/>
      </w:pPr>
      <w:bookmarkStart w:id="46" w:name="eq-gbmq"/>
      <m:oMathPara>
        <m:oMathParaPr>
          <m:jc m:val="center"/>
        </m:oMathParaPr>
        <m:oMath>
          <m:r>
            <m:t>d</m:t>
          </m:r>
          <m:sSub>
            <m:e>
              <m:r>
                <m:t>S</m:t>
              </m:r>
            </m:e>
            <m:sub>
              <m:r>
                <m:t>t</m:t>
              </m:r>
            </m:sub>
          </m:sSub>
          <m:r>
            <m:rPr>
              <m:sty m:val="p"/>
            </m:rPr>
            <m:t>=</m:t>
          </m:r>
          <m:r>
            <m:t>r</m:t>
          </m:r>
          <m:sSub>
            <m:e>
              <m:r>
                <m:t>S</m:t>
              </m:r>
            </m:e>
            <m:sub>
              <m:r>
                <m:t>t</m:t>
              </m:r>
            </m:sub>
          </m:sSub>
          <m:r>
            <m:t>d</m:t>
          </m:r>
          <m:r>
            <m:t>t</m:t>
          </m:r>
          <m:r>
            <m:rPr>
              <m:sty m:val="p"/>
            </m:rPr>
            <m:t>+</m:t>
          </m:r>
          <m:r>
            <m:t>σ</m:t>
          </m:r>
          <m:sSub>
            <m:e>
              <m:r>
                <m:t>S</m:t>
              </m:r>
            </m:e>
            <m:sub>
              <m:r>
                <m:t>t</m:t>
              </m:r>
            </m:sub>
          </m:sSub>
          <m:r>
            <m:t>d</m:t>
          </m:r>
          <m:sSubSup>
            <m:e>
              <m:r>
                <m:t>W</m:t>
              </m:r>
            </m:e>
            <m:sub>
              <m:r>
                <m:t>t</m:t>
              </m:r>
            </m:sub>
            <m:sup>
              <m:r>
                <m:rPr>
                  <m:sty m:val="p"/>
                  <m:scr m:val="double-struck"/>
                </m:rPr>
                <m:t>Q</m:t>
              </m:r>
            </m:sup>
          </m:sSubSup>
          <m:r>
            <m:t>  </m:t>
          </m:r>
          <m:d>
            <m:dPr>
              <m:begChr m:val="("/>
              <m:endChr m:val=")"/>
              <m:sepChr m:val=""/>
              <m:grow/>
            </m:dPr>
            <m:e>
              <m:r>
                <m:t>2</m:t>
              </m:r>
            </m:e>
          </m:d>
        </m:oMath>
      </m:oMathPara>
      <w:bookmarkEnd w:id="46"/>
    </w:p>
    <w:p>
      <w:pPr>
        <w:pStyle w:val="FirstParagraph"/>
      </w:pPr>
      <w:r>
        <w:t xml:space="preserve">Dans l’</w:t>
      </w:r>
      <w:hyperlink w:anchor="eq-gbmq">
        <w:r>
          <w:rPr>
            <w:rStyle w:val="Hyperlink"/>
          </w:rPr>
          <w:t xml:space="preserve">Equation 2</w:t>
        </w:r>
      </w:hyperlink>
      <w:r>
        <w:t xml:space="preserve"> </w:t>
      </w:r>
      <w:r>
        <w:t xml:space="preserve">précédente, nous avons remplacé</w:t>
      </w:r>
      <w:r>
        <w:t xml:space="preserve"> </w:t>
      </w:r>
      <m:oMath>
        <m:r>
          <m:t>μ</m:t>
        </m:r>
      </m:oMath>
      <w:r>
        <w:t xml:space="preserve"> </w:t>
      </w:r>
      <w:r>
        <w:t xml:space="preserve">par le taux d’intérêt sans risque</w:t>
      </w:r>
      <w:r>
        <w:t xml:space="preserve"> </w:t>
      </w:r>
      <m:oMath>
        <m:r>
          <m:t>r</m:t>
        </m:r>
      </m:oMath>
      <w:r>
        <w:t xml:space="preserve">,</w:t>
      </w:r>
      <w:r>
        <w:t xml:space="preserve"> </w:t>
      </w:r>
      <m:oMath>
        <m:r>
          <m:t>σ</m:t>
        </m:r>
      </m:oMath>
      <w:r>
        <w:t xml:space="preserve"> </w:t>
      </w:r>
      <w:r>
        <w:t xml:space="preserve">est la volatilité et</w:t>
      </w:r>
      <w:r>
        <w:t xml:space="preserve"> </w:t>
      </w:r>
      <m:oMath>
        <m:r>
          <m:t>d</m:t>
        </m:r>
        <m:r>
          <m:t>W</m:t>
        </m:r>
      </m:oMath>
      <w:r>
        <w:t xml:space="preserve"> </w:t>
      </w:r>
      <w:r>
        <w:t xml:space="preserve">est l’incrément d’un processus de Wiener. L’équation 2 peut en outre être représentée comme suit :</w:t>
      </w:r>
    </w:p>
    <w:p>
      <w:pPr>
        <w:pStyle w:val="BodyText"/>
      </w:pPr>
      <m:oMathPara>
        <m:oMathParaPr>
          <m:jc m:val="center"/>
        </m:oMathParaPr>
        <m:oMath>
          <m:f>
            <m:fPr>
              <m:type m:val="bar"/>
            </m:fPr>
            <m:num>
              <m:r>
                <m:t>d</m:t>
              </m:r>
              <m:sSub>
                <m:e>
                  <m:r>
                    <m:t>S</m:t>
                  </m:r>
                </m:e>
                <m:sub>
                  <m:r>
                    <m:t>t</m:t>
                  </m:r>
                </m:sub>
              </m:sSub>
            </m:num>
            <m:den>
              <m:sSub>
                <m:e>
                  <m:r>
                    <m:t>S</m:t>
                  </m:r>
                </m:e>
                <m:sub>
                  <m:r>
                    <m:t>t</m:t>
                  </m:r>
                </m:sub>
              </m:sSub>
            </m:den>
          </m:f>
          <m:r>
            <m:rPr>
              <m:sty m:val="p"/>
            </m:rPr>
            <m:t>=</m:t>
          </m:r>
          <m:r>
            <m:t>r</m:t>
          </m:r>
          <m:r>
            <m:t>d</m:t>
          </m:r>
          <m:r>
            <m:t>t</m:t>
          </m:r>
          <m:r>
            <m:rPr>
              <m:sty m:val="p"/>
            </m:rPr>
            <m:t>+</m:t>
          </m:r>
          <m:r>
            <m:t>σ</m:t>
          </m:r>
          <m:r>
            <m:t>d</m:t>
          </m:r>
          <m:sSubSup>
            <m:e>
              <m:r>
                <m:t>W</m:t>
              </m:r>
            </m:e>
            <m:sub>
              <m:r>
                <m:t>t</m:t>
              </m:r>
            </m:sub>
            <m:sup>
              <m:r>
                <m:rPr>
                  <m:sty m:val="p"/>
                  <m:scr m:val="double-struck"/>
                </m:rPr>
                <m:t>Q</m:t>
              </m:r>
            </m:sup>
          </m:sSubSup>
        </m:oMath>
      </m:oMathPara>
    </w:p>
    <w:p>
      <w:pPr>
        <w:pStyle w:val="FirstParagraph"/>
      </w:pPr>
      <w:r>
        <w:t xml:space="preserve">Dans cette dernière équation, nous pouvons identifier le terme</w:t>
      </w:r>
      <w:r>
        <w:t xml:space="preserve"> </w:t>
      </w:r>
      <m:oMath>
        <m:f>
          <m:fPr>
            <m:type m:val="bar"/>
          </m:fPr>
          <m:num>
            <m:r>
              <m:t>d</m:t>
            </m:r>
            <m:sSub>
              <m:e>
                <m:r>
                  <m:t>S</m:t>
                </m:r>
              </m:e>
              <m:sub>
                <m:r>
                  <m:t>t</m:t>
                </m:r>
              </m:sub>
            </m:sSub>
          </m:num>
          <m:den>
            <m:sSub>
              <m:e>
                <m:r>
                  <m:t>S</m:t>
                </m:r>
              </m:e>
              <m:sub>
                <m:r>
                  <m:t>t</m:t>
                </m:r>
              </m:sub>
            </m:sSub>
          </m:den>
        </m:f>
      </m:oMath>
      <w:r>
        <w:t xml:space="preserve"> </w:t>
      </w:r>
      <w:r>
        <w:t xml:space="preserve">du côté gauche de l’équation comme le rendement des capitaux propres. Ainsi, les deux termes du côté droit de l’équation sont un « terme de dérive » et un « terme de volatilité ». Chacun de ces termes est « mis à l’échelle » par les paramètres μ et σ , qui sont calibrés sur les prix actuels du marché des instruments négociés, tels que les options d’achat et de vente.</w:t>
      </w:r>
    </w:p>
    <w:p>
      <w:pPr>
        <w:pStyle w:val="BodyText"/>
      </w:pPr>
      <w:r>
        <w:t xml:space="preserve">Intéressons nous aux solutions</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de l’EDS</w:t>
      </w:r>
      <w:r>
        <w:t xml:space="preserve"> </w:t>
      </w:r>
      <w:hyperlink w:anchor="eq-gbmq">
        <w:r>
          <w:rPr>
            <w:rStyle w:val="Hyperlink"/>
          </w:rPr>
          <w:t xml:space="preserve">Equation 2</w:t>
        </w:r>
      </w:hyperlink>
      <w:r>
        <w:t xml:space="preserve"> </w:t>
      </w:r>
      <w:r>
        <w:t xml:space="preserve">qui peut être réécrite comme suit :</w:t>
      </w:r>
    </w:p>
    <w:p>
      <w:pPr>
        <w:pStyle w:val="BodyText"/>
      </w:pPr>
      <w:bookmarkStart w:id="47" w:name="eq-intEDS"/>
      <m:oMathPara>
        <m:oMathParaPr>
          <m:jc m:val="center"/>
        </m:oMathParaPr>
        <m:oMath>
          <m:sSub>
            <m:e>
              <m:r>
                <m:t>S</m:t>
              </m:r>
            </m:e>
            <m:sub>
              <m:r>
                <m:t>t</m:t>
              </m:r>
            </m:sub>
          </m:sSub>
          <m:r>
            <m:rPr>
              <m:sty m:val="p"/>
            </m:rPr>
            <m:t>=</m:t>
          </m:r>
          <m:sSub>
            <m:e>
              <m:r>
                <m:t>x</m:t>
              </m:r>
            </m:e>
            <m:sub>
              <m:r>
                <m:t>0</m:t>
              </m:r>
            </m:sub>
          </m:sSub>
          <m:r>
            <m:rPr>
              <m:sty m:val="p"/>
            </m:rPr>
            <m:t>+</m:t>
          </m:r>
          <m:nary>
            <m:naryPr>
              <m:chr m:val="∫"/>
              <m:limLoc m:val="subSup"/>
              <m:subHide m:val="0"/>
              <m:supHide m:val="0"/>
            </m:naryPr>
            <m:sub>
              <m:r>
                <m:t>0</m:t>
              </m:r>
            </m:sub>
            <m:sup>
              <m:r>
                <m:t>t</m:t>
              </m:r>
            </m:sup>
            <m:e>
              <m:sSub>
                <m:e>
                  <m:r>
                    <m:t>S</m:t>
                  </m:r>
                </m:e>
                <m:sub>
                  <m:r>
                    <m:t>s</m:t>
                  </m:r>
                </m:sub>
              </m:sSub>
            </m:e>
          </m:nary>
          <m:d>
            <m:dPr>
              <m:begChr m:val="("/>
              <m:endChr m:val=")"/>
              <m:sepChr m:val=""/>
              <m:grow/>
            </m:dPr>
            <m:e>
              <m:r>
                <m:t>μ</m:t>
              </m:r>
              <m:r>
                <m:t>d</m:t>
              </m:r>
              <m:r>
                <m:t>t</m:t>
              </m:r>
              <m:r>
                <m:rPr>
                  <m:sty m:val="p"/>
                </m:rPr>
                <m:t>+</m:t>
              </m:r>
              <m:r>
                <m:t>σ</m:t>
              </m:r>
              <m:r>
                <m:t>d</m:t>
              </m:r>
              <m:sSubSup>
                <m:e>
                  <m:r>
                    <m:t>W</m:t>
                  </m:r>
                </m:e>
                <m:sub>
                  <m:r>
                    <m:t>s</m:t>
                  </m:r>
                </m:sub>
                <m:sup>
                  <m:r>
                    <m:rPr>
                      <m:sty m:val="p"/>
                      <m:scr m:val="double-struck"/>
                    </m:rPr>
                    <m:t>P</m:t>
                  </m:r>
                </m:sup>
              </m:sSubSup>
            </m:e>
          </m:d>
          <m:r>
            <m:t> </m:t>
          </m:r>
          <m:r>
            <m:rPr>
              <m:sty m:val="p"/>
            </m:rPr>
            <m:t>;</m:t>
          </m:r>
          <m:r>
            <m:t> </m:t>
          </m:r>
          <m:r>
            <m:t> </m:t>
          </m:r>
          <m:r>
            <m:t>a</m:t>
          </m:r>
          <m:r>
            <m:t>v</m:t>
          </m:r>
          <m:r>
            <m:t>e</m:t>
          </m:r>
          <m:r>
            <m:t>c</m:t>
          </m:r>
          <m:r>
            <m:t> </m:t>
          </m:r>
          <m:sSub>
            <m:e>
              <m:r>
                <m:t>S</m:t>
              </m:r>
            </m:e>
            <m:sub>
              <m:r>
                <m:t>0</m:t>
              </m:r>
            </m:sub>
          </m:sSub>
          <m:r>
            <m:rPr>
              <m:sty m:val="p"/>
            </m:rPr>
            <m:t>=</m:t>
          </m:r>
          <m:sSub>
            <m:e>
              <m:r>
                <m:t>x</m:t>
              </m:r>
            </m:e>
            <m:sub>
              <m:r>
                <m:t>0</m:t>
              </m:r>
            </m:sub>
          </m:sSub>
          <m:r>
            <m:t>  </m:t>
          </m:r>
          <m:d>
            <m:dPr>
              <m:begChr m:val="("/>
              <m:endChr m:val=")"/>
              <m:sepChr m:val=""/>
              <m:grow/>
            </m:dPr>
            <m:e>
              <m:r>
                <m:t>3</m:t>
              </m:r>
            </m:e>
          </m:d>
        </m:oMath>
      </m:oMathPara>
      <w:bookmarkEnd w:id="47"/>
    </w:p>
    <w:p>
      <w:pPr>
        <w:pStyle w:val="FirstParagraph"/>
      </w:pPr>
      <w:r>
        <w:t xml:space="preserve">Puisque</w:t>
      </w:r>
      <w:r>
        <w:t xml:space="preserve"> </w:t>
      </w:r>
      <m:oMath>
        <m:r>
          <m:t>μ</m:t>
        </m:r>
      </m:oMath>
      <w:r>
        <w:t xml:space="preserve"> </w:t>
      </w:r>
      <w:r>
        <w:t xml:space="preserve">et</w:t>
      </w:r>
      <w:r>
        <w:t xml:space="preserve"> </w:t>
      </w:r>
      <m:oMath>
        <m:r>
          <m:t>σ</m:t>
        </m:r>
      </m:oMath>
      <w:r>
        <w:t xml:space="preserve"> </w:t>
      </w:r>
      <w:r>
        <w:t xml:space="preserve">sont positifs, cela signifie que l’on cherche un processus adapté</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tel que les intégrales</w:t>
      </w:r>
      <w:r>
        <w:t xml:space="preserve"> </w:t>
      </w:r>
      <m:oMath>
        <m:nary>
          <m:naryPr>
            <m:chr m:val="∫"/>
            <m:limLoc m:val="subSup"/>
            <m:subHide m:val="0"/>
            <m:supHide m:val="0"/>
          </m:naryPr>
          <m:sub>
            <m:r>
              <m:t>0</m:t>
            </m:r>
          </m:sub>
          <m:sup>
            <m:r>
              <m:t>t</m:t>
            </m:r>
          </m:sup>
          <m:e>
            <m:sSub>
              <m:e>
                <m:r>
                  <m:t>S</m:t>
                </m:r>
              </m:e>
              <m:sub>
                <m:r>
                  <m:t>s</m:t>
                </m:r>
              </m:sub>
            </m:sSub>
          </m:e>
        </m:nary>
      </m:oMath>
      <w:r>
        <w:t xml:space="preserve"> </w:t>
      </w:r>
      <w:r>
        <w:t xml:space="preserve">et</w:t>
      </w:r>
      <w:r>
        <w:t xml:space="preserve"> </w:t>
      </w:r>
      <m:oMath>
        <m:nary>
          <m:naryPr>
            <m:chr m:val="∫"/>
            <m:limLoc m:val="subSup"/>
            <m:subHide m:val="0"/>
            <m:supHide m:val="0"/>
          </m:naryPr>
          <m:sub>
            <m:r>
              <m:t>0</m:t>
            </m:r>
          </m:sub>
          <m:sup>
            <m:r>
              <m:t>t</m:t>
            </m:r>
          </m:sup>
          <m:e>
            <m:sSub>
              <m:e>
                <m:r>
                  <m:t>S</m:t>
                </m:r>
              </m:e>
              <m:sub>
                <m:r>
                  <m:t>s</m:t>
                </m:r>
              </m:sub>
            </m:sSub>
          </m:e>
        </m:nary>
        <m:r>
          <m:t>d</m:t>
        </m:r>
        <m:sSubSup>
          <m:e>
            <m:r>
              <m:t>W</m:t>
            </m:r>
          </m:e>
          <m:sub>
            <m:r>
              <m:t>s</m:t>
            </m:r>
          </m:sub>
          <m:sup>
            <m:r>
              <m:rPr>
                <m:sty m:val="p"/>
                <m:scr m:val="double-struck"/>
              </m:rPr>
              <m:t>P</m:t>
            </m:r>
          </m:sup>
        </m:sSubSup>
      </m:oMath>
      <w:r>
        <w:t xml:space="preserve"> </w:t>
      </w:r>
      <w:r>
        <w:t xml:space="preserve">aient un sens, et qui vérifie l’</w:t>
      </w:r>
      <w:hyperlink w:anchor="eq-intEDS">
        <w:r>
          <w:rPr>
            <w:rStyle w:val="Hyperlink"/>
          </w:rPr>
          <w:t xml:space="preserve">Equation 3</w:t>
        </w:r>
      </w:hyperlink>
      <w:r>
        <w:t xml:space="preserve">, pour chaque</w:t>
      </w:r>
      <w:r>
        <w:t xml:space="preserve"> </w:t>
      </w:r>
      <m:oMath>
        <m:r>
          <m:t>t</m:t>
        </m:r>
      </m:oMath>
      <w:r>
        <w:t xml:space="preserve">.</w:t>
      </w:r>
    </w:p>
    <w:p>
      <w:pPr>
        <w:pStyle w:val="BodyText"/>
      </w:pPr>
      <w:r>
        <w:t xml:space="preserve">Commençons par un calcul formel en posant</w:t>
      </w:r>
      <w:r>
        <w:t xml:space="preserve"> </w:t>
      </w:r>
      <m:oMath>
        <m:sSub>
          <m:e>
            <m:r>
              <m:t>Y</m:t>
            </m:r>
          </m:e>
          <m:sub>
            <m:r>
              <m:t>t</m:t>
            </m:r>
          </m:sub>
        </m:sSub>
        <m:r>
          <m:rPr>
            <m:sty m:val="p"/>
          </m:rPr>
          <m:t>=</m:t>
        </m:r>
        <m:r>
          <m:t>l</m:t>
        </m:r>
        <m:r>
          <m:t>o</m:t>
        </m:r>
        <m:r>
          <m:t>g</m:t>
        </m:r>
        <m:d>
          <m:dPr>
            <m:begChr m:val="("/>
            <m:endChr m:val=")"/>
            <m:sepChr m:val=""/>
            <m:grow/>
          </m:dPr>
          <m:e>
            <m:sSub>
              <m:e>
                <m:r>
                  <m:t>S</m:t>
                </m:r>
              </m:e>
              <m:sub>
                <m:r>
                  <m:t>t</m:t>
                </m:r>
              </m:sub>
            </m:sSub>
          </m:e>
        </m:d>
      </m:oMath>
      <w:r>
        <w:t xml:space="preserve"> </w:t>
      </w:r>
      <w:r>
        <w:t xml:space="preserve">où</w:t>
      </w:r>
      <w:r>
        <w:t xml:space="preserve"> </w:t>
      </w:r>
      <m:oMath>
        <m:sSub>
          <m:e>
            <m:r>
              <m:t>S</m:t>
            </m:r>
          </m:e>
          <m:sub>
            <m:r>
              <m:t>t</m:t>
            </m:r>
          </m:sub>
        </m:sSub>
      </m:oMath>
      <w:r>
        <w:t xml:space="preserve"> </w:t>
      </w:r>
      <w:r>
        <w:t xml:space="preserve">est une solution de l’</w:t>
      </w:r>
      <w:hyperlink w:anchor="eq-intEDS">
        <w:r>
          <w:rPr>
            <w:rStyle w:val="Hyperlink"/>
          </w:rPr>
          <w:t xml:space="preserve">Equation 3</w:t>
        </w:r>
      </w:hyperlink>
      <w:r>
        <w:t xml:space="preserve">.</w:t>
      </w:r>
      <w:r>
        <w:t xml:space="preserve"> </w:t>
      </w:r>
      <m:oMath>
        <m:sSub>
          <m:e>
            <m:r>
              <m:t>S</m:t>
            </m:r>
          </m:e>
          <m:sub>
            <m:r>
              <m:t>t</m:t>
            </m:r>
          </m:sub>
        </m:sSub>
      </m:oMath>
      <w:r>
        <w:t xml:space="preserve"> </w:t>
      </w:r>
      <w:r>
        <w:t xml:space="preserve">est un processus d’Itô avec</w:t>
      </w:r>
      <w:r>
        <w:t xml:space="preserve"> </w:t>
      </w:r>
      <m:oMath>
        <m:sSub>
          <m:e>
            <m:r>
              <m:t>K</m:t>
            </m:r>
          </m:e>
          <m:sub>
            <m:r>
              <m:t>s</m:t>
            </m:r>
          </m:sub>
        </m:sSub>
        <m:r>
          <m:rPr>
            <m:sty m:val="p"/>
          </m:rPr>
          <m:t>=</m:t>
        </m:r>
        <m:r>
          <m:t>μ</m:t>
        </m:r>
        <m:sSub>
          <m:e>
            <m:r>
              <m:t>S</m:t>
            </m:r>
          </m:e>
          <m:sub>
            <m:r>
              <m:t>s</m:t>
            </m:r>
          </m:sub>
        </m:sSub>
      </m:oMath>
      <w:r>
        <w:t xml:space="preserve"> </w:t>
      </w:r>
      <w:r>
        <w:t xml:space="preserve">et</w:t>
      </w:r>
      <w:r>
        <w:t xml:space="preserve"> </w:t>
      </w:r>
      <m:oMath>
        <m:sSub>
          <m:e>
            <m:r>
              <m:t>H</m:t>
            </m:r>
          </m:e>
          <m:sub>
            <m:r>
              <m:t>s</m:t>
            </m:r>
          </m:sub>
        </m:sSub>
        <m:r>
          <m:rPr>
            <m:sty m:val="p"/>
          </m:rPr>
          <m:t>=</m:t>
        </m:r>
        <m:r>
          <m:t>σ</m:t>
        </m:r>
        <m:sSub>
          <m:e>
            <m:r>
              <m:t>S</m:t>
            </m:r>
          </m:e>
          <m:sub>
            <m:r>
              <m:t>s</m:t>
            </m:r>
          </m:sub>
        </m:sSub>
      </m:oMath>
      <w:r>
        <w:t xml:space="preserve">. Appliquons la formule d’Itô à</w:t>
      </w:r>
      <w:r>
        <w:t xml:space="preserve"> </w:t>
      </w:r>
      <m:oMath>
        <m:r>
          <m:t>f</m:t>
        </m:r>
        <m:d>
          <m:dPr>
            <m:begChr m:val="("/>
            <m:endChr m:val=")"/>
            <m:sepChr m:val=""/>
            <m:grow/>
          </m:dPr>
          <m:e>
            <m:r>
              <m:t>x</m:t>
            </m:r>
          </m:e>
        </m:d>
        <m:r>
          <m:rPr>
            <m:sty m:val="p"/>
          </m:rPr>
          <m:t>=</m:t>
        </m:r>
        <m:r>
          <m:t>l</m:t>
        </m:r>
        <m:r>
          <m:t>o</m:t>
        </m:r>
        <m:r>
          <m:t>g</m:t>
        </m:r>
        <m:d>
          <m:dPr>
            <m:begChr m:val="("/>
            <m:endChr m:val=")"/>
            <m:sepChr m:val=""/>
            <m:grow/>
          </m:dPr>
          <m:e>
            <m:r>
              <m:t>x</m:t>
            </m:r>
          </m:e>
        </m:d>
      </m:oMath>
      <w:r>
        <w:t xml:space="preserve">. On obtient, en supposant</w:t>
      </w:r>
      <w:r>
        <w:t xml:space="preserve"> </w:t>
      </w:r>
      <m:oMath>
        <m:sSub>
          <m:e>
            <m:r>
              <m:t>S</m:t>
            </m:r>
          </m:e>
          <m:sub>
            <m:r>
              <m:t>t</m:t>
            </m:r>
          </m:sub>
        </m:sSub>
      </m:oMath>
      <w:r>
        <w:t xml:space="preserve"> </w:t>
      </w:r>
      <w:r>
        <w:t xml:space="preserve">positif:</w:t>
      </w:r>
    </w:p>
    <w:p>
      <w:pPr>
        <w:pStyle w:val="BodyText"/>
      </w:pPr>
      <m:oMathPara>
        <m:oMathParaPr>
          <m:jc m:val="center"/>
        </m:oMathParaPr>
        <m:oMath>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nary>
            <m:naryPr>
              <m:chr m:val="∫"/>
              <m:limLoc m:val="subSup"/>
              <m:subHide m:val="0"/>
              <m:supHide m:val="0"/>
            </m:naryPr>
            <m:sub>
              <m:r>
                <m:t>0</m:t>
              </m:r>
            </m:sub>
            <m:sup>
              <m:r>
                <m:t>t</m:t>
              </m:r>
            </m:sup>
            <m:e>
              <m:f>
                <m:fPr>
                  <m:type m:val="bar"/>
                </m:fPr>
                <m:num>
                  <m:r>
                    <m:t>d</m:t>
                  </m:r>
                  <m:sSub>
                    <m:e>
                      <m:r>
                        <m:t>S</m:t>
                      </m:r>
                    </m:e>
                    <m:sub>
                      <m:r>
                        <m:t>s</m:t>
                      </m:r>
                    </m:sub>
                  </m:sSub>
                </m:num>
                <m:den>
                  <m:sSub>
                    <m:e>
                      <m:r>
                        <m:t>S</m:t>
                      </m:r>
                    </m:e>
                    <m:sub>
                      <m:r>
                        <m:t>s</m:t>
                      </m:r>
                    </m:sub>
                  </m:sSub>
                </m:den>
              </m:f>
            </m:e>
          </m:nary>
          <m:r>
            <m:rPr>
              <m:sty m:val="p"/>
            </m:rPr>
            <m:t>+</m:t>
          </m:r>
          <m:f>
            <m:fPr>
              <m:type m:val="bar"/>
            </m:fPr>
            <m:num>
              <m:r>
                <m:t>1</m:t>
              </m:r>
            </m:num>
            <m:den>
              <m:r>
                <m:t>2</m:t>
              </m:r>
            </m:den>
          </m:f>
          <m:nary>
            <m:naryPr>
              <m:chr m:val="∫"/>
              <m:limLoc m:val="subSup"/>
              <m:subHide m:val="0"/>
              <m:supHide m:val="0"/>
            </m:naryPr>
            <m:sub>
              <m:r>
                <m:t>0</m:t>
              </m:r>
            </m:sub>
            <m:sup>
              <m:r>
                <m:t>t</m:t>
              </m:r>
            </m:sup>
            <m:e>
              <m:f>
                <m:fPr>
                  <m:type m:val="bar"/>
                </m:fPr>
                <m:num>
                  <m:r>
                    <m:rPr>
                      <m:sty m:val="p"/>
                    </m:rPr>
                    <m:t>−</m:t>
                  </m:r>
                  <m:r>
                    <m:t>1</m:t>
                  </m:r>
                </m:num>
                <m:den>
                  <m:sSubSup>
                    <m:e>
                      <m:r>
                        <m:t>S</m:t>
                      </m:r>
                    </m:e>
                    <m:sub>
                      <m:r>
                        <m:t>s</m:t>
                      </m:r>
                    </m:sub>
                    <m:sup>
                      <m:r>
                        <m:t>2</m:t>
                      </m:r>
                    </m:sup>
                  </m:sSubSup>
                </m:den>
              </m:f>
            </m:e>
          </m:nary>
          <m:sSup>
            <m:e>
              <m:r>
                <m:t>σ</m:t>
              </m:r>
            </m:e>
            <m:sup>
              <m:r>
                <m:t>2</m:t>
              </m:r>
            </m:sup>
          </m:sSup>
          <m:sSubSup>
            <m:e>
              <m:r>
                <m:t>S</m:t>
              </m:r>
            </m:e>
            <m:sub>
              <m:r>
                <m:t>s</m:t>
              </m:r>
            </m:sub>
            <m:sup>
              <m:r>
                <m:t>2</m:t>
              </m:r>
            </m:sup>
          </m:sSubSup>
          <m:r>
            <m:t>d</m:t>
          </m:r>
          <m:r>
            <m:t>s</m:t>
          </m:r>
        </m:oMath>
      </m:oMathPara>
    </w:p>
    <w:p>
      <w:pPr>
        <w:pStyle w:val="FirstParagraph"/>
      </w:pPr>
      <w:r>
        <w:t xml:space="preserve">soit, en utilsant</w:t>
      </w:r>
      <w:r>
        <w:t xml:space="preserve"> </w:t>
      </w:r>
      <w:hyperlink w:anchor="eq-gbmp">
        <w:r>
          <w:rPr>
            <w:rStyle w:val="Hyperlink"/>
          </w:rPr>
          <w:t xml:space="preserve">Equation 1</w:t>
        </w:r>
      </w:hyperlink>
    </w:p>
    <w:p>
      <w:pPr>
        <w:pStyle w:val="BodyText"/>
      </w:pPr>
      <m:oMathPara>
        <m:oMathParaPr>
          <m:jc m:val="center"/>
        </m:oMathParaPr>
        <m:oMath>
          <m:sSub>
            <m:e>
              <m:r>
                <m:t>Y</m:t>
              </m:r>
            </m:e>
            <m:sub>
              <m:r>
                <m:t>t</m:t>
              </m:r>
            </m:sub>
          </m:sSub>
          <m:r>
            <m:rPr>
              <m:sty m:val="p"/>
            </m:rPr>
            <m:t>=</m:t>
          </m:r>
          <m:sSub>
            <m:e>
              <m:r>
                <m:t>Y</m:t>
              </m:r>
            </m:e>
            <m:sub>
              <m:r>
                <m:t>0</m:t>
              </m:r>
            </m:sub>
          </m:sSub>
          <m:r>
            <m:rPr>
              <m:sty m:val="p"/>
            </m:rPr>
            <m:t>+</m:t>
          </m:r>
          <m:nary>
            <m:naryPr>
              <m:chr m:val="∫"/>
              <m:limLoc m:val="subSup"/>
              <m:subHide m:val="0"/>
              <m:supHide m:val="0"/>
            </m:naryPr>
            <m:sub>
              <m:r>
                <m:t>0</m:t>
              </m:r>
            </m:sub>
            <m:sup>
              <m:r>
                <m:t>t</m:t>
              </m:r>
            </m:sup>
            <m:e>
              <m:d>
                <m:dPr>
                  <m:begChr m:val="("/>
                  <m:endChr m:val=")"/>
                  <m:sepChr m:val=""/>
                  <m:grow/>
                </m:dPr>
                <m:e>
                  <m:r>
                    <m:t>μ</m:t>
                  </m:r>
                  <m:r>
                    <m:rPr>
                      <m:sty m:val="p"/>
                    </m:rPr>
                    <m:t>−</m:t>
                  </m:r>
                  <m:f>
                    <m:fPr>
                      <m:type m:val="bar"/>
                    </m:fPr>
                    <m:num>
                      <m:sSup>
                        <m:e>
                          <m:r>
                            <m:t>σ</m:t>
                          </m:r>
                        </m:e>
                        <m:sup>
                          <m:r>
                            <m:t>2</m:t>
                          </m:r>
                        </m:sup>
                      </m:sSup>
                    </m:num>
                    <m:den>
                      <m:r>
                        <m:t>2</m:t>
                      </m:r>
                    </m:den>
                  </m:f>
                </m:e>
              </m:d>
            </m:e>
          </m:nary>
          <m:r>
            <m:t>d</m:t>
          </m:r>
          <m:r>
            <m:t>s</m:t>
          </m:r>
          <m:r>
            <m:rPr>
              <m:sty m:val="p"/>
            </m:rPr>
            <m:t>+</m:t>
          </m:r>
          <m:nary>
            <m:naryPr>
              <m:chr m:val="∫"/>
              <m:limLoc m:val="subSup"/>
              <m:subHide m:val="0"/>
              <m:supHide m:val="0"/>
            </m:naryPr>
            <m:sub>
              <m:r>
                <m:t>0</m:t>
              </m:r>
            </m:sub>
            <m:sup>
              <m:r>
                <m:t>t</m:t>
              </m:r>
            </m:sup>
            <m:e>
              <m:r>
                <m:t>σ</m:t>
              </m:r>
            </m:e>
          </m:nary>
          <m:r>
            <m:t>d</m:t>
          </m:r>
          <m:sSub>
            <m:e>
              <m:r>
                <m:t>W</m:t>
              </m:r>
            </m:e>
            <m:sub>
              <m:r>
                <m:t>s</m:t>
              </m:r>
            </m:sub>
          </m:sSub>
        </m:oMath>
      </m:oMathPara>
    </w:p>
    <w:p>
      <w:pPr>
        <w:pStyle w:val="FirstParagraph"/>
      </w:pPr>
      <w:r>
        <w:t xml:space="preserve">,</w:t>
      </w:r>
    </w:p>
    <w:p>
      <w:pPr>
        <w:pStyle w:val="BodyText"/>
      </w:pPr>
      <w:r>
        <w:t xml:space="preserve">puis</w:t>
      </w:r>
    </w:p>
    <w:p>
      <w:pPr>
        <w:pStyle w:val="BodyText"/>
      </w:pPr>
      <m:oMathPara>
        <m:oMathParaPr>
          <m:jc m:val="center"/>
        </m:oMathParaPr>
        <m:oMath>
          <m:sSub>
            <m:e>
              <m:r>
                <m:t>Y</m:t>
              </m:r>
            </m:e>
            <m:sub>
              <m:r>
                <m:t>t</m:t>
              </m:r>
            </m:sub>
          </m:sSub>
          <m:r>
            <m:rPr>
              <m:sty m:val="p"/>
            </m:rPr>
            <m:t>=</m:t>
          </m:r>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oMath>
      </m:oMathPara>
    </w:p>
    <w:p>
      <w:pPr>
        <w:pStyle w:val="FirstParagraph"/>
      </w:pPr>
      <w:r>
        <w:t xml:space="preserve">ainsi :</w:t>
      </w:r>
    </w:p>
    <w:p>
      <w:pPr>
        <w:pStyle w:val="BodyText"/>
      </w:pPr>
      <w:bookmarkStart w:id="48" w:name="eq-solBS"/>
      <m:oMathPara>
        <m:oMathParaPr>
          <m:jc m:val="center"/>
        </m:oMathParaPr>
        <m:oMath>
          <m:sSub>
            <m:e>
              <m:r>
                <m:t>S</m:t>
              </m:r>
            </m:e>
            <m:sub>
              <m:r>
                <m:t>t</m:t>
              </m:r>
            </m:sub>
          </m:sSub>
          <m:r>
            <m:rPr>
              <m:sty m:val="p"/>
            </m:rPr>
            <m:t>=</m:t>
          </m:r>
          <m:sSub>
            <m:e>
              <m:r>
                <m:t>S</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e>
          </m:d>
          <m:r>
            <m:t>  </m:t>
          </m:r>
          <m:d>
            <m:dPr>
              <m:begChr m:val="("/>
              <m:endChr m:val=")"/>
              <m:sepChr m:val=""/>
              <m:grow/>
            </m:dPr>
            <m:e>
              <m:r>
                <m:t>4</m:t>
              </m:r>
            </m:e>
          </m:d>
        </m:oMath>
      </m:oMathPara>
      <w:bookmarkEnd w:id="48"/>
    </w:p>
    <w:p>
      <w:pPr>
        <w:pStyle w:val="FirstParagraph"/>
      </w:pPr>
      <w:r>
        <w:t xml:space="preserve">est solution de l’EDS.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50" name="Picture"/>
                  <a:graphic>
                    <a:graphicData uri="http://schemas.openxmlformats.org/drawingml/2006/picture">
                      <pic:pic>
                        <pic:nvPicPr>
                          <pic:cNvPr descr="Rapport-PFE_files/figure-docx/unnamed-chunk-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Simulation de la trajectoire du prix de l’action X par la méthode de Monte Carlo en utilsant le modèle de Black and Scholes</w:t>
            </w:r>
          </w:p>
        </w:tc>
      </w:tr>
    </w:tbl>
    <w:bookmarkEnd w:id="52"/>
    <w:bookmarkEnd w:id="53"/>
    <w:bookmarkEnd w:id="54"/>
    <w:bookmarkEnd w:id="55"/>
    <w:bookmarkStart w:id="65" w:name="X07868ea8b9ac752e9889fc2a9eede4b2fc4d338"/>
    <w:p>
      <w:pPr>
        <w:pStyle w:val="Heading2"/>
      </w:pPr>
      <w:r>
        <w:t xml:space="preserve">5 La construction de la courbe des taux zéro-coupon :</w:t>
      </w:r>
    </w:p>
    <w:p>
      <w:pPr>
        <w:pStyle w:val="FirstParagraph"/>
      </w:pPr>
      <w:r>
        <w:t xml:space="preserve">Dans cette partie nous nous intéressons à la construction de la courbe des taux zéro-coupon dont nous avons besoin dans le reste de ce travaille afin d’actualiser les flux futurs entrant dans le calcul des différentes BEST ESTIMATE. Les taux Zéro Coupons sont extraite à partir des taux moyens pondérés des transactions des bons de trésor publiées par</w:t>
      </w:r>
      <w:r>
        <w:t xml:space="preserve"> </w:t>
      </w:r>
      <w:hyperlink r:id="rId56">
        <w:r>
          <w:rPr>
            <w:rStyle w:val="Hyperlink"/>
          </w:rPr>
          <w:t xml:space="preserve">BANK AL MAGHRIB</w:t>
        </w:r>
      </w:hyperlink>
      <w:r>
        <w:t xml:space="preserve">. Ces taux en fait, sont des taux monétaires pour les maturités inférieures ou égales à un an, alors qu’il représente un taux actuariel pour les maturités supérieures à un an, de plus ils ne sont disponibles que pour certaines maturités.</w:t>
      </w:r>
    </w:p>
    <w:bookmarkStart w:id="57" w:name="tbl-taux_ref"/>
    <w:p>
      <w:pPr>
        <w:pStyle w:val="TableCaption"/>
      </w:pPr>
      <w:r>
        <w:t xml:space="preserve">Table 2: Taux de référence des bons du Trésor du 30/12/2022</w:t>
      </w:r>
    </w:p>
    <w:tbl>
      <w:tblPr>
        <w:tblStyle w:val="Table"/>
        <w:tblW w:type="auto" w:w="0"/>
        <w:tblLook w:firstRow="1" w:lastRow="0" w:firstColumn="0" w:lastColumn="0" w:noHBand="0" w:noVBand="0" w:val="0020"/>
        <w:tblCaption w:val="Table 2: Taux de référence des bons du Trésor du 30/12/2022"/>
      </w:tblPr>
      <w:tblGrid>
        <w:gridCol w:w="1320"/>
        <w:gridCol w:w="1320"/>
        <w:gridCol w:w="1320"/>
        <w:gridCol w:w="1320"/>
        <w:gridCol w:w="1320"/>
        <w:gridCol w:w="1320"/>
      </w:tblGrid>
      <w:tr>
        <w:trPr>
          <w:tblHeader w:val="true"/>
        </w:trPr>
        <w:tc>
          <w:tcPr/>
          <w:p>
            <w:pPr>
              <w:pStyle w:val="Compact"/>
              <w:jc w:val="left"/>
            </w:pPr>
            <w:r>
              <w:t xml:space="preserve">Date d'échéance</w:t>
            </w:r>
          </w:p>
        </w:tc>
        <w:tc>
          <w:tcPr/>
          <w:p>
            <w:pPr>
              <w:pStyle w:val="Compact"/>
              <w:jc w:val="left"/>
            </w:pPr>
            <w:r>
              <w:t xml:space="preserve">Transaction</w:t>
            </w:r>
          </w:p>
        </w:tc>
        <w:tc>
          <w:tcPr/>
          <w:p>
            <w:pPr>
              <w:pStyle w:val="Compact"/>
              <w:jc w:val="right"/>
            </w:pPr>
            <w:r>
              <w:t xml:space="preserve">Taux moyen pondéré</w:t>
            </w:r>
          </w:p>
        </w:tc>
        <w:tc>
          <w:tcPr/>
          <w:p>
            <w:pPr>
              <w:pStyle w:val="Compact"/>
              <w:jc w:val="left"/>
            </w:pPr>
            <w:r>
              <w:t xml:space="preserve">Taux moyen pondéré (%)</w:t>
            </w:r>
          </w:p>
        </w:tc>
        <w:tc>
          <w:tcPr/>
          <w:p>
            <w:pPr>
              <w:pStyle w:val="Compact"/>
              <w:jc w:val="left"/>
            </w:pPr>
            <w:r>
              <w:t xml:space="preserve">Date de la valeur</w:t>
            </w:r>
          </w:p>
        </w:tc>
        <w:tc>
          <w:tcPr/>
          <w:p>
            <w:pPr>
              <w:pStyle w:val="Compact"/>
              <w:jc w:val="right"/>
            </w:pPr>
            <w:r>
              <w:t xml:space="preserve">Maturité</w:t>
            </w:r>
          </w:p>
        </w:tc>
      </w:tr>
      <w:tr>
        <w:tc>
          <w:tcPr/>
          <w:p>
            <w:pPr>
              <w:pStyle w:val="Compact"/>
              <w:jc w:val="left"/>
            </w:pPr>
            <w:r>
              <w:t xml:space="preserve">17/01/2022</w:t>
            </w:r>
          </w:p>
        </w:tc>
        <w:tc>
          <w:tcPr/>
          <w:p>
            <w:pPr>
              <w:pStyle w:val="Compact"/>
              <w:jc w:val="left"/>
            </w:pPr>
            <w:r>
              <w:t xml:space="preserve">31,40</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0.050</w:t>
            </w:r>
          </w:p>
        </w:tc>
      </w:tr>
      <w:tr>
        <w:tc>
          <w:tcPr/>
          <w:p>
            <w:pPr>
              <w:pStyle w:val="Compact"/>
              <w:jc w:val="left"/>
            </w:pPr>
            <w:r>
              <w:t xml:space="preserve">14/02/2022</w:t>
            </w:r>
          </w:p>
        </w:tc>
        <w:tc>
          <w:tcPr/>
          <w:p>
            <w:pPr>
              <w:pStyle w:val="Compact"/>
              <w:jc w:val="left"/>
            </w:pPr>
            <w:r>
              <w:t xml:space="preserve">207,57</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0.128</w:t>
            </w:r>
          </w:p>
        </w:tc>
      </w:tr>
      <w:tr>
        <w:tc>
          <w:tcPr/>
          <w:p>
            <w:pPr>
              <w:pStyle w:val="Compact"/>
              <w:jc w:val="left"/>
            </w:pPr>
            <w:r>
              <w:t xml:space="preserve">09/03/2022</w:t>
            </w:r>
          </w:p>
        </w:tc>
        <w:tc>
          <w:tcPr/>
          <w:p>
            <w:pPr>
              <w:pStyle w:val="Compact"/>
              <w:jc w:val="left"/>
            </w:pPr>
            <w:r>
              <w:t xml:space="preserve">272,51</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0.192</w:t>
            </w:r>
          </w:p>
        </w:tc>
      </w:tr>
      <w:tr>
        <w:tc>
          <w:tcPr/>
          <w:p>
            <w:pPr>
              <w:pStyle w:val="Compact"/>
              <w:jc w:val="left"/>
            </w:pPr>
            <w:r>
              <w:t xml:space="preserve">18/04/2022</w:t>
            </w:r>
          </w:p>
        </w:tc>
        <w:tc>
          <w:tcPr/>
          <w:p>
            <w:pPr>
              <w:pStyle w:val="Compact"/>
              <w:jc w:val="left"/>
            </w:pPr>
            <w:r>
              <w:t xml:space="preserve">156,30</w:t>
            </w:r>
          </w:p>
        </w:tc>
        <w:tc>
          <w:tcPr/>
          <w:p>
            <w:pPr>
              <w:pStyle w:val="Compact"/>
              <w:jc w:val="right"/>
            </w:pPr>
            <w:r>
              <w:t xml:space="preserve">0.01538</w:t>
            </w:r>
          </w:p>
        </w:tc>
        <w:tc>
          <w:tcPr/>
          <w:p>
            <w:pPr>
              <w:pStyle w:val="Compact"/>
              <w:jc w:val="left"/>
            </w:pPr>
            <w:r>
              <w:t xml:space="preserve">1,538 %</w:t>
            </w:r>
          </w:p>
        </w:tc>
        <w:tc>
          <w:tcPr/>
          <w:p>
            <w:pPr>
              <w:pStyle w:val="Compact"/>
              <w:jc w:val="left"/>
            </w:pPr>
            <w:r>
              <w:t xml:space="preserve">30/12/2021</w:t>
            </w:r>
          </w:p>
        </w:tc>
        <w:tc>
          <w:tcPr/>
          <w:p>
            <w:pPr>
              <w:pStyle w:val="Compact"/>
              <w:jc w:val="right"/>
            </w:pPr>
            <w:r>
              <w:t xml:space="preserve">0.303</w:t>
            </w:r>
          </w:p>
        </w:tc>
      </w:tr>
      <w:tr>
        <w:tc>
          <w:tcPr/>
          <w:p>
            <w:pPr>
              <w:pStyle w:val="Compact"/>
              <w:jc w:val="left"/>
            </w:pPr>
            <w:r>
              <w:t xml:space="preserve">20/06/2022</w:t>
            </w:r>
          </w:p>
        </w:tc>
        <w:tc>
          <w:tcPr/>
          <w:p>
            <w:pPr>
              <w:pStyle w:val="Compact"/>
              <w:jc w:val="left"/>
            </w:pPr>
            <w:r>
              <w:t xml:space="preserve">20,03</w:t>
            </w:r>
          </w:p>
        </w:tc>
        <w:tc>
          <w:tcPr/>
          <w:p>
            <w:pPr>
              <w:pStyle w:val="Compact"/>
              <w:jc w:val="right"/>
            </w:pPr>
            <w:r>
              <w:t xml:space="preserve">0.01570</w:t>
            </w:r>
          </w:p>
        </w:tc>
        <w:tc>
          <w:tcPr/>
          <w:p>
            <w:pPr>
              <w:pStyle w:val="Compact"/>
              <w:jc w:val="left"/>
            </w:pPr>
            <w:r>
              <w:t xml:space="preserve">1,570 %</w:t>
            </w:r>
          </w:p>
        </w:tc>
        <w:tc>
          <w:tcPr/>
          <w:p>
            <w:pPr>
              <w:pStyle w:val="Compact"/>
              <w:jc w:val="left"/>
            </w:pPr>
            <w:r>
              <w:t xml:space="preserve">30/12/2021</w:t>
            </w:r>
          </w:p>
        </w:tc>
        <w:tc>
          <w:tcPr/>
          <w:p>
            <w:pPr>
              <w:pStyle w:val="Compact"/>
              <w:jc w:val="right"/>
            </w:pPr>
            <w:r>
              <w:t xml:space="preserve">0.478</w:t>
            </w:r>
          </w:p>
        </w:tc>
      </w:tr>
      <w:tr>
        <w:tc>
          <w:tcPr/>
          <w:p>
            <w:pPr>
              <w:pStyle w:val="Compact"/>
              <w:jc w:val="left"/>
            </w:pPr>
            <w:r>
              <w:t xml:space="preserve">18/07/2022</w:t>
            </w:r>
          </w:p>
        </w:tc>
        <w:tc>
          <w:tcPr/>
          <w:p>
            <w:pPr>
              <w:pStyle w:val="Compact"/>
              <w:jc w:val="left"/>
            </w:pPr>
            <w:r>
              <w:t xml:space="preserve">104,51</w:t>
            </w:r>
          </w:p>
        </w:tc>
        <w:tc>
          <w:tcPr/>
          <w:p>
            <w:pPr>
              <w:pStyle w:val="Compact"/>
              <w:jc w:val="right"/>
            </w:pPr>
            <w:r>
              <w:t xml:space="preserve">0.01560</w:t>
            </w:r>
          </w:p>
        </w:tc>
        <w:tc>
          <w:tcPr/>
          <w:p>
            <w:pPr>
              <w:pStyle w:val="Compact"/>
              <w:jc w:val="left"/>
            </w:pPr>
            <w:r>
              <w:t xml:space="preserve">1,560 %</w:t>
            </w:r>
          </w:p>
        </w:tc>
        <w:tc>
          <w:tcPr/>
          <w:p>
            <w:pPr>
              <w:pStyle w:val="Compact"/>
              <w:jc w:val="left"/>
            </w:pPr>
            <w:r>
              <w:t xml:space="preserve">30/12/2021</w:t>
            </w:r>
          </w:p>
        </w:tc>
        <w:tc>
          <w:tcPr/>
          <w:p>
            <w:pPr>
              <w:pStyle w:val="Compact"/>
              <w:jc w:val="right"/>
            </w:pPr>
            <w:r>
              <w:t xml:space="preserve">0.556</w:t>
            </w:r>
          </w:p>
        </w:tc>
      </w:tr>
      <w:tr>
        <w:tc>
          <w:tcPr/>
          <w:p>
            <w:pPr>
              <w:pStyle w:val="Compact"/>
              <w:jc w:val="left"/>
            </w:pPr>
            <w:r>
              <w:t xml:space="preserve">19/09/2022</w:t>
            </w:r>
          </w:p>
        </w:tc>
        <w:tc>
          <w:tcPr/>
          <w:p>
            <w:pPr>
              <w:pStyle w:val="Compact"/>
              <w:jc w:val="left"/>
            </w:pPr>
            <w:r>
              <w:t xml:space="preserve">252,40</w:t>
            </w:r>
          </w:p>
        </w:tc>
        <w:tc>
          <w:tcPr/>
          <w:p>
            <w:pPr>
              <w:pStyle w:val="Compact"/>
              <w:jc w:val="right"/>
            </w:pPr>
            <w:r>
              <w:t xml:space="preserve">0.01564</w:t>
            </w:r>
          </w:p>
        </w:tc>
        <w:tc>
          <w:tcPr/>
          <w:p>
            <w:pPr>
              <w:pStyle w:val="Compact"/>
              <w:jc w:val="left"/>
            </w:pPr>
            <w:r>
              <w:t xml:space="preserve">1,564 %</w:t>
            </w:r>
          </w:p>
        </w:tc>
        <w:tc>
          <w:tcPr/>
          <w:p>
            <w:pPr>
              <w:pStyle w:val="Compact"/>
              <w:jc w:val="left"/>
            </w:pPr>
            <w:r>
              <w:t xml:space="preserve">30/12/2021</w:t>
            </w:r>
          </w:p>
        </w:tc>
        <w:tc>
          <w:tcPr/>
          <w:p>
            <w:pPr>
              <w:pStyle w:val="Compact"/>
              <w:jc w:val="right"/>
            </w:pPr>
            <w:r>
              <w:t xml:space="preserve">0.731</w:t>
            </w:r>
          </w:p>
        </w:tc>
      </w:tr>
      <w:tr>
        <w:tc>
          <w:tcPr/>
          <w:p>
            <w:pPr>
              <w:pStyle w:val="Compact"/>
              <w:jc w:val="left"/>
            </w:pPr>
            <w:r>
              <w:t xml:space="preserve">17/10/2022</w:t>
            </w:r>
          </w:p>
        </w:tc>
        <w:tc>
          <w:tcPr/>
          <w:p>
            <w:pPr>
              <w:pStyle w:val="Compact"/>
              <w:jc w:val="left"/>
            </w:pPr>
            <w:r>
              <w:t xml:space="preserve">37,32</w:t>
            </w:r>
          </w:p>
        </w:tc>
        <w:tc>
          <w:tcPr/>
          <w:p>
            <w:pPr>
              <w:pStyle w:val="Compact"/>
              <w:jc w:val="right"/>
            </w:pPr>
            <w:r>
              <w:t xml:space="preserve">0.01570</w:t>
            </w:r>
          </w:p>
        </w:tc>
        <w:tc>
          <w:tcPr/>
          <w:p>
            <w:pPr>
              <w:pStyle w:val="Compact"/>
              <w:jc w:val="left"/>
            </w:pPr>
            <w:r>
              <w:t xml:space="preserve">1,570 %</w:t>
            </w:r>
          </w:p>
        </w:tc>
        <w:tc>
          <w:tcPr/>
          <w:p>
            <w:pPr>
              <w:pStyle w:val="Compact"/>
              <w:jc w:val="left"/>
            </w:pPr>
            <w:r>
              <w:t xml:space="preserve">30/12/2021</w:t>
            </w:r>
          </w:p>
        </w:tc>
        <w:tc>
          <w:tcPr/>
          <w:p>
            <w:pPr>
              <w:pStyle w:val="Compact"/>
              <w:jc w:val="right"/>
            </w:pPr>
            <w:r>
              <w:t xml:space="preserve">0.808</w:t>
            </w:r>
          </w:p>
        </w:tc>
      </w:tr>
      <w:tr>
        <w:tc>
          <w:tcPr/>
          <w:p>
            <w:pPr>
              <w:pStyle w:val="Compact"/>
              <w:jc w:val="left"/>
            </w:pPr>
            <w:r>
              <w:t xml:space="preserve">14/11/2022</w:t>
            </w:r>
          </w:p>
        </w:tc>
        <w:tc>
          <w:tcPr/>
          <w:p>
            <w:pPr>
              <w:pStyle w:val="Compact"/>
              <w:jc w:val="left"/>
            </w:pPr>
            <w:r>
              <w:t xml:space="preserve">191,54</w:t>
            </w:r>
          </w:p>
        </w:tc>
        <w:tc>
          <w:tcPr/>
          <w:p>
            <w:pPr>
              <w:pStyle w:val="Compact"/>
              <w:jc w:val="right"/>
            </w:pPr>
            <w:r>
              <w:t xml:space="preserve">0.01581</w:t>
            </w:r>
          </w:p>
        </w:tc>
        <w:tc>
          <w:tcPr/>
          <w:p>
            <w:pPr>
              <w:pStyle w:val="Compact"/>
              <w:jc w:val="left"/>
            </w:pPr>
            <w:r>
              <w:t xml:space="preserve">1,581 %</w:t>
            </w:r>
          </w:p>
        </w:tc>
        <w:tc>
          <w:tcPr/>
          <w:p>
            <w:pPr>
              <w:pStyle w:val="Compact"/>
              <w:jc w:val="left"/>
            </w:pPr>
            <w:r>
              <w:t xml:space="preserve">30/12/2021</w:t>
            </w:r>
          </w:p>
        </w:tc>
        <w:tc>
          <w:tcPr/>
          <w:p>
            <w:pPr>
              <w:pStyle w:val="Compact"/>
              <w:jc w:val="right"/>
            </w:pPr>
            <w:r>
              <w:t xml:space="preserve">0.886</w:t>
            </w:r>
          </w:p>
        </w:tc>
      </w:tr>
      <w:tr>
        <w:tc>
          <w:tcPr/>
          <w:p>
            <w:pPr>
              <w:pStyle w:val="Compact"/>
              <w:jc w:val="left"/>
            </w:pPr>
            <w:r>
              <w:t xml:space="preserve">20/03/2023</w:t>
            </w:r>
          </w:p>
        </w:tc>
        <w:tc>
          <w:tcPr/>
          <w:p>
            <w:pPr>
              <w:pStyle w:val="Compact"/>
              <w:jc w:val="left"/>
            </w:pPr>
            <w:r>
              <w:t xml:space="preserve">31,00</w:t>
            </w:r>
          </w:p>
        </w:tc>
        <w:tc>
          <w:tcPr/>
          <w:p>
            <w:pPr>
              <w:pStyle w:val="Compact"/>
              <w:jc w:val="right"/>
            </w:pPr>
            <w:r>
              <w:t xml:space="preserve">0.01650</w:t>
            </w:r>
          </w:p>
        </w:tc>
        <w:tc>
          <w:tcPr/>
          <w:p>
            <w:pPr>
              <w:pStyle w:val="Compact"/>
              <w:jc w:val="left"/>
            </w:pPr>
            <w:r>
              <w:t xml:space="preserve">1,650 %</w:t>
            </w:r>
          </w:p>
        </w:tc>
        <w:tc>
          <w:tcPr/>
          <w:p>
            <w:pPr>
              <w:pStyle w:val="Compact"/>
              <w:jc w:val="left"/>
            </w:pPr>
            <w:r>
              <w:t xml:space="preserve">30/12/2021</w:t>
            </w:r>
          </w:p>
        </w:tc>
        <w:tc>
          <w:tcPr/>
          <w:p>
            <w:pPr>
              <w:pStyle w:val="Compact"/>
              <w:jc w:val="right"/>
            </w:pPr>
            <w:r>
              <w:t xml:space="preserve">1.236</w:t>
            </w:r>
          </w:p>
        </w:tc>
      </w:tr>
    </w:tbl>
    <w:bookmarkEnd w:id="57"/>
    <w:p>
      <w:pPr>
        <w:pStyle w:val="BodyText"/>
      </w:pPr>
      <w:r>
        <w:t xml:space="preserve">Pour cette raison on va suivre les étapes suivantes pour la construction de la courbe des taux zéro-coupon :</w:t>
      </w:r>
    </w:p>
    <w:p>
      <w:pPr>
        <w:numPr>
          <w:ilvl w:val="0"/>
          <w:numId w:val="1008"/>
        </w:numPr>
        <w:pStyle w:val="Compact"/>
      </w:pPr>
      <w:r>
        <w:t xml:space="preserve">1ere étape : Transformation des taux monétaires en taux actuariels.</w:t>
      </w:r>
    </w:p>
    <w:p>
      <w:pPr>
        <w:numPr>
          <w:ilvl w:val="0"/>
          <w:numId w:val="1008"/>
        </w:numPr>
        <w:pStyle w:val="Compact"/>
      </w:pPr>
      <w:r>
        <w:t xml:space="preserve">2eme étape : Interpolation linéaire afin d’obtenir des taux actuariels pour des maturités pleines.</w:t>
      </w:r>
    </w:p>
    <w:p>
      <w:pPr>
        <w:numPr>
          <w:ilvl w:val="0"/>
          <w:numId w:val="1008"/>
        </w:numPr>
        <w:pStyle w:val="Compact"/>
      </w:pPr>
      <w:r>
        <w:t xml:space="preserve">3eme étape : Calcule des taux zéro coupons à partir des taux actuariels des maturités pleines par la Méthode du Bootstrap.</w:t>
      </w:r>
    </w:p>
    <w:p>
      <w:pPr>
        <w:numPr>
          <w:ilvl w:val="0"/>
          <w:numId w:val="1008"/>
        </w:numPr>
        <w:pStyle w:val="Compact"/>
      </w:pPr>
      <w:r>
        <w:t xml:space="preserve">4eme étape : Extrapolation de la courbe des taux zéro-coupon pour des maturités non observées lointaines par la méthode de Smith-Wilson</w:t>
      </w:r>
    </w:p>
    <w:bookmarkStart w:id="59" w:name="Xcbe522a13d0cf3ed962fdea859902dd7c035635"/>
    <w:p>
      <w:pPr>
        <w:pStyle w:val="Heading3"/>
      </w:pPr>
      <w:r>
        <w:t xml:space="preserve">5.1 Transformation des taux monétaires en taux actuariels :</w:t>
      </w:r>
    </w:p>
    <w:p>
      <w:pPr>
        <w:pStyle w:val="FirstParagraph"/>
      </w:pPr>
      <w:r>
        <w:t xml:space="preserve">Cette étape consiste à transformer les taux monétaires à des taux actuariels en utilisant la relation suivante :</w:t>
      </w:r>
    </w:p>
    <w:p>
      <w:pPr>
        <w:pStyle w:val="BodyText"/>
      </w:pPr>
      <m:oMathPara>
        <m:oMathParaPr>
          <m:jc m:val="center"/>
        </m:oMathParaPr>
        <m:oMath>
          <m:sSub>
            <m:e>
              <m:r>
                <m:t>T</m:t>
              </m:r>
            </m:e>
            <m:sub>
              <m:r>
                <m:t>a</m:t>
              </m:r>
            </m:sub>
          </m:sSub>
          <m:r>
            <m:rPr>
              <m:sty m:val="p"/>
            </m:rPr>
            <m:t>=</m:t>
          </m:r>
          <m:sSup>
            <m:e>
              <m:d>
                <m:dPr>
                  <m:begChr m:val="("/>
                  <m:endChr m:val=")"/>
                  <m:sepChr m:val=""/>
                  <m:grow/>
                </m:dPr>
                <m:e>
                  <m:r>
                    <m:t>1</m:t>
                  </m:r>
                  <m:r>
                    <m:rPr>
                      <m:sty m:val="p"/>
                    </m:rPr>
                    <m:t>+</m:t>
                  </m:r>
                  <m:f>
                    <m:fPr>
                      <m:type m:val="bar"/>
                    </m:fPr>
                    <m:num>
                      <m:r>
                        <m:t>n</m:t>
                      </m:r>
                    </m:num>
                    <m:den>
                      <m:r>
                        <m:t>365</m:t>
                      </m:r>
                    </m:den>
                  </m:f>
                  <m:r>
                    <m:rPr>
                      <m:sty m:val="p"/>
                    </m:rPr>
                    <m:t>*</m:t>
                  </m:r>
                  <m:sSub>
                    <m:e>
                      <m:r>
                        <m:t>T</m:t>
                      </m:r>
                    </m:e>
                    <m:sub>
                      <m:r>
                        <m:t>m</m:t>
                      </m:r>
                    </m:sub>
                  </m:sSub>
                </m:e>
              </m:d>
            </m:e>
            <m:sup>
              <m:f>
                <m:fPr>
                  <m:type m:val="bar"/>
                </m:fPr>
                <m:num>
                  <m:r>
                    <m:t>365</m:t>
                  </m:r>
                </m:num>
                <m:den>
                  <m:r>
                    <m:t>n</m:t>
                  </m:r>
                </m:den>
              </m:f>
            </m:sup>
          </m:sSup>
          <m:r>
            <m:rPr>
              <m:sty m:val="p"/>
            </m:rPr>
            <m:t>−</m:t>
          </m:r>
          <m:r>
            <m:t>1</m:t>
          </m:r>
        </m:oMath>
      </m:oMathPara>
    </w:p>
    <w:p>
      <w:pPr>
        <w:pStyle w:val="FirstParagraph"/>
      </w:pPr>
      <w:r>
        <w:t xml:space="preserve">Avec :</w:t>
      </w:r>
    </w:p>
    <w:p>
      <w:pPr>
        <w:pStyle w:val="BodyText"/>
      </w:pPr>
      <m:oMath>
        <m:sSub>
          <m:e>
            <m:r>
              <m:t>T</m:t>
            </m:r>
          </m:e>
          <m:sub>
            <m:r>
              <m:t>a</m:t>
            </m:r>
          </m:sub>
        </m:sSub>
      </m:oMath>
      <w:r>
        <w:t xml:space="preserve"> </w:t>
      </w:r>
      <w:r>
        <w:t xml:space="preserve">: Le taux actuariel.</w:t>
      </w:r>
    </w:p>
    <w:p>
      <w:pPr>
        <w:pStyle w:val="BodyText"/>
      </w:pPr>
      <m:oMath>
        <m:sSub>
          <m:e>
            <m:r>
              <m:t>T</m:t>
            </m:r>
          </m:e>
          <m:sub>
            <m:r>
              <m:t>m</m:t>
            </m:r>
          </m:sub>
        </m:sSub>
      </m:oMath>
      <w:r>
        <w:t xml:space="preserve"> </w:t>
      </w:r>
      <w:r>
        <w:t xml:space="preserve">: Le taux monétaire.</w:t>
      </w:r>
    </w:p>
    <w:p>
      <w:pPr>
        <w:pStyle w:val="BodyText"/>
      </w:pPr>
      <m:oMath>
        <m:r>
          <m:t>n</m:t>
        </m:r>
      </m:oMath>
      <w:r>
        <w:t xml:space="preserve"> </w:t>
      </w:r>
      <w:r>
        <w:t xml:space="preserve">: Le nombre de jours entre la date de valeur et la date d’échéance.</w:t>
      </w:r>
    </w:p>
    <w:p>
      <w:pPr>
        <w:pStyle w:val="BodyText"/>
      </w:pPr>
      <m:oMath>
        <m:f>
          <m:fPr>
            <m:type m:val="bar"/>
          </m:fPr>
          <m:num>
            <m:r>
              <m:t>365</m:t>
            </m:r>
          </m:num>
          <m:den>
            <m:r>
              <m:t>n</m:t>
            </m:r>
          </m:den>
        </m:f>
      </m:oMath>
      <w:r>
        <w:t xml:space="preserve"> </w:t>
      </w:r>
      <w:r>
        <w:t xml:space="preserve">: La maturité</w:t>
      </w:r>
    </w:p>
    <w:p>
      <w:pPr>
        <w:pStyle w:val="BodyText"/>
      </w:pPr>
      <w:r>
        <w:t xml:space="preserve">Après l’application de cette formule sur Les données de marché marocain (publie par la BAM), nous avons obtenu les résultats situés dans le tableau suivant :</w:t>
      </w:r>
    </w:p>
    <w:bookmarkStart w:id="58" w:name="tbl-taux_act"/>
    <w:p>
      <w:pPr>
        <w:pStyle w:val="TableCaption"/>
      </w:pPr>
      <w:r>
        <w:t xml:space="preserve">Table 3: Conversion du taux monétaire en taux actuariel</w:t>
      </w:r>
    </w:p>
    <w:tbl>
      <w:tblPr>
        <w:tblStyle w:val="Table"/>
        <w:tblW w:type="auto" w:w="0"/>
        <w:tblLook w:firstRow="1" w:lastRow="0" w:firstColumn="0" w:lastColumn="0" w:noHBand="0" w:noVBand="0" w:val="0020"/>
        <w:tblCaption w:val="Table 3: Conversion du taux monétaire en taux actuariel"/>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0.050</w:t>
            </w:r>
          </w:p>
        </w:tc>
        <w:tc>
          <w:tcPr/>
          <w:p>
            <w:pPr>
              <w:pStyle w:val="Compact"/>
              <w:jc w:val="right"/>
            </w:pPr>
            <w:r>
              <w:t xml:space="preserve">0.01563</w:t>
            </w:r>
          </w:p>
        </w:tc>
        <w:tc>
          <w:tcPr/>
          <w:p>
            <w:pPr>
              <w:pStyle w:val="Compact"/>
              <w:jc w:val="left"/>
            </w:pPr>
            <w:r>
              <w:t xml:space="preserve">1,563%</w:t>
            </w:r>
          </w:p>
        </w:tc>
      </w:tr>
      <w:tr>
        <w:tc>
          <w:tcPr/>
          <w:p>
            <w:pPr>
              <w:pStyle w:val="Compact"/>
              <w:jc w:val="right"/>
            </w:pPr>
            <w:r>
              <w:t xml:space="preserve">0.128</w:t>
            </w:r>
          </w:p>
        </w:tc>
        <w:tc>
          <w:tcPr/>
          <w:p>
            <w:pPr>
              <w:pStyle w:val="Compact"/>
              <w:jc w:val="right"/>
            </w:pPr>
            <w:r>
              <w:t xml:space="preserve">0.01562</w:t>
            </w:r>
          </w:p>
        </w:tc>
        <w:tc>
          <w:tcPr/>
          <w:p>
            <w:pPr>
              <w:pStyle w:val="Compact"/>
              <w:jc w:val="left"/>
            </w:pPr>
            <w:r>
              <w:t xml:space="preserve">1,562%</w:t>
            </w:r>
          </w:p>
        </w:tc>
      </w:tr>
      <w:tr>
        <w:tc>
          <w:tcPr/>
          <w:p>
            <w:pPr>
              <w:pStyle w:val="Compact"/>
              <w:jc w:val="right"/>
            </w:pPr>
            <w:r>
              <w:t xml:space="preserve">0.192</w:t>
            </w:r>
          </w:p>
        </w:tc>
        <w:tc>
          <w:tcPr/>
          <w:p>
            <w:pPr>
              <w:pStyle w:val="Compact"/>
              <w:jc w:val="right"/>
            </w:pPr>
            <w:r>
              <w:t xml:space="preserve">0.01561</w:t>
            </w:r>
          </w:p>
        </w:tc>
        <w:tc>
          <w:tcPr/>
          <w:p>
            <w:pPr>
              <w:pStyle w:val="Compact"/>
              <w:jc w:val="left"/>
            </w:pPr>
            <w:r>
              <w:t xml:space="preserve">1,561%</w:t>
            </w:r>
          </w:p>
        </w:tc>
      </w:tr>
      <w:tr>
        <w:tc>
          <w:tcPr/>
          <w:p>
            <w:pPr>
              <w:pStyle w:val="Compact"/>
              <w:jc w:val="right"/>
            </w:pPr>
            <w:r>
              <w:t xml:space="preserve">0.303</w:t>
            </w:r>
          </w:p>
        </w:tc>
        <w:tc>
          <w:tcPr/>
          <w:p>
            <w:pPr>
              <w:pStyle w:val="Compact"/>
              <w:jc w:val="right"/>
            </w:pPr>
            <w:r>
              <w:t xml:space="preserve">0.01568</w:t>
            </w:r>
          </w:p>
        </w:tc>
        <w:tc>
          <w:tcPr/>
          <w:p>
            <w:pPr>
              <w:pStyle w:val="Compact"/>
              <w:jc w:val="left"/>
            </w:pPr>
            <w:r>
              <w:t xml:space="preserve">1,568%</w:t>
            </w:r>
          </w:p>
        </w:tc>
      </w:tr>
      <w:tr>
        <w:tc>
          <w:tcPr/>
          <w:p>
            <w:pPr>
              <w:pStyle w:val="Compact"/>
              <w:jc w:val="right"/>
            </w:pPr>
            <w:r>
              <w:t xml:space="preserve">0.478</w:t>
            </w:r>
          </w:p>
        </w:tc>
        <w:tc>
          <w:tcPr/>
          <w:p>
            <w:pPr>
              <w:pStyle w:val="Compact"/>
              <w:jc w:val="right"/>
            </w:pPr>
            <w:r>
              <w:t xml:space="preserve">0.01599</w:t>
            </w:r>
          </w:p>
        </w:tc>
        <w:tc>
          <w:tcPr/>
          <w:p>
            <w:pPr>
              <w:pStyle w:val="Compact"/>
              <w:jc w:val="left"/>
            </w:pPr>
            <w:r>
              <w:t xml:space="preserve">1,599%</w:t>
            </w:r>
          </w:p>
        </w:tc>
      </w:tr>
      <w:tr>
        <w:tc>
          <w:tcPr/>
          <w:p>
            <w:pPr>
              <w:pStyle w:val="Compact"/>
              <w:jc w:val="right"/>
            </w:pPr>
            <w:r>
              <w:t xml:space="preserve">0.556</w:t>
            </w:r>
          </w:p>
        </w:tc>
        <w:tc>
          <w:tcPr/>
          <w:p>
            <w:pPr>
              <w:pStyle w:val="Compact"/>
              <w:jc w:val="right"/>
            </w:pPr>
            <w:r>
              <w:t xml:space="preserve">0.01587</w:t>
            </w:r>
          </w:p>
        </w:tc>
        <w:tc>
          <w:tcPr/>
          <w:p>
            <w:pPr>
              <w:pStyle w:val="Compact"/>
              <w:jc w:val="left"/>
            </w:pPr>
            <w:r>
              <w:t xml:space="preserve">1,587%</w:t>
            </w:r>
          </w:p>
        </w:tc>
      </w:tr>
      <w:tr>
        <w:tc>
          <w:tcPr/>
          <w:p>
            <w:pPr>
              <w:pStyle w:val="Compact"/>
              <w:jc w:val="right"/>
            </w:pPr>
            <w:r>
              <w:t xml:space="preserve">0.731</w:t>
            </w:r>
          </w:p>
        </w:tc>
        <w:tc>
          <w:tcPr/>
          <w:p>
            <w:pPr>
              <w:pStyle w:val="Compact"/>
              <w:jc w:val="right"/>
            </w:pPr>
            <w:r>
              <w:t xml:space="preserve">0.01589</w:t>
            </w:r>
          </w:p>
        </w:tc>
        <w:tc>
          <w:tcPr/>
          <w:p>
            <w:pPr>
              <w:pStyle w:val="Compact"/>
              <w:jc w:val="left"/>
            </w:pPr>
            <w:r>
              <w:t xml:space="preserve">1,589%</w:t>
            </w:r>
          </w:p>
        </w:tc>
      </w:tr>
      <w:tr>
        <w:tc>
          <w:tcPr/>
          <w:p>
            <w:pPr>
              <w:pStyle w:val="Compact"/>
              <w:jc w:val="right"/>
            </w:pPr>
            <w:r>
              <w:t xml:space="preserve">0.808</w:t>
            </w:r>
          </w:p>
        </w:tc>
        <w:tc>
          <w:tcPr/>
          <w:p>
            <w:pPr>
              <w:pStyle w:val="Compact"/>
              <w:jc w:val="right"/>
            </w:pPr>
            <w:r>
              <w:t xml:space="preserve">0.01594</w:t>
            </w:r>
          </w:p>
        </w:tc>
        <w:tc>
          <w:tcPr/>
          <w:p>
            <w:pPr>
              <w:pStyle w:val="Compact"/>
              <w:jc w:val="left"/>
            </w:pPr>
            <w:r>
              <w:t xml:space="preserve">1,594%</w:t>
            </w:r>
          </w:p>
        </w:tc>
      </w:tr>
      <w:tr>
        <w:tc>
          <w:tcPr/>
          <w:p>
            <w:pPr>
              <w:pStyle w:val="Compact"/>
              <w:jc w:val="right"/>
            </w:pPr>
            <w:r>
              <w:t xml:space="preserve">0.886</w:t>
            </w:r>
          </w:p>
        </w:tc>
        <w:tc>
          <w:tcPr/>
          <w:p>
            <w:pPr>
              <w:pStyle w:val="Compact"/>
              <w:jc w:val="right"/>
            </w:pPr>
            <w:r>
              <w:t xml:space="preserve">0.01605</w:t>
            </w:r>
          </w:p>
        </w:tc>
        <w:tc>
          <w:tcPr/>
          <w:p>
            <w:pPr>
              <w:pStyle w:val="Compact"/>
              <w:jc w:val="left"/>
            </w:pPr>
            <w:r>
              <w:t xml:space="preserve">1,605%</w:t>
            </w:r>
          </w:p>
        </w:tc>
      </w:tr>
      <w:tr>
        <w:tc>
          <w:tcPr/>
          <w:p>
            <w:pPr>
              <w:pStyle w:val="Compact"/>
              <w:jc w:val="right"/>
            </w:pPr>
            <w:r>
              <w:t xml:space="preserve">1.236</w:t>
            </w:r>
          </w:p>
        </w:tc>
        <w:tc>
          <w:tcPr/>
          <w:p>
            <w:pPr>
              <w:pStyle w:val="Compact"/>
              <w:jc w:val="right"/>
            </w:pPr>
            <w:r>
              <w:t xml:space="preserve">0.01650</w:t>
            </w:r>
          </w:p>
        </w:tc>
        <w:tc>
          <w:tcPr/>
          <w:p>
            <w:pPr>
              <w:pStyle w:val="Compact"/>
              <w:jc w:val="left"/>
            </w:pPr>
            <w:r>
              <w:t xml:space="preserve">1,65%</w:t>
            </w:r>
          </w:p>
        </w:tc>
      </w:tr>
    </w:tbl>
    <w:bookmarkEnd w:id="58"/>
    <w:bookmarkEnd w:id="59"/>
    <w:bookmarkStart w:id="61" w:name="X96b896b92b42645ba88a707007c4252bf9e5cd7"/>
    <w:p>
      <w:pPr>
        <w:pStyle w:val="Heading3"/>
      </w:pPr>
      <w:r>
        <w:t xml:space="preserve">5.2 Interpolation linéaire de la courbe des taux actuariels :</w:t>
      </w:r>
    </w:p>
    <w:p>
      <w:pPr>
        <w:pStyle w:val="FirstParagraph"/>
      </w:pPr>
      <w:r>
        <w:t xml:space="preserve">En réalité nous disposons que des taux actuariels des maturités ayant des valeurs décimales, le but de cette étape est donc la détermination des taux actuariels avec des maturités pleines en utilisant une interpolation linéaire.</w:t>
      </w:r>
    </w:p>
    <w:p>
      <w:pPr>
        <w:pStyle w:val="BodyText"/>
      </w:pPr>
      <w:r>
        <w:t xml:space="preserve">Cette opération consiste à déterminer le</w:t>
      </w:r>
      <w:r>
        <w:t xml:space="preserve"> </w:t>
      </w:r>
      <m:oMath>
        <m:r>
          <m:t>D</m:t>
        </m:r>
        <m:r>
          <m:t>P</m:t>
        </m:r>
        <m:r>
          <m:t>L</m:t>
        </m:r>
      </m:oMath>
      <w:r>
        <w:t xml:space="preserve"> </w:t>
      </w:r>
      <w:r>
        <w:t xml:space="preserve">qui correspond au dernier point liquide. Il est déterminé de sorte que le volume cumulé des obligations dont les échéances sont supérieures au DPL est inférieur à</w:t>
      </w:r>
      <w:r>
        <w:t xml:space="preserve"> </w:t>
      </w:r>
      <m:oMath>
        <m:r>
          <m:t>6</m:t>
        </m:r>
        <m:r>
          <m:rPr>
            <m:sty m:val="p"/>
          </m:rPr>
          <m:t>%</m:t>
        </m:r>
      </m:oMath>
      <w:r>
        <w:t xml:space="preserve"> </w:t>
      </w:r>
      <w:r>
        <w:t xml:space="preserve">du volume total des transactions prises en compte pour la construction de la courbe des taux zéro-coupon. Il correspond aussi à dernière maturité observable.</w:t>
      </w:r>
    </w:p>
    <w:p>
      <w:pPr>
        <w:pStyle w:val="BodyText"/>
      </w:pPr>
      <w:r>
        <w:t xml:space="preserve">La formule d’interpolation pour toute maturité</w:t>
      </w:r>
      <w:r>
        <w:t xml:space="preserve"> </w:t>
      </w:r>
      <m:oMath>
        <m:r>
          <m:t>j</m:t>
        </m:r>
      </m:oMath>
      <w:r>
        <w:t xml:space="preserve"> </w:t>
      </w:r>
      <w:r>
        <w:t xml:space="preserve">allant de</w:t>
      </w:r>
      <w:r>
        <w:t xml:space="preserve"> </w:t>
      </w:r>
      <m:oMath>
        <m:r>
          <m:t>1</m:t>
        </m:r>
        <m:r>
          <m:rPr>
            <m:sty m:val="p"/>
          </m:rPr>
          <m:t>,</m:t>
        </m:r>
        <m:r>
          <m:t>2</m:t>
        </m:r>
        <m:r>
          <m:rPr>
            <m:sty m:val="p"/>
          </m:rPr>
          <m:t>,</m:t>
        </m:r>
        <m:r>
          <m:rPr>
            <m:sty m:val="p"/>
          </m:rPr>
          <m:t>…</m:t>
        </m:r>
        <m:r>
          <m:rPr>
            <m:sty m:val="p"/>
          </m:rPr>
          <m:t>,</m:t>
        </m:r>
        <m:r>
          <m:t>D</m:t>
        </m:r>
        <m:r>
          <m:t>P</m:t>
        </m:r>
        <m:r>
          <m:t>L</m:t>
        </m:r>
      </m:oMath>
      <w:r>
        <w:t xml:space="preserve"> </w:t>
      </w:r>
      <w:r>
        <w:t xml:space="preserve">est la suivante :</w:t>
      </w:r>
    </w:p>
    <w:p>
      <w:pPr>
        <w:pStyle w:val="BodyText"/>
      </w:pPr>
      <m:oMathPara>
        <m:oMathParaPr>
          <m:jc m:val="center"/>
        </m:oMathParaPr>
        <m:oMath>
          <m:sSub>
            <m:e>
              <m:r>
                <m:t>t</m:t>
              </m:r>
            </m:e>
            <m:sub>
              <m:r>
                <m:t>j</m:t>
              </m:r>
            </m:sub>
          </m:sSub>
          <m:r>
            <m:rPr>
              <m:sty m:val="p"/>
            </m:rPr>
            <m:t>=</m:t>
          </m:r>
          <m:sSub>
            <m:e>
              <m:r>
                <m:t>t</m:t>
              </m:r>
            </m:e>
            <m:sub>
              <m:r>
                <m:t>i</m:t>
              </m:r>
            </m:sub>
          </m:sSub>
          <m:r>
            <m:rPr>
              <m:sty m:val="p"/>
            </m:rPr>
            <m:t>+</m:t>
          </m:r>
          <m:f>
            <m:fPr>
              <m:type m:val="bar"/>
            </m:fPr>
            <m:num>
              <m:sSub>
                <m:e>
                  <m:r>
                    <m:t>t</m:t>
                  </m:r>
                </m:e>
                <m:sub>
                  <m:r>
                    <m:t>i</m:t>
                  </m:r>
                  <m:r>
                    <m:rPr>
                      <m:sty m:val="p"/>
                    </m:rPr>
                    <m:t>+</m:t>
                  </m:r>
                  <m:r>
                    <m:t>1</m:t>
                  </m:r>
                </m:sub>
              </m:sSub>
              <m:r>
                <m:rPr>
                  <m:sty m:val="p"/>
                </m:rPr>
                <m:t>−</m:t>
              </m:r>
              <m:sSub>
                <m:e>
                  <m:r>
                    <m:t>t</m:t>
                  </m:r>
                </m:e>
                <m:sub>
                  <m:r>
                    <m:t>i</m:t>
                  </m:r>
                </m:sub>
              </m:sSub>
            </m:num>
            <m:den>
              <m:sSub>
                <m:e>
                  <m:r>
                    <m:t>n</m:t>
                  </m:r>
                </m:e>
                <m:sub>
                  <m:r>
                    <m:t>i</m:t>
                  </m:r>
                  <m:r>
                    <m:rPr>
                      <m:sty m:val="p"/>
                    </m:rPr>
                    <m:t>+</m:t>
                  </m:r>
                  <m:r>
                    <m:t>1</m:t>
                  </m:r>
                </m:sub>
              </m:sSub>
              <m:r>
                <m:rPr>
                  <m:sty m:val="p"/>
                </m:rPr>
                <m:t>−</m:t>
              </m:r>
              <m:sSub>
                <m:e>
                  <m:r>
                    <m:t>n</m:t>
                  </m:r>
                </m:e>
                <m:sub>
                  <m:r>
                    <m:t>i</m:t>
                  </m:r>
                </m:sub>
              </m:sSub>
            </m:den>
          </m:f>
          <m:r>
            <m:rPr>
              <m:sty m:val="p"/>
            </m:rPr>
            <m:t>*</m:t>
          </m:r>
          <m:d>
            <m:dPr>
              <m:begChr m:val="("/>
              <m:endChr m:val=")"/>
              <m:sepChr m:val=""/>
              <m:grow/>
            </m:dPr>
            <m:e>
              <m:r>
                <m:t>j</m:t>
              </m:r>
              <m:r>
                <m:rPr>
                  <m:sty m:val="p"/>
                </m:rPr>
                <m:t>−</m:t>
              </m:r>
              <m:sSub>
                <m:e>
                  <m:r>
                    <m:t>n</m:t>
                  </m:r>
                </m:e>
                <m:sub>
                  <m:r>
                    <m:t>i</m:t>
                  </m:r>
                </m:sub>
              </m:sSub>
            </m:e>
          </m:d>
        </m:oMath>
      </m:oMathPara>
    </w:p>
    <w:p>
      <w:pPr>
        <w:pStyle w:val="FirstParagraph"/>
      </w:pPr>
      <w:r>
        <w:t xml:space="preserve">Avec :</w:t>
      </w:r>
    </w:p>
    <w:p>
      <w:pPr>
        <w:pStyle w:val="BodyText"/>
      </w:pPr>
      <m:oMath>
        <m:sSub>
          <m:e>
            <m:r>
              <m:t>t</m:t>
            </m:r>
          </m:e>
          <m:sub>
            <m:r>
              <m:t>j</m:t>
            </m:r>
          </m:sub>
        </m:sSub>
      </m:oMath>
      <w:r>
        <w:t xml:space="preserve"> </w:t>
      </w:r>
      <w:r>
        <w:t xml:space="preserve">: Taux actuariels de maturité pleine j compris entre les maturités n_i et n_(i+1).</w:t>
      </w:r>
    </w:p>
    <w:p>
      <w:pPr>
        <w:pStyle w:val="BodyText"/>
      </w:pPr>
      <m:oMath>
        <m:sSub>
          <m:e>
            <m:r>
              <m:t>t</m:t>
            </m:r>
          </m:e>
          <m:sub>
            <m:r>
              <m:t>i</m:t>
            </m:r>
          </m:sub>
        </m:sSub>
      </m:oMath>
      <w:r>
        <w:t xml:space="preserve"> </w:t>
      </w:r>
      <w:r>
        <w:t xml:space="preserve">: Taux actuariels de maturités n_i.</w:t>
      </w:r>
    </w:p>
    <w:bookmarkStart w:id="60" w:name="tbl-taux_inter"/>
    <w:p>
      <w:pPr>
        <w:pStyle w:val="TableCaption"/>
      </w:pPr>
      <w:r>
        <w:t xml:space="preserve">Table 4: Interpolation des taux actuariels pour avoir des taux de maturités pleines</w:t>
      </w:r>
    </w:p>
    <w:tbl>
      <w:tblPr>
        <w:tblStyle w:val="Table"/>
        <w:tblW w:type="auto" w:w="0"/>
        <w:tblLook w:firstRow="1" w:lastRow="0" w:firstColumn="0" w:lastColumn="0" w:noHBand="0" w:noVBand="0" w:val="0020"/>
        <w:tblCaption w:val="Table 4: Interpolation des taux actuariels pour avoir des taux de maturités pleines"/>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1</w:t>
            </w:r>
          </w:p>
        </w:tc>
        <w:tc>
          <w:tcPr/>
          <w:p>
            <w:pPr>
              <w:pStyle w:val="Compact"/>
              <w:jc w:val="right"/>
            </w:pPr>
            <w:r>
              <w:t xml:space="preserve">0.01620</w:t>
            </w:r>
          </w:p>
        </w:tc>
        <w:tc>
          <w:tcPr/>
          <w:p>
            <w:pPr>
              <w:pStyle w:val="Compact"/>
              <w:jc w:val="left"/>
            </w:pPr>
            <w:r>
              <w:t xml:space="preserve">1,62%</w:t>
            </w:r>
          </w:p>
        </w:tc>
      </w:tr>
      <w:tr>
        <w:tc>
          <w:tcPr/>
          <w:p>
            <w:pPr>
              <w:pStyle w:val="Compact"/>
              <w:jc w:val="right"/>
            </w:pPr>
            <w:r>
              <w:t xml:space="preserve">2</w:t>
            </w:r>
          </w:p>
        </w:tc>
        <w:tc>
          <w:tcPr/>
          <w:p>
            <w:pPr>
              <w:pStyle w:val="Compact"/>
              <w:jc w:val="right"/>
            </w:pPr>
            <w:r>
              <w:t xml:space="preserve">0.01732</w:t>
            </w:r>
          </w:p>
        </w:tc>
        <w:tc>
          <w:tcPr/>
          <w:p>
            <w:pPr>
              <w:pStyle w:val="Compact"/>
              <w:jc w:val="left"/>
            </w:pPr>
            <w:r>
              <w:t xml:space="preserve">1,732%</w:t>
            </w:r>
          </w:p>
        </w:tc>
      </w:tr>
      <w:tr>
        <w:tc>
          <w:tcPr/>
          <w:p>
            <w:pPr>
              <w:pStyle w:val="Compact"/>
              <w:jc w:val="right"/>
            </w:pPr>
            <w:r>
              <w:t xml:space="preserve">3</w:t>
            </w:r>
          </w:p>
        </w:tc>
        <w:tc>
          <w:tcPr/>
          <w:p>
            <w:pPr>
              <w:pStyle w:val="Compact"/>
              <w:jc w:val="right"/>
            </w:pPr>
            <w:r>
              <w:t xml:space="preserve">0.01823</w:t>
            </w:r>
          </w:p>
        </w:tc>
        <w:tc>
          <w:tcPr/>
          <w:p>
            <w:pPr>
              <w:pStyle w:val="Compact"/>
              <w:jc w:val="left"/>
            </w:pPr>
            <w:r>
              <w:t xml:space="preserve">1,823%</w:t>
            </w:r>
          </w:p>
        </w:tc>
      </w:tr>
      <w:tr>
        <w:tc>
          <w:tcPr/>
          <w:p>
            <w:pPr>
              <w:pStyle w:val="Compact"/>
              <w:jc w:val="right"/>
            </w:pPr>
            <w:r>
              <w:t xml:space="preserve">4</w:t>
            </w:r>
          </w:p>
        </w:tc>
        <w:tc>
          <w:tcPr/>
          <w:p>
            <w:pPr>
              <w:pStyle w:val="Compact"/>
              <w:jc w:val="right"/>
            </w:pPr>
            <w:r>
              <w:t xml:space="preserve">0.01908</w:t>
            </w:r>
          </w:p>
        </w:tc>
        <w:tc>
          <w:tcPr/>
          <w:p>
            <w:pPr>
              <w:pStyle w:val="Compact"/>
              <w:jc w:val="left"/>
            </w:pPr>
            <w:r>
              <w:t xml:space="preserve">1,908%</w:t>
            </w:r>
          </w:p>
        </w:tc>
      </w:tr>
      <w:tr>
        <w:tc>
          <w:tcPr/>
          <w:p>
            <w:pPr>
              <w:pStyle w:val="Compact"/>
              <w:jc w:val="right"/>
            </w:pPr>
            <w:r>
              <w:t xml:space="preserve">5</w:t>
            </w:r>
          </w:p>
        </w:tc>
        <w:tc>
          <w:tcPr/>
          <w:p>
            <w:pPr>
              <w:pStyle w:val="Compact"/>
              <w:jc w:val="right"/>
            </w:pPr>
            <w:r>
              <w:t xml:space="preserve">0.01976</w:t>
            </w:r>
          </w:p>
        </w:tc>
        <w:tc>
          <w:tcPr/>
          <w:p>
            <w:pPr>
              <w:pStyle w:val="Compact"/>
              <w:jc w:val="left"/>
            </w:pPr>
            <w:r>
              <w:t xml:space="preserve">1,976%</w:t>
            </w:r>
          </w:p>
        </w:tc>
      </w:tr>
      <w:tr>
        <w:tc>
          <w:tcPr/>
          <w:p>
            <w:pPr>
              <w:pStyle w:val="Compact"/>
              <w:jc w:val="right"/>
            </w:pPr>
            <w:r>
              <w:t xml:space="preserve">6</w:t>
            </w:r>
          </w:p>
        </w:tc>
        <w:tc>
          <w:tcPr/>
          <w:p>
            <w:pPr>
              <w:pStyle w:val="Compact"/>
              <w:jc w:val="right"/>
            </w:pPr>
            <w:r>
              <w:t xml:space="preserve">0.02081</w:t>
            </w:r>
          </w:p>
        </w:tc>
        <w:tc>
          <w:tcPr/>
          <w:p>
            <w:pPr>
              <w:pStyle w:val="Compact"/>
              <w:jc w:val="left"/>
            </w:pPr>
            <w:r>
              <w:t xml:space="preserve">2,081%</w:t>
            </w:r>
          </w:p>
        </w:tc>
      </w:tr>
      <w:tr>
        <w:tc>
          <w:tcPr/>
          <w:p>
            <w:pPr>
              <w:pStyle w:val="Compact"/>
              <w:jc w:val="right"/>
            </w:pPr>
            <w:r>
              <w:t xml:space="preserve">7</w:t>
            </w:r>
          </w:p>
        </w:tc>
        <w:tc>
          <w:tcPr/>
          <w:p>
            <w:pPr>
              <w:pStyle w:val="Compact"/>
              <w:jc w:val="right"/>
            </w:pPr>
            <w:r>
              <w:t xml:space="preserve">0.02117</w:t>
            </w:r>
          </w:p>
        </w:tc>
        <w:tc>
          <w:tcPr/>
          <w:p>
            <w:pPr>
              <w:pStyle w:val="Compact"/>
              <w:jc w:val="left"/>
            </w:pPr>
            <w:r>
              <w:t xml:space="preserve">2,117%</w:t>
            </w:r>
          </w:p>
        </w:tc>
      </w:tr>
      <w:tr>
        <w:tc>
          <w:tcPr/>
          <w:p>
            <w:pPr>
              <w:pStyle w:val="Compact"/>
              <w:jc w:val="right"/>
            </w:pPr>
            <w:r>
              <w:t xml:space="preserve">8</w:t>
            </w:r>
          </w:p>
        </w:tc>
        <w:tc>
          <w:tcPr/>
          <w:p>
            <w:pPr>
              <w:pStyle w:val="Compact"/>
              <w:jc w:val="right"/>
            </w:pPr>
            <w:r>
              <w:t xml:space="preserve">0.02157</w:t>
            </w:r>
          </w:p>
        </w:tc>
        <w:tc>
          <w:tcPr/>
          <w:p>
            <w:pPr>
              <w:pStyle w:val="Compact"/>
              <w:jc w:val="left"/>
            </w:pPr>
            <w:r>
              <w:t xml:space="preserve">2,157%</w:t>
            </w:r>
          </w:p>
        </w:tc>
      </w:tr>
      <w:tr>
        <w:tc>
          <w:tcPr/>
          <w:p>
            <w:pPr>
              <w:pStyle w:val="Compact"/>
              <w:jc w:val="right"/>
            </w:pPr>
            <w:r>
              <w:t xml:space="preserve">9</w:t>
            </w:r>
          </w:p>
        </w:tc>
        <w:tc>
          <w:tcPr/>
          <w:p>
            <w:pPr>
              <w:pStyle w:val="Compact"/>
              <w:jc w:val="right"/>
            </w:pPr>
            <w:r>
              <w:t xml:space="preserve">0.02247</w:t>
            </w:r>
          </w:p>
        </w:tc>
        <w:tc>
          <w:tcPr/>
          <w:p>
            <w:pPr>
              <w:pStyle w:val="Compact"/>
              <w:jc w:val="left"/>
            </w:pPr>
            <w:r>
              <w:t xml:space="preserve">2,247%</w:t>
            </w:r>
          </w:p>
        </w:tc>
      </w:tr>
      <w:tr>
        <w:tc>
          <w:tcPr/>
          <w:p>
            <w:pPr>
              <w:pStyle w:val="Compact"/>
              <w:jc w:val="right"/>
            </w:pPr>
            <w:r>
              <w:t xml:space="preserve">10</w:t>
            </w:r>
          </w:p>
        </w:tc>
        <w:tc>
          <w:tcPr/>
          <w:p>
            <w:pPr>
              <w:pStyle w:val="Compact"/>
              <w:jc w:val="right"/>
            </w:pPr>
            <w:r>
              <w:t xml:space="preserve">0.02318</w:t>
            </w:r>
          </w:p>
        </w:tc>
        <w:tc>
          <w:tcPr/>
          <w:p>
            <w:pPr>
              <w:pStyle w:val="Compact"/>
              <w:jc w:val="left"/>
            </w:pPr>
            <w:r>
              <w:t xml:space="preserve">2,318%</w:t>
            </w:r>
          </w:p>
        </w:tc>
      </w:tr>
    </w:tbl>
    <w:bookmarkEnd w:id="60"/>
    <w:bookmarkEnd w:id="61"/>
    <w:bookmarkStart w:id="63" w:name="la-méthode-de-bootstrap"/>
    <w:p>
      <w:pPr>
        <w:pStyle w:val="Heading3"/>
      </w:pPr>
      <w:r>
        <w:t xml:space="preserve">5.3 la méthode de Bootstrap:</w:t>
      </w:r>
    </w:p>
    <w:p>
      <w:pPr>
        <w:pStyle w:val="FirstParagraph"/>
      </w:pPr>
      <w:r>
        <w:t xml:space="preserve">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pPr>
        <w:numPr>
          <w:ilvl w:val="0"/>
          <w:numId w:val="1009"/>
        </w:numPr>
        <w:pStyle w:val="Compact"/>
      </w:pPr>
      <w:r>
        <w:rPr>
          <w:bCs/>
          <w:b/>
        </w:rPr>
        <w:t xml:space="preserve">Pour une maturité inferieure ou égale a un an</w:t>
      </w:r>
      <w:r>
        <w:t xml:space="preserve"> </w:t>
      </w:r>
      <w:r>
        <w:t xml:space="preserve">:</w:t>
      </w:r>
    </w:p>
    <w:p>
      <w:pPr>
        <w:pStyle w:val="FirstParagraph"/>
      </w:pPr>
      <w:r>
        <w:t xml:space="preserve">Le taux zéro-coupon est donc le taux actuariel de même maturité. Car aucun coupon n’est payé avant l’échéance.</w:t>
      </w:r>
    </w:p>
    <w:p>
      <w:pPr>
        <w:numPr>
          <w:ilvl w:val="0"/>
          <w:numId w:val="1010"/>
        </w:numPr>
        <w:pStyle w:val="Compact"/>
      </w:pPr>
      <w:r>
        <w:rPr>
          <w:bCs/>
          <w:b/>
        </w:rPr>
        <w:t xml:space="preserve">Pour une maturité supérieure à un an</w:t>
      </w:r>
      <w:r>
        <w:t xml:space="preserve"> </w:t>
      </w:r>
      <w:r>
        <w:t xml:space="preserve">:</w:t>
      </w:r>
    </w:p>
    <w:p>
      <w:pPr>
        <w:pStyle w:val="FirstParagraph"/>
      </w:pPr>
      <w:r>
        <w:t xml:space="preserve">Le taux zéro-coupon est calculé par la formule suivante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p>
      <w:pPr>
        <w:pStyle w:val="FirstParagraph"/>
      </w:pPr>
      <w:r>
        <w:t xml:space="preserve">En effet, on a supposé que le prix théorique d’une obligation correspond à la somme de ses flux futures actualisés aux taux zéro-coupon de l’échéance de chaque flux:</w:t>
      </w:r>
    </w:p>
    <w:p>
      <w:pPr>
        <w:pStyle w:val="BodyText"/>
      </w:pPr>
      <m:oMathPara>
        <m:oMathParaPr>
          <m:jc m:val="center"/>
        </m:oMathParaPr>
        <m:oMath>
          <m:r>
            <m:t>P</m:t>
          </m:r>
          <m:r>
            <m:rPr>
              <m:sty m:val="p"/>
            </m:rPr>
            <m:t>=</m:t>
          </m:r>
          <m:f>
            <m:fPr>
              <m:type m:val="bar"/>
            </m:fPr>
            <m:num>
              <m:sSub>
                <m:e>
                  <m:r>
                    <m:t>t</m:t>
                  </m:r>
                </m:e>
                <m:sub>
                  <m:r>
                    <m:t>n</m:t>
                  </m:r>
                </m:sub>
              </m:sSub>
              <m:r>
                <m:rPr>
                  <m:sty m:val="p"/>
                </m:rPr>
                <m:t>*</m:t>
              </m:r>
              <m:r>
                <m:t>N</m:t>
              </m:r>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r>
                <m:rPr>
                  <m:sty m:val="p"/>
                </m:rPr>
                <m:t>*</m:t>
              </m:r>
              <m:r>
                <m:t>N</m:t>
              </m:r>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N</m:t>
              </m:r>
              <m:r>
                <m:rPr>
                  <m:sty m:val="p"/>
                </m:rPr>
                <m:t>+</m:t>
              </m:r>
              <m:sSub>
                <m:e>
                  <m:r>
                    <m:t>t</m:t>
                  </m:r>
                </m:e>
                <m:sub>
                  <m:r>
                    <m:t>n</m:t>
                  </m:r>
                </m:sub>
              </m:sSub>
              <m:r>
                <m:rPr>
                  <m:sty m:val="p"/>
                </m:rPr>
                <m:t>*</m:t>
              </m:r>
              <m:r>
                <m:t>N</m:t>
              </m:r>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w:r>
        <w:t xml:space="preserve">-</w:t>
      </w:r>
      <m:oMath>
        <m:r>
          <m:t>P</m:t>
        </m:r>
      </m:oMath>
      <w:r>
        <w:t xml:space="preserve"> </w:t>
      </w:r>
      <w:r>
        <w:t xml:space="preserve">: Prix d’émission du bon de trésor.</w:t>
      </w:r>
    </w:p>
    <w:p>
      <w:pPr>
        <w:pStyle w:val="BodyText"/>
      </w:pPr>
      <w:r>
        <w:t xml:space="preserve">-</w:t>
      </w:r>
      <m:oMath>
        <m:r>
          <m:t>N</m:t>
        </m:r>
      </m:oMath>
      <w:r>
        <w:t xml:space="preserve"> </w:t>
      </w:r>
      <w:r>
        <w:t xml:space="preserve">: Valeur Nominale du bon de trésor.</w:t>
      </w:r>
    </w:p>
    <w:p>
      <w:pPr>
        <w:pStyle w:val="BodyText"/>
      </w:pPr>
      <w:r>
        <w:t xml:space="preserve">Et puisque nous avons supposé que les obligations des Bons du trésor sont émises au pair, c’est-à-dire que le prix d’émission des obligations des bons du trésor et leur valeur nominale sont égaux</w:t>
      </w:r>
      <w:r>
        <w:t xml:space="preserve"> </w:t>
      </w:r>
      <m:oMath>
        <m:d>
          <m:dPr>
            <m:begChr m:val="("/>
            <m:endChr m:val=")"/>
            <m:sepChr m:val=""/>
            <m:grow/>
          </m:dPr>
          <m:e>
            <m:r>
              <m:t>P</m:t>
            </m:r>
            <m:r>
              <m:rPr>
                <m:sty m:val="p"/>
              </m:rPr>
              <m:t>=</m:t>
            </m:r>
            <m:r>
              <m:t>N</m:t>
            </m:r>
          </m:e>
        </m:d>
      </m:oMath>
      <w:r>
        <w:t xml:space="preserve">, on trouve:</w:t>
      </w:r>
    </w:p>
    <w:p>
      <w:pPr>
        <w:pStyle w:val="BodyText"/>
      </w:pPr>
      <m:oMathPara>
        <m:oMathParaPr>
          <m:jc m:val="center"/>
        </m:oMathParaPr>
        <m:oMath>
          <m:r>
            <m:t>1</m:t>
          </m:r>
          <m:r>
            <m:rPr>
              <m:sty m:val="p"/>
            </m:rPr>
            <m:t>=</m:t>
          </m:r>
          <m:f>
            <m:fPr>
              <m:type m:val="bar"/>
            </m:fPr>
            <m:num>
              <m:sSub>
                <m:e>
                  <m:r>
                    <m:t>t</m:t>
                  </m:r>
                </m:e>
                <m:sub>
                  <m:r>
                    <m:t>n</m:t>
                  </m:r>
                </m:sub>
              </m:sSub>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m:oMathPara>
        <m:oMathParaPr>
          <m:jc m:val="center"/>
        </m:oMathParaPr>
        <m:oMath>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r>
            <m:rPr>
              <m:sty m:val="p"/>
            </m:rPr>
            <m:t>=</m:t>
          </m:r>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m:oMathPara>
        <m:oMathParaPr>
          <m:jc m:val="center"/>
        </m:oMathParaPr>
        <m:oMath>
          <m:r>
            <m:rPr>
              <m:sty m:val="p"/>
            </m:rPr>
            <m:t>⟹</m:t>
          </m:r>
          <m:sSup>
            <m:e>
              <m:d>
                <m:dPr>
                  <m:begChr m:val="("/>
                  <m:endChr m:val=")"/>
                  <m:sepChr m:val=""/>
                  <m:grow/>
                </m:dPr>
                <m:e>
                  <m:r>
                    <m:t>1</m:t>
                  </m:r>
                  <m:r>
                    <m:rPr>
                      <m:sty m:val="p"/>
                    </m:rPr>
                    <m:t>+</m:t>
                  </m:r>
                  <m:sSub>
                    <m:e>
                      <m:r>
                        <m:t>R</m:t>
                      </m:r>
                    </m:e>
                    <m:sub>
                      <m:r>
                        <m:t>n</m:t>
                      </m:r>
                    </m:sub>
                  </m:sSub>
                </m:e>
              </m:d>
            </m:e>
            <m:sup>
              <m:r>
                <m:t>n</m:t>
              </m:r>
            </m:sup>
          </m:sSup>
          <m:r>
            <m:rPr>
              <m:sty m:val="p"/>
            </m:rPr>
            <m:t>=</m:t>
          </m:r>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oMath>
      </m:oMathPara>
    </w:p>
    <w:p>
      <w:pPr>
        <w:pStyle w:val="FirstParagraph"/>
      </w:pPr>
      <w:r>
        <w:t xml:space="preserve">On en arrive à la conclusion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bookmarkStart w:id="62" w:name="tbl-taux_zc"/>
    <w:p>
      <w:pPr>
        <w:pStyle w:val="TableCaption"/>
      </w:pPr>
      <w:r>
        <w:t xml:space="preserve">Table 5: Transformation du taux actuariel en taux ZC avec la méthode Boostrap</w:t>
      </w:r>
    </w:p>
    <w:tbl>
      <w:tblPr>
        <w:tblStyle w:val="Table"/>
        <w:tblW w:type="auto" w:w="0"/>
        <w:tblLook w:firstRow="1" w:lastRow="0" w:firstColumn="0" w:lastColumn="0" w:noHBand="0" w:noVBand="0" w:val="0020"/>
        <w:tblCaption w:val="Table 5: Transformation du taux actuariel en taux ZC avec la méthode Boostrap"/>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zéro coupon</w:t>
            </w:r>
          </w:p>
        </w:tc>
        <w:tc>
          <w:tcPr/>
          <w:p>
            <w:pPr>
              <w:pStyle w:val="Compact"/>
              <w:jc w:val="left"/>
            </w:pPr>
            <w:r>
              <w:t xml:space="preserve">Taux zéro coupon (%)</w:t>
            </w:r>
          </w:p>
        </w:tc>
      </w:tr>
      <w:tr>
        <w:tc>
          <w:tcPr/>
          <w:p>
            <w:pPr>
              <w:pStyle w:val="Compact"/>
              <w:jc w:val="right"/>
            </w:pPr>
            <w:r>
              <w:t xml:space="preserve">1</w:t>
            </w:r>
          </w:p>
        </w:tc>
        <w:tc>
          <w:tcPr/>
          <w:p>
            <w:pPr>
              <w:pStyle w:val="Compact"/>
              <w:jc w:val="right"/>
            </w:pPr>
            <w:r>
              <w:t xml:space="preserve">0.01620</w:t>
            </w:r>
          </w:p>
        </w:tc>
        <w:tc>
          <w:tcPr/>
          <w:p>
            <w:pPr>
              <w:pStyle w:val="Compact"/>
              <w:jc w:val="left"/>
            </w:pPr>
            <w:r>
              <w:t xml:space="preserve">1,62%</w:t>
            </w:r>
          </w:p>
        </w:tc>
      </w:tr>
      <w:tr>
        <w:tc>
          <w:tcPr/>
          <w:p>
            <w:pPr>
              <w:pStyle w:val="Compact"/>
              <w:jc w:val="right"/>
            </w:pPr>
            <w:r>
              <w:t xml:space="preserve">2</w:t>
            </w:r>
          </w:p>
        </w:tc>
        <w:tc>
          <w:tcPr/>
          <w:p>
            <w:pPr>
              <w:pStyle w:val="Compact"/>
              <w:jc w:val="right"/>
            </w:pPr>
            <w:r>
              <w:t xml:space="preserve">0.01733</w:t>
            </w:r>
          </w:p>
        </w:tc>
        <w:tc>
          <w:tcPr/>
          <w:p>
            <w:pPr>
              <w:pStyle w:val="Compact"/>
              <w:jc w:val="left"/>
            </w:pPr>
            <w:r>
              <w:t xml:space="preserve">1,733%</w:t>
            </w:r>
          </w:p>
        </w:tc>
      </w:tr>
      <w:tr>
        <w:tc>
          <w:tcPr/>
          <w:p>
            <w:pPr>
              <w:pStyle w:val="Compact"/>
              <w:jc w:val="right"/>
            </w:pPr>
            <w:r>
              <w:t xml:space="preserve">3</w:t>
            </w:r>
          </w:p>
        </w:tc>
        <w:tc>
          <w:tcPr/>
          <w:p>
            <w:pPr>
              <w:pStyle w:val="Compact"/>
              <w:jc w:val="right"/>
            </w:pPr>
            <w:r>
              <w:t xml:space="preserve">0.01825</w:t>
            </w:r>
          </w:p>
        </w:tc>
        <w:tc>
          <w:tcPr/>
          <w:p>
            <w:pPr>
              <w:pStyle w:val="Compact"/>
              <w:jc w:val="left"/>
            </w:pPr>
            <w:r>
              <w:t xml:space="preserve">1,825%</w:t>
            </w:r>
          </w:p>
        </w:tc>
      </w:tr>
      <w:tr>
        <w:tc>
          <w:tcPr/>
          <w:p>
            <w:pPr>
              <w:pStyle w:val="Compact"/>
              <w:jc w:val="right"/>
            </w:pPr>
            <w:r>
              <w:t xml:space="preserve">4</w:t>
            </w:r>
          </w:p>
        </w:tc>
        <w:tc>
          <w:tcPr/>
          <w:p>
            <w:pPr>
              <w:pStyle w:val="Compact"/>
              <w:jc w:val="right"/>
            </w:pPr>
            <w:r>
              <w:t xml:space="preserve">0.01912</w:t>
            </w:r>
          </w:p>
        </w:tc>
        <w:tc>
          <w:tcPr/>
          <w:p>
            <w:pPr>
              <w:pStyle w:val="Compact"/>
              <w:jc w:val="left"/>
            </w:pPr>
            <w:r>
              <w:t xml:space="preserve">1,912%</w:t>
            </w:r>
          </w:p>
        </w:tc>
      </w:tr>
      <w:tr>
        <w:tc>
          <w:tcPr/>
          <w:p>
            <w:pPr>
              <w:pStyle w:val="Compact"/>
              <w:jc w:val="right"/>
            </w:pPr>
            <w:r>
              <w:t xml:space="preserve">5</w:t>
            </w:r>
          </w:p>
        </w:tc>
        <w:tc>
          <w:tcPr/>
          <w:p>
            <w:pPr>
              <w:pStyle w:val="Compact"/>
              <w:jc w:val="right"/>
            </w:pPr>
            <w:r>
              <w:t xml:space="preserve">0.01982</w:t>
            </w:r>
          </w:p>
        </w:tc>
        <w:tc>
          <w:tcPr/>
          <w:p>
            <w:pPr>
              <w:pStyle w:val="Compact"/>
              <w:jc w:val="left"/>
            </w:pPr>
            <w:r>
              <w:t xml:space="preserve">1,982%</w:t>
            </w:r>
          </w:p>
        </w:tc>
      </w:tr>
      <w:tr>
        <w:tc>
          <w:tcPr/>
          <w:p>
            <w:pPr>
              <w:pStyle w:val="Compact"/>
              <w:jc w:val="right"/>
            </w:pPr>
            <w:r>
              <w:t xml:space="preserve">6</w:t>
            </w:r>
          </w:p>
        </w:tc>
        <w:tc>
          <w:tcPr/>
          <w:p>
            <w:pPr>
              <w:pStyle w:val="Compact"/>
              <w:jc w:val="right"/>
            </w:pPr>
            <w:r>
              <w:t xml:space="preserve">0.02092</w:t>
            </w:r>
          </w:p>
        </w:tc>
        <w:tc>
          <w:tcPr/>
          <w:p>
            <w:pPr>
              <w:pStyle w:val="Compact"/>
              <w:jc w:val="left"/>
            </w:pPr>
            <w:r>
              <w:t xml:space="preserve">2,092%</w:t>
            </w:r>
          </w:p>
        </w:tc>
      </w:tr>
      <w:tr>
        <w:tc>
          <w:tcPr/>
          <w:p>
            <w:pPr>
              <w:pStyle w:val="Compact"/>
              <w:jc w:val="right"/>
            </w:pPr>
            <w:r>
              <w:t xml:space="preserve">7</w:t>
            </w:r>
          </w:p>
        </w:tc>
        <w:tc>
          <w:tcPr/>
          <w:p>
            <w:pPr>
              <w:pStyle w:val="Compact"/>
              <w:jc w:val="right"/>
            </w:pPr>
            <w:r>
              <w:t xml:space="preserve">0.02129</w:t>
            </w:r>
          </w:p>
        </w:tc>
        <w:tc>
          <w:tcPr/>
          <w:p>
            <w:pPr>
              <w:pStyle w:val="Compact"/>
              <w:jc w:val="left"/>
            </w:pPr>
            <w:r>
              <w:t xml:space="preserve">2,129%</w:t>
            </w:r>
          </w:p>
        </w:tc>
      </w:tr>
      <w:tr>
        <w:tc>
          <w:tcPr/>
          <w:p>
            <w:pPr>
              <w:pStyle w:val="Compact"/>
              <w:jc w:val="right"/>
            </w:pPr>
            <w:r>
              <w:t xml:space="preserve">8</w:t>
            </w:r>
          </w:p>
        </w:tc>
        <w:tc>
          <w:tcPr/>
          <w:p>
            <w:pPr>
              <w:pStyle w:val="Compact"/>
              <w:jc w:val="right"/>
            </w:pPr>
            <w:r>
              <w:t xml:space="preserve">0.02171</w:t>
            </w:r>
          </w:p>
        </w:tc>
        <w:tc>
          <w:tcPr/>
          <w:p>
            <w:pPr>
              <w:pStyle w:val="Compact"/>
              <w:jc w:val="left"/>
            </w:pPr>
            <w:r>
              <w:t xml:space="preserve">2,171%</w:t>
            </w:r>
          </w:p>
        </w:tc>
      </w:tr>
      <w:tr>
        <w:tc>
          <w:tcPr/>
          <w:p>
            <w:pPr>
              <w:pStyle w:val="Compact"/>
              <w:jc w:val="right"/>
            </w:pPr>
            <w:r>
              <w:t xml:space="preserve">9</w:t>
            </w:r>
          </w:p>
        </w:tc>
        <w:tc>
          <w:tcPr/>
          <w:p>
            <w:pPr>
              <w:pStyle w:val="Compact"/>
              <w:jc w:val="right"/>
            </w:pPr>
            <w:r>
              <w:t xml:space="preserve">0.02269</w:t>
            </w:r>
          </w:p>
        </w:tc>
        <w:tc>
          <w:tcPr/>
          <w:p>
            <w:pPr>
              <w:pStyle w:val="Compact"/>
              <w:jc w:val="left"/>
            </w:pPr>
            <w:r>
              <w:t xml:space="preserve">2,269%</w:t>
            </w:r>
          </w:p>
        </w:tc>
      </w:tr>
      <w:tr>
        <w:tc>
          <w:tcPr/>
          <w:p>
            <w:pPr>
              <w:pStyle w:val="Compact"/>
              <w:jc w:val="right"/>
            </w:pPr>
            <w:r>
              <w:t xml:space="preserve">10</w:t>
            </w:r>
          </w:p>
        </w:tc>
        <w:tc>
          <w:tcPr/>
          <w:p>
            <w:pPr>
              <w:pStyle w:val="Compact"/>
              <w:jc w:val="right"/>
            </w:pPr>
            <w:r>
              <w:t xml:space="preserve">0.02346</w:t>
            </w:r>
          </w:p>
        </w:tc>
        <w:tc>
          <w:tcPr/>
          <w:p>
            <w:pPr>
              <w:pStyle w:val="Compact"/>
              <w:jc w:val="left"/>
            </w:pPr>
            <w:r>
              <w:t xml:space="preserve">2,346%</w:t>
            </w:r>
          </w:p>
        </w:tc>
      </w:tr>
    </w:tbl>
    <w:bookmarkEnd w:id="62"/>
    <w:bookmarkEnd w:id="63"/>
    <w:bookmarkStart w:id="64" w:name="X336f36db0687334b747abecf8d379445810500d"/>
    <w:p>
      <w:pPr>
        <w:pStyle w:val="Heading3"/>
      </w:pPr>
      <w:r>
        <w:t xml:space="preserve">5.4 Extrapolation de la courbe des taux zéro-coupon : méthode de Smith-Wilson</w:t>
      </w:r>
    </w:p>
    <w:p>
      <w:pPr>
        <w:pStyle w:val="FirstParagraph"/>
      </w:pPr>
      <w:r>
        <w:t xml:space="preserve">La méthode Smith-Wilson est une méthode d’extrapolation de la courbe des taux d’intérêt développée par les chercheurs Smith et Wilson en 1995, et est utilisée pour extrapoler les taux à long terme. Son principe est d’ajuster une courbe mathématique à la courbe des taux observée sur le marché, en utilisant une fonction spécifique appelée</w:t>
      </w:r>
      <w:r>
        <w:t xml:space="preserve"> </w:t>
      </w:r>
      <w:r>
        <w:t xml:space="preserve">“</w:t>
      </w:r>
      <w:r>
        <w:t xml:space="preserve">fonction de Smith-Wilson</w:t>
      </w:r>
      <w:r>
        <w:t xml:space="preserve">”</w:t>
      </w:r>
      <w:r>
        <w:t xml:space="preserve">.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pPr>
        <w:pStyle w:val="BodyText"/>
      </w:pPr>
      <w:r>
        <w:t xml:space="preserve">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s’adapter de manière continue à la fois à la partie courte et à la partie longue de la courbe des taux.</w:t>
      </w:r>
    </w:p>
    <w:p>
      <w:pPr>
        <w:pStyle w:val="BodyText"/>
      </w:pPr>
      <w:r>
        <w:t xml:space="preserve">dans ce modèle le taux à terme à long terme est un paramètre d’entrée fixe qui ne varie pas dans le temps à mesure qu’évoluent les prix des obligations. Elle permet aux taux à terme à long terme de converger vers le taux « infini »(Ultimate Forward Rate) choisi et elle offre une base solide pour couvrir le risque de taux d’intérêt à long terme.</w:t>
      </w:r>
    </w:p>
    <w:p>
      <w:pPr>
        <w:pStyle w:val="BodyText"/>
      </w:pPr>
      <w:r>
        <w:t xml:space="preserve">Les paramètres d’entrée sont les suivants :</w:t>
      </w:r>
    </w:p>
    <w:p>
      <w:pPr>
        <w:numPr>
          <w:ilvl w:val="0"/>
          <w:numId w:val="1011"/>
        </w:numPr>
        <w:pStyle w:val="Compact"/>
      </w:pPr>
      <w:r>
        <w:t xml:space="preserve">le UFR (Ultimate Forward Rate)</w:t>
      </w:r>
    </w:p>
    <w:p>
      <w:pPr>
        <w:numPr>
          <w:ilvl w:val="0"/>
          <w:numId w:val="1011"/>
        </w:numPr>
        <w:pStyle w:val="Compact"/>
      </w:pPr>
      <m:oMath>
        <m:r>
          <m:t>α</m:t>
        </m:r>
      </m:oMath>
      <w:r>
        <w:t xml:space="preserve"> </w:t>
      </w:r>
      <w:r>
        <w:t xml:space="preserve">la vitesse de convergence vers le UFR.</w:t>
      </w:r>
    </w:p>
    <w:p>
      <w:pPr>
        <w:pStyle w:val="FirstParagraph"/>
      </w:pPr>
      <w:r>
        <w:t xml:space="preserve">En fait, sur le marché on observe les prix zéro-coupons de différentes maturités</w:t>
      </w:r>
      <w:r>
        <w:t xml:space="preserve"> </w:t>
      </w:r>
      <m:oMath>
        <m:sSub>
          <m:e>
            <m:r>
              <m:t>u</m:t>
            </m:r>
          </m:e>
          <m:sub>
            <m:r>
              <m:t>1</m:t>
            </m:r>
          </m:sub>
        </m:sSub>
        <m:r>
          <m:rPr>
            <m:sty m:val="p"/>
          </m:rPr>
          <m:t>,</m:t>
        </m:r>
        <m:sSub>
          <m:e>
            <m:r>
              <m:t>u</m:t>
            </m:r>
          </m:e>
          <m:sub>
            <m:r>
              <m:t>2</m:t>
            </m:r>
          </m:sub>
        </m:sSub>
        <m:r>
          <m:rPr>
            <m:sty m:val="p"/>
          </m:rPr>
          <m:t>,</m:t>
        </m:r>
        <m:r>
          <m:rPr>
            <m:sty m:val="p"/>
          </m:rPr>
          <m:t>…</m:t>
        </m:r>
        <m:r>
          <m:rPr>
            <m:sty m:val="p"/>
          </m:rPr>
          <m:t>.</m:t>
        </m:r>
        <m:r>
          <m:rPr>
            <m:sty m:val="p"/>
          </m:rPr>
          <m:t>,</m:t>
        </m:r>
        <m:sSub>
          <m:e>
            <m:r>
              <m:t>u</m:t>
            </m:r>
          </m:e>
          <m:sub>
            <m:r>
              <m:t>N</m:t>
            </m:r>
          </m:sub>
        </m:sSub>
      </m:oMath>
      <w:r>
        <w:t xml:space="preserve"> </w:t>
      </w:r>
      <w:r>
        <w:t xml:space="preserve">alors Smith-Wilson suppose que le facteur d’actualisation $P(</w:t>
      </w:r>
      <w:r>
        <w:t xml:space="preserve">) $ est déterminé par:</w:t>
      </w:r>
    </w:p>
    <w:p>
      <w:pPr>
        <w:pStyle w:val="BodyText"/>
      </w:pPr>
      <m:oMathPara>
        <m:oMathParaPr>
          <m:jc m:val="center"/>
        </m:oMathParaPr>
        <m:oMath>
          <m:r>
            <m:t>P</m:t>
          </m:r>
          <m:d>
            <m:dPr>
              <m:begChr m:val="("/>
              <m:endChr m:val=")"/>
              <m:sepChr m:val=""/>
              <m:grow/>
            </m:dPr>
            <m:e>
              <m:r>
                <m:t>τ</m:t>
              </m:r>
            </m:e>
          </m:d>
          <m:r>
            <m:rPr>
              <m:sty m:val="p"/>
            </m:rPr>
            <m:t>=</m:t>
          </m:r>
          <m:sSup>
            <m:e>
              <m:r>
                <m:t>e</m:t>
              </m:r>
            </m:e>
            <m:sup>
              <m:r>
                <m:rPr>
                  <m:sty m:val="p"/>
                </m:rPr>
                <m:t>−</m:t>
              </m:r>
              <m:r>
                <m:t>U</m:t>
              </m:r>
              <m:r>
                <m:t>F</m:t>
              </m:r>
              <m:r>
                <m:t>R</m:t>
              </m:r>
              <m:r>
                <m:rPr>
                  <m:sty m:val="p"/>
                </m:rPr>
                <m:t>*</m:t>
              </m:r>
              <m:r>
                <m:t>τ</m:t>
              </m:r>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Où:</w:t>
      </w:r>
    </w:p>
    <w:p>
      <w:pPr>
        <w:pStyle w:val="BodyText"/>
      </w:pPr>
      <m:oMathPara>
        <m:oMathParaPr>
          <m:jc m:val="center"/>
        </m:oMathParaPr>
        <m:oMath>
          <m:r>
            <m:t>W</m:t>
          </m:r>
          <m:d>
            <m:dPr>
              <m:begChr m:val="("/>
              <m:endChr m:val=")"/>
              <m:sepChr m:val=""/>
              <m:grow/>
            </m:dPr>
            <m:e>
              <m:r>
                <m:t>τ</m:t>
              </m:r>
              <m:r>
                <m:rPr>
                  <m:sty m:val="p"/>
                </m:rPr>
                <m:t>,</m:t>
              </m:r>
              <m:sSub>
                <m:e>
                  <m:r>
                    <m:t>μ</m:t>
                  </m:r>
                </m:e>
                <m:sub>
                  <m:r>
                    <m:t>j</m:t>
                  </m:r>
                </m:sub>
              </m:sSub>
            </m:e>
          </m:d>
          <m:r>
            <m:rPr>
              <m:sty m:val="p"/>
            </m:rPr>
            <m:t>=</m:t>
          </m:r>
          <m:sSup>
            <m:e>
              <m:r>
                <m:t>e</m:t>
              </m:r>
            </m:e>
            <m:sup>
              <m:r>
                <m:rPr>
                  <m:sty m:val="p"/>
                </m:rPr>
                <m:t>−</m:t>
              </m:r>
              <m:r>
                <m:t>U</m:t>
              </m:r>
              <m:r>
                <m:t>F</m:t>
              </m:r>
              <m:r>
                <m:t>R</m:t>
              </m:r>
              <m:r>
                <m:rPr>
                  <m:sty m:val="p"/>
                </m:rPr>
                <m:t>*</m:t>
              </m:r>
              <m:d>
                <m:dPr>
                  <m:begChr m:val="("/>
                  <m:endChr m:val=")"/>
                  <m:sepChr m:val=""/>
                  <m:grow/>
                </m:dPr>
                <m:e>
                  <m:r>
                    <m:t>τ</m:t>
                  </m:r>
                  <m:r>
                    <m:rPr>
                      <m:sty m:val="p"/>
                    </m:rPr>
                    <m:t>+</m:t>
                  </m:r>
                  <m:sSub>
                    <m:e>
                      <m:r>
                        <m:t>μ</m:t>
                      </m:r>
                    </m:e>
                    <m:sub>
                      <m:r>
                        <m:t>j</m:t>
                      </m:r>
                    </m:sub>
                  </m:sSub>
                </m:e>
              </m:d>
            </m:sup>
          </m:sSup>
          <m:r>
            <m:rPr>
              <m:sty m:val="p"/>
            </m:rPr>
            <m:t>*</m:t>
          </m:r>
          <m:d>
            <m:dPr>
              <m:begChr m:val="["/>
              <m:endChr m:val="]"/>
              <m:sepChr m:val=""/>
              <m:grow/>
            </m:dPr>
            <m:e>
              <m:r>
                <m:t>α</m:t>
              </m:r>
              <m:r>
                <m:rPr>
                  <m:sty m:val="p"/>
                </m:rPr>
                <m:t>*</m:t>
              </m:r>
              <m:r>
                <m:t>m</m:t>
              </m:r>
              <m:r>
                <m:t>i</m:t>
              </m:r>
              <m:r>
                <m:t>n</m:t>
              </m:r>
              <m:d>
                <m:dPr>
                  <m:begChr m:val="("/>
                  <m:endChr m:val=")"/>
                  <m:sepChr m:val=""/>
                  <m:grow/>
                </m:dPr>
                <m:e>
                  <m:r>
                    <m:t>τ</m:t>
                  </m:r>
                  <m:r>
                    <m:rPr>
                      <m:sty m:val="p"/>
                    </m:rPr>
                    <m:t>,</m:t>
                  </m:r>
                  <m:sSub>
                    <m:e>
                      <m:r>
                        <m:t>μ</m:t>
                      </m:r>
                    </m:e>
                    <m:sub>
                      <m:r>
                        <m:t>j</m:t>
                      </m:r>
                    </m:sub>
                  </m:sSub>
                </m:e>
              </m:d>
              <m:r>
                <m:rPr>
                  <m:sty m:val="p"/>
                </m:rPr>
                <m:t>−</m:t>
              </m:r>
              <m:r>
                <m:t>0</m:t>
              </m:r>
              <m:r>
                <m:rPr>
                  <m:sty m:val="p"/>
                </m:rPr>
                <m:t>,</m:t>
              </m:r>
              <m:r>
                <m:t>5</m:t>
              </m:r>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r>
                <m:rPr>
                  <m:sty m:val="p"/>
                </m:rPr>
                <m:t>*</m:t>
              </m:r>
              <m:d>
                <m:dPr>
                  <m:begChr m:val="("/>
                  <m:endChr m:val=")"/>
                  <m:sepChr m:val=""/>
                  <m:grow/>
                </m:dPr>
                <m:e>
                  <m:sSup>
                    <m:e>
                      <m:r>
                        <m:t>e</m:t>
                      </m:r>
                    </m:e>
                    <m:sup>
                      <m:r>
                        <m:t>α</m:t>
                      </m:r>
                      <m:r>
                        <m:rPr>
                          <m:sty m:val="p"/>
                        </m:rPr>
                        <m:t>*</m:t>
                      </m:r>
                      <m:r>
                        <m:t>m</m:t>
                      </m:r>
                      <m:r>
                        <m:t>i</m:t>
                      </m:r>
                      <m:r>
                        <m:t>n</m:t>
                      </m:r>
                      <m:d>
                        <m:dPr>
                          <m:begChr m:val="("/>
                          <m:endChr m:val=")"/>
                          <m:sepChr m:val=""/>
                          <m:grow/>
                        </m:dPr>
                        <m:e>
                          <m:r>
                            <m:t>τ</m:t>
                          </m:r>
                          <m:r>
                            <m:rPr>
                              <m:sty m:val="p"/>
                            </m:rPr>
                            <m:t>,</m:t>
                          </m:r>
                          <m:sSub>
                            <m:e>
                              <m:r>
                                <m:t>μ</m:t>
                              </m:r>
                            </m:e>
                            <m:sub>
                              <m:r>
                                <m:t>j</m:t>
                              </m:r>
                            </m:sub>
                          </m:sSub>
                        </m:e>
                      </m:d>
                    </m:sup>
                  </m:sSup>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e>
              </m:d>
            </m:e>
          </m:d>
        </m:oMath>
      </m:oMathPara>
    </w:p>
    <w:p>
      <w:pPr>
        <w:pStyle w:val="FirstParagraph"/>
      </w:pPr>
      <w:r>
        <w:t xml:space="preserve">Avec :</w:t>
      </w:r>
    </w:p>
    <w:p>
      <w:pPr>
        <w:numPr>
          <w:ilvl w:val="0"/>
          <w:numId w:val="1012"/>
        </w:numPr>
        <w:pStyle w:val="Compact"/>
      </w:pPr>
      <m:oMath>
        <m:r>
          <m:t>W</m:t>
        </m:r>
      </m:oMath>
      <w:r>
        <w:t xml:space="preserve"> </w:t>
      </w:r>
      <w:r>
        <w:t xml:space="preserve">représente un ensemble de fonctions à noyau pour chaque prix d’obligation observable d’entrée.</w:t>
      </w:r>
    </w:p>
    <w:p>
      <w:pPr>
        <w:numPr>
          <w:ilvl w:val="0"/>
          <w:numId w:val="1012"/>
        </w:numPr>
        <w:pStyle w:val="Compact"/>
      </w:pPr>
      <m:oMath>
        <m:r>
          <m:t>α</m:t>
        </m:r>
      </m:oMath>
      <w:r>
        <w:t xml:space="preserve"> </w:t>
      </w:r>
      <w:r>
        <w:t xml:space="preserve">: la vitesse de convergence vers le UFR.</w:t>
      </w:r>
    </w:p>
    <w:p>
      <w:pPr>
        <w:numPr>
          <w:ilvl w:val="0"/>
          <w:numId w:val="1012"/>
        </w:numPr>
        <w:pStyle w:val="Compact"/>
      </w:pPr>
      <m:oMath>
        <m:r>
          <m:t>N</m:t>
        </m:r>
      </m:oMath>
      <w:r>
        <w:t xml:space="preserve">: le nombre d’obligations ZC dont le prix est observésur le marché.</w:t>
      </w:r>
    </w:p>
    <w:p>
      <w:pPr>
        <w:numPr>
          <w:ilvl w:val="0"/>
          <w:numId w:val="1012"/>
        </w:numPr>
        <w:pStyle w:val="Compact"/>
      </w:pPr>
      <m:oMath>
        <m:sSub>
          <m:e>
            <m:r>
              <m:t>u</m:t>
            </m:r>
          </m:e>
          <m:sub>
            <m:r>
              <m:t>j</m:t>
            </m:r>
          </m:sub>
        </m:sSub>
      </m:oMath>
      <w:r>
        <w:t xml:space="preserve">: la j-ème maturité disponible. .</w:t>
      </w:r>
    </w:p>
    <w:p>
      <w:pPr>
        <w:numPr>
          <w:ilvl w:val="0"/>
          <w:numId w:val="1012"/>
        </w:numPr>
        <w:pStyle w:val="Compact"/>
      </w:pPr>
      <m:oMath>
        <m:sSub>
          <m:e>
            <m:r>
              <m:t>γ</m:t>
            </m:r>
          </m:e>
          <m:sub>
            <m:r>
              <m:t>j</m:t>
            </m:r>
          </m:sub>
        </m:sSub>
      </m:oMath>
      <w:r>
        <w:t xml:space="preserve"> </w:t>
      </w:r>
      <w:r>
        <w:t xml:space="preserve">: les inconnus à ajuster par rapport à la courbe des taux zéro-coupon disponible avant extrapolation.</w:t>
      </w:r>
    </w:p>
    <w:p>
      <w:pPr>
        <w:pStyle w:val="FirstParagraph"/>
      </w:pPr>
      <w:r>
        <w:t xml:space="preserve">Pour déterminer ces inconnus, on fixe d’abord</w:t>
      </w:r>
      <w:r>
        <w:t xml:space="preserve"> </w:t>
      </w:r>
      <m:oMath>
        <m:r>
          <m:t>U</m:t>
        </m:r>
        <m:r>
          <m:t>F</m:t>
        </m:r>
        <m:r>
          <m:t>R</m:t>
        </m:r>
      </m:oMath>
      <w:r>
        <w:t xml:space="preserve"> </w:t>
      </w:r>
      <w:r>
        <w:t xml:space="preserve">et</w:t>
      </w:r>
      <w:r>
        <w:t xml:space="preserve"> </w:t>
      </w:r>
      <m:oMath>
        <m:r>
          <m:t>α</m:t>
        </m:r>
      </m:oMath>
      <w:r>
        <w:t xml:space="preserve">,le vecteur</w:t>
      </w:r>
      <w:r>
        <w:t xml:space="preserve"> </w:t>
      </w:r>
      <m:oMath>
        <m:r>
          <m:t>γ</m:t>
        </m:r>
      </m:oMath>
      <w:r>
        <w:t xml:space="preserve"> </w:t>
      </w:r>
      <w:r>
        <w:t xml:space="preserve">s’obtient comme solution d’un système d’équations linéaires définies par l’expression du prix de chaque obligation ZC considérée.</w:t>
      </w:r>
    </w:p>
    <w:p>
      <w:pPr>
        <w:pStyle w:val="BodyText"/>
      </w:pPr>
      <w:r>
        <w:t xml:space="preserve">Soit :</w:t>
      </w:r>
    </w:p>
    <w:p>
      <w:pPr>
        <w:pStyle w:val="BodyText"/>
      </w:pPr>
      <m:oMathPara>
        <m:oMathParaPr>
          <m:jc m:val="center"/>
        </m:oMathParaPr>
        <m:oMath>
          <m:sSub>
            <m:e>
              <m:r>
                <m:t>m</m:t>
              </m:r>
            </m:e>
            <m:sub>
              <m:r>
                <m:t>j</m:t>
              </m:r>
            </m:sub>
          </m:sSub>
          <m:r>
            <m:rPr>
              <m:sty m:val="p"/>
            </m:rPr>
            <m:t>=</m:t>
          </m:r>
          <m:r>
            <m:t>P</m:t>
          </m:r>
          <m:d>
            <m:dPr>
              <m:begChr m:val="("/>
              <m:endChr m:val=")"/>
              <m:sepChr m:val=""/>
              <m:grow/>
            </m:dPr>
            <m:e>
              <m:sSub>
                <m:e>
                  <m:r>
                    <m:t>μ</m:t>
                  </m:r>
                </m:e>
                <m:sub>
                  <m:r>
                    <m:t>j</m:t>
                  </m:r>
                </m:sub>
              </m:sSub>
            </m:e>
          </m:d>
          <m:r>
            <m:rPr>
              <m:sty m:val="p"/>
            </m:rPr>
            <m:t>=</m:t>
          </m:r>
          <m:sSup>
            <m:e>
              <m:r>
                <m:t>e</m:t>
              </m:r>
            </m:e>
            <m:sup>
              <m:r>
                <m:rPr>
                  <m:sty m:val="p"/>
                </m:rPr>
                <m:t>−</m:t>
              </m:r>
              <m:r>
                <m:t>U</m:t>
              </m:r>
              <m:r>
                <m:t>F</m:t>
              </m:r>
              <m:r>
                <m:t>R</m:t>
              </m:r>
              <m:r>
                <m:rPr>
                  <m:sty m:val="p"/>
                </m:rPr>
                <m:t>*</m:t>
              </m:r>
              <m:sSub>
                <m:e>
                  <m:r>
                    <m:t>μ</m:t>
                  </m:r>
                </m:e>
                <m:sub>
                  <m:r>
                    <m:t>j</m:t>
                  </m:r>
                </m:sub>
              </m:sSub>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Sous forme matricielle :</w:t>
      </w:r>
    </w:p>
    <w:p>
      <w:pPr>
        <w:pStyle w:val="BodyText"/>
      </w:pPr>
      <m:oMathPara>
        <m:oMathParaPr>
          <m:jc m:val="center"/>
        </m:oMathParaPr>
        <m:oMath>
          <m:r>
            <m:t>m</m:t>
          </m:r>
          <m:r>
            <m:rPr>
              <m:sty m:val="p"/>
            </m:rPr>
            <m:t>=</m:t>
          </m:r>
          <m:r>
            <m:t>P</m:t>
          </m:r>
          <m:r>
            <m:rPr>
              <m:sty m:val="p"/>
            </m:rPr>
            <m:t>=</m:t>
          </m:r>
          <m:r>
            <m:t>µ</m:t>
          </m:r>
          <m:r>
            <m:rPr>
              <m:sty m:val="p"/>
            </m:rPr>
            <m:t>+</m:t>
          </m:r>
          <m:r>
            <m:t>γ</m:t>
          </m:r>
          <m:r>
            <m:rPr>
              <m:sty m:val="p"/>
            </m:rPr>
            <m:t>∗</m:t>
          </m:r>
          <m:r>
            <m:t>W</m:t>
          </m:r>
          <m:r>
            <m:rPr>
              <m:sty m:val="p"/>
            </m:rPr>
            <m:t>⇒</m:t>
          </m:r>
          <m:r>
            <m:t>γ</m:t>
          </m:r>
          <m:r>
            <m:rPr>
              <m:sty m:val="p"/>
            </m:rPr>
            <m:t>=</m:t>
          </m:r>
          <m:sSup>
            <m:e>
              <m:r>
                <m:t>W</m:t>
              </m:r>
            </m:e>
            <m:sup>
              <m:r>
                <m:rPr>
                  <m:sty m:val="p"/>
                </m:rPr>
                <m:t>−</m:t>
              </m:r>
              <m:r>
                <m:t>1</m:t>
              </m:r>
            </m:sup>
          </m:sSup>
          <m:d>
            <m:dPr>
              <m:begChr m:val="("/>
              <m:endChr m:val=")"/>
              <m:sepChr m:val=""/>
              <m:grow/>
            </m:dPr>
            <m:e>
              <m:r>
                <m:t>P</m:t>
              </m:r>
              <m:r>
                <m:rPr>
                  <m:sty m:val="p"/>
                </m:rPr>
                <m:t>−</m:t>
              </m:r>
              <m:r>
                <m:t>µ</m:t>
              </m:r>
            </m:e>
          </m:d>
        </m:oMath>
      </m:oMathPara>
    </w:p>
    <w:p>
      <w:pPr>
        <w:pStyle w:val="FirstParagraph"/>
      </w:pPr>
      <w:r>
        <w:t xml:space="preserve">Avec:</w:t>
      </w:r>
    </w:p>
    <w:p>
      <w:pPr>
        <w:pStyle w:val="BodyText"/>
      </w:pPr>
      <m:oMath>
        <m:r>
          <m:t>m</m:t>
        </m:r>
        <m:r>
          <m:rPr>
            <m:sty m:val="p"/>
          </m:rPr>
          <m:t>=</m:t>
        </m:r>
        <m:sSup>
          <m:e>
            <m:d>
              <m:dPr>
                <m:begChr m:val="("/>
                <m:endChr m:val=")"/>
                <m:sepChr m:val=""/>
                <m:grow/>
              </m:dPr>
              <m:e>
                <m:sSub>
                  <m:e>
                    <m:r>
                      <m:t>m</m:t>
                    </m:r>
                  </m:e>
                  <m:sub>
                    <m:r>
                      <m:t>1</m:t>
                    </m:r>
                  </m:sub>
                </m:sSub>
                <m:r>
                  <m:rPr>
                    <m:sty m:val="p"/>
                  </m:rPr>
                  <m:t>,</m:t>
                </m:r>
                <m:sSub>
                  <m:e>
                    <m:r>
                      <m:t>m</m:t>
                    </m:r>
                  </m:e>
                  <m:sub>
                    <m:r>
                      <m:t>2</m:t>
                    </m:r>
                  </m:sub>
                </m:sSub>
                <m:r>
                  <m:rPr>
                    <m:sty m:val="p"/>
                  </m:rPr>
                  <m:t>,</m:t>
                </m:r>
                <m:r>
                  <m:rPr>
                    <m:sty m:val="p"/>
                  </m:rPr>
                  <m:t>…</m:t>
                </m:r>
                <m:r>
                  <m:rPr>
                    <m:sty m:val="p"/>
                  </m:rPr>
                  <m:t>,</m:t>
                </m:r>
                <m:sSub>
                  <m:e>
                    <m:r>
                      <m:t>m</m:t>
                    </m:r>
                  </m:e>
                  <m:sub>
                    <m:r>
                      <m:t>N</m:t>
                    </m:r>
                  </m:sub>
                </m:sSub>
              </m:e>
            </m:d>
          </m:e>
          <m:sup>
            <m:r>
              <m:t>T</m:t>
            </m:r>
          </m:sup>
        </m:sSup>
      </m:oMath>
    </w:p>
    <w:p>
      <w:pPr>
        <w:pStyle w:val="BodyText"/>
      </w:pPr>
      <m:oMath>
        <m:r>
          <m:t>P</m:t>
        </m:r>
        <m:r>
          <m:rPr>
            <m:sty m:val="p"/>
          </m:rPr>
          <m:t>=</m:t>
        </m:r>
        <m:sSup>
          <m:e>
            <m:d>
              <m:dPr>
                <m:begChr m:val="("/>
                <m:endChr m:val=")"/>
                <m:sepChr m:val=""/>
                <m:grow/>
              </m:dPr>
              <m:e>
                <m:r>
                  <m:t>P</m:t>
                </m:r>
                <m:d>
                  <m:dPr>
                    <m:begChr m:val="("/>
                    <m:endChr m:val=")"/>
                    <m:sepChr m:val=""/>
                    <m:grow/>
                  </m:dPr>
                  <m:e>
                    <m:sSub>
                      <m:e>
                        <m:r>
                          <m:t>u</m:t>
                        </m:r>
                      </m:e>
                      <m:sub>
                        <m:r>
                          <m:t>1</m:t>
                        </m:r>
                      </m:sub>
                    </m:sSub>
                  </m:e>
                </m:d>
                <m:r>
                  <m:rPr>
                    <m:sty m:val="p"/>
                  </m:rPr>
                  <m:t>,</m:t>
                </m:r>
                <m:r>
                  <m:t>P</m:t>
                </m:r>
                <m:d>
                  <m:dPr>
                    <m:begChr m:val="("/>
                    <m:endChr m:val=")"/>
                    <m:sepChr m:val=""/>
                    <m:grow/>
                  </m:dPr>
                  <m:e>
                    <m:sSub>
                      <m:e>
                        <m:r>
                          <m:t>u</m:t>
                        </m:r>
                      </m:e>
                      <m:sub>
                        <m:r>
                          <m:t>2</m:t>
                        </m:r>
                      </m:sub>
                    </m:sSub>
                  </m:e>
                </m:d>
                <m:r>
                  <m:rPr>
                    <m:sty m:val="p"/>
                  </m:rPr>
                  <m:t>,</m:t>
                </m:r>
                <m:r>
                  <m:rPr>
                    <m:sty m:val="p"/>
                  </m:rPr>
                  <m:t>…</m:t>
                </m:r>
                <m:r>
                  <m:rPr>
                    <m:sty m:val="p"/>
                  </m:rPr>
                  <m:t>,</m:t>
                </m:r>
                <m:r>
                  <m:t>P</m:t>
                </m:r>
                <m:d>
                  <m:dPr>
                    <m:begChr m:val="("/>
                    <m:endChr m:val=")"/>
                    <m:sepChr m:val=""/>
                    <m:grow/>
                  </m:dPr>
                  <m:e>
                    <m:sSub>
                      <m:e>
                        <m:r>
                          <m:t>u</m:t>
                        </m:r>
                      </m:e>
                      <m:sub>
                        <m:r>
                          <m:t>N</m:t>
                        </m:r>
                      </m:sub>
                    </m:sSub>
                  </m:e>
                </m:d>
              </m:e>
            </m:d>
          </m:e>
          <m:sup>
            <m:r>
              <m:t>T</m:t>
            </m:r>
          </m:sup>
        </m:sSup>
      </m:oMath>
    </w:p>
    <w:p>
      <w:pPr>
        <w:pStyle w:val="BodyText"/>
      </w:pPr>
      <m:oMath>
        <m:r>
          <m:t>µ</m:t>
        </m:r>
        <m:r>
          <m:rPr>
            <m:sty m:val="p"/>
          </m:rPr>
          <m:t>=</m:t>
        </m:r>
        <m:sSup>
          <m:e>
            <m:d>
              <m:dPr>
                <m:begChr m:val="("/>
                <m:endChr m:val=")"/>
                <m:sepChr m:val=""/>
                <m:grow/>
              </m:dPr>
              <m:e>
                <m:sSup>
                  <m:e>
                    <m:r>
                      <m:t>e</m:t>
                    </m:r>
                  </m:e>
                  <m:sup>
                    <m:r>
                      <m:rPr>
                        <m:sty m:val="p"/>
                      </m:rPr>
                      <m:t>−</m:t>
                    </m:r>
                    <m:r>
                      <m:t>U</m:t>
                    </m:r>
                    <m:r>
                      <m:t>F</m:t>
                    </m:r>
                    <m:r>
                      <m:t>R</m:t>
                    </m:r>
                    <m:r>
                      <m:rPr>
                        <m:sty m:val="p"/>
                      </m:rPr>
                      <m:t>∗</m:t>
                    </m:r>
                    <m:sSub>
                      <m:e>
                        <m:r>
                          <m:t>u</m:t>
                        </m:r>
                      </m:e>
                      <m:sub>
                        <m:r>
                          <m:t>1</m:t>
                        </m:r>
                      </m:sub>
                    </m:sSub>
                  </m:sup>
                </m:sSup>
                <m:r>
                  <m:rPr>
                    <m:sty m:val="p"/>
                  </m:rPr>
                  <m:t>,</m:t>
                </m:r>
                <m:sSup>
                  <m:e>
                    <m:r>
                      <m:t>e</m:t>
                    </m:r>
                  </m:e>
                  <m:sup>
                    <m:r>
                      <m:rPr>
                        <m:sty m:val="p"/>
                      </m:rPr>
                      <m:t>−</m:t>
                    </m:r>
                    <m:r>
                      <m:t>U</m:t>
                    </m:r>
                    <m:r>
                      <m:t>F</m:t>
                    </m:r>
                    <m:r>
                      <m:t>R</m:t>
                    </m:r>
                    <m:r>
                      <m:rPr>
                        <m:sty m:val="p"/>
                      </m:rPr>
                      <m:t>∗</m:t>
                    </m:r>
                    <m:sSub>
                      <m:e>
                        <m:r>
                          <m:t>u</m:t>
                        </m:r>
                      </m:e>
                      <m:sub>
                        <m:r>
                          <m:t>2</m:t>
                        </m:r>
                      </m:sub>
                    </m:sSub>
                  </m:sup>
                </m:sSup>
                <m:r>
                  <m:rPr>
                    <m:sty m:val="p"/>
                  </m:rPr>
                  <m:t>,</m:t>
                </m:r>
                <m:r>
                  <m:rPr>
                    <m:sty m:val="p"/>
                  </m:rPr>
                  <m:t>…</m:t>
                </m:r>
                <m:r>
                  <m:rPr>
                    <m:sty m:val="p"/>
                  </m:rPr>
                  <m:t>,</m:t>
                </m:r>
                <m:sSup>
                  <m:e>
                    <m:r>
                      <m:t>e</m:t>
                    </m:r>
                  </m:e>
                  <m:sup>
                    <m:r>
                      <m:rPr>
                        <m:sty m:val="p"/>
                      </m:rPr>
                      <m:t>−</m:t>
                    </m:r>
                    <m:r>
                      <m:t>U</m:t>
                    </m:r>
                    <m:r>
                      <m:t>F</m:t>
                    </m:r>
                    <m:r>
                      <m:t>R</m:t>
                    </m:r>
                    <m:r>
                      <m:rPr>
                        <m:sty m:val="p"/>
                      </m:rPr>
                      <m:t>*</m:t>
                    </m:r>
                    <m:sSub>
                      <m:e>
                        <m:r>
                          <m:t>u</m:t>
                        </m:r>
                      </m:e>
                      <m:sub>
                        <m:r>
                          <m:t>N</m:t>
                        </m:r>
                      </m:sub>
                    </m:sSub>
                  </m:sup>
                </m:sSup>
              </m:e>
            </m:d>
          </m:e>
          <m:sup>
            <m:r>
              <m:t>T</m:t>
            </m:r>
          </m:sup>
        </m:sSup>
      </m:oMath>
    </w:p>
    <w:p>
      <w:pPr>
        <w:pStyle w:val="BodyText"/>
      </w:pPr>
      <w:r>
        <w:t xml:space="preserve">$$</w:t>
      </w:r>
      <w:r>
        <w:t xml:space="preserve"> </w:t>
      </w:r>
      <w:r>
        <w:t xml:space="preserve">W =</w:t>
      </w:r>
    </w:p>
    <w:p>
      <w:pPr>
        <w:pStyle w:val="BodyText"/>
      </w:pPr>
      <m:oMathPara>
        <m:oMathParaPr>
          <m:jc m:val="center"/>
        </m:oMathParaPr>
        <m:oMath/>
      </m:oMathPara>
    </w:p>
    <w:p>
      <w:pPr>
        <w:pStyle w:val="FirstParagraph"/>
      </w:pPr>
      <w:r>
        <w:t xml:space="preserve">W{ij} = W (u_i, u_j) : i = 1 ,</w:t>
      </w:r>
      <w:r>
        <w:t xml:space="preserve">, N ;et ;j = 1 . . . N</w:t>
      </w:r>
      <w:r>
        <w:t xml:space="preserve"> </w:t>
      </w:r>
      <w:r>
        <w:t xml:space="preserve">$$</w:t>
      </w:r>
    </w:p>
    <w:p>
      <w:pPr>
        <w:pStyle w:val="BodyText"/>
      </w:pPr>
      <w:r>
        <w:t xml:space="preserve">Aprés la détermination des inconnus, on passe au calcul des prix zéro-coupon correspondants aux maturités pleines, et finalemet deduire les taux zéro-coupon correspondants à ces maturités par la relation suivante :</w:t>
      </w:r>
    </w:p>
    <w:p>
      <w:pPr>
        <w:pStyle w:val="BodyText"/>
      </w:pPr>
      <m:oMathPara>
        <m:oMathParaPr>
          <m:jc m:val="center"/>
        </m:oMathParaPr>
        <m:oMath>
          <m:r>
            <m:t>R</m:t>
          </m:r>
          <m:d>
            <m:dPr>
              <m:begChr m:val="("/>
              <m:endChr m:val=")"/>
              <m:sepChr m:val=""/>
              <m:grow/>
            </m:dPr>
            <m:e>
              <m:r>
                <m:t>t</m:t>
              </m:r>
            </m:e>
          </m:d>
          <m:r>
            <m:rPr>
              <m:sty m:val="p"/>
            </m:rPr>
            <m:t>=</m:t>
          </m:r>
          <m:sSup>
            <m:e>
              <m:d>
                <m:dPr>
                  <m:begChr m:val="("/>
                  <m:endChr m:val=")"/>
                  <m:sepChr m:val=""/>
                  <m:grow/>
                </m:dPr>
                <m:e>
                  <m:f>
                    <m:fPr>
                      <m:type m:val="bar"/>
                    </m:fPr>
                    <m:num>
                      <m:r>
                        <m:t>1</m:t>
                      </m:r>
                    </m:num>
                    <m:den>
                      <m:r>
                        <m:t>P</m:t>
                      </m:r>
                      <m:d>
                        <m:dPr>
                          <m:begChr m:val="("/>
                          <m:endChr m:val=")"/>
                          <m:sepChr m:val=""/>
                          <m:grow/>
                        </m:dPr>
                        <m:e>
                          <m:r>
                            <m:t>t</m:t>
                          </m:r>
                        </m:e>
                      </m:d>
                    </m:den>
                  </m:f>
                </m:e>
              </m:d>
            </m:e>
            <m:sup>
              <m:f>
                <m:fPr>
                  <m:type m:val="bar"/>
                </m:fPr>
                <m:num>
                  <m:r>
                    <m:t>1</m:t>
                  </m:r>
                </m:num>
                <m:den>
                  <m:r>
                    <m:t>t</m:t>
                  </m:r>
                </m:den>
              </m:f>
            </m:sup>
          </m:sSup>
          <m:r>
            <m:rPr>
              <m:sty m:val="p"/>
            </m:rPr>
            <m:t>−</m:t>
          </m:r>
          <m:r>
            <m:t>1</m:t>
          </m:r>
        </m:oMath>
      </m:oMathPara>
    </w:p>
    <w:bookmarkEnd w:id="64"/>
    <w:bookmarkEnd w:id="65"/>
    <w:bookmarkStart w:id="117" w:name="X3c86a714d03aed139a19db084b97b445aa0c8e4"/>
    <w:p>
      <w:pPr>
        <w:pStyle w:val="Heading2"/>
      </w:pPr>
      <w:r>
        <w:t xml:space="preserve">6 Valorisation des provisions techniques prudentielles</w:t>
      </w:r>
    </w:p>
    <w:p>
      <w:pPr>
        <w:pStyle w:val="FirstParagraph"/>
      </w:pPr>
      <w:r>
        <w:t xml:space="preserve">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pPr>
        <w:pStyle w:val="BodyText"/>
      </w:pPr>
      <w:r>
        <w:t xml:space="preserve">Elles sont évaluées comme suit :</w:t>
      </w:r>
    </w:p>
    <w:p>
      <w:pPr>
        <w:pStyle w:val="BodyText"/>
      </w:pPr>
      <m:oMathPara>
        <m:oMathParaPr>
          <m:jc m:val="center"/>
        </m:oMathParaPr>
        <m:oMath>
          <m:r>
            <m:t>P</m:t>
          </m:r>
          <m:r>
            <m:t>T</m:t>
          </m:r>
          <m:r>
            <m:rPr>
              <m:sty m:val="p"/>
            </m:rPr>
            <m:t>=</m:t>
          </m:r>
          <m:r>
            <m:t>B</m:t>
          </m:r>
          <m:sSub>
            <m:e>
              <m:r>
                <m:t>E</m:t>
              </m:r>
            </m:e>
            <m:sub>
              <m:r>
                <m:t>e</m:t>
              </m:r>
              <m:r>
                <m:t>n</m:t>
              </m:r>
              <m:r>
                <m:t>g</m:t>
              </m:r>
              <m:r>
                <m:t>a</m:t>
              </m:r>
              <m:r>
                <m:t>g</m:t>
              </m:r>
              <m:r>
                <m:t>e</m:t>
              </m:r>
              <m:r>
                <m:t>m</m:t>
              </m:r>
              <m:r>
                <m:t>e</m:t>
              </m:r>
              <m:r>
                <m:t>n</m:t>
              </m:r>
              <m:r>
                <m:t>t</m:t>
              </m:r>
            </m:sub>
          </m:sSub>
          <m:r>
            <m:rPr>
              <m:sty m:val="p"/>
            </m:rPr>
            <m:t>+</m:t>
          </m:r>
          <m:r>
            <m:t>B</m:t>
          </m:r>
          <m:sSub>
            <m:e>
              <m:r>
                <m:t>E</m:t>
              </m:r>
            </m:e>
            <m:sub>
              <m:r>
                <m:t>f</m:t>
              </m:r>
              <m:r>
                <m:t>r</m:t>
              </m:r>
              <m:r>
                <m:t>a</m:t>
              </m:r>
              <m:r>
                <m:t>i</m:t>
              </m:r>
              <m:r>
                <m:t>s</m:t>
              </m:r>
              <m:r>
                <m:t>G</m:t>
              </m:r>
              <m:r>
                <m:t>e</m:t>
              </m:r>
              <m:r>
                <m:t>s</m:t>
              </m:r>
              <m:r>
                <m:t>t</m:t>
              </m:r>
              <m:r>
                <m:t>i</m:t>
              </m:r>
              <m:r>
                <m:t>o</m:t>
              </m:r>
              <m:r>
                <m:t>n</m:t>
              </m:r>
            </m:sub>
          </m:sSub>
          <m:r>
            <m:rPr>
              <m:sty m:val="p"/>
            </m:rPr>
            <m:t>+</m:t>
          </m:r>
          <m:r>
            <m:t>M</m:t>
          </m:r>
          <m:r>
            <m:t>a</m:t>
          </m:r>
          <m:r>
            <m:t>r</m:t>
          </m:r>
          <m:r>
            <m:t>g</m:t>
          </m:r>
          <m:r>
            <m:t>e</m:t>
          </m:r>
          <m:r>
            <m:t>R</m:t>
          </m:r>
          <m:r>
            <m:t>i</m:t>
          </m:r>
          <m:r>
            <m:t>s</m:t>
          </m:r>
          <m:r>
            <m:t>q</m:t>
          </m:r>
          <m:r>
            <m:t>u</m:t>
          </m:r>
          <m:r>
            <m:t>e</m:t>
          </m:r>
        </m:oMath>
      </m:oMathPara>
    </w:p>
    <w:p>
      <w:pPr>
        <w:pStyle w:val="FirstParagraph"/>
      </w:pPr>
      <w:r>
        <w:t xml:space="preserve">Avec :</w:t>
      </w:r>
    </w:p>
    <w:p>
      <w:pPr>
        <w:numPr>
          <w:ilvl w:val="0"/>
          <w:numId w:val="1013"/>
        </w:numPr>
      </w:pPr>
      <m:oMath>
        <m:r>
          <m:t>P</m:t>
        </m:r>
        <m:r>
          <m:t>T</m:t>
        </m:r>
      </m:oMath>
      <w:r>
        <w:t xml:space="preserve"> </w:t>
      </w:r>
      <w:r>
        <w:t xml:space="preserve">: la provision technique</w:t>
      </w:r>
    </w:p>
    <w:p>
      <w:pPr>
        <w:numPr>
          <w:ilvl w:val="0"/>
          <w:numId w:val="1013"/>
        </w:numPr>
      </w:pPr>
      <m:oMath>
        <m:r>
          <m:t>B</m:t>
        </m:r>
        <m:sSub>
          <m:e>
            <m:r>
              <m:t>E</m:t>
            </m:r>
          </m:e>
          <m:sub>
            <m:r>
              <m:t>e</m:t>
            </m:r>
            <m:r>
              <m:t>n</m:t>
            </m:r>
            <m:r>
              <m:t>g</m:t>
            </m:r>
            <m:r>
              <m:t>a</m:t>
            </m:r>
            <m:r>
              <m:t>g</m:t>
            </m:r>
            <m:r>
              <m:t>e</m:t>
            </m:r>
            <m:r>
              <m:t>m</m:t>
            </m:r>
            <m:r>
              <m:t>e</m:t>
            </m:r>
            <m:r>
              <m:t>n</m:t>
            </m:r>
            <m:r>
              <m:t>t</m:t>
            </m:r>
          </m:sub>
        </m:sSub>
      </m:oMath>
      <w:r>
        <w:t xml:space="preserve"> </w:t>
      </w:r>
      <w:r>
        <w:t xml:space="preserve">: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p>
    <w:p>
      <w:pPr>
        <w:numPr>
          <w:ilvl w:val="0"/>
          <w:numId w:val="1013"/>
        </w:numPr>
      </w:pPr>
      <m:oMath>
        <m:r>
          <m:t>B</m:t>
        </m:r>
        <m:sSub>
          <m:e>
            <m:r>
              <m:t>E</m:t>
            </m:r>
          </m:e>
          <m:sub>
            <m:r>
              <m:t>f</m:t>
            </m:r>
            <m:r>
              <m:t>r</m:t>
            </m:r>
            <m:r>
              <m:t>a</m:t>
            </m:r>
            <m:r>
              <m:t>i</m:t>
            </m:r>
            <m:r>
              <m:t>s</m:t>
            </m:r>
            <m:r>
              <m:t>G</m:t>
            </m:r>
            <m:r>
              <m:t>e</m:t>
            </m:r>
            <m:r>
              <m:t>s</m:t>
            </m:r>
            <m:r>
              <m:t>t</m:t>
            </m:r>
            <m:r>
              <m:t>i</m:t>
            </m:r>
            <m:r>
              <m:t>o</m:t>
            </m:r>
            <m:r>
              <m:t>n</m:t>
            </m:r>
          </m:sub>
        </m:sSub>
      </m:oMath>
      <w:r>
        <w:t xml:space="preserve"> </w:t>
      </w:r>
      <w:r>
        <w:t xml:space="preserve">: La meilleure estimation des frais de gestion correspond à la somme probabilisée et actualisée des flux de frais de gestion des contrats et déterminée, selon la nature des opérations d’assurance.</w:t>
      </w:r>
    </w:p>
    <w:p>
      <w:pPr>
        <w:numPr>
          <w:ilvl w:val="0"/>
          <w:numId w:val="1013"/>
        </w:numPr>
      </w:pPr>
      <m:oMath>
        <m:r>
          <m:t>M</m:t>
        </m:r>
        <m:r>
          <m:t>a</m:t>
        </m:r>
        <m:r>
          <m:t>r</m:t>
        </m:r>
        <m:r>
          <m:t>g</m:t>
        </m:r>
        <m:r>
          <m:t>e</m:t>
        </m:r>
        <m:r>
          <m:t>R</m:t>
        </m:r>
        <m:r>
          <m:t>i</m:t>
        </m:r>
        <m:r>
          <m:t>s</m:t>
        </m:r>
        <m:r>
          <m:t>q</m:t>
        </m:r>
        <m:r>
          <m:t>u</m:t>
        </m:r>
        <m:r>
          <m:t>e</m:t>
        </m:r>
      </m:oMath>
      <w:r>
        <w:t xml:space="preserve"> </w:t>
      </w:r>
      <w:r>
        <w:t xml:space="preserve">: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bookmarkStart w:id="75" w:name="X32462c7e3a0a11848884f7548d4747bc280232c"/>
    <w:p>
      <w:pPr>
        <w:pStyle w:val="Heading3"/>
      </w:pPr>
      <w:r>
        <w:t xml:space="preserve">6.1 Opérations d’assurance vie, décès ou capitalisation:</w:t>
      </w:r>
    </w:p>
    <w:bookmarkStart w:id="73" w:name="Xc53c51e1abf3296dd0041db77db5363caf8f222"/>
    <w:p>
      <w:pPr>
        <w:pStyle w:val="Heading4"/>
      </w:pPr>
      <w:r>
        <w:t xml:space="preserve">6.1.1 Meilleure estimations des engagements (</w:t>
      </w:r>
      <m:oMath>
        <m:r>
          <m:t>B</m:t>
        </m:r>
        <m:sSub>
          <m:e>
            <m:r>
              <m:t>E</m:t>
            </m:r>
          </m:e>
          <m:sub>
            <m:r>
              <m:t>e</m:t>
            </m:r>
            <m:r>
              <m:t>n</m:t>
            </m:r>
            <m:r>
              <m:t>g</m:t>
            </m:r>
            <m:r>
              <m:t>a</m:t>
            </m:r>
            <m:r>
              <m:t>g</m:t>
            </m:r>
            <m:r>
              <m:t>e</m:t>
            </m:r>
            <m:r>
              <m:t>m</m:t>
            </m:r>
            <m:r>
              <m:t>e</m:t>
            </m:r>
            <m:r>
              <m:t>n</m:t>
            </m:r>
            <m:r>
              <m:t>t</m:t>
            </m:r>
          </m:sub>
        </m:sSub>
      </m:oMath>
      <w:r>
        <w:t xml:space="preserve">):</w:t>
      </w:r>
    </w:p>
    <w:p>
      <w:pPr>
        <w:pStyle w:val="FirstParagraph"/>
      </w:pPr>
      <w:r>
        <w:t xml:space="preserve">Pour les opérations d’assurance vie, décès ou de capitalisation hors unités de compte, la meilleure estimation des engagements comprend la meilleure estimation des garanties probabilisées et les bénéfices discrétionnaires futurs.</w:t>
      </w:r>
    </w:p>
    <w:p>
      <w:pPr>
        <w:pStyle w:val="BodyText"/>
      </w:pPr>
      <m:oMathPara>
        <m:oMathParaPr>
          <m:jc m:val="center"/>
        </m:oMathParaPr>
        <m:oMath>
          <m:sSub>
            <m:e>
              <m:r>
                <m:t>​</m:t>
              </m:r>
            </m:e>
            <m:sub>
              <m:r>
                <m:t>v</m:t>
              </m:r>
              <m:r>
                <m:t>i</m:t>
              </m:r>
              <m:r>
                <m:t>e</m:t>
              </m:r>
            </m:sub>
          </m:sSub>
          <m:r>
            <m:t>B</m:t>
          </m:r>
          <m:sSup>
            <m:e>
              <m:r>
                <m:t>E</m:t>
              </m:r>
            </m:e>
            <m:sup>
              <m:r>
                <m:t>e</m:t>
              </m:r>
              <m:r>
                <m:t>n</m:t>
              </m:r>
              <m:r>
                <m:t>g</m:t>
              </m:r>
              <m:r>
                <m:t>a</m:t>
              </m:r>
              <m:r>
                <m:t>g</m:t>
              </m:r>
              <m:r>
                <m:t>e</m:t>
              </m:r>
              <m:r>
                <m:t>m</m:t>
              </m:r>
              <m:r>
                <m:t>e</m:t>
              </m:r>
              <m:r>
                <m:t>n</m:t>
              </m:r>
              <m:r>
                <m:t>t</m:t>
              </m:r>
            </m:sup>
          </m:sSup>
          <m:r>
            <m:rPr>
              <m:sty m:val="p"/>
            </m:rPr>
            <m:t>=</m:t>
          </m:r>
          <m:r>
            <m:t>B</m:t>
          </m:r>
          <m:sSubSup>
            <m:e>
              <m:r>
                <m:t>E</m:t>
              </m:r>
            </m:e>
            <m:sub>
              <m:r>
                <m:t>g</m:t>
              </m:r>
              <m:r>
                <m:t>a</m:t>
              </m:r>
              <m:r>
                <m:t>r</m:t>
              </m:r>
              <m:r>
                <m:t>a</m:t>
              </m:r>
              <m:r>
                <m:t>n</m:t>
              </m:r>
              <m:r>
                <m:t>t</m:t>
              </m:r>
              <m:r>
                <m:t>i</m:t>
              </m:r>
              <m:r>
                <m:t>e</m:t>
              </m:r>
            </m:sub>
            <m:sup>
              <m:r>
                <m:t>p</m:t>
              </m:r>
              <m:r>
                <m:t>r</m:t>
              </m:r>
              <m:r>
                <m:t>o</m:t>
              </m:r>
              <m:r>
                <m:t>b</m:t>
              </m:r>
            </m:sup>
          </m:sSubSup>
          <m:r>
            <m:rPr>
              <m:sty m:val="p"/>
            </m:rPr>
            <m:t>+</m:t>
          </m:r>
          <m:r>
            <m:t>B</m:t>
          </m:r>
          <m:r>
            <m:t>D</m:t>
          </m:r>
          <m:r>
            <m:t>F</m:t>
          </m:r>
        </m:oMath>
      </m:oMathPara>
    </w:p>
    <w:p>
      <w:pPr>
        <w:pStyle w:val="FirstParagraph"/>
      </w:pPr>
      <w:r>
        <w:t xml:space="preserve">Avec :</w:t>
      </w:r>
    </w:p>
    <w:p>
      <w:pPr>
        <w:numPr>
          <w:ilvl w:val="0"/>
          <w:numId w:val="1014"/>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la meilleure estimation des garanties probabilisées.</w:t>
      </w:r>
    </w:p>
    <w:p>
      <w:pPr>
        <w:numPr>
          <w:ilvl w:val="0"/>
          <w:numId w:val="1014"/>
        </w:numPr>
        <w:pStyle w:val="Compact"/>
      </w:pPr>
      <m:oMath>
        <m:r>
          <m:t>B</m:t>
        </m:r>
        <m:r>
          <m:t>D</m:t>
        </m:r>
        <m:r>
          <m:t>F</m:t>
        </m:r>
      </m:oMath>
      <w:r>
        <w:t xml:space="preserve">: les bénéfices discrétionnaires futurs.</w:t>
      </w:r>
    </w:p>
    <w:bookmarkStart w:id="71" w:name="sec-MEGP"/>
    <w:p>
      <w:pPr>
        <w:pStyle w:val="Heading5"/>
      </w:pPr>
      <w:r>
        <w:t xml:space="preserve">6.1.1.1 Meilleure estimation des garanties probabilisées:</w:t>
      </w:r>
    </w:p>
    <w:p>
      <w:pPr>
        <w:pStyle w:val="FirstParagraph"/>
      </w:pPr>
      <w:r>
        <w:t xml:space="preserve">La meilleure estimation des garanties probabilisées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pPr>
        <w:pStyle w:val="BodyText"/>
      </w:pPr>
      <m:oMathPara>
        <m:oMathParaPr>
          <m:jc m:val="center"/>
        </m:oMathParaPr>
        <m:oMath>
          <m:r>
            <m:t>B</m:t>
          </m:r>
          <m:sSubSup>
            <m:e>
              <m:r>
                <m:t>E</m:t>
              </m:r>
            </m:e>
            <m:sub>
              <m:r>
                <m:t>g</m:t>
              </m:r>
              <m:r>
                <m:t>a</m:t>
              </m:r>
              <m:r>
                <m:t>r</m:t>
              </m:r>
              <m:r>
                <m:t>a</m:t>
              </m:r>
              <m:r>
                <m:t>n</m:t>
              </m:r>
              <m:r>
                <m:t>t</m:t>
              </m:r>
              <m:r>
                <m:t>i</m:t>
              </m:r>
              <m:r>
                <m:t>e</m:t>
              </m:r>
            </m:sub>
            <m:sup>
              <m:r>
                <m:t>p</m:t>
              </m:r>
              <m:r>
                <m:t>r</m:t>
              </m:r>
              <m:r>
                <m:t>o</m:t>
              </m:r>
              <m:r>
                <m:t>b</m:t>
              </m:r>
            </m:sup>
          </m:sSubSup>
          <m:r>
            <m:rPr>
              <m:sty m:val="p"/>
            </m:rPr>
            <m:t>=</m:t>
          </m:r>
          <m:nary>
            <m:naryPr>
              <m:chr m:val="∑"/>
              <m:limLoc m:val="undOvr"/>
              <m:subHide m:val="0"/>
              <m:supHide m:val="0"/>
            </m:naryPr>
            <m:sub>
              <m:r>
                <m:t>t</m:t>
              </m:r>
              <m:r>
                <m:rPr>
                  <m:sty m:val="p"/>
                </m:rPr>
                <m:t>=</m:t>
              </m:r>
              <m:r>
                <m:t>0</m:t>
              </m:r>
            </m:sub>
            <m:sup>
              <m:r>
                <m:t>t</m:t>
              </m:r>
              <m:r>
                <m:rPr>
                  <m:sty m:val="p"/>
                </m:rPr>
                <m:t>=</m:t>
              </m:r>
              <m:r>
                <m:t>N</m:t>
              </m:r>
            </m:sup>
            <m:e>
              <m:f>
                <m:fPr>
                  <m:type m:val="bar"/>
                </m:fPr>
                <m:num>
                  <m:d>
                    <m:dPr>
                      <m:begChr m:val="("/>
                      <m:endChr m:val=")"/>
                      <m:sepChr m:val=""/>
                      <m:grow/>
                    </m:dPr>
                    <m:e>
                      <m:r>
                        <m:t>C</m:t>
                      </m:r>
                      <m:sSubSup>
                        <m:e>
                          <m:r>
                            <m:t>F</m:t>
                          </m:r>
                        </m:e>
                        <m:sub>
                          <m:r>
                            <m:t>t</m:t>
                          </m:r>
                        </m:sub>
                        <m:sup>
                          <m:r>
                            <m:t>D</m:t>
                          </m:r>
                          <m:r>
                            <m:t>e</m:t>
                          </m:r>
                          <m:r>
                            <m:t>c</m:t>
                          </m:r>
                        </m:sup>
                      </m:sSubSup>
                      <m:r>
                        <m:rPr>
                          <m:sty m:val="p"/>
                        </m:rPr>
                        <m:t>−</m:t>
                      </m:r>
                      <m:r>
                        <m:t>C</m:t>
                      </m:r>
                      <m:sSubSup>
                        <m:e>
                          <m:r>
                            <m:t>F</m:t>
                          </m:r>
                        </m:e>
                        <m:sub>
                          <m:r>
                            <m:t>t</m:t>
                          </m:r>
                        </m:sub>
                        <m:sup>
                          <m:r>
                            <m:t>E</m:t>
                          </m:r>
                          <m:r>
                            <m:t>n</m:t>
                          </m:r>
                          <m:r>
                            <m:t>c</m:t>
                          </m:r>
                        </m:sup>
                      </m:sSubSup>
                    </m:e>
                  </m:d>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 :</w:t>
      </w:r>
    </w:p>
    <w:p>
      <w:pPr>
        <w:numPr>
          <w:ilvl w:val="0"/>
          <w:numId w:val="1015"/>
        </w:numPr>
      </w:pPr>
      <m:oMath>
        <m:r>
          <m:t>C</m:t>
        </m:r>
        <m:sSubSup>
          <m:e>
            <m:r>
              <m:t>F</m:t>
            </m:r>
          </m:e>
          <m:sub>
            <m:r>
              <m:t>t</m:t>
            </m:r>
          </m:sub>
          <m:sup>
            <m:r>
              <m:t>E</m:t>
            </m:r>
            <m:r>
              <m:t>n</m:t>
            </m:r>
            <m:r>
              <m:t>c</m:t>
            </m:r>
          </m:sup>
        </m:sSubSup>
      </m:oMath>
      <w:r>
        <w:t xml:space="preserve">: Les encaissements à la date</w:t>
      </w:r>
      <w:r>
        <w:t xml:space="preserve"> </w:t>
      </w:r>
      <m:oMath>
        <m:r>
          <m:t>t</m:t>
        </m:r>
      </m:oMath>
      <w:r>
        <w:t xml:space="preserve"> </w:t>
      </w:r>
      <w:r>
        <w:t xml:space="preserve">qui correspondent aux engagements des assurés.</w:t>
      </w:r>
    </w:p>
    <w:p>
      <w:pPr>
        <w:numPr>
          <w:ilvl w:val="0"/>
          <w:numId w:val="1015"/>
        </w:numPr>
      </w:pPr>
      <m:oMath>
        <m:r>
          <m:t>C</m:t>
        </m:r>
        <m:sSubSup>
          <m:e>
            <m:r>
              <m:t>F</m:t>
            </m:r>
          </m:e>
          <m:sub>
            <m:r>
              <m:t>t</m:t>
            </m:r>
          </m:sub>
          <m:sup>
            <m:r>
              <m:t>D</m:t>
            </m:r>
            <m:r>
              <m:t>é</m:t>
            </m:r>
            <m:r>
              <m:t>c</m:t>
            </m:r>
          </m:sup>
        </m:sSubSup>
      </m:oMath>
      <w:r>
        <w:t xml:space="preserve">: Les décaissements à la date</w:t>
      </w:r>
      <w:r>
        <w:t xml:space="preserve"> </w:t>
      </w:r>
      <m:oMath>
        <m:r>
          <m:t>t</m:t>
        </m:r>
      </m:oMath>
      <w:r>
        <w:t xml:space="preserve">. qui correspondent aux règlements de toutes prestations garanties au titre des contrats, y compris les rachats. Ils sont déterminés en tenant compte des engagements contractuels et en utilisant, le cas échéant, les bases techniques suivantes :</w:t>
      </w:r>
    </w:p>
    <w:p>
      <w:pPr>
        <w:numPr>
          <w:ilvl w:val="0"/>
          <w:numId w:val="1015"/>
        </w:numPr>
      </w:pPr>
      <w:r>
        <w:rPr>
          <w:bCs/>
          <w:b/>
        </w:rPr>
        <w:t xml:space="preserve">La table de mortalité</w:t>
      </w:r>
      <w:r>
        <w:t xml:space="preserve">: La table de mortalité TV 88-90 pour les assurances en cas de vie ou la table de mortalité TD 88-90 pour les assurances en cas de décès (prévues à l’annexe), auxquelles l’entreprise d’assurances et de réassurance peut substituer une table de mortalité d’expérience, matérialisant la mortalité propre à la population de ses assurés et ce, après accord de l’Autorité ;</w:t>
      </w:r>
    </w:p>
    <w:p>
      <w:pPr>
        <w:numPr>
          <w:ilvl w:val="0"/>
          <w:numId w:val="1015"/>
        </w:numPr>
      </w:pPr>
      <w:r>
        <w:rPr>
          <w:bCs/>
          <w:b/>
        </w:rPr>
        <w:t xml:space="preserve">La table de rachat en montant</w:t>
      </w:r>
      <w:r>
        <w:t xml:space="preserve">.</w:t>
      </w:r>
    </w:p>
    <w:p>
      <w:pPr>
        <w:numPr>
          <w:ilvl w:val="0"/>
          <w:numId w:val="1015"/>
        </w:numPr>
      </w:pPr>
      <w:r>
        <w:rPr>
          <w:bCs/>
          <w:b/>
        </w:rPr>
        <w:t xml:space="preserve">La table de résiliation</w:t>
      </w:r>
      <w:r>
        <w:t xml:space="preserve">.</w:t>
      </w:r>
    </w:p>
    <w:p>
      <w:pPr>
        <w:numPr>
          <w:ilvl w:val="0"/>
          <w:numId w:val="1015"/>
        </w:numPr>
      </w:pPr>
      <w:r>
        <w:rPr>
          <w:bCs/>
          <w:b/>
        </w:rPr>
        <w:t xml:space="preserve">Un taux de sortie en rente</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1\RStudio\RESOUR~1\app\bin\quarto\share\formats\docx\tip.png" id="67"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Les flux de trésorerie futurs probabilisés précités sont déterminés en considérant un horizon de projection suffisant pour la couverture de l’ensemble de la durée de vie des engagements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C:\PROGRA~1\RStudio\RESOUR~1\app\bin\quarto\share\formats\docx\tip.png" id="6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Exemple</w:t>
            </w:r>
          </w:p>
        </w:tc>
      </w:tr>
      <w:tr>
        <w:trPr>
          <w:cantSplit/>
        </w:trPr>
        <w:tc>
          <w:tcPr>
            <w:tcMar>
              <w:top w:w="108" w:type="dxa"/>
              <w:bottom w:w="108" w:type="dxa"/>
            </w:tcMar>
          </w:tcPr>
          <w:p>
            <w:pPr>
              <w:pStyle w:val="BodyText"/>
            </w:pPr>
            <w:pPr>
              <w:spacing w:before="16" w:after="16"/>
            </w:pPr>
            <w:r>
              <w:t xml:space="preserve">Si on prend l’exemple d’un contrat d’assurance-vie mixte</w:t>
            </w:r>
            <w:r>
              <w:rPr>
                <w:rStyle w:val="FootnoteReference"/>
              </w:rPr>
              <w:footnoteReference w:id="70"/>
            </w:r>
            <w:r>
              <w:t xml:space="preserve"> </w:t>
            </w:r>
            <w:r>
              <w:t xml:space="preserve">de capital en cas de vie égale au capital en cas de décès</w:t>
            </w:r>
            <w:r>
              <w:t xml:space="preserve"> </w:t>
            </w:r>
            <m:oMath>
              <m:r>
                <m:t>K</m:t>
              </m:r>
            </m:oMath>
            <w:r>
              <w:t xml:space="preserve">.</w:t>
            </w:r>
            <w:r>
              <w:t xml:space="preserve"> </w:t>
            </w:r>
            <w:r>
              <w:t xml:space="preserve">Soit</w:t>
            </w:r>
            <w:r>
              <w:t xml:space="preserve"> </w:t>
            </w:r>
            <m:oMath>
              <m:sSub>
                <m:e>
                  <m:r>
                    <m:t>q</m:t>
                  </m:r>
                </m:e>
                <m:sub>
                  <m:r>
                    <m:t>x</m:t>
                  </m:r>
                  <m:r>
                    <m:rPr>
                      <m:sty m:val="p"/>
                    </m:rPr>
                    <m:t>+</m:t>
                  </m:r>
                  <m:r>
                    <m:t>t</m:t>
                  </m:r>
                </m:sub>
              </m:sSub>
            </m:oMath>
            <w:r>
              <w:t xml:space="preserve"> </w:t>
            </w:r>
            <w:r>
              <w:t xml:space="preserve">la probabilité qu’un individu d’âge</w:t>
            </w:r>
            <w:r>
              <w:t xml:space="preserve"> </w:t>
            </w:r>
            <m:oMath>
              <m:r>
                <m:t>x</m:t>
              </m:r>
            </m:oMath>
            <w:r>
              <w:t xml:space="preserve"> </w:t>
            </w:r>
            <w:r>
              <w:t xml:space="preserve">lors de la souscription décéde entre</w:t>
            </w:r>
            <w:r>
              <w:t xml:space="preserve"> </w:t>
            </w:r>
            <m:oMath>
              <m:r>
                <m:t>x</m:t>
              </m:r>
              <m:r>
                <m:rPr>
                  <m:sty m:val="p"/>
                </m:rPr>
                <m:t>+</m:t>
              </m:r>
              <m:r>
                <m:t>t</m:t>
              </m:r>
            </m:oMath>
            <w:r>
              <w:t xml:space="preserve"> </w:t>
            </w:r>
            <w:r>
              <w:t xml:space="preserve">et</w:t>
            </w:r>
            <w:r>
              <w:t xml:space="preserve"> </w:t>
            </w:r>
            <m:oMath>
              <m:r>
                <m:t>x</m:t>
              </m:r>
              <m:r>
                <m:rPr>
                  <m:sty m:val="p"/>
                </m:rPr>
                <m:t>+</m:t>
              </m:r>
              <m:r>
                <m:t>t</m:t>
              </m:r>
              <m:r>
                <m:rPr>
                  <m:sty m:val="p"/>
                </m:rPr>
                <m:t>+</m:t>
              </m:r>
              <m:r>
                <m:t>1</m:t>
              </m:r>
            </m:oMath>
            <w:r>
              <w:t xml:space="preserve">. On note</w:t>
            </w:r>
            <w:r>
              <w:t xml:space="preserve"> </w:t>
            </w:r>
            <m:oMath>
              <m:r>
                <m:t>N</m:t>
              </m:r>
              <m:r>
                <m:t>b</m:t>
              </m:r>
              <m:r>
                <m:t>P</m:t>
              </m:r>
              <m:r>
                <m:t>o</m:t>
              </m:r>
              <m:r>
                <m:t>l</m:t>
              </m:r>
              <m:r>
                <m:t>i</m:t>
              </m:r>
              <m:r>
                <m:t>c</m:t>
              </m:r>
              <m:sSub>
                <m:e>
                  <m:r>
                    <m:t>e</m:t>
                  </m:r>
                </m:e>
                <m:sub>
                  <m:r>
                    <m:t>t</m:t>
                  </m:r>
                </m:sub>
              </m:sSub>
            </m:oMath>
            <w:r>
              <w:t xml:space="preserve"> </w:t>
            </w:r>
            <w:r>
              <w:t xml:space="preserve">le nombre de police en début de période</w:t>
            </w:r>
            <w:r>
              <w:t xml:space="preserve"> </w:t>
            </w:r>
            <m:oMath>
              <m:r>
                <m:t>t</m:t>
              </m:r>
            </m:oMath>
            <w:r>
              <w:t xml:space="preserve"> </w:t>
            </w:r>
            <w:r>
              <w:t xml:space="preserve">et</w:t>
            </w:r>
            <w:r>
              <w:t xml:space="preserve"> </w:t>
            </w:r>
            <m:oMath>
              <m:sSub>
                <m:e>
                  <m:r>
                    <m:t>r</m:t>
                  </m:r>
                </m:e>
                <m:sub>
                  <m:r>
                    <m:t>s</m:t>
                  </m:r>
                </m:sub>
              </m:sSub>
            </m:oMath>
            <w:r>
              <w:t xml:space="preserve"> </w:t>
            </w:r>
            <w:r>
              <w:t xml:space="preserve">le taux ZC.</w:t>
            </w:r>
            <w:r>
              <w:t xml:space="preserve"> </w:t>
            </w:r>
            <w:r>
              <w:t xml:space="preserve">La prestation correspondante à ce contrat en date t :</w:t>
            </w:r>
          </w:p>
          <w:p>
            <w:pPr>
              <w:pStyle w:val="BodyText"/>
            </w:pPr>
            <m:oMathPara>
              <m:oMathParaPr>
                <m:jc m:val="center"/>
              </m:oMathParaPr>
              <m:oMath>
                <m:sSub>
                  <m:e>
                    <m:r>
                      <m:t>​</m:t>
                    </m:r>
                  </m:e>
                  <m:sub>
                    <m:r>
                      <m:t>d</m:t>
                    </m:r>
                    <m:r>
                      <m:t>é</m:t>
                    </m:r>
                    <m:r>
                      <m:t>c</m:t>
                    </m:r>
                    <m:r>
                      <m:t>è</m:t>
                    </m:r>
                    <m:r>
                      <m:t>s</m:t>
                    </m:r>
                  </m:sub>
                </m:sSub>
                <m:r>
                  <m:t>C</m:t>
                </m:r>
                <m:sSubSup>
                  <m:e>
                    <m:r>
                      <m:t>F</m:t>
                    </m:r>
                  </m:e>
                  <m:sub>
                    <m:r>
                      <m:t>t</m:t>
                    </m:r>
                  </m:sub>
                  <m:sup>
                    <m:r>
                      <m:t>D</m:t>
                    </m:r>
                    <m:r>
                      <m:t>é</m:t>
                    </m:r>
                    <m:r>
                      <m:t>c</m:t>
                    </m:r>
                  </m:sup>
                </m:sSubSup>
                <m:r>
                  <m:rPr>
                    <m:sty m:val="p"/>
                  </m:rPr>
                  <m:t>=</m:t>
                </m:r>
                <m:r>
                  <m:t>K</m:t>
                </m:r>
                <m:r>
                  <m:rPr>
                    <m:sty m:val="p"/>
                  </m:rPr>
                  <m:t>×</m:t>
                </m:r>
                <m:r>
                  <m:t>N</m:t>
                </m:r>
                <m:r>
                  <m:t>b</m:t>
                </m:r>
                <m:r>
                  <m:t>P</m:t>
                </m:r>
                <m:r>
                  <m:t>o</m:t>
                </m:r>
                <m:r>
                  <m:t>l</m:t>
                </m:r>
                <m:r>
                  <m:t>i</m:t>
                </m:r>
                <m:r>
                  <m:t>c</m:t>
                </m:r>
                <m:sSub>
                  <m:e>
                    <m:r>
                      <m:t>e</m:t>
                    </m:r>
                  </m:e>
                  <m:sub>
                    <m:r>
                      <m:t>t</m:t>
                    </m:r>
                  </m:sub>
                </m:sSub>
                <m:r>
                  <m:rPr>
                    <m:sty m:val="p"/>
                  </m:rPr>
                  <m:t>×</m:t>
                </m:r>
                <m:sSub>
                  <m:e>
                    <m:r>
                      <m:t>q</m:t>
                    </m:r>
                  </m:e>
                  <m:sub>
                    <m:r>
                      <m:t>x</m:t>
                    </m:r>
                    <m:r>
                      <m:rPr>
                        <m:sty m:val="p"/>
                      </m:rPr>
                      <m:t>+</m:t>
                    </m:r>
                    <m:r>
                      <m:t>t</m:t>
                    </m:r>
                  </m:sub>
                </m:sSub>
                <m:r>
                  <m:rPr>
                    <m:sty m:val="p"/>
                  </m:rPr>
                  <m:t>×</m:t>
                </m:r>
                <m:sSup>
                  <m:e>
                    <m:d>
                      <m:dPr>
                        <m:begChr m:val="("/>
                        <m:endChr m:val=")"/>
                        <m:sepChr m:val=""/>
                        <m:grow/>
                      </m:dPr>
                      <m:e>
                        <m:r>
                          <m:t>1</m:t>
                        </m:r>
                        <m:r>
                          <m:rPr>
                            <m:sty m:val="p"/>
                          </m:rPr>
                          <m:t>+</m:t>
                        </m:r>
                        <m:sSub>
                          <m:e>
                            <m:r>
                              <m:t>r</m:t>
                            </m:r>
                          </m:e>
                          <m:sub>
                            <m:r>
                              <m:t>t</m:t>
                            </m:r>
                          </m:sub>
                        </m:sSub>
                      </m:e>
                    </m:d>
                  </m:e>
                  <m:sup>
                    <m:r>
                      <m:t>t</m:t>
                    </m:r>
                  </m:sup>
                </m:sSup>
              </m:oMath>
            </m:oMathPara>
          </w:p>
        </w:tc>
      </w:tr>
    </w:tbl>
    <w:bookmarkEnd w:id="71"/>
    <w:bookmarkStart w:id="72" w:name="bénéfices-discrétionnaires-futurs"/>
    <w:p>
      <w:pPr>
        <w:pStyle w:val="Heading5"/>
      </w:pPr>
      <w:r>
        <w:t xml:space="preserve">6.1.1.2 Bénéfices discrétionnaires futurs:</w:t>
      </w:r>
    </w:p>
    <w:p>
      <w:pPr>
        <w:pStyle w:val="FirstParagraph"/>
      </w:pPr>
      <w:r>
        <w:t xml:space="preserve">Les bénéfices discrétionnaires futurs sont évalués pour chaque ensemble homogène de contrats.</w:t>
      </w:r>
    </w:p>
    <w:p>
      <w:pPr>
        <w:pStyle w:val="BodyText"/>
      </w:pPr>
      <m:oMathPara>
        <m:oMathParaPr>
          <m:jc m:val="center"/>
        </m:oMathParaPr>
        <m:oMath>
          <m:r>
            <m:t>B</m:t>
          </m:r>
          <m:r>
            <m:t>D</m:t>
          </m:r>
          <m:r>
            <m:t>F</m:t>
          </m:r>
          <m:r>
            <m:rPr>
              <m:sty m:val="p"/>
            </m:rPr>
            <m:t>=</m:t>
          </m:r>
          <m:r>
            <m:t>P</m:t>
          </m:r>
          <m:r>
            <m:t>P</m:t>
          </m:r>
          <m:r>
            <m:t>B</m:t>
          </m:r>
          <m:r>
            <m:rPr>
              <m:sty m:val="p"/>
            </m:rPr>
            <m:t>+</m:t>
          </m:r>
          <m:sSup>
            <m:e>
              <m:acc>
                <m:accPr>
                  <m:chr m:val="‾"/>
                </m:accPr>
                <m:e>
                  <m:r>
                    <m:t>r</m:t>
                  </m:r>
                </m:e>
              </m:acc>
            </m:e>
            <m:sup>
              <m:r>
                <m:t>P</m:t>
              </m:r>
              <m:r>
                <m:t>B</m:t>
              </m:r>
            </m:sup>
          </m:sSup>
          <m:d>
            <m:dPr>
              <m:begChr m:val="("/>
              <m:endChr m:val=")"/>
              <m:sepChr m:val=""/>
              <m:grow/>
            </m:dPr>
            <m:e>
              <m:r>
                <m:t>S</m:t>
              </m:r>
              <m:r>
                <m:t>o</m:t>
              </m:r>
              <m:r>
                <m:t>l</m:t>
              </m:r>
              <m:r>
                <m:t>d</m:t>
              </m:r>
              <m:r>
                <m:t>e</m:t>
              </m:r>
              <m:r>
                <m:t>T</m:t>
              </m:r>
              <m:r>
                <m:rPr>
                  <m:sty m:val="p"/>
                </m:rPr>
                <m:t>+</m:t>
              </m:r>
              <m:r>
                <m:t>S</m:t>
              </m:r>
              <m:r>
                <m:t>o</m:t>
              </m:r>
              <m:r>
                <m:t>l</m:t>
              </m:r>
              <m:r>
                <m:t>d</m:t>
              </m:r>
              <m:r>
                <m:t>e</m:t>
              </m:r>
              <m:r>
                <m:t>F</m:t>
              </m:r>
            </m:e>
          </m:d>
          <m:r>
            <m:rPr>
              <m:sty m:val="p"/>
            </m:rPr>
            <m:t>×</m:t>
          </m:r>
          <m:sSub>
            <m:e>
              <m:r>
                <m:rPr>
                  <m:sty m:val="b"/>
                </m:rPr>
                <m:t>1</m:t>
              </m:r>
            </m:e>
            <m:sub>
              <m:d>
                <m:dPr>
                  <m:begChr m:val="("/>
                  <m:endChr m:val=")"/>
                  <m:sepChr m:val=""/>
                  <m:grow/>
                </m:dPr>
                <m:e>
                  <m:r>
                    <m:t>S</m:t>
                  </m:r>
                  <m:r>
                    <m:t>o</m:t>
                  </m:r>
                  <m:r>
                    <m:t>l</m:t>
                  </m:r>
                  <m:r>
                    <m:t>d</m:t>
                  </m:r>
                  <m:r>
                    <m:t>e</m:t>
                  </m:r>
                  <m:r>
                    <m:t>T</m:t>
                  </m:r>
                  <m:r>
                    <m:rPr>
                      <m:sty m:val="p"/>
                    </m:rPr>
                    <m:t>+</m:t>
                  </m:r>
                  <m:r>
                    <m:t>S</m:t>
                  </m:r>
                  <m:r>
                    <m:t>o</m:t>
                  </m:r>
                  <m:r>
                    <m:t>l</m:t>
                  </m:r>
                  <m:r>
                    <m:t>d</m:t>
                  </m:r>
                  <m:r>
                    <m:t>e</m:t>
                  </m:r>
                  <m:r>
                    <m:t>F</m:t>
                  </m:r>
                </m:e>
              </m:d>
              <m:r>
                <m:rPr>
                  <m:sty m:val="p"/>
                </m:rPr>
                <m:t>&gt;</m:t>
              </m:r>
              <m:r>
                <m:t>0</m:t>
              </m:r>
            </m:sub>
          </m:sSub>
        </m:oMath>
      </m:oMathPara>
    </w:p>
    <w:p>
      <w:pPr>
        <w:pStyle w:val="FirstParagraph"/>
      </w:pPr>
      <w:r>
        <w:t xml:space="preserve">Avec :</w:t>
      </w:r>
    </w:p>
    <w:p>
      <w:pPr>
        <w:numPr>
          <w:ilvl w:val="0"/>
          <w:numId w:val="1016"/>
        </w:numPr>
      </w:pPr>
      <m:oMath>
        <m:r>
          <m:t>P</m:t>
        </m:r>
        <m:r>
          <m:t>P</m:t>
        </m:r>
        <m:r>
          <m:t>B</m:t>
        </m:r>
      </m:oMath>
      <w:r>
        <w:t xml:space="preserve"> </w:t>
      </w:r>
      <w:r>
        <w:t xml:space="preserve">: Le montant de la provision pour participation aux bénéfices, évaluée à la valeur comptable;</w:t>
      </w:r>
    </w:p>
    <w:p>
      <w:pPr>
        <w:numPr>
          <w:ilvl w:val="0"/>
          <w:numId w:val="1016"/>
        </w:numPr>
      </w:pPr>
      <m:oMath>
        <m:r>
          <m:t>S</m:t>
        </m:r>
        <m:r>
          <m:t>o</m:t>
        </m:r>
        <m:r>
          <m:t>l</m:t>
        </m:r>
        <m:r>
          <m:t>d</m:t>
        </m:r>
        <m:r>
          <m:t>e</m:t>
        </m:r>
        <m:r>
          <m:t>T</m:t>
        </m:r>
      </m:oMath>
      <w:r>
        <w:t xml:space="preserve"> </w:t>
      </w:r>
      <w:r>
        <w:t xml:space="preserve">: Somme des soldes techniques.</w:t>
      </w:r>
    </w:p>
    <w:p>
      <w:pPr>
        <w:numPr>
          <w:ilvl w:val="0"/>
          <w:numId w:val="1016"/>
        </w:numPr>
      </w:pPr>
      <m:oMath>
        <m:r>
          <m:t>S</m:t>
        </m:r>
        <m:r>
          <m:t>o</m:t>
        </m:r>
        <m:r>
          <m:t>l</m:t>
        </m:r>
        <m:r>
          <m:t>d</m:t>
        </m:r>
        <m:r>
          <m:t>e</m:t>
        </m:r>
        <m:r>
          <m:t>F</m:t>
        </m:r>
      </m:oMath>
      <w:r>
        <w:t xml:space="preserve"> </w:t>
      </w:r>
      <w:r>
        <w:t xml:space="preserve">: Somme des soldes Financiers.</w:t>
      </w:r>
    </w:p>
    <w:p>
      <w:pPr>
        <w:numPr>
          <w:ilvl w:val="0"/>
          <w:numId w:val="1016"/>
        </w:numPr>
      </w:pPr>
      <m:oMath>
        <m:sSup>
          <m:e>
            <m:acc>
              <m:accPr>
                <m:chr m:val="‾"/>
              </m:accPr>
              <m:e>
                <m:r>
                  <m:t>r</m:t>
                </m:r>
              </m:e>
            </m:acc>
          </m:e>
          <m:sup>
            <m:r>
              <m:t>P</m:t>
            </m:r>
            <m:r>
              <m:t>B</m:t>
            </m:r>
          </m:sup>
        </m:sSup>
      </m:oMath>
      <w:r>
        <w:t xml:space="preserve"> </w:t>
      </w:r>
      <w:r>
        <w:t xml:space="preserve">: Le taux de participation aux bénéfices moyen servi aux assurés.</w:t>
      </w:r>
    </w:p>
    <w:p>
      <w:pPr>
        <w:pStyle w:val="FirstParagraph"/>
      </w:pPr>
      <w:r>
        <w:rPr>
          <w:bCs/>
          <w:b/>
        </w:rPr>
        <w:t xml:space="preserve">Le taux de participation aux bénéfices moyen servi aux assurés</w:t>
      </w:r>
      <w:r>
        <w:t xml:space="preserve"> </w:t>
      </w:r>
      <w:r>
        <w:t xml:space="preserve">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 dites opérations sur la même période.</w:t>
      </w:r>
    </w:p>
    <w:p>
      <w:pPr>
        <w:pStyle w:val="BodyText"/>
      </w:pPr>
      <w:r>
        <w:t xml:space="preserve">En notation mathématique ça donne :</w:t>
      </w:r>
    </w:p>
    <w:p>
      <w:pPr>
        <w:pStyle w:val="BodyText"/>
      </w:pPr>
      <m:oMathPara>
        <m:oMathParaPr>
          <m:jc m:val="center"/>
        </m:oMathParaPr>
        <m:oMath>
          <m:sSup>
            <m:e>
              <m:acc>
                <m:accPr>
                  <m:chr m:val="‾"/>
                </m:accPr>
                <m:e>
                  <m:r>
                    <m:t>r</m:t>
                  </m:r>
                </m:e>
              </m:acc>
            </m:e>
            <m:sup>
              <m:r>
                <m:t>P</m:t>
              </m:r>
              <m:r>
                <m:t>B</m:t>
              </m:r>
            </m:sup>
          </m:sSup>
          <m:r>
            <m:rPr>
              <m:sty m:val="p"/>
            </m:rPr>
            <m:t>=</m:t>
          </m:r>
          <m:f>
            <m:fPr>
              <m:type m:val="bar"/>
            </m:fPr>
            <m:num>
              <m:r>
                <m:t>D</m:t>
              </m:r>
              <m:r>
                <m:t>o</m:t>
              </m:r>
              <m:sSub>
                <m:e>
                  <m:r>
                    <m:t>t</m:t>
                  </m:r>
                </m:e>
                <m:sub>
                  <m:r>
                    <m:rPr>
                      <m:sty m:val="p"/>
                    </m:rPr>
                    <m:t>≥</m:t>
                  </m:r>
                  <m:r>
                    <m:rPr>
                      <m:nor/>
                      <m:sty m:val="p"/>
                    </m:rPr>
                    <m:t>3 exes clos</m:t>
                  </m:r>
                </m:sub>
              </m:sSub>
            </m:num>
            <m:den>
              <m:r>
                <m:t>R</m:t>
              </m:r>
              <m:r>
                <m:t>T</m:t>
              </m:r>
              <m:r>
                <m:rPr>
                  <m:sty m:val="p"/>
                </m:rPr>
                <m:t>+</m:t>
              </m:r>
              <m:r>
                <m:t>R</m:t>
              </m:r>
              <m:r>
                <m:t>F</m:t>
              </m:r>
            </m:den>
          </m:f>
        </m:oMath>
      </m:oMathPara>
    </w:p>
    <w:p>
      <w:pPr>
        <w:pStyle w:val="FirstParagraph"/>
      </w:pPr>
      <w:r>
        <w:t xml:space="preserve">Avec :</w:t>
      </w:r>
    </w:p>
    <w:p>
      <w:pPr>
        <w:numPr>
          <w:ilvl w:val="0"/>
          <w:numId w:val="1017"/>
        </w:numPr>
        <w:pStyle w:val="Compact"/>
      </w:pPr>
      <m:oMath>
        <m:r>
          <m:t>D</m:t>
        </m:r>
        <m:r>
          <m:t>o</m:t>
        </m:r>
        <m:sSub>
          <m:e>
            <m:r>
              <m:t>t</m:t>
            </m:r>
          </m:e>
          <m:sub>
            <m:r>
              <m:rPr>
                <m:sty m:val="p"/>
              </m:rPr>
              <m:t>≥</m:t>
            </m:r>
            <m:r>
              <m:rPr>
                <m:nor/>
                <m:sty m:val="p"/>
              </m:rPr>
              <m:t>3 exes clos</m:t>
            </m:r>
          </m:sub>
        </m:sSub>
      </m:oMath>
      <w:r>
        <w:t xml:space="preserve"> </w:t>
      </w:r>
      <w:r>
        <w:t xml:space="preserve">: somme des dotations au titre, des trois derniers exercices clos au moins.</w:t>
      </w:r>
    </w:p>
    <w:p>
      <w:pPr>
        <w:numPr>
          <w:ilvl w:val="0"/>
          <w:numId w:val="1017"/>
        </w:numPr>
        <w:pStyle w:val="Compact"/>
      </w:pPr>
      <m:oMath>
        <m:r>
          <m:t>R</m:t>
        </m:r>
        <m:r>
          <m:t>T</m:t>
        </m:r>
      </m:oMath>
      <w:r>
        <w:t xml:space="preserve"> </w:t>
      </w:r>
      <w:r>
        <w:t xml:space="preserve">:les résultats techniques.</w:t>
      </w:r>
    </w:p>
    <w:p>
      <w:pPr>
        <w:numPr>
          <w:ilvl w:val="0"/>
          <w:numId w:val="1017"/>
        </w:numPr>
        <w:pStyle w:val="Compact"/>
      </w:pPr>
      <m:oMath>
        <m:r>
          <m:t>R</m:t>
        </m:r>
        <m:r>
          <m:t>F</m:t>
        </m:r>
      </m:oMath>
      <w:r>
        <w:t xml:space="preserve"> </w:t>
      </w:r>
      <w:r>
        <w:t xml:space="preserve">:les résultats financiers.</w:t>
      </w:r>
    </w:p>
    <w:bookmarkEnd w:id="72"/>
    <w:bookmarkEnd w:id="73"/>
    <w:bookmarkStart w:id="74" w:name="X0dedfd34ddaeaf1baa3793d4b4da364b43b18e0"/>
    <w:p>
      <w:pPr>
        <w:pStyle w:val="Heading4"/>
      </w:pPr>
      <w:r>
        <w:t xml:space="preserve">6.1.2 Meilleure estimation des frais de gestions (</w:t>
      </w:r>
      <m:oMath>
        <m:r>
          <m:t>B</m:t>
        </m:r>
        <m:sSub>
          <m:e>
            <m:r>
              <m:t>E</m:t>
            </m:r>
          </m:e>
          <m:sub>
            <m:r>
              <m:t>f</m:t>
            </m:r>
            <m:r>
              <m:t>r</m:t>
            </m:r>
            <m:r>
              <m:t>a</m:t>
            </m:r>
            <m:r>
              <m:t>i</m:t>
            </m:r>
            <m:r>
              <m:t>s</m:t>
            </m:r>
            <m:r>
              <m:t>G</m:t>
            </m:r>
            <m:r>
              <m:t>e</m:t>
            </m:r>
            <m:r>
              <m:t>s</m:t>
            </m:r>
            <m:r>
              <m:t>t</m:t>
            </m:r>
            <m:r>
              <m:t>i</m:t>
            </m:r>
            <m:r>
              <m:t>o</m:t>
            </m:r>
            <m:r>
              <m:t>n</m:t>
            </m:r>
          </m:sub>
        </m:sSub>
      </m:oMath>
      <w:r>
        <w:t xml:space="preserve">):</w:t>
      </w:r>
    </w:p>
    <w:p>
      <w:pPr>
        <w:pStyle w:val="FirstParagraph"/>
      </w:pPr>
      <w:r>
        <w:t xml:space="preserve">La meilleure estimation des frais de gestion correspond à la somme actualisée des flux de frais de gestion futurs probabilisés.</w:t>
      </w:r>
    </w:p>
    <w:p>
      <w:pPr>
        <w:pStyle w:val="BodyText"/>
      </w:pPr>
      <m:oMathPara>
        <m:oMathParaPr>
          <m:jc m:val="center"/>
        </m:oMathParaPr>
        <m:oMath>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0"/>
            </m:naryPr>
            <m:sub>
              <m:r>
                <m:t>t</m:t>
              </m:r>
              <m:r>
                <m:rPr>
                  <m:sty m:val="p"/>
                </m:rPr>
                <m:t>=</m:t>
              </m:r>
              <m:r>
                <m:t>1</m:t>
              </m:r>
            </m:sub>
            <m:sup>
              <m:r>
                <m:t>N</m:t>
              </m:r>
            </m:sup>
            <m:e>
              <m:f>
                <m:fPr>
                  <m:type m:val="bar"/>
                </m:fPr>
                <m:num>
                  <m:r>
                    <m:t>F</m:t>
                  </m:r>
                  <m:sSub>
                    <m:e>
                      <m:r>
                        <m:t>G</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Les frais de gestion futurs sont estimés sur la base d’une projection effectuée en considérant un</w:t>
      </w:r>
      <w:r>
        <w:t xml:space="preserve"> </w:t>
      </w:r>
      <w:r>
        <w:t xml:space="preserve">horizon de projection suffisant pour la couverture de la durée de vie des engagements à la date</w:t>
      </w:r>
      <w:r>
        <w:t xml:space="preserve"> </w:t>
      </w:r>
      <w:r>
        <w:t xml:space="preserve">d’inventaire. Ils sont déterminés pour chaque année de projection en multipliant le nombre de</w:t>
      </w:r>
      <w:r>
        <w:t xml:space="preserve"> </w:t>
      </w:r>
      <w:r>
        <w:t xml:space="preserve">contrats par le montant de frais de gestion unitaire moyen.</w:t>
      </w:r>
    </w:p>
    <w:p>
      <w:pPr>
        <w:pStyle w:val="BodyText"/>
      </w:pPr>
      <m:oMathPara>
        <m:oMathParaPr>
          <m:jc m:val="center"/>
        </m:oMathParaPr>
        <m:oMath>
          <m:r>
            <m:t>F</m:t>
          </m:r>
          <m:sSub>
            <m:e>
              <m:r>
                <m:t>G</m:t>
              </m:r>
            </m:e>
            <m:sub>
              <m:r>
                <m:t>t</m:t>
              </m:r>
            </m:sub>
          </m:sSub>
          <m:r>
            <m:rPr>
              <m:sty m:val="p"/>
            </m:rPr>
            <m:t>=</m:t>
          </m:r>
          <m:r>
            <m:t>N</m:t>
          </m:r>
          <m:r>
            <m:t>b</m:t>
          </m:r>
          <m:r>
            <m:t>C</m:t>
          </m:r>
          <m:r>
            <m:t>o</m:t>
          </m:r>
          <m:r>
            <m:t>n</m:t>
          </m:r>
          <m:r>
            <m:t>t</m:t>
          </m:r>
          <m:r>
            <m:t>r</m:t>
          </m:r>
          <m:r>
            <m:t>a</m:t>
          </m:r>
          <m:sSub>
            <m:e>
              <m:r>
                <m:t>t</m:t>
              </m:r>
            </m:e>
            <m:sub>
              <m:r>
                <m:t>t</m:t>
              </m:r>
            </m:sub>
          </m:sSub>
          <m:r>
            <m:rPr>
              <m:sty m:val="p"/>
            </m:rPr>
            <m:t>×</m:t>
          </m:r>
          <m:sSubSup>
            <m:e>
              <m:acc>
                <m:accPr>
                  <m:chr m:val="‾"/>
                </m:accPr>
                <m:e>
                  <m:r>
                    <m:t>F</m:t>
                  </m:r>
                  <m:r>
                    <m:t>G</m:t>
                  </m:r>
                </m:e>
              </m:acc>
            </m:e>
            <m:sub>
              <m:r>
                <m:t>t</m:t>
              </m:r>
            </m:sub>
            <m:sup>
              <m:r>
                <m:t>u</m:t>
              </m:r>
              <m:r>
                <m:t>n</m:t>
              </m:r>
              <m:r>
                <m:t>i</m:t>
              </m:r>
              <m:r>
                <m:t>t</m:t>
              </m:r>
              <m:r>
                <m:t>a</m:t>
              </m:r>
              <m:r>
                <m:t>i</m:t>
              </m:r>
              <m:r>
                <m:t>r</m:t>
              </m:r>
              <m:r>
                <m:t>e</m:t>
              </m:r>
            </m:sup>
          </m:sSubSup>
        </m:oMath>
      </m:oMathPara>
    </w:p>
    <w:p>
      <w:pPr>
        <w:pStyle w:val="FirstParagraph"/>
      </w:pPr>
      <w:r>
        <w:t xml:space="preserve">Avec :</w:t>
      </w:r>
    </w:p>
    <w:p>
      <w:pPr>
        <w:numPr>
          <w:ilvl w:val="0"/>
          <w:numId w:val="1018"/>
        </w:numPr>
        <w:pStyle w:val="Compact"/>
      </w:pPr>
      <m:oMath>
        <m:sSubSup>
          <m:e>
            <m:acc>
              <m:accPr>
                <m:chr m:val="‾"/>
              </m:accPr>
              <m:e>
                <m:r>
                  <m:t>F</m:t>
                </m:r>
                <m:r>
                  <m:t>G</m:t>
                </m:r>
              </m:e>
            </m:acc>
          </m:e>
          <m:sub>
            <m:r>
              <m:t>t</m:t>
            </m:r>
          </m:sub>
          <m:sup>
            <m:r>
              <m:t>u</m:t>
            </m:r>
            <m:r>
              <m:t>n</m:t>
            </m:r>
            <m:r>
              <m:t>i</m:t>
            </m:r>
            <m:r>
              <m:t>t</m:t>
            </m:r>
            <m:r>
              <m:t>a</m:t>
            </m:r>
            <m:r>
              <m:t>i</m:t>
            </m:r>
            <m:r>
              <m:t>r</m:t>
            </m:r>
            <m:r>
              <m:t>e</m:t>
            </m:r>
          </m:sup>
        </m:sSubSup>
      </m:oMath>
      <w:r>
        <w:t xml:space="preserve"> </w:t>
      </w:r>
      <w:r>
        <w:t xml:space="preserve">: Le montant de frais de gestion unitaire moyen est estimé en considérant la moyenne sur les trois derniers exercices clos des montants de frais de gestion unitaires.</w:t>
      </w:r>
    </w:p>
    <w:p>
      <w:pPr>
        <w:numPr>
          <w:ilvl w:val="0"/>
          <w:numId w:val="1018"/>
        </w:numPr>
        <w:pStyle w:val="Compact"/>
      </w:pPr>
      <m:oMath>
        <m:r>
          <m:t>N</m:t>
        </m:r>
        <m:r>
          <m:t>b</m:t>
        </m:r>
        <m:r>
          <m:t>C</m:t>
        </m:r>
        <m:r>
          <m:t>o</m:t>
        </m:r>
        <m:r>
          <m:t>n</m:t>
        </m:r>
        <m:r>
          <m:t>t</m:t>
        </m:r>
        <m:r>
          <m:t>r</m:t>
        </m:r>
        <m:r>
          <m:t>a</m:t>
        </m:r>
        <m:sSub>
          <m:e>
            <m:r>
              <m:t>t</m:t>
            </m:r>
          </m:e>
          <m:sub>
            <m:r>
              <m:t>t</m:t>
            </m:r>
          </m:sub>
        </m:sSub>
      </m:oMath>
      <w:r>
        <w:t xml:space="preserve"> </w:t>
      </w:r>
      <w:r>
        <w:t xml:space="preserve">: Le nombre de contrats précité est estimé par sous-catégories, compte tenu des bases techniques suivantes (La table de mortalité, La table de rachat en nombre, La table de résiliation)</w:t>
      </w:r>
    </w:p>
    <w:p>
      <w:pPr>
        <w:numPr>
          <w:ilvl w:val="0"/>
          <w:numId w:val="1018"/>
        </w:numPr>
        <w:pStyle w:val="Compact"/>
      </w:pPr>
      <m:oMath>
        <m:r>
          <m:t>F</m:t>
        </m:r>
        <m:sSub>
          <m:e>
            <m:r>
              <m:t>G</m:t>
            </m:r>
          </m:e>
          <m:sub>
            <m:r>
              <m:t>t</m:t>
            </m:r>
          </m:sub>
        </m:sSub>
      </m:oMath>
      <w:r>
        <w:t xml:space="preserve"> </w:t>
      </w:r>
      <w:r>
        <w:t xml:space="preserve">: Les frais de gestions.</w:t>
      </w:r>
    </w:p>
    <w:p>
      <w:pPr>
        <w:pStyle w:val="FirstParagraph"/>
      </w:pPr>
      <w:r>
        <w:t xml:space="preserve">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pPr>
        <w:pStyle w:val="BodyText"/>
      </w:pPr>
      <m:oMathPara>
        <m:oMathParaPr>
          <m:jc m:val="center"/>
        </m:oMathParaPr>
        <m:oMath>
          <m:sSubSup>
            <m:e>
              <m:acc>
                <m:accPr>
                  <m:chr m:val="‾"/>
                </m:accPr>
                <m:e>
                  <m:r>
                    <m:t>F</m:t>
                  </m:r>
                  <m:r>
                    <m:t>G</m:t>
                  </m:r>
                </m:e>
              </m:acc>
            </m:e>
            <m:sub>
              <m:r>
                <m:t>t</m:t>
              </m:r>
            </m:sub>
            <m:sup>
              <m:r>
                <m:t>u</m:t>
              </m:r>
              <m:r>
                <m:t>n</m:t>
              </m:r>
              <m:r>
                <m:t>i</m:t>
              </m:r>
              <m:r>
                <m:t>t</m:t>
              </m:r>
              <m:r>
                <m:t>a</m:t>
              </m:r>
              <m:r>
                <m:t>i</m:t>
              </m:r>
              <m:r>
                <m:t>r</m:t>
              </m:r>
              <m:r>
                <m:t>e</m:t>
              </m:r>
            </m:sup>
          </m:sSubSup>
          <m:r>
            <m:rPr>
              <m:sty m:val="p"/>
            </m:rPr>
            <m:t>=</m:t>
          </m:r>
          <m:f>
            <m:fPr>
              <m:type m:val="bar"/>
            </m:fPr>
            <m:num>
              <m:limUpp>
                <m:e>
                  <m:groupChr>
                    <m:groupChrPr>
                      <m:chr m:val="⏞"/>
                      <m:pos m:val="top"/>
                      <m:vertJc m:val="bot"/>
                    </m:groupChrPr>
                    <m:e>
                      <m:f>
                        <m:fPr>
                          <m:type m:val="bar"/>
                        </m:fPr>
                        <m:num>
                          <m:r>
                            <m:t>F</m:t>
                          </m:r>
                          <m:sSub>
                            <m:e>
                              <m:r>
                                <m:t>G</m:t>
                              </m:r>
                            </m:e>
                            <m:sub>
                              <m:r>
                                <m:t>t</m:t>
                              </m:r>
                              <m:r>
                                <m:rPr>
                                  <m:sty m:val="p"/>
                                </m:rPr>
                                <m:t>−</m:t>
                              </m:r>
                              <m:r>
                                <m:t>1</m:t>
                              </m:r>
                            </m:sub>
                          </m:sSub>
                        </m:num>
                        <m:den>
                          <m:r>
                            <m:t>N</m:t>
                          </m:r>
                          <m:r>
                            <m:t>b</m:t>
                          </m:r>
                          <m:r>
                            <m:t>C</m:t>
                          </m:r>
                          <m:r>
                            <m:t>o</m:t>
                          </m:r>
                          <m:r>
                            <m:t>n</m:t>
                          </m:r>
                          <m:r>
                            <m:t>t</m:t>
                          </m:r>
                          <m:r>
                            <m:t>r</m:t>
                          </m:r>
                          <m:r>
                            <m:t>a</m:t>
                          </m:r>
                          <m:sSub>
                            <m:e>
                              <m:r>
                                <m:t>t</m:t>
                              </m:r>
                            </m:e>
                            <m:sub>
                              <m:r>
                                <m:t>t</m:t>
                              </m:r>
                              <m:r>
                                <m:rPr>
                                  <m:sty m:val="p"/>
                                </m:rPr>
                                <m:t>−</m:t>
                              </m:r>
                              <m:r>
                                <m:t>1</m:t>
                              </m:r>
                            </m:sub>
                          </m:sSub>
                        </m:den>
                      </m:f>
                    </m:e>
                  </m:groupChr>
                </m:e>
                <m:lim>
                  <m:r>
                    <m:rPr>
                      <m:nor/>
                      <m:sty m:val="p"/>
                    </m:rPr>
                    <m:t>Frais de gestion unitaire en t-1</m:t>
                  </m:r>
                </m:lim>
              </m:limUpp>
              <m:r>
                <m:rPr>
                  <m:sty m:val="p"/>
                </m:rPr>
                <m:t>+</m:t>
              </m:r>
              <m:f>
                <m:fPr>
                  <m:type m:val="bar"/>
                </m:fPr>
                <m:num>
                  <m:r>
                    <m:t>F</m:t>
                  </m:r>
                  <m:sSub>
                    <m:e>
                      <m:r>
                        <m:t>G</m:t>
                      </m:r>
                    </m:e>
                    <m:sub>
                      <m:r>
                        <m:t>t</m:t>
                      </m:r>
                      <m:r>
                        <m:rPr>
                          <m:sty m:val="p"/>
                        </m:rPr>
                        <m:t>−</m:t>
                      </m:r>
                      <m:r>
                        <m:t>2</m:t>
                      </m:r>
                    </m:sub>
                  </m:sSub>
                </m:num>
                <m:den>
                  <m:r>
                    <m:t>N</m:t>
                  </m:r>
                  <m:r>
                    <m:t>b</m:t>
                  </m:r>
                  <m:r>
                    <m:t>C</m:t>
                  </m:r>
                  <m:r>
                    <m:t>o</m:t>
                  </m:r>
                  <m:r>
                    <m:t>n</m:t>
                  </m:r>
                  <m:r>
                    <m:t>t</m:t>
                  </m:r>
                  <m:r>
                    <m:t>r</m:t>
                  </m:r>
                  <m:r>
                    <m:t>a</m:t>
                  </m:r>
                  <m:sSub>
                    <m:e>
                      <m:r>
                        <m:t>t</m:t>
                      </m:r>
                    </m:e>
                    <m:sub>
                      <m:r>
                        <m:t>t</m:t>
                      </m:r>
                      <m:r>
                        <m:rPr>
                          <m:sty m:val="p"/>
                        </m:rPr>
                        <m:t>−</m:t>
                      </m:r>
                      <m:r>
                        <m:t>2</m:t>
                      </m:r>
                    </m:sub>
                  </m:sSub>
                </m:den>
              </m:f>
              <m:r>
                <m:rPr>
                  <m:sty m:val="p"/>
                </m:rPr>
                <m:t>+</m:t>
              </m:r>
              <m:f>
                <m:fPr>
                  <m:type m:val="bar"/>
                </m:fPr>
                <m:num>
                  <m:r>
                    <m:t>F</m:t>
                  </m:r>
                  <m:sSub>
                    <m:e>
                      <m:r>
                        <m:t>G</m:t>
                      </m:r>
                    </m:e>
                    <m:sub>
                      <m:r>
                        <m:t>t</m:t>
                      </m:r>
                      <m:r>
                        <m:rPr>
                          <m:sty m:val="p"/>
                        </m:rPr>
                        <m:t>−</m:t>
                      </m:r>
                      <m:r>
                        <m:t>3</m:t>
                      </m:r>
                    </m:sub>
                  </m:sSub>
                </m:num>
                <m:den>
                  <m:r>
                    <m:t>N</m:t>
                  </m:r>
                  <m:r>
                    <m:t>b</m:t>
                  </m:r>
                  <m:r>
                    <m:t>C</m:t>
                  </m:r>
                  <m:r>
                    <m:t>o</m:t>
                  </m:r>
                  <m:r>
                    <m:t>n</m:t>
                  </m:r>
                  <m:r>
                    <m:t>t</m:t>
                  </m:r>
                  <m:r>
                    <m:t>r</m:t>
                  </m:r>
                  <m:r>
                    <m:t>a</m:t>
                  </m:r>
                  <m:sSub>
                    <m:e>
                      <m:r>
                        <m:t>t</m:t>
                      </m:r>
                    </m:e>
                    <m:sub>
                      <m:r>
                        <m:t>t</m:t>
                      </m:r>
                      <m:r>
                        <m:rPr>
                          <m:sty m:val="p"/>
                        </m:rPr>
                        <m:t>−</m:t>
                      </m:r>
                      <m:r>
                        <m:t>3</m:t>
                      </m:r>
                    </m:sub>
                  </m:sSub>
                </m:den>
              </m:f>
            </m:num>
            <m:den>
              <m:r>
                <m:t>3</m:t>
              </m:r>
            </m:den>
          </m:f>
        </m:oMath>
      </m:oMathPara>
    </w:p>
    <w:bookmarkEnd w:id="74"/>
    <w:bookmarkEnd w:id="75"/>
    <w:bookmarkStart w:id="76" w:name="rentes-découlants-des-opérations-non-vie"/>
    <w:p>
      <w:pPr>
        <w:pStyle w:val="Heading3"/>
      </w:pPr>
      <w:r>
        <w:t xml:space="preserve">6.2 Rentes découlants des opérations non-vie:</w:t>
      </w:r>
    </w:p>
    <w:p>
      <w:pPr>
        <w:pStyle w:val="FirstParagraph"/>
      </w:pPr>
      <w:r>
        <w:t xml:space="preserve">La meilleure estimation des engagements pour les rentes découlant des opérations d’assurance non vie correspond à la meilleure estimation des garanties probabilisées déterminée avant.</w:t>
      </w:r>
    </w:p>
    <w:p>
      <w:pPr>
        <w:pStyle w:val="BodyText"/>
      </w:pPr>
      <m:oMathPara>
        <m:oMathParaPr>
          <m:jc m:val="center"/>
        </m:oMathParaPr>
        <m:oMath>
          <m:r>
            <m:t>B</m:t>
          </m:r>
          <m:sSub>
            <m:e>
              <m:r>
                <m:t>E</m:t>
              </m:r>
            </m:e>
            <m:sub>
              <m:r>
                <m:t>r</m:t>
              </m:r>
              <m:r>
                <m:t>n</m:t>
              </m:r>
              <m:r>
                <m:t>v</m:t>
              </m:r>
            </m:sub>
          </m:sSub>
          <m:r>
            <m:rPr>
              <m:sty m:val="p"/>
            </m:rPr>
            <m:t>=</m:t>
          </m:r>
          <m:r>
            <m:t>B</m:t>
          </m:r>
          <m:sSubSup>
            <m:e>
              <m:r>
                <m:t>E</m:t>
              </m:r>
            </m:e>
            <m:sub>
              <m:r>
                <m:t>g</m:t>
              </m:r>
              <m:r>
                <m:t>a</m:t>
              </m:r>
              <m:r>
                <m:t>r</m:t>
              </m:r>
              <m:r>
                <m:t>a</m:t>
              </m:r>
              <m:r>
                <m:t>n</m:t>
              </m:r>
              <m:r>
                <m:t>t</m:t>
              </m:r>
              <m:r>
                <m:t>i</m:t>
              </m:r>
              <m:r>
                <m:t>e</m:t>
              </m:r>
            </m:sub>
            <m:sup>
              <m:r>
                <m:t>p</m:t>
              </m:r>
              <m:r>
                <m:t>r</m:t>
              </m:r>
              <m:r>
                <m:t>o</m:t>
              </m:r>
              <m:r>
                <m:t>b</m:t>
              </m:r>
            </m:sup>
          </m:sSubSup>
        </m:oMath>
      </m:oMathPara>
    </w:p>
    <w:p>
      <w:pPr>
        <w:pStyle w:val="FirstParagraph"/>
      </w:pPr>
      <w:r>
        <w:t xml:space="preserve">Avec :</w:t>
      </w:r>
    </w:p>
    <w:p>
      <w:pPr>
        <w:numPr>
          <w:ilvl w:val="0"/>
          <w:numId w:val="1019"/>
        </w:numPr>
        <w:pStyle w:val="Compact"/>
      </w:pPr>
      <m:oMath>
        <m:r>
          <m:t>B</m:t>
        </m:r>
        <m:sSub>
          <m:e>
            <m:r>
              <m:t>E</m:t>
            </m:r>
          </m:e>
          <m:sub>
            <m:r>
              <m:t>r</m:t>
            </m:r>
            <m:r>
              <m:t>n</m:t>
            </m:r>
            <m:r>
              <m:t>v</m:t>
            </m:r>
          </m:sub>
        </m:sSub>
      </m:oMath>
      <w:r>
        <w:t xml:space="preserve"> </w:t>
      </w:r>
      <w:r>
        <w:t xml:space="preserve">: la meilleure estimation rentes découlant des opérations d’assurance non vie.</w:t>
      </w:r>
    </w:p>
    <w:p>
      <w:pPr>
        <w:numPr>
          <w:ilvl w:val="0"/>
          <w:numId w:val="1019"/>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w:t>
      </w:r>
      <w:r>
        <w:t xml:space="preserve">: la meilleure estimation des garanties probabilisées.</w:t>
      </w:r>
    </w:p>
    <w:p>
      <w:pPr>
        <w:pStyle w:val="FirstParagraph"/>
      </w:pPr>
      <w:r>
        <w:t xml:space="preserve">La meilleure estimation des frais de gestion, pour les rentes découlant des opérations d’assurance non vie est déterminée de la meme façon comme avant.</w:t>
      </w:r>
    </w:p>
    <w:bookmarkEnd w:id="76"/>
    <w:bookmarkStart w:id="105" w:name="X95164bc6af2e862e4c417e49c6d46de2a1b5d80"/>
    <w:p>
      <w:pPr>
        <w:pStyle w:val="Heading3"/>
      </w:pPr>
      <w:r>
        <w:t xml:space="preserve">6.3 Opérations d’assurance non vie hors rentes:</w:t>
      </w:r>
    </w:p>
    <w:bookmarkStart w:id="103" w:name="la-meilleure-estimation-des-engagements"/>
    <w:p>
      <w:pPr>
        <w:pStyle w:val="Heading4"/>
      </w:pPr>
      <w:r>
        <w:t xml:space="preserve">6.3.1 La meilleure estimation des engagements:</w:t>
      </w:r>
    </w:p>
    <w:p>
      <w:pPr>
        <w:pStyle w:val="FirstParagraph"/>
      </w:pPr>
      <w:r>
        <w:t xml:space="preserve">la meilleure estimation des engagements comprend la meilleure estimation des engagements pour sinistres nets de recours et la meilleure estimation des engagements pour primes.</w:t>
      </w:r>
    </w:p>
    <w:p>
      <w:pPr>
        <w:pStyle w:val="BodyText"/>
      </w:pPr>
      <m:oMathPara>
        <m:oMathParaPr>
          <m:jc m:val="center"/>
        </m:oMathParaPr>
        <m:oMath>
          <m:sSub>
            <m:e>
              <m:r>
                <m:t>​</m:t>
              </m:r>
            </m:e>
            <m:sub>
              <m:r>
                <m:t>n</m:t>
              </m:r>
              <m:r>
                <m:t>v</m:t>
              </m:r>
              <m:r>
                <m:t>h</m:t>
              </m:r>
              <m:r>
                <m:t>r</m:t>
              </m:r>
            </m:sub>
          </m:sSub>
          <m:r>
            <m:t>B</m:t>
          </m:r>
          <m:sSub>
            <m:e>
              <m:r>
                <m:t>E</m:t>
              </m:r>
            </m:e>
            <m:sub>
              <m:r>
                <m:t>e</m:t>
              </m:r>
              <m:r>
                <m:t>n</m:t>
              </m:r>
              <m:r>
                <m:t>g</m:t>
              </m:r>
              <m:r>
                <m:t>a</m:t>
              </m:r>
              <m:r>
                <m:t>g</m:t>
              </m:r>
              <m:r>
                <m:t>e</m:t>
              </m:r>
              <m:r>
                <m:t>m</m:t>
              </m:r>
              <m:r>
                <m:t>e</m:t>
              </m:r>
              <m:r>
                <m:t>n</m:t>
              </m:r>
              <m:r>
                <m:t>t</m:t>
              </m:r>
            </m:sub>
          </m:sSub>
          <m:limLow>
            <m:e>
              <m:r>
                <m:rPr>
                  <m:sty m:val="p"/>
                </m:rPr>
                <m:t>=</m:t>
              </m:r>
            </m:e>
            <m:lim>
              <m:r>
                <m:t>n</m:t>
              </m:r>
              <m:r>
                <m:t>v</m:t>
              </m:r>
              <m:r>
                <m:t>h</m:t>
              </m:r>
              <m:r>
                <m:t>r</m:t>
              </m:r>
            </m:lim>
          </m:limLow>
          <m:r>
            <m:t>B</m:t>
          </m:r>
          <m:sSubSup>
            <m:e>
              <m:r>
                <m:t>E</m:t>
              </m:r>
            </m:e>
            <m:sub>
              <m:r>
                <m:t>s</m:t>
              </m:r>
              <m:r>
                <m:t>i</m:t>
              </m:r>
              <m:r>
                <m:t>n</m:t>
              </m:r>
              <m:r>
                <m:t>i</m:t>
              </m:r>
              <m:r>
                <m:t>s</m:t>
              </m:r>
              <m:r>
                <m:t>t</m:t>
              </m:r>
              <m:r>
                <m:t>r</m:t>
              </m:r>
              <m:r>
                <m:t>e</m:t>
              </m:r>
              <m:r>
                <m:t>s</m:t>
              </m:r>
            </m:sub>
            <m:sup>
              <m:r>
                <m:t>e</m:t>
              </m:r>
              <m:r>
                <m:t>n</m:t>
              </m:r>
              <m:r>
                <m:t>g</m:t>
              </m:r>
            </m:sup>
          </m:sSubSup>
          <m:limLow>
            <m:e>
              <m:r>
                <m:rPr>
                  <m:sty m:val="p"/>
                </m:rPr>
                <m:t>+</m:t>
              </m:r>
            </m:e>
            <m:lim>
              <m:r>
                <m:t>n</m:t>
              </m:r>
              <m:r>
                <m:t>v</m:t>
              </m:r>
              <m:r>
                <m:t>h</m:t>
              </m:r>
              <m:r>
                <m:t>r</m:t>
              </m:r>
            </m:lim>
          </m:limLow>
          <m:r>
            <m:t>B</m:t>
          </m:r>
          <m:sSubSup>
            <m:e>
              <m:r>
                <m:t>E</m:t>
              </m:r>
            </m:e>
            <m:sub>
              <m:r>
                <m:t>p</m:t>
              </m:r>
              <m:r>
                <m:t>r</m:t>
              </m:r>
              <m:r>
                <m:t>i</m:t>
              </m:r>
              <m:r>
                <m:t>m</m:t>
              </m:r>
              <m:r>
                <m:t>e</m:t>
              </m:r>
              <m:r>
                <m:t>s</m:t>
              </m:r>
            </m:sub>
            <m:sup>
              <m:r>
                <m:t>e</m:t>
              </m:r>
              <m:r>
                <m:t>n</m:t>
              </m:r>
              <m:r>
                <m:t>g</m:t>
              </m:r>
            </m:sup>
          </m:sSubSup>
        </m:oMath>
      </m:oMathPara>
    </w:p>
    <w:bookmarkStart w:id="77" w:name="X8689949a7862be15d42a3aec3dcec69638ae007"/>
    <w:p>
      <w:pPr>
        <w:pStyle w:val="Heading5"/>
      </w:pPr>
      <w:r>
        <w:t xml:space="preserve">6.3.1.1 La meilleure estimation des engagements pour primes(</w:t>
      </w:r>
      <m:oMath>
        <m:sSub>
          <m:e>
            <m:r>
              <m:t>​</m:t>
            </m:r>
          </m:e>
          <m:sub>
            <m:r>
              <m:t>n</m:t>
            </m:r>
            <m:r>
              <m:t>v</m:t>
            </m:r>
            <m:r>
              <m:t>h</m:t>
            </m:r>
            <m:r>
              <m:t>r</m:t>
            </m:r>
          </m:sub>
        </m:sSub>
        <m:r>
          <m:t>B</m:t>
        </m:r>
        <m:sSubSup>
          <m:e>
            <m:r>
              <m:t>E</m:t>
            </m:r>
          </m:e>
          <m:sub>
            <m:r>
              <m:t>p</m:t>
            </m:r>
            <m:r>
              <m:t>r</m:t>
            </m:r>
            <m:r>
              <m:t>i</m:t>
            </m:r>
            <m:r>
              <m:t>m</m:t>
            </m:r>
            <m:r>
              <m:t>e</m:t>
            </m:r>
            <m:r>
              <m:t>s</m:t>
            </m:r>
          </m:sub>
          <m:sup>
            <m:r>
              <m:t>e</m:t>
            </m:r>
            <m:r>
              <m:t>n</m:t>
            </m:r>
            <m:r>
              <m:t>g</m:t>
            </m:r>
          </m:sup>
        </m:sSubSup>
      </m:oMath>
      <w:r>
        <w:t xml:space="preserve">):</w:t>
      </w:r>
    </w:p>
    <w:p>
      <w:pPr>
        <w:pStyle w:val="FirstParagraph"/>
      </w:pPr>
      <w:r>
        <w:t xml:space="preserve">La meilleure estimation des engagements pour primes correspond à la différence entre :</w:t>
      </w:r>
    </w:p>
    <w:p>
      <w:pPr>
        <w:numPr>
          <w:ilvl w:val="0"/>
          <w:numId w:val="1020"/>
        </w:numPr>
        <w:pStyle w:val="Compact"/>
      </w:pPr>
      <w:r>
        <w:t xml:space="preserve">La somme actualisée des flux de règlements futurs probabilisés nets de recours relatifs aux</w:t>
      </w:r>
      <w:r>
        <w:t xml:space="preserve"> </w:t>
      </w:r>
      <w:r>
        <w:rPr>
          <w:iCs/>
          <w:i/>
        </w:rPr>
        <w:t xml:space="preserve">sinistres non encore survenus</w:t>
      </w:r>
      <w:r>
        <w:t xml:space="preserve"> </w:t>
      </w:r>
      <w:r>
        <w:t xml:space="preserve">afférents aux contrats.</w:t>
      </w:r>
    </w:p>
    <w:p>
      <w:pPr>
        <w:numPr>
          <w:ilvl w:val="0"/>
          <w:numId w:val="1020"/>
        </w:numPr>
        <w:pStyle w:val="Compact"/>
      </w:pPr>
      <w:r>
        <w:t xml:space="preserve">Le montant des primes futures probabilisé et actualisé à la date d’inventaire, net des frais d’acquisition, afférentes aux contrats.</w:t>
      </w:r>
    </w:p>
    <w:p>
      <w:pPr>
        <w:pStyle w:val="FirstParagraph"/>
      </w:pPr>
      <m:oMathPara>
        <m:oMathParaPr>
          <m:jc m:val="center"/>
        </m:oMathParaPr>
        <m:oMath>
          <m:sSub>
            <m:e>
              <m:r>
                <m:t>​</m:t>
              </m:r>
            </m:e>
            <m:sub>
              <m:r>
                <m:t>n</m:t>
              </m:r>
              <m:r>
                <m:t>v</m:t>
              </m:r>
              <m:r>
                <m:t>h</m:t>
              </m:r>
              <m:r>
                <m:t>r</m:t>
              </m:r>
            </m:sub>
          </m:sSub>
          <m:r>
            <m:t>B</m:t>
          </m:r>
          <m:sSubSup>
            <m:e>
              <m:r>
                <m:t>E</m:t>
              </m:r>
            </m:e>
            <m:sub>
              <m:r>
                <m:t>p</m:t>
              </m:r>
              <m:r>
                <m:t>r</m:t>
              </m:r>
              <m:r>
                <m:t>i</m:t>
              </m:r>
              <m:r>
                <m:t>m</m:t>
              </m:r>
              <m:r>
                <m:t>e</m:t>
              </m:r>
              <m:r>
                <m:t>s</m:t>
              </m:r>
            </m:sub>
            <m:sup>
              <m:r>
                <m:t>e</m:t>
              </m:r>
              <m:r>
                <m:t>n</m:t>
              </m:r>
              <m:r>
                <m:t>g</m:t>
              </m:r>
            </m:sup>
          </m:sSubSup>
          <m:r>
            <m:rPr>
              <m:sty m:val="p"/>
            </m:rPr>
            <m:t>=</m:t>
          </m:r>
          <m:nary>
            <m:naryPr>
              <m:chr m:val="∑"/>
              <m:limLoc m:val="undOvr"/>
              <m:subHide m:val="0"/>
              <m:supHide m:val="1"/>
            </m:naryPr>
            <m:sub>
              <m:r>
                <m:t>t</m:t>
              </m:r>
              <m:r>
                <m:rPr>
                  <m:sty m:val="p"/>
                </m:rPr>
                <m:t>≥</m:t>
              </m:r>
              <m:r>
                <m:t>1</m:t>
              </m:r>
            </m:sub>
            <m:sup>
              <m:r>
                <m:t>​</m:t>
              </m:r>
            </m:sup>
            <m:e>
              <m:f>
                <m:fPr>
                  <m:type m:val="bar"/>
                </m:fPr>
                <m:num>
                  <m:bar>
                    <m:barPr>
                      <m:pos m:val="top"/>
                    </m:barPr>
                    <m:e>
                      <m:r>
                        <m:t>F</m:t>
                      </m:r>
                      <m:r>
                        <m:t>R</m:t>
                      </m:r>
                      <m:r>
                        <m:t>F</m:t>
                      </m:r>
                      <m:sSub>
                        <m:e>
                          <m:r>
                            <m:t>P</m:t>
                          </m:r>
                        </m:e>
                        <m:sub>
                          <m:r>
                            <m:t>t</m:t>
                          </m:r>
                        </m:sub>
                      </m:sSub>
                    </m:e>
                  </m:bar>
                </m:num>
                <m:den>
                  <m:sSup>
                    <m:e>
                      <m:d>
                        <m:dPr>
                          <m:begChr m:val="("/>
                          <m:endChr m:val=")"/>
                          <m:sepChr m:val=""/>
                          <m:grow/>
                        </m:dPr>
                        <m:e>
                          <m:r>
                            <m:t>1</m:t>
                          </m:r>
                          <m:r>
                            <m:rPr>
                              <m:sty m:val="p"/>
                            </m:rPr>
                            <m:t>+</m:t>
                          </m:r>
                          <m:sSub>
                            <m:e>
                              <m:r>
                                <m:t>r</m:t>
                              </m:r>
                            </m:e>
                            <m:sub>
                              <m:r>
                                <m:t>t</m:t>
                              </m:r>
                            </m:sub>
                          </m:sSub>
                        </m:e>
                      </m:d>
                    </m:e>
                    <m:sup>
                      <m:r>
                        <m:t>t</m:t>
                      </m:r>
                    </m:sup>
                  </m:sSup>
                </m:den>
              </m:f>
            </m:e>
          </m:nary>
          <m:r>
            <m:rPr>
              <m:sty m:val="p"/>
            </m:rPr>
            <m:t>−</m:t>
          </m:r>
          <m:r>
            <m:t>P</m:t>
          </m:r>
          <m:r>
            <m:t>F</m:t>
          </m:r>
          <m:r>
            <m:t>P</m:t>
          </m:r>
          <m:r>
            <m:t>A</m:t>
          </m:r>
        </m:oMath>
      </m:oMathPara>
    </w:p>
    <w:p>
      <w:pPr>
        <w:pStyle w:val="FirstParagraph"/>
      </w:pPr>
      <w:r>
        <w:t xml:space="preserve">avec:</w:t>
      </w:r>
    </w:p>
    <w:p>
      <w:pPr>
        <w:numPr>
          <w:ilvl w:val="0"/>
          <w:numId w:val="1021"/>
        </w:numPr>
        <w:pStyle w:val="Compact"/>
      </w:pPr>
      <m:oMath>
        <m:r>
          <m:t>P</m:t>
        </m:r>
        <m:r>
          <m:t>F</m:t>
        </m:r>
        <m:r>
          <m:t>P</m:t>
        </m:r>
        <m:r>
          <m:t>A</m:t>
        </m:r>
      </m:oMath>
      <w:r>
        <w:t xml:space="preserve"> </w:t>
      </w:r>
      <w:r>
        <w:t xml:space="preserve">:Le montant des primes futures probabilisé et actualisé à la date d’inventaire, net des frais d’acquisition, afférentes aux contrats à tacite reconduction</w:t>
      </w:r>
    </w:p>
    <w:p>
      <w:pPr>
        <w:numPr>
          <w:ilvl w:val="0"/>
          <w:numId w:val="1021"/>
        </w:numPr>
        <w:pStyle w:val="Compact"/>
      </w:pPr>
      <m:oMath>
        <m:r>
          <m:t>P</m:t>
        </m:r>
        <m:r>
          <m:t>F</m:t>
        </m:r>
        <m:r>
          <m:t>P</m:t>
        </m:r>
      </m:oMath>
      <w:r>
        <w:t xml:space="preserve">: Le montant des primes futures probabilisé.</w:t>
      </w:r>
    </w:p>
    <w:p>
      <w:pPr>
        <w:numPr>
          <w:ilvl w:val="0"/>
          <w:numId w:val="1021"/>
        </w:numPr>
        <w:pStyle w:val="Compact"/>
      </w:pPr>
      <m:oMath>
        <m:bar>
          <m:barPr>
            <m:pos m:val="top"/>
          </m:barPr>
          <m:e>
            <m:r>
              <m:t>F</m:t>
            </m:r>
            <m:r>
              <m:t>R</m:t>
            </m:r>
            <m:r>
              <m:t>F</m:t>
            </m:r>
            <m:sSub>
              <m:e>
                <m:r>
                  <m:t>P</m:t>
                </m:r>
              </m:e>
              <m:sub>
                <m:r>
                  <m:t>t</m:t>
                </m:r>
              </m:sub>
            </m:sSub>
          </m:e>
        </m:bar>
      </m:oMath>
      <w:r>
        <w:t xml:space="preserve">: La somme actualisée des flux de règlements futurs probabilisés nets de recours relatifs aux sinistres non encore survenus,telle que pour une année de projection donnée:</w:t>
      </w:r>
    </w:p>
    <w:p>
      <w:pPr>
        <w:pStyle w:val="FirstParagraph"/>
      </w:pPr>
      <m:oMathPara>
        <m:oMathParaPr>
          <m:jc m:val="center"/>
        </m:oMathParaPr>
        <m:oMath>
          <m:bar>
            <m:barPr>
              <m:pos m:val="top"/>
            </m:barPr>
            <m:e>
              <m:r>
                <m:t>F</m:t>
              </m:r>
              <m:r>
                <m:t>R</m:t>
              </m:r>
              <m:r>
                <m:t>F</m:t>
              </m:r>
              <m:sSub>
                <m:e>
                  <m:r>
                    <m:t>P</m:t>
                  </m:r>
                </m:e>
                <m:sub>
                  <m:r>
                    <m:t>t</m:t>
                  </m:r>
                </m:sub>
              </m:sSub>
            </m:e>
          </m:bar>
          <m:r>
            <m:rPr>
              <m:sty m:val="p"/>
            </m:rPr>
            <m:t>=</m:t>
          </m:r>
          <m:r>
            <m:t>T</m:t>
          </m:r>
          <m:sSub>
            <m:e>
              <m:r>
                <m:t>x</m:t>
              </m:r>
            </m:e>
            <m:sub>
              <m:r>
                <m:t>l</m:t>
              </m:r>
              <m:r>
                <m:t>i</m:t>
              </m:r>
              <m:r>
                <m:t>q</m:t>
              </m:r>
              <m:r>
                <m:t>u</m:t>
              </m:r>
              <m:r>
                <m:t>i</m:t>
              </m:r>
              <m:r>
                <m:t>d</m:t>
              </m:r>
              <m:r>
                <m:t>a</m:t>
              </m:r>
              <m:r>
                <m:t>t</m:t>
              </m:r>
              <m:r>
                <m:t>i</m:t>
              </m:r>
              <m:r>
                <m:t>o</m:t>
              </m:r>
              <m:r>
                <m:t>n</m:t>
              </m:r>
            </m:sub>
          </m:sSub>
          <m:r>
            <m:rPr>
              <m:sty m:val="p"/>
            </m:rPr>
            <m:t>*</m:t>
          </m:r>
          <m:r>
            <m:t>R</m:t>
          </m:r>
          <m:sSub>
            <m:e>
              <m:r>
                <m:t>S</m:t>
              </m:r>
            </m:e>
            <m:sub>
              <m:r>
                <m:t>m</m:t>
              </m:r>
              <m:r>
                <m:t>o</m:t>
              </m:r>
              <m:r>
                <m:t>y</m:t>
              </m:r>
              <m:r>
                <m:t>e</m:t>
              </m:r>
              <m:r>
                <m:t>n</m:t>
              </m:r>
            </m:sub>
          </m:sSub>
          <m:r>
            <m:rPr>
              <m:sty m:val="p"/>
            </m:rPr>
            <m:t>*</m:t>
          </m:r>
          <m:d>
            <m:dPr>
              <m:begChr m:val="("/>
              <m:endChr m:val=")"/>
              <m:sepChr m:val=""/>
              <m:grow/>
            </m:dPr>
            <m:e>
              <m:r>
                <m:t>P</m:t>
              </m:r>
              <m:r>
                <m:t>P</m:t>
              </m:r>
              <m:r>
                <m:t>N</m:t>
              </m:r>
              <m:r>
                <m:t>A</m:t>
              </m:r>
              <m:r>
                <m:rPr>
                  <m:sty m:val="p"/>
                </m:rPr>
                <m:t>+</m:t>
              </m:r>
              <m:r>
                <m:t>P</m:t>
              </m:r>
              <m:r>
                <m:t>F</m:t>
              </m:r>
              <m:r>
                <m:t>P</m:t>
              </m:r>
            </m:e>
          </m:d>
        </m:oMath>
      </m:oMathPara>
    </w:p>
    <w:p>
      <w:pPr>
        <w:pStyle w:val="FirstParagraph"/>
      </w:pPr>
      <w:r>
        <w:t xml:space="preserve">Où:</w:t>
      </w:r>
    </w:p>
    <w:p>
      <w:pPr>
        <w:numPr>
          <w:ilvl w:val="0"/>
          <w:numId w:val="1022"/>
        </w:numPr>
      </w:pPr>
      <m:oMath>
        <m:r>
          <m:t>T</m:t>
        </m:r>
        <m:sSub>
          <m:e>
            <m:r>
              <m:t>x</m:t>
            </m:r>
          </m:e>
          <m:sub>
            <m:r>
              <m:t>l</m:t>
            </m:r>
            <m:r>
              <m:t>i</m:t>
            </m:r>
            <m:r>
              <m:t>q</m:t>
            </m:r>
            <m:r>
              <m:t>u</m:t>
            </m:r>
            <m:r>
              <m:t>i</m:t>
            </m:r>
            <m:r>
              <m:t>d</m:t>
            </m:r>
            <m:r>
              <m:t>a</m:t>
            </m:r>
            <m:r>
              <m:t>t</m:t>
            </m:r>
            <m:r>
              <m:t>i</m:t>
            </m:r>
            <m:r>
              <m:t>o</m:t>
            </m:r>
            <m:r>
              <m:t>n</m:t>
            </m:r>
          </m:sub>
        </m:sSub>
      </m:oMath>
      <w:r>
        <w:t xml:space="preserve">: le taux de liquidation,il est estimé en fonction de la cadence de liquidation des engagements pour sinistres survenus.</w:t>
      </w:r>
    </w:p>
    <w:p>
      <w:pPr>
        <w:numPr>
          <w:ilvl w:val="0"/>
          <w:numId w:val="1022"/>
        </w:numPr>
      </w:pPr>
      <m:oMath>
        <m:r>
          <m:t>R</m:t>
        </m:r>
        <m:sSub>
          <m:e>
            <m:r>
              <m:t>S</m:t>
            </m:r>
          </m:e>
          <m:sub>
            <m:r>
              <m:t>m</m:t>
            </m:r>
            <m:r>
              <m:t>o</m:t>
            </m:r>
            <m:r>
              <m:t>y</m:t>
            </m:r>
            <m:r>
              <m:t>e</m:t>
            </m:r>
            <m:r>
              <m:t>n</m:t>
            </m:r>
          </m:sub>
        </m:sSub>
      </m:oMath>
      <w:r>
        <w:t xml:space="preserve">: le ratio de sinistralité moyen telle que:</w:t>
      </w:r>
    </w:p>
    <w:p>
      <w:pPr>
        <w:pStyle w:val="BodyText"/>
      </w:pPr>
      <m:oMathPara>
        <m:oMathParaPr>
          <m:jc m:val="center"/>
        </m:oMathParaPr>
        <m:oMath>
          <m:r>
            <m:t>R</m:t>
          </m:r>
          <m:sSub>
            <m:e>
              <m:r>
                <m:t>S</m:t>
              </m:r>
            </m:e>
            <m:sub>
              <m:r>
                <m:t>m</m:t>
              </m:r>
              <m:r>
                <m:t>o</m:t>
              </m:r>
              <m:r>
                <m:t>y</m:t>
              </m:r>
              <m:r>
                <m:t>e</m:t>
              </m:r>
              <m:sSub>
                <m:e>
                  <m:r>
                    <m:t>n</m:t>
                  </m:r>
                </m:e>
                <m:sub>
                  <m:r>
                    <m:t>t</m:t>
                  </m:r>
                </m:sub>
              </m:sSub>
            </m:sub>
          </m:sSub>
          <m:r>
            <m:rPr>
              <m:sty m:val="p"/>
            </m:rPr>
            <m:t>=</m:t>
          </m:r>
          <m:f>
            <m:fPr>
              <m:type m:val="bar"/>
            </m:fPr>
            <m:num>
              <m:r>
                <m:t>C</m:t>
              </m:r>
              <m:sSub>
                <m:e>
                  <m:r>
                    <m:t>U</m:t>
                  </m:r>
                </m:e>
                <m:sub>
                  <m:r>
                    <m:t>t</m:t>
                  </m:r>
                </m:sub>
              </m:sSub>
              <m:r>
                <m:rPr>
                  <m:sty m:val="p"/>
                </m:rPr>
                <m:t>+</m:t>
              </m:r>
              <m:r>
                <m:t>C</m:t>
              </m:r>
              <m:sSub>
                <m:e>
                  <m:r>
                    <m:t>U</m:t>
                  </m:r>
                </m:e>
                <m:sub>
                  <m:r>
                    <m:t>t</m:t>
                  </m:r>
                  <m:r>
                    <m:rPr>
                      <m:sty m:val="p"/>
                    </m:rPr>
                    <m:t>−</m:t>
                  </m:r>
                  <m:r>
                    <m:t>1</m:t>
                  </m:r>
                </m:sub>
              </m:sSub>
              <m:r>
                <m:rPr>
                  <m:sty m:val="p"/>
                </m:rPr>
                <m:t>+</m:t>
              </m:r>
              <m:r>
                <m:t>C</m:t>
              </m:r>
              <m:sSub>
                <m:e>
                  <m:r>
                    <m:t>U</m:t>
                  </m:r>
                </m:e>
                <m:sub>
                  <m:r>
                    <m:t>t</m:t>
                  </m:r>
                  <m:r>
                    <m:rPr>
                      <m:sty m:val="p"/>
                    </m:rPr>
                    <m:t>−</m:t>
                  </m:r>
                  <m:r>
                    <m:t>2</m:t>
                  </m:r>
                </m:sub>
              </m:sSub>
            </m:num>
            <m:den>
              <m:r>
                <m:t>P</m:t>
              </m:r>
              <m:sSub>
                <m:e>
                  <m:r>
                    <m:t>A</m:t>
                  </m:r>
                </m:e>
                <m:sub>
                  <m:r>
                    <m:t>t</m:t>
                  </m:r>
                </m:sub>
              </m:sSub>
              <m:r>
                <m:rPr>
                  <m:sty m:val="p"/>
                </m:rPr>
                <m:t>+</m:t>
              </m:r>
              <m:r>
                <m:t>P</m:t>
              </m:r>
              <m:sSub>
                <m:e>
                  <m:r>
                    <m:t>A</m:t>
                  </m:r>
                </m:e>
                <m:sub>
                  <m:r>
                    <m:t>t</m:t>
                  </m:r>
                  <m:r>
                    <m:rPr>
                      <m:sty m:val="p"/>
                    </m:rPr>
                    <m:t>−</m:t>
                  </m:r>
                  <m:r>
                    <m:t>1</m:t>
                  </m:r>
                </m:sub>
              </m:sSub>
              <m:r>
                <m:rPr>
                  <m:sty m:val="p"/>
                </m:rPr>
                <m:t>+</m:t>
              </m:r>
              <m:r>
                <m:t>P</m:t>
              </m:r>
              <m:sSub>
                <m:e>
                  <m:r>
                    <m:t>A</m:t>
                  </m:r>
                </m:e>
                <m:sub>
                  <m:r>
                    <m:t>t</m:t>
                  </m:r>
                  <m:r>
                    <m:rPr>
                      <m:sty m:val="p"/>
                    </m:rPr>
                    <m:t>−</m:t>
                  </m:r>
                  <m:r>
                    <m:t>2</m:t>
                  </m:r>
                </m:sub>
              </m:sSub>
            </m:den>
          </m:f>
        </m:oMath>
      </m:oMathPara>
    </w:p>
    <w:p>
      <w:pPr>
        <w:numPr>
          <w:ilvl w:val="0"/>
          <w:numId w:val="1022"/>
        </w:numPr>
      </w:pPr>
      <m:oMath>
        <m:r>
          <m:t>C</m:t>
        </m:r>
        <m:r>
          <m:t>U</m:t>
        </m:r>
      </m:oMath>
      <w:r>
        <w:t xml:space="preserve">: [La charge ultime visée correspond, par exercice de survenance, à la somme des règlements cumulés et des règlements futurs au titre de l’année de survenance considérée.] représente la charge ultime.</w:t>
      </w:r>
    </w:p>
    <w:p>
      <w:pPr>
        <w:numPr>
          <w:ilvl w:val="0"/>
          <w:numId w:val="1022"/>
        </w:numPr>
      </w:pPr>
      <m:oMath>
        <m:r>
          <m:t>P</m:t>
        </m:r>
        <m:r>
          <m:t>A</m:t>
        </m:r>
      </m:oMath>
      <w:r>
        <w:t xml:space="preserve"> </w:t>
      </w:r>
      <w:r>
        <w:t xml:space="preserve">les primes acquises.</w:t>
      </w:r>
    </w:p>
    <w:p>
      <w:pPr>
        <w:pStyle w:val="FirstParagraph"/>
      </w:pPr>
      <w:r>
        <w:t xml:space="preserve">Tell que :</w:t>
      </w:r>
    </w:p>
    <w:p>
      <w:pPr>
        <w:pStyle w:val="BodyText"/>
      </w:pPr>
      <m:oMathPara>
        <m:oMathParaPr>
          <m:jc m:val="center"/>
        </m:oMathParaPr>
        <m:oMath>
          <m:r>
            <m:t>C</m:t>
          </m:r>
          <m:sSub>
            <m:e>
              <m:r>
                <m:t>U</m:t>
              </m:r>
            </m:e>
            <m:sub>
              <m:r>
                <m:t>t</m:t>
              </m:r>
            </m:sub>
          </m:sSub>
          <m:r>
            <m:rPr>
              <m:sty m:val="p"/>
            </m:rPr>
            <m:t>=</m:t>
          </m:r>
          <m:r>
            <m:t>R</m:t>
          </m:r>
          <m:r>
            <m:t>e</m:t>
          </m:r>
          <m:r>
            <m:t>g</m:t>
          </m:r>
          <m:r>
            <m:t>C</m:t>
          </m:r>
          <m:r>
            <m:t>u</m:t>
          </m:r>
          <m:r>
            <m:t>m</m:t>
          </m:r>
          <m:r>
            <m:t>u</m:t>
          </m:r>
          <m:r>
            <m:t>l</m:t>
          </m:r>
          <m:r>
            <m:t>e</m:t>
          </m:r>
          <m:sSub>
            <m:e>
              <m:r>
                <m:t>s</m:t>
              </m:r>
            </m:e>
            <m:sub>
              <m:r>
                <m:t>t</m:t>
              </m:r>
            </m:sub>
          </m:sSub>
          <m:r>
            <m:rPr>
              <m:sty m:val="p"/>
            </m:rPr>
            <m:t>+</m:t>
          </m:r>
          <m:r>
            <m:t>R</m:t>
          </m:r>
          <m:r>
            <m:t>e</m:t>
          </m:r>
          <m:r>
            <m:t>g</m:t>
          </m:r>
          <m:r>
            <m:t>F</m:t>
          </m:r>
          <m:r>
            <m:t>u</m:t>
          </m:r>
          <m:r>
            <m:t>t</m:t>
          </m:r>
          <m:r>
            <m:t>u</m:t>
          </m:r>
          <m:r>
            <m:t>r</m:t>
          </m:r>
          <m:r>
            <m:t>e</m:t>
          </m:r>
          <m:sSub>
            <m:e>
              <m:r>
                <m:t>s</m:t>
              </m:r>
            </m:e>
            <m:sub>
              <m:r>
                <m:t>t</m:t>
              </m:r>
            </m:sub>
          </m:sSub>
        </m:oMath>
      </m:oMathPara>
    </w:p>
    <w:p>
      <w:pPr>
        <w:numPr>
          <w:ilvl w:val="0"/>
          <w:numId w:val="1023"/>
        </w:numPr>
        <w:pStyle w:val="Compact"/>
      </w:pPr>
      <m:oMath>
        <m:r>
          <m:t>R</m:t>
        </m:r>
        <m:r>
          <m:t>e</m:t>
        </m:r>
        <m:r>
          <m:t>g</m:t>
        </m:r>
        <m:r>
          <m:t>C</m:t>
        </m:r>
        <m:r>
          <m:t>u</m:t>
        </m:r>
        <m:r>
          <m:t>m</m:t>
        </m:r>
        <m:r>
          <m:t>u</m:t>
        </m:r>
        <m:r>
          <m:t>l</m:t>
        </m:r>
        <m:r>
          <m:t>e</m:t>
        </m:r>
        <m:sSub>
          <m:e>
            <m:r>
              <m:t>s</m:t>
            </m:r>
          </m:e>
          <m:sub>
            <m:r>
              <m:t>t</m:t>
            </m:r>
          </m:sub>
        </m:sSub>
      </m:oMath>
      <w:r>
        <w:t xml:space="preserve"> </w:t>
      </w:r>
      <w:r>
        <w:t xml:space="preserve">: les règlements cumulés</w:t>
      </w:r>
    </w:p>
    <w:p>
      <w:pPr>
        <w:numPr>
          <w:ilvl w:val="0"/>
          <w:numId w:val="1023"/>
        </w:numPr>
        <w:pStyle w:val="Compact"/>
      </w:pPr>
      <m:oMath>
        <m:r>
          <m:t>R</m:t>
        </m:r>
        <m:r>
          <m:t>e</m:t>
        </m:r>
        <m:r>
          <m:t>g</m:t>
        </m:r>
        <m:r>
          <m:t>F</m:t>
        </m:r>
        <m:r>
          <m:t>u</m:t>
        </m:r>
        <m:r>
          <m:t>t</m:t>
        </m:r>
        <m:r>
          <m:t>u</m:t>
        </m:r>
        <m:r>
          <m:t>r</m:t>
        </m:r>
        <m:r>
          <m:t>e</m:t>
        </m:r>
        <m:sSub>
          <m:e>
            <m:r>
              <m:t>s</m:t>
            </m:r>
          </m:e>
          <m:sub>
            <m:r>
              <m:t>t</m:t>
            </m:r>
          </m:sub>
        </m:sSub>
      </m:oMath>
      <w:r>
        <w:t xml:space="preserve">: les règlements futurs</w:t>
      </w:r>
    </w:p>
    <w:p>
      <w:pPr>
        <w:numPr>
          <w:ilvl w:val="0"/>
          <w:numId w:val="1023"/>
        </w:numPr>
        <w:pStyle w:val="Compact"/>
      </w:pPr>
      <m:oMath>
        <m:r>
          <m:t>P</m:t>
        </m:r>
        <m:r>
          <m:t>P</m:t>
        </m:r>
        <m:r>
          <m:t>N</m:t>
        </m:r>
        <m:r>
          <m:t>A</m:t>
        </m:r>
      </m:oMath>
      <w:r>
        <w:t xml:space="preserve">: La provision pour primes non acquises.</w:t>
      </w:r>
    </w:p>
    <w:p>
      <w:pPr>
        <w:numPr>
          <w:ilvl w:val="0"/>
          <w:numId w:val="1023"/>
        </w:numPr>
        <w:pStyle w:val="Compact"/>
      </w:pPr>
      <m:oMath>
        <m:r>
          <m:t>P</m:t>
        </m:r>
        <m:r>
          <m:t>F</m:t>
        </m:r>
        <m:r>
          <m:t>P</m:t>
        </m:r>
      </m:oMath>
      <w:r>
        <w:t xml:space="preserve">: Le montant des primes futures probabilisé.</w:t>
      </w:r>
    </w:p>
    <w:bookmarkEnd w:id="77"/>
    <w:bookmarkStart w:id="78" w:name="X572d2bda42d1df1530f2f73f582d39347f6151e"/>
    <w:p>
      <w:pPr>
        <w:pStyle w:val="Heading5"/>
      </w:pPr>
      <w:r>
        <w:t xml:space="preserve">6.3.1.2 La meilleure estimation des engagements pour sinistres nets (</w:t>
      </w:r>
      <m:oMath>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oMath>
      <w:r>
        <w:t xml:space="preserve">):</w:t>
      </w:r>
    </w:p>
    <w:p>
      <w:pPr>
        <w:pStyle w:val="FirstParagraph"/>
      </w:pPr>
      <w:r>
        <w:t xml:space="preserve">La meilleure estimation des engagements pour sinistres nets de recours est déterminée en actualisant, les flux de règlements futurs probabilisés nets de recours relatifs aux sinistres survenus afférents aux contrats.</w:t>
      </w:r>
    </w:p>
    <w:p>
      <w:pPr>
        <w:pStyle w:val="BodyText"/>
      </w:pPr>
      <m:oMathPara>
        <m:oMathParaPr>
          <m:jc m:val="center"/>
        </m:oMathParaPr>
        <m:oMath>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r>
            <m:rPr>
              <m:sty m:val="p"/>
            </m:rPr>
            <m:t>=</m:t>
          </m:r>
          <m:nary>
            <m:naryPr>
              <m:chr m:val="∑"/>
              <m:limLoc m:val="undOvr"/>
              <m:subHide m:val="0"/>
              <m:supHide m:val="1"/>
            </m:naryPr>
            <m:sub>
              <m:r>
                <m:t>t</m:t>
              </m:r>
              <m:r>
                <m:rPr>
                  <m:sty m:val="p"/>
                </m:rPr>
                <m:t>≥</m:t>
              </m:r>
              <m:r>
                <m:t>1</m:t>
              </m:r>
            </m:sub>
            <m:sup>
              <m:r>
                <m:t>​</m:t>
              </m:r>
            </m:sup>
            <m:e>
              <m:f>
                <m:fPr>
                  <m:type m:val="bar"/>
                </m:fPr>
                <m:num>
                  <m:r>
                    <m:t>F</m:t>
                  </m:r>
                  <m:r>
                    <m:t>R</m:t>
                  </m:r>
                  <m:r>
                    <m:t>F</m:t>
                  </m:r>
                  <m:sSub>
                    <m:e>
                      <m:r>
                        <m:t>P</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24"/>
        </w:numPr>
        <w:pStyle w:val="Compact"/>
      </w:pPr>
      <m:oMath>
        <m:r>
          <m:t>F</m:t>
        </m:r>
        <m:r>
          <m:t>R</m:t>
        </m:r>
        <m:r>
          <m:t>F</m:t>
        </m:r>
        <m:sSub>
          <m:e>
            <m:r>
              <m:t>P</m:t>
            </m:r>
          </m:e>
          <m:sub>
            <m:r>
              <m:t>t</m:t>
            </m:r>
          </m:sub>
        </m:sSub>
      </m:oMath>
      <w:r>
        <w:t xml:space="preserve"> </w:t>
      </w:r>
      <w:r>
        <w:t xml:space="preserve">: les flux de règlements futurs probabilisés nets de recours relatifs aux</w:t>
      </w:r>
      <w:r>
        <w:t xml:space="preserve"> </w:t>
      </w:r>
      <w:r>
        <w:rPr>
          <w:iCs/>
          <w:i/>
        </w:rPr>
        <w:t xml:space="preserve">sinistres survenus</w:t>
      </w:r>
      <w:r>
        <w:t xml:space="preserve">, sont estimés sur la base d’un triangle de règlements par année de survenance net de recours conformément à la méthode l’</w:t>
      </w:r>
      <w:r>
        <w:rPr>
          <w:iCs/>
          <w:i/>
        </w:rPr>
        <w:t xml:space="preserve">annexe N°5</w:t>
      </w:r>
      <w:r>
        <w:t xml:space="preserve"> </w:t>
      </w:r>
      <w:r>
        <w:t xml:space="preserve">de la circulaire de l’ACAPS.</w:t>
      </w:r>
    </w:p>
    <w:bookmarkEnd w:id="78"/>
    <w:bookmarkStart w:id="79" w:name="X574a46407ada84d5774a3057497baf873ebb70b"/>
    <w:p>
      <w:pPr>
        <w:pStyle w:val="Heading5"/>
      </w:pPr>
      <w:r>
        <w:t xml:space="preserve">6.3.1.3 Méthode de calcul des flux de réglements futurs probabilisés pour les opérations non-vie hors rentes</w:t>
      </w:r>
    </w:p>
    <w:bookmarkEnd w:id="79"/>
    <w:bookmarkStart w:id="95" w:name="méthode-des-cadences-chain-ladder"/>
    <w:p>
      <w:pPr>
        <w:pStyle w:val="Heading5"/>
      </w:pPr>
      <w:r>
        <w:t xml:space="preserve">6.3.1.4 Méthode des cadences – Chain Ladder</w:t>
      </w:r>
    </w:p>
    <w:p>
      <w:pPr>
        <w:pStyle w:val="FirstParagraph"/>
      </w:pPr>
      <w:r>
        <w:t xml:space="preserve">La méthode de Chain Ladder est celle spécifiée dans l’</w:t>
      </w:r>
      <w:r>
        <w:rPr>
          <w:iCs/>
          <w:i/>
        </w:rPr>
        <w:t xml:space="preserve">annexe 5</w:t>
      </w:r>
      <w:r>
        <w:t xml:space="preserve"> </w:t>
      </w:r>
      <w:r>
        <w:t xml:space="preserve">de la circulaire de l’</w:t>
      </w:r>
      <m:oMath>
        <m:r>
          <m:t>A</m:t>
        </m:r>
        <m:r>
          <m:t>C</m:t>
        </m:r>
        <m:r>
          <m:t>A</m:t>
        </m:r>
        <m:r>
          <m:t>P</m:t>
        </m:r>
        <m:r>
          <m:t>S</m:t>
        </m:r>
      </m:oMath>
      <w:r>
        <w:t xml:space="preserve"> </w:t>
      </w:r>
      <w:r>
        <w:t xml:space="preserve">sur la</w:t>
      </w:r>
      <w:r>
        <w:t xml:space="preserve"> </w:t>
      </w:r>
      <m:oMath>
        <m:r>
          <m:t>S</m:t>
        </m:r>
        <m:r>
          <m:t>B</m:t>
        </m:r>
        <m:r>
          <m:t>R</m:t>
        </m:r>
      </m:oMath>
      <w:r>
        <w:t xml:space="preserve">.</w:t>
      </w:r>
      <w:r>
        <w:t xml:space="preserve"> </w:t>
      </w:r>
      <w:r>
        <w:t xml:space="preserve">Les méthodes de cadences de règlement se basent sur le principe que la vitesse des règlements, en pourcentage de la charge finale de sinistres, est constante d’une année de survenance à l’autre. Ainsi les paiements réalisés permettent d’estimer les provisions pour sinistres à payer.</w:t>
      </w:r>
      <w:r>
        <w:t xml:space="preserve"> </w:t>
      </w:r>
      <w:r>
        <w:t xml:space="preserve">Cette méthode est l’une des plus utilisée sur le marché. Elle tient cette célébrité de sa simplicité de calcul ainsi que de son ancienneté. Cette méthode est généralement utilisée pour les paiements cumulés, notés</w:t>
      </w:r>
      <w:r>
        <w:t xml:space="preserve"> </w:t>
      </w:r>
      <m:oMath>
        <m:sSub>
          <m:e>
            <m:r>
              <m:t>C</m:t>
            </m:r>
          </m:e>
          <m:sub>
            <m:r>
              <m:t>i</m:t>
            </m:r>
            <m:r>
              <m:rPr>
                <m:sty m:val="p"/>
              </m:rPr>
              <m:t>,</m:t>
            </m:r>
            <m:r>
              <m:t>j</m:t>
            </m:r>
          </m:sub>
        </m:sSub>
      </m:oMath>
      <w:r>
        <w:t xml:space="preserve">, où</w:t>
      </w:r>
      <w:r>
        <w:t xml:space="preserve"> </w:t>
      </w:r>
      <m:oMath>
        <m:r>
          <m:t>i</m:t>
        </m:r>
      </m:oMath>
      <w:r>
        <w:t xml:space="preserve"> </w:t>
      </w:r>
      <w:r>
        <w:t xml:space="preserve">représente l’exercice de survenance et</w:t>
      </w:r>
      <w:r>
        <w:t xml:space="preserve"> </w:t>
      </w:r>
      <m:oMath>
        <m:r>
          <m:t>j</m:t>
        </m:r>
      </m:oMath>
      <w:r>
        <w:t xml:space="preserve"> </w:t>
      </w:r>
      <w:r>
        <w:t xml:space="preserve">représente la période de développement.</w:t>
      </w:r>
    </w:p>
    <w:tbl>
      <w:tblPr>
        <w:tblStyle w:val="Table"/>
        <w:tblW w:type="pct" w:w="5000"/>
        <w:tblLook w:firstRow="1" w:lastRow="0" w:firstColumn="0" w:lastColumn="0" w:noHBand="0" w:noVBand="0" w:val="0020"/>
      </w:tblPr>
      <w:tblGrid>
        <w:gridCol w:w="2869"/>
        <w:gridCol w:w="1262"/>
        <w:gridCol w:w="1262"/>
        <w:gridCol w:w="1262"/>
        <w:gridCol w:w="1262"/>
      </w:tblGrid>
      <w:tr>
        <w:trPr>
          <w:tblHeader w:val="true"/>
        </w:trPr>
        <w:tc>
          <w:tcPr/>
          <w:p>
            <w:pPr>
              <w:pStyle w:val="Compact"/>
              <w:jc w:val="center"/>
            </w:pPr>
            <w:r>
              <w:t xml:space="preserve">Exercice de survenance</w:t>
            </w:r>
          </w:p>
        </w:tc>
        <w:tc>
          <w:tcPr/>
          <w:p>
            <w:pPr>
              <w:pStyle w:val="Compact"/>
              <w:jc w:val="center"/>
            </w:pPr>
            <w:r>
              <w:t xml:space="preserve">1er bilan</w:t>
            </w:r>
          </w:p>
        </w:tc>
        <w:tc>
          <w:tcPr/>
          <w:p>
            <w:pPr>
              <w:pStyle w:val="Compact"/>
              <w:jc w:val="center"/>
            </w:pPr>
            <w:r>
              <w:t xml:space="preserve">2ème bilan</w:t>
            </w:r>
          </w:p>
        </w:tc>
        <w:tc>
          <w:tcPr/>
          <w:p>
            <w:pPr>
              <w:pStyle w:val="Compact"/>
              <w:jc w:val="center"/>
            </w:pPr>
            <w:r>
              <w:t xml:space="preserve">3ème bilan</w:t>
            </w:r>
          </w:p>
        </w:tc>
        <w:tc>
          <w:tcPr/>
          <w:p>
            <w:pPr>
              <w:pStyle w:val="Compact"/>
              <w:jc w:val="center"/>
            </w:pPr>
            <w:r>
              <w:t xml:space="preserve">4ème bilan</w:t>
            </w:r>
          </w:p>
        </w:tc>
      </w:tr>
      <w:tr>
        <w:tc>
          <w:tcPr/>
          <w:p>
            <w:pPr>
              <w:pStyle w:val="Compact"/>
              <w:jc w:val="center"/>
            </w:pPr>
            <w:r>
              <w:t xml:space="preserve">1</w:t>
            </w:r>
          </w:p>
        </w:tc>
        <w:tc>
          <w:tcPr/>
          <w:p>
            <w:pPr>
              <w:pStyle w:val="Compact"/>
              <w:jc w:val="center"/>
            </w:pPr>
            <m:oMath>
              <m:sSub>
                <m:e>
                  <m:r>
                    <m:t>C</m:t>
                  </m:r>
                </m:e>
                <m:sub>
                  <m:r>
                    <m:t>1</m:t>
                  </m:r>
                  <m:r>
                    <m:rPr>
                      <m:sty m:val="p"/>
                    </m:rPr>
                    <m:t>,</m:t>
                  </m:r>
                  <m:r>
                    <m:t>1</m:t>
                  </m:r>
                </m:sub>
              </m:sSub>
            </m:oMath>
          </w:p>
        </w:tc>
        <w:tc>
          <w:tcPr/>
          <w:p>
            <w:pPr>
              <w:pStyle w:val="Compact"/>
              <w:jc w:val="center"/>
            </w:pPr>
            <m:oMath>
              <m:sSub>
                <m:e>
                  <m:r>
                    <m:t>C</m:t>
                  </m:r>
                </m:e>
                <m:sub>
                  <m:r>
                    <m:t>1</m:t>
                  </m:r>
                  <m:r>
                    <m:rPr>
                      <m:sty m:val="p"/>
                    </m:rPr>
                    <m:t>,</m:t>
                  </m:r>
                  <m:r>
                    <m:t>2</m:t>
                  </m:r>
                </m:sub>
              </m:sSub>
            </m:oMath>
          </w:p>
        </w:tc>
        <w:tc>
          <w:tcPr/>
          <w:p>
            <w:pPr>
              <w:pStyle w:val="Compact"/>
              <w:jc w:val="center"/>
            </w:pPr>
            <m:oMath>
              <m:sSub>
                <m:e>
                  <m:r>
                    <m:t>C</m:t>
                  </m:r>
                </m:e>
                <m:sub>
                  <m:r>
                    <m:t>1</m:t>
                  </m:r>
                  <m:r>
                    <m:rPr>
                      <m:sty m:val="p"/>
                    </m:rPr>
                    <m:t>,</m:t>
                  </m:r>
                  <m:r>
                    <m:t>3</m:t>
                  </m:r>
                </m:sub>
              </m:sSub>
            </m:oMath>
          </w:p>
        </w:tc>
        <w:tc>
          <w:tcPr/>
          <w:p>
            <w:pPr>
              <w:pStyle w:val="Compact"/>
              <w:jc w:val="center"/>
            </w:pPr>
            <m:oMath>
              <m:sSub>
                <m:e>
                  <m:r>
                    <m:t>C</m:t>
                  </m:r>
                </m:e>
                <m:sub>
                  <m:r>
                    <m:t>1</m:t>
                  </m:r>
                  <m:r>
                    <m:rPr>
                      <m:sty m:val="p"/>
                    </m:rPr>
                    <m:t>,</m:t>
                  </m:r>
                  <m:r>
                    <m:t>4</m:t>
                  </m:r>
                </m:sub>
              </m:sSub>
            </m:oMath>
          </w:p>
        </w:tc>
      </w:tr>
      <w:tr>
        <w:tc>
          <w:tcPr/>
          <w:p>
            <w:pPr>
              <w:pStyle w:val="Compact"/>
              <w:jc w:val="center"/>
            </w:pPr>
            <w:r>
              <w:t xml:space="preserve">2</w:t>
            </w:r>
          </w:p>
        </w:tc>
        <w:tc>
          <w:tcPr/>
          <w:p>
            <w:pPr>
              <w:pStyle w:val="Compact"/>
              <w:jc w:val="center"/>
            </w:pPr>
            <m:oMath>
              <m:sSub>
                <m:e>
                  <m:r>
                    <m:t>C</m:t>
                  </m:r>
                </m:e>
                <m:sub>
                  <m:r>
                    <m:t>2</m:t>
                  </m:r>
                  <m:r>
                    <m:rPr>
                      <m:sty m:val="p"/>
                    </m:rPr>
                    <m:t>,</m:t>
                  </m:r>
                  <m:r>
                    <m:t>1</m:t>
                  </m:r>
                </m:sub>
              </m:sSub>
            </m:oMath>
          </w:p>
        </w:tc>
        <w:tc>
          <w:tcPr/>
          <w:p>
            <w:pPr>
              <w:pStyle w:val="Compact"/>
              <w:jc w:val="center"/>
            </w:pPr>
            <m:oMath>
              <m:sSub>
                <m:e>
                  <m:r>
                    <m:t>C</m:t>
                  </m:r>
                </m:e>
                <m:sub>
                  <m:r>
                    <m:t>2</m:t>
                  </m:r>
                  <m:r>
                    <m:rPr>
                      <m:sty m:val="p"/>
                    </m:rPr>
                    <m:t>,</m:t>
                  </m:r>
                  <m:r>
                    <m:t>2</m:t>
                  </m:r>
                </m:sub>
              </m:sSub>
            </m:oMath>
          </w:p>
        </w:tc>
        <w:tc>
          <w:tcPr/>
          <w:p>
            <w:pPr>
              <w:pStyle w:val="Compact"/>
              <w:jc w:val="center"/>
            </w:pPr>
            <m:oMath>
              <m:sSub>
                <m:e>
                  <m:r>
                    <m:t>C</m:t>
                  </m:r>
                </m:e>
                <m:sub>
                  <m:r>
                    <m:t>2</m:t>
                  </m:r>
                  <m:r>
                    <m:rPr>
                      <m:sty m:val="p"/>
                    </m:rPr>
                    <m:t>,</m:t>
                  </m:r>
                  <m:r>
                    <m:t>3</m:t>
                  </m:r>
                </m:sub>
              </m:sSub>
            </m:oMath>
          </w:p>
        </w:tc>
        <w:tc>
          <w:tcPr/>
          <w:p>
            <w:pPr>
              <w:pStyle w:val="Compact"/>
            </w:pPr>
          </w:p>
        </w:tc>
      </w:tr>
      <w:tr>
        <w:tc>
          <w:tcPr/>
          <w:p>
            <w:pPr>
              <w:pStyle w:val="Compact"/>
              <w:jc w:val="center"/>
            </w:pPr>
            <w:r>
              <w:t xml:space="preserve">3</w:t>
            </w:r>
          </w:p>
        </w:tc>
        <w:tc>
          <w:tcPr/>
          <w:p>
            <w:pPr>
              <w:pStyle w:val="Compact"/>
              <w:jc w:val="center"/>
            </w:pPr>
            <m:oMath>
              <m:sSub>
                <m:e>
                  <m:r>
                    <m:t>C</m:t>
                  </m:r>
                </m:e>
                <m:sub>
                  <m:r>
                    <m:t>3</m:t>
                  </m:r>
                  <m:r>
                    <m:rPr>
                      <m:sty m:val="p"/>
                    </m:rPr>
                    <m:t>,</m:t>
                  </m:r>
                  <m:r>
                    <m:t>1</m:t>
                  </m:r>
                </m:sub>
              </m:sSub>
            </m:oMath>
          </w:p>
        </w:tc>
        <w:tc>
          <w:tcPr/>
          <w:p>
            <w:pPr>
              <w:pStyle w:val="Compact"/>
              <w:jc w:val="center"/>
            </w:pPr>
            <m:oMath>
              <m:sSub>
                <m:e>
                  <m:r>
                    <m:t>C</m:t>
                  </m:r>
                </m:e>
                <m:sub>
                  <m:r>
                    <m:t>3</m:t>
                  </m:r>
                  <m:r>
                    <m:rPr>
                      <m:sty m:val="p"/>
                    </m:rPr>
                    <m:t>,</m:t>
                  </m:r>
                  <m:r>
                    <m:t>2</m:t>
                  </m:r>
                </m:sub>
              </m:sSub>
            </m:oMath>
          </w:p>
        </w:tc>
        <w:tc>
          <w:tcPr/>
          <w:p>
            <w:pPr>
              <w:pStyle w:val="Compact"/>
            </w:pPr>
          </w:p>
        </w:tc>
        <w:tc>
          <w:tcPr/>
          <w:p>
            <w:pPr>
              <w:pStyle w:val="Compact"/>
            </w:pPr>
          </w:p>
        </w:tc>
      </w:tr>
      <w:tr>
        <w:tc>
          <w:tcPr/>
          <w:p>
            <w:pPr>
              <w:pStyle w:val="Compact"/>
              <w:jc w:val="center"/>
            </w:pPr>
            <w:r>
              <w:t xml:space="preserve">4</w:t>
            </w:r>
          </w:p>
        </w:tc>
        <w:tc>
          <w:tcPr/>
          <w:p>
            <w:pPr>
              <w:pStyle w:val="Compact"/>
              <w:jc w:val="center"/>
            </w:pPr>
            <m:oMath>
              <m:sSub>
                <m:e>
                  <m:r>
                    <m:t>C</m:t>
                  </m:r>
                </m:e>
                <m:sub>
                  <m:r>
                    <m:t>4</m:t>
                  </m:r>
                  <m:r>
                    <m:rPr>
                      <m:sty m:val="p"/>
                    </m:rPr>
                    <m:t>,</m:t>
                  </m:r>
                  <m:r>
                    <m:t>1</m:t>
                  </m:r>
                </m:sub>
              </m:sSub>
            </m:oMath>
          </w:p>
        </w:tc>
        <w:tc>
          <w:tcPr/>
          <w:p>
            <w:pPr>
              <w:pStyle w:val="Compact"/>
            </w:pPr>
          </w:p>
        </w:tc>
        <w:tc>
          <w:tcPr/>
          <w:p>
            <w:pPr>
              <w:pStyle w:val="Compact"/>
            </w:pPr>
          </w:p>
        </w:tc>
        <w:tc>
          <w:tcPr/>
          <w:p>
            <w:pPr>
              <w:pStyle w:val="Compact"/>
            </w:pPr>
          </w:p>
        </w:tc>
      </w:tr>
    </w:tbl>
    <w:p>
      <w:pPr>
        <w:pStyle w:val="BodyText"/>
      </w:pPr>
      <w:r>
        <w:t xml:space="preserve">Conformément à la spécification technique de l’ACAPS, l’estimation des flux de règlements futurs probabilisés nets de recours relatifs aux sinistres survenus (</w:t>
      </w:r>
      <m:oMath>
        <m:r>
          <m:t>F</m:t>
        </m:r>
        <m:r>
          <m:t>R</m:t>
        </m:r>
        <m:r>
          <m:t>F</m:t>
        </m:r>
        <m:r>
          <m:t>P</m:t>
        </m:r>
      </m:oMath>
      <w:r>
        <w:t xml:space="preserve">) passe par les étapes citées ci-aprés.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C:\PROGRA~1\RStudio\RESOUR~1\app\bin\quarto\share\formats\docx\note.png" id="8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1 : Constitution du triangle des règlements cumulés net de recours</w:t>
            </w:r>
          </w:p>
        </w:tc>
      </w:tr>
      <w:tr>
        <w:trPr>
          <w:cantSplit/>
        </w:trPr>
        <w:tc>
          <w:tcPr>
            <w:tcMar>
              <w:top w:w="108" w:type="dxa"/>
              <w:bottom w:w="108" w:type="dxa"/>
            </w:tcMar>
          </w:tcPr>
          <w:p>
            <w:pPr>
              <w:pStyle w:val="BodyText"/>
            </w:pPr>
            <w:pPr>
              <w:spacing w:before="16" w:after="16"/>
            </w:pPr>
            <w:r>
              <w:t xml:space="preserve">Pour chaque année de survenance, on construit le triangle des règlements nets de recours à partir des données d’inventaire. La longueur d’historique des triangles des règlements doit correspondre à la nature du risque analysé et couvrir toute la durée de vie des engagements à la date d’inventaire. L’entreprise d’assurances et de réassurance doit expliquer pourquoi la méthode utilisée pour sa détermination est adaptée.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C:\PROGRA~1\RStudio\RESOUR~1\app\bin\quarto\share\formats\docx\note.png" id="84"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2 : Calcul des facteurs de développement individuels</w:t>
            </w:r>
          </w:p>
        </w:tc>
      </w:tr>
      <w:tr>
        <w:trPr>
          <w:cantSplit/>
        </w:trPr>
        <w:tc>
          <w:tcPr>
            <w:tcMar>
              <w:top w:w="108" w:type="dxa"/>
              <w:bottom w:w="108" w:type="dxa"/>
            </w:tcMar>
          </w:tcPr>
          <w:p>
            <w:pPr>
              <w:pStyle w:val="BodyText"/>
            </w:pPr>
            <w:pPr>
              <w:spacing w:before="16"/>
            </w:pPr>
            <w:r>
              <w:t xml:space="preserve">Ils sont déterminés à partir du ttirangle de réglement cumulé par la formule suivante :</w:t>
            </w:r>
          </w:p>
          <w:p>
            <w:pPr>
              <w:pStyle w:val="BodyText"/>
            </w:pPr>
            <w:pPr>
              <w:spacing w:after="16"/>
            </w:pPr>
          </w:p>
          <w:p>
            <w:pPr>
              <w:pStyle w:val="BodyText"/>
            </w:pPr>
            <m:oMathPara>
              <m:oMathParaPr>
                <m:jc m:val="center"/>
              </m:oMathParaPr>
              <m:oMath>
                <m:sSub>
                  <m:e>
                    <m:r>
                      <m:t>f</m:t>
                    </m:r>
                  </m:e>
                  <m:sub>
                    <m:r>
                      <m:t>i</m:t>
                    </m:r>
                    <m:r>
                      <m:rPr>
                        <m:sty m:val="p"/>
                      </m:rPr>
                      <m:t>,</m:t>
                    </m:r>
                    <m:r>
                      <m:t>j</m:t>
                    </m:r>
                  </m:sub>
                </m:sSub>
                <m:r>
                  <m:rPr>
                    <m:sty m:val="p"/>
                  </m:rPr>
                  <m:t>=</m:t>
                </m:r>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r>
                  <m:t> </m:t>
                </m:r>
                <m:r>
                  <m:rPr>
                    <m:nor/>
                    <m:sty m:val="p"/>
                  </m:rPr>
                  <m:t>pour </m:t>
                </m:r>
                <m:r>
                  <m:t>i</m:t>
                </m:r>
                <m:r>
                  <m:rPr>
                    <m:sty m:val="p"/>
                  </m:rPr>
                  <m:t>×</m:t>
                </m:r>
                <m:r>
                  <m:t>j</m:t>
                </m:r>
                <m:r>
                  <m:rPr>
                    <m:sty m:val="p"/>
                  </m:rPr>
                  <m:t>∈</m:t>
                </m:r>
                <m:r>
                  <m:rPr>
                    <m:sty m:val="p"/>
                  </m:rPr>
                  <m:t>{</m:t>
                </m:r>
                <m:r>
                  <m:t>1</m:t>
                </m:r>
                <m:r>
                  <m:rPr>
                    <m:sty m:val="p"/>
                  </m:rPr>
                  <m:t>,</m:t>
                </m:r>
                <m:r>
                  <m:rPr>
                    <m:sty m:val="p"/>
                  </m:rPr>
                  <m:t>…</m:t>
                </m:r>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C:\PROGRA~1\RStudio\RESOUR~1\app\bin\quarto\share\formats\docx\note.png" id="86"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3 : Vérification des hypothèses</w:t>
            </w:r>
          </w:p>
        </w:tc>
      </w:tr>
      <w:tr>
        <w:trPr>
          <w:cantSplit/>
        </w:trPr>
        <w:tc>
          <w:tcPr>
            <w:tcMar>
              <w:top w:w="108" w:type="dxa"/>
              <w:bottom w:w="108" w:type="dxa"/>
            </w:tcMar>
          </w:tcPr>
          <w:p>
            <w:pPr>
              <w:pStyle w:val="BodyText"/>
            </w:pPr>
            <w:pPr>
              <w:spacing w:before="16"/>
            </w:pPr>
            <w:r>
              <w:t xml:space="preserve">Cette méthode reposes sur certaines hypothèses qui faudrait vérifier avant de poursuivre les calculs.</w:t>
            </w:r>
          </w:p>
          <w:p>
            <w:pPr>
              <w:numPr>
                <w:ilvl w:val="0"/>
                <w:numId w:val="1025"/>
              </w:numPr>
              <w:pStyle w:val="Compact"/>
            </w:pPr>
            <w:r>
              <w:rPr>
                <w:iCs/>
                <w:i/>
              </w:rPr>
              <w:t xml:space="preserve">Hypothèse Nº1</w:t>
            </w:r>
            <w:r>
              <w:t xml:space="preserve"> </w:t>
            </w:r>
            <w:r>
              <w:t xml:space="preserve">: Pour</w:t>
            </w:r>
            <w:r>
              <w:t xml:space="preserve"> </w:t>
            </w:r>
            <m:oMath>
              <m:r>
                <m:t>j</m:t>
              </m:r>
            </m:oMath>
            <w:r>
              <w:t xml:space="preserve"> </w:t>
            </w:r>
            <w:r>
              <w:t xml:space="preserve">allant de</w:t>
            </w:r>
            <w:r>
              <w:t xml:space="preserve"> </w:t>
            </w:r>
            <m:oMath>
              <m:r>
                <m:t>1</m:t>
              </m:r>
            </m:oMath>
            <w:r>
              <w:t xml:space="preserve"> </w:t>
            </w:r>
            <w:r>
              <w:t xml:space="preserve">à</w:t>
            </w:r>
            <w:r>
              <w:t xml:space="preserve"> </w:t>
            </w:r>
            <m:oMath>
              <m:r>
                <m:t>n</m:t>
              </m:r>
            </m:oMath>
            <w:r>
              <w:t xml:space="preserve"> </w:t>
            </w:r>
            <w:r>
              <w:t xml:space="preserve">, les facteurs de développement</w:t>
            </w:r>
            <w:r>
              <w:t xml:space="preserve"> </w:t>
            </w:r>
            <m:oMath>
              <m:sSub>
                <m:e>
                  <m:r>
                    <m:t>f</m:t>
                  </m:r>
                </m:e>
                <m:sub>
                  <m:r>
                    <m:t>i</m:t>
                  </m:r>
                  <m:r>
                    <m:rPr>
                      <m:sty m:val="p"/>
                    </m:rPr>
                    <m:t>,</m:t>
                  </m:r>
                  <m:r>
                    <m:t>j</m:t>
                  </m:r>
                </m:sub>
              </m:sSub>
            </m:oMath>
            <w:r>
              <w:t xml:space="preserve"> </w:t>
            </w:r>
            <w:r>
              <w:t xml:space="preserve">sont indépendants de l’année desurvenance.</w:t>
            </w:r>
          </w:p>
          <w:p>
            <w:pPr>
              <w:pStyle w:val="FirstParagraph"/>
            </w:pPr>
            <w:r>
              <w:t xml:space="preserve">Les facteurs de développement individuels pour une année de développement j ne doivent pas s’écarter significativement de la moyenne des facteurs de développement individuels pour cette même année.</w:t>
            </w:r>
          </w:p>
          <w:p>
            <w:pPr>
              <w:numPr>
                <w:ilvl w:val="0"/>
                <w:numId w:val="1026"/>
              </w:numPr>
              <w:pStyle w:val="Compact"/>
            </w:pPr>
            <w:r>
              <w:rPr>
                <w:iCs/>
                <w:i/>
              </w:rPr>
              <w:t xml:space="preserve">Hypothèse Nº2</w:t>
            </w:r>
            <w:r>
              <w:t xml:space="preserve"> </w:t>
            </w:r>
            <w:r>
              <w:t xml:space="preserve">:</w:t>
            </w:r>
            <w:r>
              <w:t xml:space="preserve"> </w:t>
            </w:r>
            <w:r>
              <w:t xml:space="preserve">L’hypothèse centrale de cette méthode est celle de la stabilité des cadences de paiements.</w:t>
            </w:r>
            <w:r>
              <w:t xml:space="preserve"> </w:t>
            </w:r>
            <w:r>
              <w:t xml:space="preserve">Il existe des facteurs de développements</w:t>
            </w:r>
            <w:r>
              <w:t xml:space="preserve"> </w:t>
            </w:r>
            <m:oMath>
              <m:sSub>
                <m:e>
                  <m:r>
                    <m:t>f</m:t>
                  </m:r>
                </m:e>
                <m:sub>
                  <m:r>
                    <m:t>0</m:t>
                  </m:r>
                </m:sub>
              </m:sSub>
              <m:r>
                <m:rPr>
                  <m:sty m:val="p"/>
                </m:rPr>
                <m:t>,</m:t>
              </m:r>
              <m:r>
                <m:rPr>
                  <m:sty m:val="p"/>
                </m:rPr>
                <m:t>…</m:t>
              </m:r>
              <m:r>
                <m:rPr>
                  <m:sty m:val="p"/>
                </m:rPr>
                <m:t>,</m:t>
              </m:r>
              <m:sSub>
                <m:e>
                  <m:r>
                    <m:t>f</m:t>
                  </m:r>
                </m:e>
                <m:sub>
                  <m:r>
                    <m:t>n</m:t>
                  </m:r>
                  <m:r>
                    <m:rPr>
                      <m:sty m:val="p"/>
                    </m:rPr>
                    <m:t>−</m:t>
                  </m:r>
                  <m:r>
                    <m:t>1</m:t>
                  </m:r>
                </m:sub>
              </m:sSub>
              <m:r>
                <m:rPr>
                  <m:sty m:val="p"/>
                </m:rPr>
                <m:t>&gt;</m:t>
              </m:r>
              <m:r>
                <m:t>0</m:t>
              </m:r>
            </m:oMath>
            <w:r>
              <w:t xml:space="preserve"> </w:t>
            </w:r>
            <w:r>
              <w:t xml:space="preserve">tels que</w:t>
            </w:r>
            <w:r>
              <w:t xml:space="preserve"> </w:t>
            </w:r>
            <m:oMath>
              <m:r>
                <m:rPr>
                  <m:sty m:val="p"/>
                </m:rPr>
                <m:t>∀</m:t>
              </m:r>
              <m:r>
                <m:t>0</m:t>
              </m:r>
              <m:r>
                <m:rPr>
                  <m:sty m:val="p"/>
                </m:rPr>
                <m:t>≤</m:t>
              </m:r>
              <m:r>
                <m:t>i</m:t>
              </m:r>
              <m:r>
                <m:rPr>
                  <m:sty m:val="p"/>
                </m:rPr>
                <m:t>≤</m:t>
              </m:r>
              <m:r>
                <m:t>n</m:t>
              </m:r>
            </m:oMath>
            <w:r>
              <w:t xml:space="preserve"> </w:t>
            </w:r>
            <w:r>
              <w:t xml:space="preserve">et</w:t>
            </w:r>
            <w:r>
              <w:t xml:space="preserve"> </w:t>
            </w:r>
            <m:oMath>
              <m:r>
                <m:rPr>
                  <m:sty m:val="p"/>
                </m:rPr>
                <m:t>∀</m:t>
              </m:r>
              <m:r>
                <m:t>0</m:t>
              </m:r>
              <m:r>
                <m:rPr>
                  <m:sty m:val="p"/>
                </m:rPr>
                <m:t>≤</m:t>
              </m:r>
              <m:r>
                <m:t>j</m:t>
              </m:r>
              <m:r>
                <m:rPr>
                  <m:sty m:val="p"/>
                </m:rPr>
                <m:t>≤</m:t>
              </m:r>
              <m:r>
                <m:t>n</m:t>
              </m:r>
            </m:oMath>
            <w:r>
              <w:t xml:space="preserve">, on a :</w:t>
            </w:r>
            <w:r>
              <w:t xml:space="preserve"> </w:t>
            </w:r>
            <m:oMath>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0</m:t>
                      </m:r>
                    </m:sub>
                  </m:sSub>
                  <m:r>
                    <m:rPr>
                      <m:sty m:val="p"/>
                    </m:rPr>
                    <m:t>,</m:t>
                  </m:r>
                  <m:r>
                    <m:rPr>
                      <m:sty m:val="p"/>
                    </m:rPr>
                    <m:t>…</m:t>
                  </m:r>
                  <m:r>
                    <m:rPr>
                      <m:sty m:val="p"/>
                    </m:rPr>
                    <m:t>,</m:t>
                  </m:r>
                  <m:sSub>
                    <m:e>
                      <m:r>
                        <m:t>C</m:t>
                      </m:r>
                    </m:e>
                    <m:sub>
                      <m:r>
                        <m:t>i</m:t>
                      </m:r>
                      <m:r>
                        <m:rPr>
                          <m:sty m:val="p"/>
                        </m:rPr>
                        <m:t>,</m:t>
                      </m:r>
                      <m:r>
                        <m:t>j</m:t>
                      </m:r>
                      <m:r>
                        <m:rPr>
                          <m:sty m:val="p"/>
                        </m:rPr>
                        <m:t>−</m:t>
                      </m:r>
                      <m:r>
                        <m:t>1</m:t>
                      </m:r>
                    </m:sub>
                  </m:sSub>
                </m:e>
              </m:d>
              <m:r>
                <m:rPr>
                  <m:sty m:val="p"/>
                </m:rPr>
                <m:t>=</m:t>
              </m:r>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j</m:t>
                      </m:r>
                      <m:r>
                        <m:rPr>
                          <m:sty m:val="p"/>
                        </m:rPr>
                        <m:t>−</m:t>
                      </m:r>
                      <m:r>
                        <m:t>1</m:t>
                      </m:r>
                    </m:sub>
                  </m:sSub>
                </m:e>
              </m:d>
              <m:r>
                <m:rPr>
                  <m:sty m:val="p"/>
                </m:rPr>
                <m:t>=</m:t>
              </m:r>
              <m:sSub>
                <m:e>
                  <m:r>
                    <m:t>f</m:t>
                  </m:r>
                </m:e>
                <m:sub>
                  <m:r>
                    <m:t>j</m:t>
                  </m:r>
                  <m:r>
                    <m:rPr>
                      <m:sty m:val="p"/>
                    </m:rPr>
                    <m:t>−</m:t>
                  </m:r>
                  <m:r>
                    <m:t>1</m:t>
                  </m:r>
                </m:sub>
              </m:sSub>
              <m:sSub>
                <m:e>
                  <m:r>
                    <m:t>C</m:t>
                  </m:r>
                </m:e>
                <m:sub>
                  <m:r>
                    <m:t>i</m:t>
                  </m:r>
                  <m:r>
                    <m:rPr>
                      <m:sty m:val="p"/>
                    </m:rPr>
                    <m:t>,</m:t>
                  </m:r>
                  <m:r>
                    <m:t>j</m:t>
                  </m:r>
                  <m:r>
                    <m:rPr>
                      <m:sty m:val="p"/>
                    </m:rPr>
                    <m:t>−</m:t>
                  </m:r>
                  <m:r>
                    <m:t>1</m:t>
                  </m:r>
                </m:sub>
              </m:sSub>
            </m:oMath>
            <w:r>
              <w:t xml:space="preserve">.</w:t>
            </w:r>
          </w:p>
          <w:p>
            <w:pPr>
              <w:pStyle w:val="FirstParagraph"/>
            </w:pPr>
            <w:pPr>
              <w:spacing w:after="16"/>
            </w:pPr>
            <w:r>
              <w:t xml:space="preserve">Pour chaque année de développement</w:t>
            </w:r>
            <w:r>
              <w:t xml:space="preserve"> </w:t>
            </w:r>
            <m:oMath>
              <m:r>
                <m:t>j</m:t>
              </m:r>
            </m:oMath>
            <w:r>
              <w:t xml:space="preserve">, le nuage de points représentant les règlements cumulés de d’une année</w:t>
            </w:r>
            <w:r>
              <w:t xml:space="preserve"> </w:t>
            </w:r>
            <m:oMath>
              <m:r>
                <m:t>j</m:t>
              </m:r>
              <m:r>
                <m:rPr>
                  <m:sty m:val="p"/>
                </m:rPr>
                <m:t>+</m:t>
              </m:r>
              <m:r>
                <m:t>1</m:t>
              </m:r>
            </m:oMath>
            <w:r>
              <w:t xml:space="preserve"> </w:t>
            </w:r>
            <w:r>
              <w:t xml:space="preserve">par rapport aux règlements cumulés de l’année j doit être approché significativement par une droite.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C:\PROGRA~1\RStudio\RESOUR~1\app\bin\quarto\share\formats\docx\note.png" id="88"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4 : Calcul des facteurs de développement communs</w:t>
            </w:r>
          </w:p>
        </w:tc>
      </w:tr>
      <w:tr>
        <w:trPr>
          <w:cantSplit/>
        </w:trPr>
        <w:tc>
          <w:tcPr>
            <w:tcMar>
              <w:top w:w="108" w:type="dxa"/>
              <w:bottom w:w="108" w:type="dxa"/>
            </w:tcMar>
          </w:tcPr>
          <w:p>
            <w:pPr>
              <w:pStyle w:val="BodyText"/>
            </w:pPr>
            <w:pPr>
              <w:spacing w:before="16"/>
            </w:pPr>
            <w:r>
              <w:t xml:space="preserve">Un facteur de développement commun est un coefficient qui permet de prédire les données futures manquantes à partir des données observées. La formule pour calculer les facteurs de développement communs est la suivante :</w:t>
            </w:r>
          </w:p>
          <w:p>
            <w:pPr>
              <w:pStyle w:val="BodyText"/>
            </w:pPr>
            <m:oMathPara>
              <m:oMathParaPr>
                <m:jc m:val="center"/>
              </m:oMathParaPr>
              <m:oMath>
                <m:sSub>
                  <m:e>
                    <m:acc>
                      <m:accPr>
                        <m:chr m:val="̂"/>
                      </m:accPr>
                      <m:e>
                        <m:r>
                          <m:t>f</m:t>
                        </m:r>
                      </m:e>
                    </m:acc>
                  </m:e>
                  <m:sub>
                    <m:r>
                      <m:t>j</m:t>
                    </m:r>
                  </m:sub>
                </m:sSub>
                <m:r>
                  <m:rPr>
                    <m:sty m:val="p"/>
                  </m:rPr>
                  <m:t>=</m:t>
                </m:r>
                <m:f>
                  <m:fPr>
                    <m:type m:val="bar"/>
                  </m:fPr>
                  <m:num>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r>
                              <m:rPr>
                                <m:sty m:val="p"/>
                              </m:rPr>
                              <m:t>+</m:t>
                            </m:r>
                            <m:r>
                              <m:t>1</m:t>
                            </m:r>
                          </m:sub>
                        </m:sSub>
                      </m:e>
                    </m:nary>
                  </m:num>
                  <m:den>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sub>
                        </m:sSub>
                      </m:e>
                    </m:nary>
                  </m:den>
                </m:f>
              </m:oMath>
            </m:oMathPara>
          </w:p>
          <w:p>
            <w:pPr>
              <w:pStyle w:val="FirstParagraph"/>
            </w:pPr>
            <w:pPr>
              <w:spacing w:after="16"/>
            </w:pPr>
            <w:r>
              <w:t xml:space="preserve">où</w:t>
            </w:r>
            <w:r>
              <w:t xml:space="preserve"> </w:t>
            </w:r>
            <m:oMath>
              <m:sSub>
                <m:e>
                  <m:r>
                    <m:t>f</m:t>
                  </m:r>
                </m:e>
                <m:sub>
                  <m:r>
                    <m:t>j</m:t>
                  </m:r>
                </m:sub>
              </m:sSub>
            </m:oMath>
            <w:r>
              <w:t xml:space="preserve"> </w:t>
            </w:r>
            <w:r>
              <w:t xml:space="preserve">est le facteur de développement commun de l’année de développement</w:t>
            </w:r>
            <w:r>
              <w:t xml:space="preserve"> </w:t>
            </w:r>
            <m:oMath>
              <m:r>
                <m:t>j</m:t>
              </m:r>
            </m:oMath>
            <w:r>
              <w:t xml:space="preserve"> </w:t>
            </w:r>
            <w:r>
              <w:t xml:space="preserve">à</w:t>
            </w:r>
            <w:r>
              <w:t xml:space="preserve"> </w:t>
            </w:r>
            <m:oMath>
              <m:r>
                <m:t>j</m:t>
              </m:r>
              <m:r>
                <m:rPr>
                  <m:sty m:val="p"/>
                </m:rPr>
                <m:t>+</m:t>
              </m:r>
              <m:r>
                <m:t>1</m:t>
              </m:r>
            </m:oMath>
            <w:r>
              <w:t xml:space="preserve">,</w:t>
            </w:r>
            <w:r>
              <w:t xml:space="preserve"> </w:t>
            </w:r>
            <m:oMath>
              <m:sSub>
                <m:e>
                  <m:r>
                    <m:t>C</m:t>
                  </m:r>
                </m:e>
                <m:sub>
                  <m:r>
                    <m:t>i</m:t>
                  </m:r>
                  <m:r>
                    <m:rPr>
                      <m:sty m:val="p"/>
                    </m:rPr>
                    <m:t>,</m:t>
                  </m:r>
                  <m:r>
                    <m:t>j</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j</m:t>
              </m:r>
            </m:oMath>
            <w:r>
              <w:t xml:space="preserve">, et</w:t>
            </w:r>
            <w:r>
              <w:t xml:space="preserve"> </w:t>
            </w:r>
            <m:oMath>
              <m:r>
                <m:t>n</m:t>
              </m:r>
            </m:oMath>
            <w:r>
              <w:t xml:space="preserve"> </w:t>
            </w:r>
            <w:r>
              <w:t xml:space="preserve">est le nombre d’années de survenance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C:\PROGRA~1\RStudio\RESOUR~1\app\bin\quarto\share\formats\docx\note.png" id="90"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5 :Calcul des règlements cumulés futurs par année de survenance</w:t>
            </w:r>
          </w:p>
        </w:tc>
      </w:tr>
      <w:tr>
        <w:trPr>
          <w:cantSplit/>
        </w:trPr>
        <w:tc>
          <w:tcPr>
            <w:tcMar>
              <w:top w:w="108" w:type="dxa"/>
              <w:bottom w:w="108" w:type="dxa"/>
            </w:tcMar>
          </w:tcPr>
          <w:p>
            <w:pPr>
              <w:pStyle w:val="BodyText"/>
            </w:pPr>
            <w:pPr>
              <w:spacing w:before="16"/>
            </w:pPr>
            <w:r>
              <w:t xml:space="preserve">Les règlements cumulés futurs sont estimés sur la base du triangle cumulé comme suit :</w:t>
            </w:r>
          </w:p>
          <w:p>
            <w:pPr>
              <w:pStyle w:val="BodyText"/>
            </w:pPr>
            <m:oMathPara>
              <m:oMathParaPr>
                <m:jc m:val="center"/>
              </m:oMathParaPr>
              <m:oMath>
                <m:sSub>
                  <m:e>
                    <m:acc>
                      <m:accPr>
                        <m:chr m:val="̂"/>
                      </m:accPr>
                      <m:e>
                        <m:r>
                          <m:t>C</m:t>
                        </m:r>
                      </m:e>
                    </m:acc>
                  </m:e>
                  <m:sub>
                    <m:r>
                      <m:t>i</m:t>
                    </m:r>
                    <m:r>
                      <m:rPr>
                        <m:sty m:val="p"/>
                      </m:rPr>
                      <m:t>,</m:t>
                    </m:r>
                    <m:r>
                      <m:t>j</m:t>
                    </m:r>
                    <m:r>
                      <m:rPr>
                        <m:sty m:val="p"/>
                      </m:rPr>
                      <m:t>+</m:t>
                    </m:r>
                    <m:r>
                      <m:t>1</m:t>
                    </m:r>
                  </m:sub>
                </m:sSub>
                <m:r>
                  <m:rPr>
                    <m:sty m:val="p"/>
                  </m:rPr>
                  <m:t>=</m:t>
                </m:r>
                <m:sSub>
                  <m:e>
                    <m:r>
                      <m:t>C</m:t>
                    </m:r>
                  </m:e>
                  <m:sub>
                    <m:r>
                      <m:t>i</m:t>
                    </m:r>
                    <m:r>
                      <m:rPr>
                        <m:sty m:val="p"/>
                      </m:rPr>
                      <m:t>,</m:t>
                    </m:r>
                    <m:r>
                      <m:t>n</m:t>
                    </m:r>
                    <m:r>
                      <m:rPr>
                        <m:sty m:val="p"/>
                      </m:rPr>
                      <m:t>−</m:t>
                    </m:r>
                    <m:r>
                      <m:t>i</m:t>
                    </m:r>
                  </m:sub>
                </m:sSub>
                <m:r>
                  <m:rPr>
                    <m:sty m:val="p"/>
                  </m:rPr>
                  <m:t>×</m:t>
                </m:r>
                <m:nary>
                  <m:naryPr>
                    <m:chr m:val="∏"/>
                    <m:limLoc m:val="undOvr"/>
                    <m:subHide m:val="0"/>
                    <m:supHide m:val="0"/>
                  </m:naryPr>
                  <m:sub>
                    <m:r>
                      <m:t>k</m:t>
                    </m:r>
                    <m:r>
                      <m:rPr>
                        <m:sty m:val="p"/>
                      </m:rPr>
                      <m:t>=</m:t>
                    </m:r>
                    <m:r>
                      <m:t>n</m:t>
                    </m:r>
                    <m:r>
                      <m:rPr>
                        <m:sty m:val="p"/>
                      </m:rPr>
                      <m:t>−</m:t>
                    </m:r>
                    <m:r>
                      <m:t>i</m:t>
                    </m:r>
                  </m:sub>
                  <m:sup>
                    <m:r>
                      <m:t>j</m:t>
                    </m:r>
                  </m:sup>
                  <m:e>
                    <m:sSub>
                      <m:e>
                        <m:acc>
                          <m:accPr>
                            <m:chr m:val="̂"/>
                          </m:accPr>
                          <m:e>
                            <m:r>
                              <m:t>f</m:t>
                            </m:r>
                          </m:e>
                        </m:acc>
                      </m:e>
                      <m:sub>
                        <m:r>
                          <m:t>k</m:t>
                        </m:r>
                      </m:sub>
                    </m:sSub>
                  </m:e>
                </m:nary>
              </m:oMath>
            </m:oMathPara>
          </w:p>
          <w:p>
            <w:pPr>
              <w:pStyle w:val="FirstParagraph"/>
            </w:pPr>
            <w:r>
              <w:t xml:space="preserve">où</w:t>
            </w:r>
            <w:r>
              <w:t xml:space="preserve"> </w:t>
            </w:r>
            <m:oMath>
              <m:sSub>
                <m:e>
                  <m:acc>
                    <m:accPr>
                      <m:chr m:val="̂"/>
                    </m:accPr>
                    <m:e>
                      <m:r>
                        <m:t>C</m:t>
                      </m:r>
                    </m:e>
                  </m:acc>
                </m:e>
                <m:sub>
                  <m:r>
                    <m:t>i</m:t>
                  </m:r>
                  <m:r>
                    <m:rPr>
                      <m:sty m:val="p"/>
                    </m:rPr>
                    <m:t>,</m:t>
                  </m:r>
                  <m:r>
                    <m:t>j</m:t>
                  </m:r>
                  <m:r>
                    <m:rPr>
                      <m:sty m:val="p"/>
                    </m:rPr>
                    <m:t>+</m:t>
                  </m:r>
                  <m:r>
                    <m:t>1</m:t>
                  </m:r>
                </m:sub>
              </m:sSub>
            </m:oMath>
            <w:r>
              <w:t xml:space="preserve"> </w:t>
            </w:r>
            <w:r>
              <w:t xml:space="preserve">est le règlement cumulé futur de l’année de survenance</w:t>
            </w:r>
            <w:r>
              <w:t xml:space="preserve"> </w:t>
            </w:r>
            <m:oMath>
              <m:r>
                <m:t>i</m:t>
              </m:r>
            </m:oMath>
            <w:r>
              <w:t xml:space="preserve">,</w:t>
            </w:r>
            <w:r>
              <w:t xml:space="preserve"> </w:t>
            </w:r>
            <m:oMath>
              <m:sSub>
                <m:e>
                  <m:r>
                    <m:t>C</m:t>
                  </m:r>
                </m:e>
                <m:sub>
                  <m:r>
                    <m:t>i</m:t>
                  </m:r>
                  <m:r>
                    <m:rPr>
                      <m:sty m:val="p"/>
                    </m:rPr>
                    <m:t>,</m:t>
                  </m:r>
                  <m:r>
                    <m:t>n</m:t>
                  </m:r>
                  <m:r>
                    <m:rPr>
                      <m:sty m:val="p"/>
                    </m:rPr>
                    <m:t>−</m:t>
                  </m:r>
                  <m:r>
                    <m:t>i</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n</m:t>
              </m:r>
              <m:r>
                <m:rPr>
                  <m:sty m:val="p"/>
                </m:rPr>
                <m:t>−</m:t>
              </m:r>
              <m:r>
                <m:t>i</m:t>
              </m:r>
            </m:oMath>
            <w:r>
              <w:t xml:space="preserve">,</w:t>
            </w:r>
            <w:r>
              <w:t xml:space="preserve"> </w:t>
            </w:r>
            <m:oMath>
              <m:sSub>
                <m:e>
                  <m:acc>
                    <m:accPr>
                      <m:chr m:val="̂"/>
                    </m:accPr>
                    <m:e>
                      <m:r>
                        <m:t>f</m:t>
                      </m:r>
                    </m:e>
                  </m:acc>
                </m:e>
                <m:sub>
                  <m:r>
                    <m:t>k</m:t>
                  </m:r>
                </m:sub>
              </m:sSub>
            </m:oMath>
            <w:r>
              <w:t xml:space="preserve"> </w:t>
            </w:r>
            <w:r>
              <w:t xml:space="preserve">est le facteur de développement commun de l’année de développement</w:t>
            </w:r>
            <w:r>
              <w:t xml:space="preserve"> </w:t>
            </w:r>
            <m:oMath>
              <m:r>
                <m:t>k</m:t>
              </m:r>
            </m:oMath>
            <w:r>
              <w:t xml:space="preserve"> </w:t>
            </w:r>
            <w:r>
              <w:t xml:space="preserve">à</w:t>
            </w:r>
            <w:r>
              <w:t xml:space="preserve"> </w:t>
            </w:r>
            <m:oMath>
              <m:r>
                <m:t>k</m:t>
              </m:r>
              <m:r>
                <m:rPr>
                  <m:sty m:val="p"/>
                </m:rPr>
                <m:t>+</m:t>
              </m:r>
              <m:r>
                <m:t>1</m:t>
              </m:r>
            </m:oMath>
            <w:r>
              <w:t xml:space="preserve">, et</w:t>
            </w:r>
            <w:r>
              <w:t xml:space="preserve"> </w:t>
            </w:r>
            <m:oMath>
              <m:r>
                <m:t>n</m:t>
              </m:r>
            </m:oMath>
            <w:r>
              <w:t xml:space="preserve"> </w:t>
            </w:r>
            <w:r>
              <w:t xml:space="preserve">est le nombre d’années de survenance.</w:t>
            </w:r>
          </w:p>
          <w:p>
            <w:pPr>
              <w:pStyle w:val="BodyText"/>
            </w:pPr>
            <w:r>
              <w:t xml:space="preserve">La Provision pour Sinistre à Payer (</w:t>
            </w:r>
            <m:oMath>
              <m:r>
                <m:t>P</m:t>
              </m:r>
              <m:r>
                <m:t>S</m:t>
              </m:r>
              <m:r>
                <m:t>A</m:t>
              </m:r>
              <m:r>
                <m:t>P</m:t>
              </m:r>
            </m:oMath>
            <w:r>
              <w:t xml:space="preserve">) est déduite des</w:t>
            </w:r>
            <w:r>
              <w:t xml:space="preserve"> </w:t>
            </w:r>
            <m:oMath>
              <m:sSub>
                <m:e>
                  <m:acc>
                    <m:accPr>
                      <m:chr m:val="̂"/>
                    </m:accPr>
                    <m:e>
                      <m:r>
                        <m:t>C</m:t>
                      </m:r>
                    </m:e>
                  </m:acc>
                </m:e>
                <m:sub>
                  <m:r>
                    <m:t>i</m:t>
                  </m:r>
                  <m:r>
                    <m:rPr>
                      <m:sty m:val="p"/>
                    </m:rPr>
                    <m:t>,</m:t>
                  </m:r>
                  <m:r>
                    <m:t>j</m:t>
                  </m:r>
                </m:sub>
              </m:sSub>
            </m:oMath>
            <w:r>
              <w:t xml:space="preserve"> </w:t>
            </w:r>
            <w:r>
              <w:t xml:space="preserve">et des</w:t>
            </w:r>
            <w:r>
              <w:t xml:space="preserve"> </w:t>
            </w:r>
            <m:oMath>
              <m:sSub>
                <m:e>
                  <m:r>
                    <m:t>C</m:t>
                  </m:r>
                </m:e>
                <m:sub>
                  <m:r>
                    <m:t>i</m:t>
                  </m:r>
                  <m:r>
                    <m:rPr>
                      <m:sty m:val="p"/>
                    </m:rPr>
                    <m:t>,</m:t>
                  </m:r>
                  <m:r>
                    <m:t>j</m:t>
                  </m:r>
                </m:sub>
              </m:sSub>
            </m:oMath>
            <w:r>
              <w:t xml:space="preserve"> </w:t>
            </w:r>
            <w:r>
              <w:t xml:space="preserve">par la formule :</w:t>
            </w:r>
          </w:p>
          <w:p>
            <w:pPr>
              <w:pStyle w:val="BodyText"/>
            </w:pPr>
            <w:pPr>
              <w:spacing w:after="16"/>
            </w:pPr>
          </w:p>
          <w:p>
            <w:pPr>
              <w:pStyle w:val="BodyText"/>
            </w:pPr>
            <m:oMathPara>
              <m:oMathParaPr>
                <m:jc m:val="center"/>
              </m:oMathParaPr>
              <m:oMath>
                <m:r>
                  <m:t>P</m:t>
                </m:r>
                <m:r>
                  <m:t>S</m:t>
                </m:r>
                <m:r>
                  <m:t>A</m:t>
                </m:r>
                <m:r>
                  <m:t>P</m:t>
                </m:r>
                <m:r>
                  <m:rPr>
                    <m:sty m:val="p"/>
                  </m:rPr>
                  <m:t>=</m:t>
                </m:r>
                <m:nary>
                  <m:naryPr>
                    <m:chr m:val="∑"/>
                    <m:limLoc m:val="undOvr"/>
                    <m:subHide m:val="0"/>
                    <m:supHide m:val="0"/>
                  </m:naryPr>
                  <m:sub>
                    <m:r>
                      <m:t>i</m:t>
                    </m:r>
                    <m:r>
                      <m:rPr>
                        <m:sty m:val="p"/>
                      </m:rPr>
                      <m:t>=</m:t>
                    </m:r>
                    <m:r>
                      <m:t>0</m:t>
                    </m:r>
                  </m:sub>
                  <m:sup>
                    <m:r>
                      <m:t>n</m:t>
                    </m:r>
                    <m:r>
                      <m:rPr>
                        <m:sty m:val="p"/>
                      </m:rPr>
                      <m:t>−</m:t>
                    </m:r>
                    <m:r>
                      <m:t>1</m:t>
                    </m:r>
                  </m:sup>
                  <m:e>
                    <m:d>
                      <m:dPr>
                        <m:begChr m:val="("/>
                        <m:endChr m:val=")"/>
                        <m:sepChr m:val=""/>
                        <m:grow/>
                      </m:dPr>
                      <m:e>
                        <m:sSub>
                          <m:e>
                            <m:acc>
                              <m:accPr>
                                <m:chr m:val="̂"/>
                              </m:accPr>
                              <m:e>
                                <m:r>
                                  <m:t>C</m:t>
                                </m:r>
                              </m:e>
                            </m:acc>
                          </m:e>
                          <m:sub>
                            <m:r>
                              <m:t>i</m:t>
                            </m:r>
                            <m:r>
                              <m:rPr>
                                <m:sty m:val="p"/>
                              </m:rPr>
                              <m:t>,</m:t>
                            </m:r>
                            <m:r>
                              <m:t>n</m:t>
                            </m:r>
                          </m:sub>
                        </m:sSub>
                        <m:r>
                          <m:rPr>
                            <m:sty m:val="p"/>
                          </m:rPr>
                          <m:t>−</m:t>
                        </m:r>
                        <m:sSub>
                          <m:e>
                            <m:r>
                              <m:t>C</m:t>
                            </m:r>
                          </m:e>
                          <m:sub>
                            <m:r>
                              <m:t>i</m:t>
                            </m:r>
                            <m:r>
                              <m:rPr>
                                <m:sty m:val="p"/>
                              </m:rPr>
                              <m:t>,</m:t>
                            </m:r>
                            <m:r>
                              <m:t>n</m:t>
                            </m:r>
                            <m:r>
                              <m:rPr>
                                <m:sty m:val="p"/>
                              </m:rPr>
                              <m:t>−</m:t>
                            </m:r>
                            <m:r>
                              <m:t>i</m:t>
                            </m:r>
                          </m:sub>
                        </m:sSub>
                      </m:e>
                    </m:d>
                  </m:e>
                </m:nary>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C:\PROGRA~1\RStudio\RESOUR~1\app\bin\quarto\share\formats\docx\note.png" id="9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6 : Constitution du triangle des règlements décumulés futurs par année de survenance</w:t>
            </w:r>
          </w:p>
        </w:tc>
      </w:tr>
      <w:tr>
        <w:trPr>
          <w:cantSplit/>
        </w:trPr>
        <w:tc>
          <w:tcPr>
            <w:tcMar>
              <w:top w:w="108" w:type="dxa"/>
              <w:bottom w:w="108" w:type="dxa"/>
            </w:tcMar>
          </w:tcPr>
          <w:p>
            <w:pPr>
              <w:pStyle w:val="BodyText"/>
            </w:pPr>
            <w:pPr>
              <w:spacing w:before="16"/>
            </w:pPr>
            <w:r>
              <w:t xml:space="preserve">A la sortie de l’étape 5, nous diposerons d’une matrice de règlements cumulés. Cette étape consiste à la décumuler en utilisant la formule suivante :</w:t>
            </w:r>
          </w:p>
          <w:p>
            <w:pPr>
              <w:pStyle w:val="BodyText"/>
            </w:pPr>
            <w:pPr>
              <w:spacing w:after="16"/>
            </w:pPr>
          </w:p>
          <w:p>
            <w:pPr>
              <w:pStyle w:val="BodyText"/>
            </w:pPr>
            <m:oMathPara>
              <m:oMathParaPr>
                <m:jc m:val="center"/>
              </m:oMathParaPr>
              <m:oMath>
                <m:sSub>
                  <m:e>
                    <m:acc>
                      <m:accPr>
                        <m:chr m:val="̂"/>
                      </m:accPr>
                      <m:e>
                        <m:r>
                          <m:t>R</m:t>
                        </m:r>
                      </m:e>
                    </m:acc>
                  </m:e>
                  <m:sub>
                    <m:r>
                      <m:t>i</m:t>
                    </m:r>
                    <m:r>
                      <m:rPr>
                        <m:sty m:val="p"/>
                      </m:rPr>
                      <m:t>,</m:t>
                    </m:r>
                    <m:r>
                      <m:t>j</m:t>
                    </m:r>
                  </m:sub>
                </m:sSub>
                <m:r>
                  <m:rPr>
                    <m:sty m:val="p"/>
                  </m:rPr>
                  <m:t>=</m:t>
                </m:r>
                <m:sSub>
                  <m:e>
                    <m:acc>
                      <m:accPr>
                        <m:chr m:val="̂"/>
                      </m:accPr>
                      <m:e>
                        <m:r>
                          <m:t>C</m:t>
                        </m:r>
                      </m:e>
                    </m:acc>
                  </m:e>
                  <m:sub>
                    <m:r>
                      <m:t>i</m:t>
                    </m:r>
                    <m:r>
                      <m:rPr>
                        <m:sty m:val="p"/>
                      </m:rPr>
                      <m:t>,</m:t>
                    </m:r>
                    <m:r>
                      <m:t>j</m:t>
                    </m:r>
                  </m:sub>
                </m:sSub>
                <m:r>
                  <m:rPr>
                    <m:sty m:val="p"/>
                  </m:rPr>
                  <m:t>−</m:t>
                </m:r>
                <m:sSub>
                  <m:e>
                    <m:acc>
                      <m:accPr>
                        <m:chr m:val="̂"/>
                      </m:accPr>
                      <m:e>
                        <m:r>
                          <m:t>C</m:t>
                        </m:r>
                      </m:e>
                    </m:acc>
                  </m:e>
                  <m:sub>
                    <m:r>
                      <m:t>i</m:t>
                    </m:r>
                    <m:r>
                      <m:rPr>
                        <m:sty m:val="p"/>
                      </m:rPr>
                      <m:t>,</m:t>
                    </m:r>
                    <m:r>
                      <m:t>j</m:t>
                    </m:r>
                    <m:r>
                      <m:rPr>
                        <m:sty m:val="p"/>
                      </m:rPr>
                      <m:t>−</m:t>
                    </m:r>
                    <m:r>
                      <m:t>1</m:t>
                    </m:r>
                  </m:sub>
                </m:sSub>
                <m:r>
                  <m:t> </m:t>
                </m:r>
                <m:r>
                  <m:t> </m:t>
                </m:r>
                <m:r>
                  <m:t>p</m:t>
                </m:r>
                <m:r>
                  <m:t>o</m:t>
                </m:r>
                <m:r>
                  <m:t>u</m:t>
                </m:r>
                <m:r>
                  <m:t>r</m:t>
                </m:r>
                <m:r>
                  <m:t> </m:t>
                </m:r>
                <m:r>
                  <m:t> </m:t>
                </m:r>
                <m:r>
                  <m:t>1</m:t>
                </m:r>
                <m:r>
                  <m:rPr>
                    <m:sty m:val="p"/>
                  </m:rPr>
                  <m:t>≤</m:t>
                </m:r>
                <m:r>
                  <m:t>i</m:t>
                </m:r>
                <m:r>
                  <m:rPr>
                    <m:sty m:val="p"/>
                  </m:rPr>
                  <m:t>,</m:t>
                </m:r>
                <m:r>
                  <m:t>j</m:t>
                </m:r>
                <m:r>
                  <m:rPr>
                    <m:sty m:val="p"/>
                  </m:rPr>
                  <m:t>≤</m:t>
                </m:r>
                <m:r>
                  <m:t>n</m:t>
                </m:r>
              </m:oMath>
            </m:oMathPara>
          </w:p>
          <w:p>
            <w:pPr>
              <w:pStyle w:val="FirstParagraph"/>
            </w:pPr>
            <w:r>
              <w:t xml:space="preserve">avec :</w:t>
            </w:r>
            <w:r>
              <w:t xml:space="preserve"> </w:t>
            </w:r>
            <m:oMath>
              <m:sSub>
                <m:e>
                  <m:acc>
                    <m:accPr>
                      <m:chr m:val="̂"/>
                    </m:accPr>
                    <m:e>
                      <m:r>
                        <m:t>C</m:t>
                      </m:r>
                    </m:e>
                  </m:acc>
                </m:e>
                <m:sub>
                  <m:r>
                    <m:t>i</m:t>
                  </m:r>
                  <m:r>
                    <m:rPr>
                      <m:sty m:val="p"/>
                    </m:rPr>
                    <m:t>,</m:t>
                  </m:r>
                  <m:r>
                    <m:t>j</m:t>
                  </m:r>
                </m:sub>
              </m:sSub>
              <m:r>
                <m:rPr>
                  <m:sty m:val="p"/>
                </m:rPr>
                <m:t>=</m:t>
              </m:r>
              <m:sSub>
                <m:e>
                  <m:r>
                    <m:t>C</m:t>
                  </m:r>
                </m:e>
                <m:sub>
                  <m:r>
                    <m:t>i</m:t>
                  </m:r>
                  <m:r>
                    <m:rPr>
                      <m:sty m:val="p"/>
                    </m:rPr>
                    <m:t>,</m:t>
                  </m:r>
                  <m:r>
                    <m:t>j</m:t>
                  </m:r>
                </m:sub>
              </m:sSub>
            </m:oMath>
            <w:r>
              <w:t xml:space="preserve"> </w:t>
            </w:r>
            <w:r>
              <w:t xml:space="preserve">lorsque</w:t>
            </w:r>
            <w:r>
              <w:t xml:space="preserve"> </w:t>
            </w:r>
            <m:oMath>
              <m:r>
                <m:t>i</m:t>
              </m:r>
              <m:r>
                <m:rPr>
                  <m:sty m:val="p"/>
                </m:rPr>
                <m:t>≤</m:t>
              </m:r>
              <m:r>
                <m:t>j</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C:\PROGRA~1\RStudio\RESOUR~1\app\bin\quarto\share\formats\docx\note.png" id="94"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7 : Calcul des flux de règlements futurs nets de recours (somme des diagonales) :</w:t>
            </w:r>
          </w:p>
        </w:tc>
      </w:tr>
      <w:tr>
        <w:trPr>
          <w:cantSplit/>
        </w:trPr>
        <w:tc>
          <w:tcPr>
            <w:tcMar>
              <w:top w:w="108" w:type="dxa"/>
              <w:bottom w:w="108" w:type="dxa"/>
            </w:tcMar>
          </w:tcPr>
          <w:p>
            <w:pPr>
              <w:pStyle w:val="BodyText"/>
            </w:pPr>
            <w:pPr>
              <w:spacing w:before="16" w:after="16"/>
            </w:pPr>
            <w:r>
              <w:t xml:space="preserve">Les flux de règlements futurs nets correspondent à la somme des éléments de la diagonales du triangle décumulé inférieur obtenu à l’étape 6 :</w:t>
            </w:r>
          </w:p>
          <w:p>
            <w:pPr>
              <w:pStyle w:val="BodyText"/>
            </w:pPr>
            <m:oMathPara>
              <m:oMathParaPr>
                <m:jc m:val="center"/>
              </m:oMathParaPr>
              <m:oMath>
                <m:r>
                  <m:t>F</m:t>
                </m:r>
                <m:r>
                  <m:t>R</m:t>
                </m:r>
                <m:r>
                  <m:t>F</m:t>
                </m:r>
                <m:r>
                  <m:t>P</m:t>
                </m:r>
                <m:r>
                  <m:rPr>
                    <m:sty m:val="p"/>
                  </m:rPr>
                  <m:t>=</m:t>
                </m:r>
                <m:sSub>
                  <m:e>
                    <m:acc>
                      <m:accPr>
                        <m:chr m:val="̂"/>
                      </m:accPr>
                      <m:e>
                        <m:r>
                          <m:t>R</m:t>
                        </m:r>
                      </m:e>
                    </m:acc>
                  </m:e>
                  <m:sub>
                    <m:r>
                      <m:t>p</m:t>
                    </m:r>
                  </m:sub>
                </m:sSub>
                <m:r>
                  <m:rPr>
                    <m:sty m:val="p"/>
                  </m:rPr>
                  <m:t>=</m:t>
                </m:r>
                <m:nary>
                  <m:naryPr>
                    <m:chr m:val="∑"/>
                    <m:limLoc m:val="undOvr"/>
                    <m:subHide m:val="0"/>
                    <m:supHide m:val="0"/>
                  </m:naryPr>
                  <m:sub>
                    <m:r>
                      <m:t>i</m:t>
                    </m:r>
                    <m:r>
                      <m:rPr>
                        <m:sty m:val="p"/>
                      </m:rPr>
                      <m:t>=</m:t>
                    </m:r>
                    <m:r>
                      <m:t>p</m:t>
                    </m:r>
                    <m:r>
                      <m:rPr>
                        <m:sty m:val="p"/>
                      </m:rPr>
                      <m:t>+</m:t>
                    </m:r>
                    <m:r>
                      <m:t>1</m:t>
                    </m:r>
                  </m:sub>
                  <m:sup>
                    <m:r>
                      <m:t>n</m:t>
                    </m:r>
                  </m:sup>
                  <m:e>
                    <m:sSub>
                      <m:e>
                        <m:acc>
                          <m:accPr>
                            <m:chr m:val="̂"/>
                          </m:accPr>
                          <m:e>
                            <m:r>
                              <m:t>R</m:t>
                            </m:r>
                          </m:e>
                        </m:acc>
                      </m:e>
                      <m:sub>
                        <m:r>
                          <m:t>i</m:t>
                        </m:r>
                        <m:r>
                          <m:rPr>
                            <m:sty m:val="p"/>
                          </m:rPr>
                          <m:t>,</m:t>
                        </m:r>
                        <m:r>
                          <m:t>n</m:t>
                        </m:r>
                        <m:r>
                          <m:rPr>
                            <m:sty m:val="p"/>
                          </m:rPr>
                          <m:t>−</m:t>
                        </m:r>
                        <m:r>
                          <m:t>i</m:t>
                        </m:r>
                        <m:r>
                          <m:rPr>
                            <m:sty m:val="p"/>
                          </m:rPr>
                          <m:t>+</m:t>
                        </m:r>
                        <m:r>
                          <m:t>p</m:t>
                        </m:r>
                        <m:r>
                          <m:rPr>
                            <m:sty m:val="p"/>
                          </m:rPr>
                          <m:t>+</m:t>
                        </m:r>
                        <m:r>
                          <m:t>1</m:t>
                        </m:r>
                      </m:sub>
                    </m:sSub>
                  </m:e>
                </m:nary>
                <m:r>
                  <m:t> </m:t>
                </m:r>
                <m:r>
                  <m:t> </m:t>
                </m:r>
                <m:r>
                  <m:t>a</m:t>
                </m:r>
                <m:r>
                  <m:t>v</m:t>
                </m:r>
                <m:r>
                  <m:t>e</m:t>
                </m:r>
                <m:r>
                  <m:t>c</m:t>
                </m:r>
                <m:r>
                  <m:t> </m:t>
                </m:r>
                <m:r>
                  <m:t> </m:t>
                </m:r>
                <m:r>
                  <m:t>1</m:t>
                </m:r>
                <m:r>
                  <m:rPr>
                    <m:sty m:val="p"/>
                  </m:rPr>
                  <m:t>≤</m:t>
                </m:r>
                <m:r>
                  <m:t>p</m:t>
                </m:r>
                <m:r>
                  <m:rPr>
                    <m:sty m:val="p"/>
                  </m:rPr>
                  <m:t>≤</m:t>
                </m:r>
                <m:r>
                  <m:t>n</m:t>
                </m:r>
              </m:oMath>
            </m:oMathPara>
          </w:p>
        </w:tc>
      </w:tr>
    </w:tbl>
    <w:p>
      <w:pPr>
        <w:pStyle w:val="FirstParagraph"/>
      </w:pPr>
      <w:r>
        <w:t xml:space="preserve">Bien que la méthode de Chain Ladder soit celle préconisée par l’ACAPS dans le cadre de la</w:t>
      </w:r>
      <w:r>
        <w:t xml:space="preserve"> </w:t>
      </w:r>
      <m:oMath>
        <m:r>
          <m:t>S</m:t>
        </m:r>
        <m:r>
          <m:t>B</m:t>
        </m:r>
        <m:r>
          <m:t>R</m:t>
        </m:r>
      </m:oMath>
      <w:r>
        <w:t xml:space="preserve">, il existe sur marché d’autres méthodes de calcul des flux de règlements futurs.</w:t>
      </w:r>
    </w:p>
    <w:bookmarkEnd w:id="95"/>
    <w:bookmarkStart w:id="96" w:name="méthode-des-cadences-avec-inflation"/>
    <w:p>
      <w:pPr>
        <w:pStyle w:val="Heading5"/>
      </w:pPr>
      <w:r>
        <w:t xml:space="preserve">6.3.1.5 Méthode des cadences avec inflation</w:t>
      </w:r>
    </w:p>
    <w:p>
      <w:pPr>
        <w:pStyle w:val="FirstParagraph"/>
      </w:pPr>
      <w:r>
        <w:t xml:space="preserve">Cette variante de la méthode des cadences tient compte de l’inflation de façon explicite.</w:t>
      </w:r>
      <w:r>
        <w:t xml:space="preserve"> </w:t>
      </w:r>
      <w:r>
        <w:t xml:space="preserve">On calcule les paiements annuels en faisant la différence entre les colonnes successives du triangle des paiements cumulés. On ajuste ces paiements annuels en devises (MAD par exemple) constants en utilisant un indice d’inflation, puis on les cumule pour obtenir un triangle de montants cumulés en francs constants.</w:t>
      </w:r>
      <w:r>
        <w:t xml:space="preserve"> </w:t>
      </w:r>
      <w:r>
        <w:t xml:space="preserve">On applique ensuite la méthode des cadences.</w:t>
      </w:r>
    </w:p>
    <w:bookmarkEnd w:id="96"/>
    <w:bookmarkStart w:id="97" w:name="la-méthode-du-ratio-de-paiement"/>
    <w:p>
      <w:pPr>
        <w:pStyle w:val="Heading5"/>
      </w:pPr>
      <w:r>
        <w:t xml:space="preserve">6.3.1.6 La méthode du ratio de paiement</w:t>
      </w:r>
    </w:p>
    <w:p>
      <w:pPr>
        <w:pStyle w:val="FirstParagraph"/>
      </w:pPr>
      <w:r>
        <w:t xml:space="preserve">Cette méthode a été à Sawkins 1975 est semblable à la méthode des cadences de développement avec inflation, sauf que les coefficients de passage</w:t>
      </w:r>
      <w:r>
        <w:t xml:space="preserve"> </w:t>
      </w:r>
      <m:oMath>
        <m:sSub>
          <m:e>
            <m:acc>
              <m:accPr>
                <m:chr m:val="̂"/>
              </m:accPr>
              <m:e>
                <m:r>
                  <m:t>f</m:t>
                </m:r>
              </m:e>
            </m:acc>
          </m:e>
          <m:sub>
            <m:r>
              <m:t>j</m:t>
            </m:r>
          </m:sub>
        </m:sSub>
      </m:oMath>
      <w:r>
        <w:t xml:space="preserve"> </w:t>
      </w:r>
      <w:r>
        <w:t xml:space="preserve">sont calculés comme une moyenne de ratios et non comme un ratio de moyennes :</w:t>
      </w:r>
    </w:p>
    <w:p>
      <w:pPr>
        <w:pStyle w:val="BodyText"/>
      </w:pPr>
      <m:oMathPara>
        <m:oMathParaPr>
          <m:jc m:val="center"/>
        </m:oMathParaPr>
        <m:oMath>
          <m:sSub>
            <m:e>
              <m:acc>
                <m:accPr>
                  <m:chr m:val="̂"/>
                </m:accPr>
                <m:e>
                  <m:r>
                    <m:t>f</m:t>
                  </m:r>
                </m:e>
              </m:acc>
            </m:e>
            <m:sub>
              <m:r>
                <m:t>j</m:t>
              </m:r>
            </m:sub>
          </m:sSub>
          <m:r>
            <m:rPr>
              <m:sty m:val="p"/>
            </m:rPr>
            <m:t>=</m:t>
          </m:r>
          <m:f>
            <m:fPr>
              <m:type m:val="bar"/>
            </m:fPr>
            <m:num>
              <m:r>
                <m:t>1</m:t>
              </m:r>
            </m:num>
            <m:den>
              <m:r>
                <m:t>n</m:t>
              </m:r>
              <m:r>
                <m:rPr>
                  <m:sty m:val="p"/>
                </m:rPr>
                <m:t>−</m:t>
              </m:r>
              <m:r>
                <m:t>j</m:t>
              </m:r>
              <m:r>
                <m:rPr>
                  <m:sty m:val="p"/>
                </m:rPr>
                <m:t>−</m:t>
              </m:r>
              <m:r>
                <m:t>1</m:t>
              </m:r>
            </m:den>
          </m:f>
          <m:nary>
            <m:naryPr>
              <m:chr m:val="∑"/>
              <m:limLoc m:val="undOvr"/>
              <m:subHide m:val="0"/>
              <m:supHide m:val="0"/>
            </m:naryPr>
            <m:sub>
              <m:r>
                <m:t>i</m:t>
              </m:r>
              <m:r>
                <m:rPr>
                  <m:sty m:val="p"/>
                </m:rPr>
                <m:t>=</m:t>
              </m:r>
              <m:r>
                <m:t>0</m:t>
              </m:r>
            </m:sub>
            <m:sup>
              <m:r>
                <m:t>n</m:t>
              </m:r>
              <m:r>
                <m:rPr>
                  <m:sty m:val="p"/>
                </m:rPr>
                <m:t>−</m:t>
              </m:r>
              <m:r>
                <m:t>j</m:t>
              </m:r>
              <m:r>
                <m:rPr>
                  <m:sty m:val="p"/>
                </m:rPr>
                <m:t>−</m:t>
              </m:r>
              <m:r>
                <m:t>1</m:t>
              </m:r>
            </m:sup>
            <m:e>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e>
          </m:nary>
        </m:oMath>
      </m:oMathPara>
    </w:p>
    <w:bookmarkEnd w:id="97"/>
    <w:bookmarkStart w:id="102" w:name="la-méthode-du-ratio-de-paiement-1"/>
    <w:p>
      <w:pPr>
        <w:pStyle w:val="Heading5"/>
      </w:pPr>
      <w:r>
        <w:t xml:space="preserve">6.3.1.7 La méthode du ratio de paiement</w:t>
      </w:r>
    </w:p>
    <w:p>
      <w:pPr>
        <w:pStyle w:val="FirstParagraph"/>
      </w:pPr>
      <w:r>
        <w:t xml:space="preserve">La méthode de Bornhuetter-Ferguson</w:t>
      </w:r>
      <w:r>
        <w:rPr>
          <w:rStyle w:val="FootnoteReference"/>
        </w:rPr>
        <w:footnoteReference w:id="98"/>
      </w:r>
      <w:r>
        <w:t xml:space="preserve"> </w:t>
      </w:r>
      <w:r>
        <w:t xml:space="preserve">est une méthode de provisionnement qui repose sur l’idée que les pertes finales, attendues pour une année de survenance sont connues a priori et que le rythme des paiements est stable d’une année à l’autre. Elle combine les caractéristiques de la méthode des cadences et de la méthode du ratio de sinistralité attendu. Elle utilise des facteurs de développement pour estimer le pourcentage de pertes rapportées ou payées et ajoute les pertes attendues multipliées par le pourcentage de pertes non rapportées ou non payées. Elle est surtout utilisée quand les pertes sont de faible fréquence mais de forte gravité.</w:t>
      </w:r>
    </w:p>
    <w:p>
      <w:pPr>
        <w:pStyle w:val="BodyText"/>
      </w:pPr>
      <w:r>
        <w:t xml:space="preserve">En résumé, elle suppose que l’on dispose d’une information externe sur la valeur probable finale du coût total des sinistres, que l’on appelle</w:t>
      </w:r>
      <w:r>
        <w:t xml:space="preserve"> </w:t>
      </w:r>
      <m:oMath>
        <m:r>
          <m:t>A</m:t>
        </m:r>
      </m:oMath>
      <w:r>
        <w:t xml:space="preserve">, et que l’on connaisse la proportion de sinistres attendus.</w:t>
      </w:r>
      <w:r>
        <w:rPr>
          <w:rStyle w:val="FootnoteReference"/>
        </w:rPr>
        <w:footnoteReference w:id="99"/>
      </w:r>
      <w:r>
        <w:t xml:space="preserve"> </w:t>
      </w:r>
      <w:r>
        <w:t xml:space="preserve">Cette méthode se formule comme suit :</w:t>
      </w:r>
    </w:p>
    <w:p>
      <w:pPr>
        <w:pStyle w:val="BodyText"/>
      </w:pPr>
      <m:oMathPara>
        <m:oMathParaPr>
          <m:jc m:val="center"/>
        </m:oMathParaPr>
        <m:oMath>
          <m:r>
            <m:t>L</m:t>
          </m:r>
          <m:r>
            <m:rPr>
              <m:sty m:val="p"/>
            </m:rPr>
            <m:t>=</m:t>
          </m:r>
          <m:r>
            <m:t>D</m:t>
          </m:r>
          <m:r>
            <m:rPr>
              <m:sty m:val="p"/>
            </m:rPr>
            <m:t>×</m:t>
          </m:r>
          <m:f>
            <m:fPr>
              <m:type m:val="bar"/>
            </m:fPr>
            <m:num>
              <m:r>
                <m:t>1</m:t>
              </m:r>
            </m:num>
            <m:den>
              <m:r>
                <m:t>L</m:t>
              </m:r>
              <m:r>
                <m:t>D</m:t>
              </m:r>
              <m:r>
                <m:t>F</m:t>
              </m:r>
            </m:den>
          </m:f>
          <m:r>
            <m:rPr>
              <m:sty m:val="p"/>
            </m:rPr>
            <m:t>+</m:t>
          </m:r>
          <m:r>
            <m:t>A</m:t>
          </m:r>
          <m:d>
            <m:dPr>
              <m:begChr m:val="("/>
              <m:endChr m:val=")"/>
              <m:sepChr m:val=""/>
              <m:grow/>
            </m:dPr>
            <m:e>
              <m:r>
                <m:t>1</m:t>
              </m:r>
              <m:r>
                <m:rPr>
                  <m:sty m:val="p"/>
                </m:rPr>
                <m:t>−</m:t>
              </m:r>
              <m:f>
                <m:fPr>
                  <m:type m:val="bar"/>
                </m:fPr>
                <m:num>
                  <m:r>
                    <m:t>1</m:t>
                  </m:r>
                </m:num>
                <m:den>
                  <m:r>
                    <m:t>L</m:t>
                  </m:r>
                  <m:r>
                    <m:t>D</m:t>
                  </m:r>
                  <m:r>
                    <m:t>F</m:t>
                  </m:r>
                </m:den>
              </m:f>
            </m:e>
          </m:d>
        </m:oMath>
      </m:oMathPara>
    </w:p>
    <w:p>
      <w:pPr>
        <w:pStyle w:val="FirstParagraph"/>
      </w:pPr>
      <w:r>
        <w:t xml:space="preserve">avec :</w:t>
      </w:r>
    </w:p>
    <w:p>
      <w:pPr>
        <w:numPr>
          <w:ilvl w:val="0"/>
          <w:numId w:val="1027"/>
        </w:numPr>
        <w:pStyle w:val="Compact"/>
      </w:pPr>
      <m:oMath>
        <m:r>
          <m:t>L</m:t>
        </m:r>
      </m:oMath>
      <w:r>
        <w:t xml:space="preserve"> </w:t>
      </w:r>
      <w:r>
        <w:t xml:space="preserve">: coût total estimé par cette méthode.</w:t>
      </w:r>
    </w:p>
    <w:p>
      <w:pPr>
        <w:numPr>
          <w:ilvl w:val="0"/>
          <w:numId w:val="1027"/>
        </w:numPr>
        <w:pStyle w:val="Compact"/>
      </w:pPr>
      <m:oMath>
        <m:r>
          <m:t>D</m:t>
        </m:r>
      </m:oMath>
      <w:r>
        <w:t xml:space="preserve"> </w:t>
      </w:r>
      <w:r>
        <w:t xml:space="preserve">: coût total estimé en fonction des sinistres connues.</w:t>
      </w:r>
    </w:p>
    <w:p>
      <w:pPr>
        <w:numPr>
          <w:ilvl w:val="0"/>
          <w:numId w:val="1027"/>
        </w:numPr>
        <w:pStyle w:val="Compact"/>
      </w:pPr>
      <m:oMath>
        <m:r>
          <m:t>A</m:t>
        </m:r>
      </m:oMath>
      <w:r>
        <w:t xml:space="preserve"> </w:t>
      </w:r>
      <w:r>
        <w:t xml:space="preserve">: coût total (connus + tardifs) attendu a priori.</w:t>
      </w:r>
    </w:p>
    <w:p>
      <w:pPr>
        <w:numPr>
          <w:ilvl w:val="0"/>
          <w:numId w:val="1027"/>
        </w:numPr>
        <w:pStyle w:val="Compact"/>
      </w:pPr>
      <m:oMath>
        <m:r>
          <m:t>L</m:t>
        </m:r>
        <m:r>
          <m:t>D</m:t>
        </m:r>
        <m:r>
          <m:t>F</m:t>
        </m:r>
      </m:oMath>
      <w:r>
        <w:t xml:space="preserve"> </w:t>
      </w:r>
      <w:r>
        <w:t xml:space="preserve">: proportion de la liquidation déjà constatée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00" name="Picture"/>
                  <a:graphic>
                    <a:graphicData uri="http://schemas.openxmlformats.org/drawingml/2006/picture">
                      <pic:pic>
                        <pic:nvPicPr>
                          <pic:cNvPr descr="C:\PROGRA~1\RStudio\RESOUR~1\app\bin\quarto\share\formats\docx\tip.png" id="101"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Exemple</w:t>
            </w:r>
          </w:p>
          <w:p>
            <w:pPr>
              <w:pStyle w:val="BodyText"/>
            </w:pPr>
            <w:pPr>
              <w:spacing w:before="16"/>
            </w:pPr>
            <w:r>
              <w:t xml:space="preserve">Imaginons que le tarif ait été fixé en prévoyant une sinistralité totale de</w:t>
            </w:r>
            <w:r>
              <w:t xml:space="preserve"> </w:t>
            </w:r>
            <m:oMath>
              <m:r>
                <m:t>90</m:t>
              </m:r>
            </m:oMath>
            <w:r>
              <w:t xml:space="preserve">, que la part des sinistres connus au premier bilan soit habituellement de</w:t>
            </w:r>
            <w:r>
              <w:t xml:space="preserve"> </w:t>
            </w:r>
            <m:oMath>
              <m:r>
                <m:t>40</m:t>
              </m:r>
              <m:r>
                <m:rPr>
                  <m:sty m:val="p"/>
                </m:rPr>
                <m:t>%</m:t>
              </m:r>
            </m:oMath>
            <w:r>
              <w:t xml:space="preserve"> </w:t>
            </w:r>
            <w:r>
              <w:t xml:space="preserve">et que la sinistralité observée au premier bilan soit de</w:t>
            </w:r>
            <w:r>
              <w:t xml:space="preserve"> </w:t>
            </w:r>
            <m:oMath>
              <m:r>
                <m:t>36</m:t>
              </m:r>
            </m:oMath>
            <w:r>
              <w:t xml:space="preserve">.</w:t>
            </w:r>
          </w:p>
          <w:p>
            <w:pPr>
              <w:pStyle w:val="BodyText"/>
            </w:pPr>
            <w:r>
              <w:t xml:space="preserve">Si l’on pense que le tarif était bien établi, il n’y a pas lieu de changer la sinistralité totale et le montant des tardifs à provisionner est de</w:t>
            </w:r>
            <w:r>
              <w:t xml:space="preserve"> </w:t>
            </w:r>
            <m:oMath>
              <m:r>
                <m:t>90</m:t>
              </m:r>
              <m:r>
                <m:rPr>
                  <m:sty m:val="p"/>
                </m:rPr>
                <m:t>−</m:t>
              </m:r>
              <m:r>
                <m:t>36</m:t>
              </m:r>
              <m:r>
                <m:rPr>
                  <m:sty m:val="p"/>
                </m:rPr>
                <m:t>=</m:t>
              </m:r>
              <m:r>
                <m:t>54</m:t>
              </m:r>
            </m:oMath>
            <w:r>
              <w:t xml:space="preserve">.</w:t>
            </w:r>
          </w:p>
          <w:p>
            <w:pPr>
              <w:pStyle w:val="BodyText"/>
            </w:pPr>
            <w:r>
              <w:t xml:space="preserve">Si l’on pense que la part des sinistres connus au premier bilan est un indicateur fiable, il y a lieu de considérer que la sinistralité totale sera de</w:t>
            </w:r>
            <w:r>
              <w:t xml:space="preserve"> </w:t>
            </w:r>
            <m:oMath>
              <m:r>
                <m:t>36</m:t>
              </m:r>
              <m:r>
                <m:rPr>
                  <m:sty m:val="p"/>
                </m:rPr>
                <m:t>/</m:t>
              </m:r>
              <m:r>
                <m:t>40</m:t>
              </m:r>
              <m:r>
                <m:rPr>
                  <m:sty m:val="p"/>
                </m:rPr>
                <m:t>%</m:t>
              </m:r>
              <m:r>
                <m:rPr>
                  <m:sty m:val="p"/>
                </m:rPr>
                <m:t>=</m:t>
              </m:r>
              <m:r>
                <m:t>90</m:t>
              </m:r>
            </m:oMath>
            <w:r>
              <w:t xml:space="preserve"> </w:t>
            </w:r>
            <w:r>
              <w:t xml:space="preserve">et de provisionner 54 de tardifs.</w:t>
            </w:r>
          </w:p>
          <w:p>
            <w:pPr>
              <w:pStyle w:val="BodyText"/>
            </w:pPr>
            <w:r>
              <w:t xml:space="preserve">L’application de la méthode Bornhuetter-Ferguson donne un résultat intermédiaire calculé ainsi :</w:t>
            </w:r>
          </w:p>
          <w:p>
            <w:pPr>
              <w:pStyle w:val="BodyText"/>
            </w:pPr>
            <w:pPr>
              <w:spacing w:after="16"/>
            </w:pPr>
            <m:oMath>
              <m:r>
                <m:t>L</m:t>
              </m:r>
              <m:r>
                <m:rPr>
                  <m:sty m:val="p"/>
                </m:rPr>
                <m:t>=</m:t>
              </m:r>
              <m:r>
                <m:t>90</m:t>
              </m:r>
              <m:r>
                <m:rPr>
                  <m:sty m:val="p"/>
                </m:rPr>
                <m:t>×</m:t>
              </m:r>
              <m:r>
                <m:t>40</m:t>
              </m:r>
              <m:r>
                <m:rPr>
                  <m:sty m:val="p"/>
                </m:rPr>
                <m:t>%</m:t>
              </m:r>
              <m:r>
                <m:rPr>
                  <m:sty m:val="p"/>
                </m:rPr>
                <m:t>+</m:t>
              </m:r>
              <m:r>
                <m:t>90</m:t>
              </m:r>
              <m:r>
                <m:rPr>
                  <m:sty m:val="p"/>
                </m:rPr>
                <m:t>×</m:t>
              </m:r>
              <m:r>
                <m:t>60</m:t>
              </m:r>
              <m:r>
                <m:rPr>
                  <m:sty m:val="p"/>
                </m:rPr>
                <m:t>%</m:t>
              </m:r>
              <m:r>
                <m:rPr>
                  <m:sty m:val="p"/>
                </m:rPr>
                <m:t>=</m:t>
              </m:r>
              <m:r>
                <m:t>90</m:t>
              </m:r>
            </m:oMath>
            <w:r>
              <w:t xml:space="preserve">, soit un volume de tardifs attendu de</w:t>
            </w:r>
            <w:r>
              <w:t xml:space="preserve"> </w:t>
            </w:r>
            <m:oMath>
              <m:r>
                <m:t>54</m:t>
              </m:r>
            </m:oMath>
            <w:r>
              <w:t xml:space="preserve">.</w:t>
            </w:r>
          </w:p>
        </w:tc>
      </w:tr>
    </w:tbl>
    <w:p>
      <w:pPr>
        <w:pStyle w:val="BodyText"/>
      </w:pPr>
      <w:r>
        <w:t xml:space="preserve">Plusieurs auteurs ont exprimé l’opinion que cette méthode est plus performante que la méthode des cadences de développement, en début de développement.</w:t>
      </w:r>
    </w:p>
    <w:bookmarkEnd w:id="102"/>
    <w:bookmarkEnd w:id="103"/>
    <w:bookmarkStart w:id="104" w:name="X7e63ab4301a770f99d7cb8d654e83cd2564e4b4"/>
    <w:p>
      <w:pPr>
        <w:pStyle w:val="Heading4"/>
      </w:pPr>
      <w:r>
        <w:t xml:space="preserve">6.3.2 La meilleure estimation des frais de gestion:</w:t>
      </w:r>
    </w:p>
    <w:p>
      <w:pPr>
        <w:pStyle w:val="FirstParagraph"/>
      </w:pPr>
      <w:r>
        <w:t xml:space="preserve">la meilleure estimation des frais de gestion correspond à la somme actualisée des flux de frais de gestion futurs liés aux contrats.</w:t>
      </w:r>
    </w:p>
    <w:p>
      <w:pPr>
        <w:pStyle w:val="BodyText"/>
      </w:pPr>
      <m:oMathPara>
        <m:oMathParaPr>
          <m:jc m:val="center"/>
        </m:oMathParaPr>
        <m:oMath>
          <m:sSub>
            <m:e>
              <m:r>
                <m:t>​</m:t>
              </m:r>
            </m:e>
            <m:sub>
              <m:r>
                <m:t>n</m:t>
              </m:r>
              <m:r>
                <m:t>v</m:t>
              </m:r>
              <m:r>
                <m:t>h</m:t>
              </m:r>
              <m:r>
                <m:t>r</m:t>
              </m:r>
            </m:sub>
          </m:sSub>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1"/>
            </m:naryPr>
            <m:sub>
              <m:r>
                <m:t>t</m:t>
              </m:r>
              <m:r>
                <m:rPr>
                  <m:sty m:val="p"/>
                </m:rPr>
                <m:t>≥</m:t>
              </m:r>
              <m:r>
                <m:t>1</m:t>
              </m:r>
            </m:sub>
            <m:sup>
              <m:r>
                <m:t>​</m:t>
              </m:r>
            </m:sup>
            <m:e>
              <m:f>
                <m:fPr>
                  <m:type m:val="bar"/>
                </m:fPr>
                <m:num>
                  <m:r>
                    <m:t>F</m:t>
                  </m:r>
                  <m:r>
                    <m:t>F</m:t>
                  </m:r>
                  <m:r>
                    <m:t>G</m:t>
                  </m:r>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28"/>
        </w:numPr>
        <w:pStyle w:val="Compact"/>
      </w:pPr>
      <m:oMath>
        <m:r>
          <m:t>F</m:t>
        </m:r>
        <m:r>
          <m:t>F</m:t>
        </m:r>
        <m:r>
          <m:t>G</m:t>
        </m:r>
        <m:r>
          <m:t>F</m:t>
        </m:r>
      </m:oMath>
      <w:r>
        <w:t xml:space="preserve">: les flux de frais de gestion futurs. telle que:</w:t>
      </w:r>
    </w:p>
    <w:p>
      <w:pPr>
        <w:pStyle w:val="Compact"/>
      </w:pPr>
      <m:oMathPara>
        <m:oMathParaPr>
          <m:jc m:val="center"/>
        </m:oMathParaPr>
        <m:oMath>
          <m:r>
            <m:t>F</m:t>
          </m:r>
          <m:r>
            <m:t>F</m:t>
          </m:r>
          <m:r>
            <m:t>G</m:t>
          </m:r>
          <m:r>
            <m:t>F</m:t>
          </m:r>
          <m:r>
            <m:rPr>
              <m:sty m:val="p"/>
            </m:rPr>
            <m:t>=</m:t>
          </m:r>
          <m:r>
            <m:t>T</m:t>
          </m:r>
          <m:sSub>
            <m:e>
              <m:r>
                <m:t>x</m:t>
              </m:r>
            </m:e>
            <m:sub>
              <m:r>
                <m:t>f</m:t>
              </m:r>
              <m:r>
                <m:t>r</m:t>
              </m:r>
              <m:r>
                <m:t>a</m:t>
              </m:r>
              <m:r>
                <m:t>i</m:t>
              </m:r>
              <m:r>
                <m:t>s</m:t>
              </m:r>
              <m:r>
                <m:t>G</m:t>
              </m:r>
              <m:r>
                <m:t>e</m:t>
              </m:r>
              <m:r>
                <m:t>s</m:t>
              </m:r>
              <m:r>
                <m:t>t</m:t>
              </m:r>
              <m:r>
                <m:t>i</m:t>
              </m:r>
              <m:r>
                <m:t>o</m:t>
              </m:r>
              <m:sSub>
                <m:e>
                  <m:r>
                    <m:t>n</m:t>
                  </m:r>
                </m:e>
                <m:sub>
                  <m:r>
                    <m:t>m</m:t>
                  </m:r>
                  <m:r>
                    <m:t>o</m:t>
                  </m:r>
                  <m:r>
                    <m:t>y</m:t>
                  </m:r>
                </m:sub>
              </m:sSub>
            </m:sub>
          </m:sSub>
          <m:r>
            <m:rPr>
              <m:sty m:val="p"/>
            </m:rPr>
            <m:t>*</m:t>
          </m:r>
          <m:d>
            <m:dPr>
              <m:begChr m:val="("/>
              <m:endChr m:val=")"/>
              <m:sepChr m:val=""/>
              <m:grow/>
            </m:dPr>
            <m:e>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limLow>
                <m:e>
                  <m:r>
                    <m:rPr>
                      <m:sty m:val="p"/>
                    </m:rPr>
                    <m:t>+</m:t>
                  </m:r>
                </m:e>
                <m:lim>
                  <m:r>
                    <m:t>n</m:t>
                  </m:r>
                  <m:r>
                    <m:t>v</m:t>
                  </m:r>
                  <m:r>
                    <m:t>h</m:t>
                  </m:r>
                  <m:r>
                    <m:t>r</m:t>
                  </m:r>
                </m:lim>
              </m:limLow>
              <m:r>
                <m:t>B</m:t>
              </m:r>
              <m:sSubSup>
                <m:e>
                  <m:r>
                    <m:t>E</m:t>
                  </m:r>
                </m:e>
                <m:sub>
                  <m:r>
                    <m:t>p</m:t>
                  </m:r>
                  <m:r>
                    <m:t>r</m:t>
                  </m:r>
                  <m:r>
                    <m:t>i</m:t>
                  </m:r>
                  <m:r>
                    <m:t>m</m:t>
                  </m:r>
                  <m:r>
                    <m:t>e</m:t>
                  </m:r>
                  <m:r>
                    <m:t>s</m:t>
                  </m:r>
                </m:sub>
                <m:sup>
                  <m:r>
                    <m:t>e</m:t>
                  </m:r>
                  <m:r>
                    <m:t>n</m:t>
                  </m:r>
                  <m:r>
                    <m:t>g</m:t>
                  </m:r>
                </m:sup>
              </m:sSubSup>
            </m:e>
          </m:d>
        </m:oMath>
      </m:oMathPara>
    </w:p>
    <w:p>
      <w:pPr>
        <w:pStyle w:val="FirstParagraph"/>
      </w:pPr>
      <w:r>
        <w:t xml:space="preserve">et:</w:t>
      </w:r>
    </w:p>
    <w:p>
      <w:pPr>
        <w:numPr>
          <w:ilvl w:val="0"/>
          <w:numId w:val="1029"/>
        </w:numPr>
        <w:pStyle w:val="Compact"/>
      </w:pPr>
      <m:oMath>
        <m:r>
          <m:t>T</m:t>
        </m:r>
        <m:sSub>
          <m:e>
            <m:r>
              <m:t>x</m:t>
            </m:r>
          </m:e>
          <m:sub>
            <m:r>
              <m:t>f</m:t>
            </m:r>
            <m:r>
              <m:t>r</m:t>
            </m:r>
            <m:r>
              <m:t>a</m:t>
            </m:r>
            <m:r>
              <m:t>i</m:t>
            </m:r>
            <m:r>
              <m:t>s</m:t>
            </m:r>
            <m:r>
              <m:t>g</m:t>
            </m:r>
            <m:r>
              <m:t>e</m:t>
            </m:r>
            <m:r>
              <m:t>s</m:t>
            </m:r>
            <m:r>
              <m:t>t</m:t>
            </m:r>
            <m:r>
              <m:t>i</m:t>
            </m:r>
            <m:r>
              <m:t>o</m:t>
            </m:r>
            <m:sSub>
              <m:e>
                <m:r>
                  <m:t>n</m:t>
                </m:r>
              </m:e>
              <m:sub>
                <m:r>
                  <m:t>m</m:t>
                </m:r>
                <m:r>
                  <m:t>o</m:t>
                </m:r>
                <m:r>
                  <m:t>y</m:t>
                </m:r>
              </m:sub>
            </m:sSub>
          </m:sub>
        </m:sSub>
      </m:oMath>
      <w:r>
        <w:t xml:space="preserve"> </w:t>
      </w:r>
      <w:r>
        <w:t xml:space="preserve">: Le taux de frais de gestion moyen,il est estimé, par sous-catégories d’opérations d’assurance, en considérant la moyenne sur les trois derniers exercices clos des taux de frais de gestion.</w:t>
      </w:r>
    </w:p>
    <w:p>
      <w:pPr>
        <w:pStyle w:val="FirstParagraph"/>
      </w:pPr>
      <w:r>
        <w:t xml:space="preserve">Donc:</w:t>
      </w:r>
    </w:p>
    <w:p>
      <w:pPr>
        <w:pStyle w:val="BodyText"/>
      </w:pPr>
      <m:oMathPara>
        <m:oMathParaPr>
          <m:jc m:val="center"/>
        </m:oMathParaPr>
        <m:oMath>
          <m:sSub>
            <m:e>
              <m:r>
                <m:t>​</m:t>
              </m:r>
            </m:e>
            <m:sub>
              <m:r>
                <m:t>t</m:t>
              </m:r>
            </m:sub>
          </m:sSub>
          <m:r>
            <m:t>T</m:t>
          </m:r>
          <m:sSub>
            <m:e>
              <m:r>
                <m:t>x</m:t>
              </m:r>
            </m:e>
            <m:sub>
              <m:r>
                <m:t>f</m:t>
              </m:r>
              <m:r>
                <m:t>r</m:t>
              </m:r>
              <m:r>
                <m:t>a</m:t>
              </m:r>
              <m:r>
                <m:t>i</m:t>
              </m:r>
              <m:r>
                <m:t>s</m:t>
              </m:r>
              <m:r>
                <m:t>G</m:t>
              </m:r>
              <m:r>
                <m:t>e</m:t>
              </m:r>
              <m:r>
                <m:t>s</m:t>
              </m:r>
              <m:r>
                <m:t>t</m:t>
              </m:r>
              <m:r>
                <m:t>i</m:t>
              </m:r>
              <m:r>
                <m:t>o</m:t>
              </m:r>
              <m:sSub>
                <m:e>
                  <m:r>
                    <m:t>n</m:t>
                  </m:r>
                </m:e>
                <m:sub>
                  <m:r>
                    <m:t>m</m:t>
                  </m:r>
                  <m:r>
                    <m:t>o</m:t>
                  </m:r>
                  <m:r>
                    <m:t>y</m:t>
                  </m:r>
                </m:sub>
              </m:sSub>
            </m:sub>
          </m:sSub>
          <m:r>
            <m:rPr>
              <m:sty m:val="p"/>
            </m:rPr>
            <m:t>=</m:t>
          </m:r>
          <m:f>
            <m:fPr>
              <m:type m:val="bar"/>
            </m:fPr>
            <m:num>
              <m:r>
                <m:t>T</m:t>
              </m:r>
              <m:sSub>
                <m:e>
                  <m:r>
                    <m:t>x</m:t>
                  </m:r>
                </m:e>
                <m:sub>
                  <m:r>
                    <m:t>f</m:t>
                  </m:r>
                  <m:r>
                    <m:t>r</m:t>
                  </m:r>
                  <m:r>
                    <m:t>a</m:t>
                  </m:r>
                  <m:r>
                    <m:t>i</m:t>
                  </m:r>
                  <m:r>
                    <m:t>s</m:t>
                  </m:r>
                  <m:r>
                    <m:t>G</m:t>
                  </m:r>
                  <m:r>
                    <m:t>e</m:t>
                  </m:r>
                  <m:r>
                    <m:t>s</m:t>
                  </m:r>
                  <m:r>
                    <m:t>t</m:t>
                  </m:r>
                  <m:r>
                    <m:t>i</m:t>
                  </m:r>
                  <m:r>
                    <m:t>o</m:t>
                  </m:r>
                  <m:sSub>
                    <m:e>
                      <m:r>
                        <m:t>n</m:t>
                      </m:r>
                    </m:e>
                    <m:sub>
                      <m:r>
                        <m:t>t</m:t>
                      </m:r>
                    </m:sub>
                  </m:sSub>
                </m:sub>
              </m:sSub>
              <m:r>
                <m:rPr>
                  <m:sty m:val="p"/>
                </m:rPr>
                <m:t>+</m:t>
              </m:r>
              <m:r>
                <m:t>T</m:t>
              </m:r>
              <m:sSub>
                <m:e>
                  <m:r>
                    <m:t>x</m:t>
                  </m:r>
                </m:e>
                <m:sub>
                  <m:r>
                    <m:t>f</m:t>
                  </m:r>
                  <m:r>
                    <m:t>r</m:t>
                  </m:r>
                  <m:r>
                    <m:t>a</m:t>
                  </m:r>
                  <m:r>
                    <m:t>i</m:t>
                  </m:r>
                  <m:r>
                    <m:t>s</m:t>
                  </m:r>
                  <m:r>
                    <m:t>G</m:t>
                  </m:r>
                  <m:r>
                    <m:t>e</m:t>
                  </m:r>
                  <m:r>
                    <m:t>s</m:t>
                  </m:r>
                  <m:r>
                    <m:t>t</m:t>
                  </m:r>
                  <m:r>
                    <m:t>i</m:t>
                  </m:r>
                  <m:r>
                    <m:t>o</m:t>
                  </m:r>
                  <m:sSub>
                    <m:e>
                      <m:r>
                        <m:t>n</m:t>
                      </m:r>
                    </m:e>
                    <m:sub>
                      <m:r>
                        <m:t>t</m:t>
                      </m:r>
                      <m:r>
                        <m:rPr>
                          <m:sty m:val="p"/>
                        </m:rPr>
                        <m:t>−</m:t>
                      </m:r>
                      <m:r>
                        <m:t>1</m:t>
                      </m:r>
                    </m:sub>
                  </m:sSub>
                </m:sub>
              </m:sSub>
              <m:r>
                <m:rPr>
                  <m:sty m:val="p"/>
                </m:rPr>
                <m:t>+</m:t>
              </m:r>
              <m:r>
                <m:t>T</m:t>
              </m:r>
              <m:sSub>
                <m:e>
                  <m:r>
                    <m:t>x</m:t>
                  </m:r>
                </m:e>
                <m:sub>
                  <m:r>
                    <m:t>f</m:t>
                  </m:r>
                  <m:r>
                    <m:t>r</m:t>
                  </m:r>
                  <m:r>
                    <m:t>a</m:t>
                  </m:r>
                  <m:r>
                    <m:t>i</m:t>
                  </m:r>
                  <m:r>
                    <m:t>s</m:t>
                  </m:r>
                  <m:r>
                    <m:t>G</m:t>
                  </m:r>
                  <m:r>
                    <m:t>e</m:t>
                  </m:r>
                  <m:r>
                    <m:t>s</m:t>
                  </m:r>
                  <m:r>
                    <m:t>t</m:t>
                  </m:r>
                  <m:r>
                    <m:t>i</m:t>
                  </m:r>
                  <m:r>
                    <m:t>o</m:t>
                  </m:r>
                  <m:sSub>
                    <m:e>
                      <m:r>
                        <m:t>n</m:t>
                      </m:r>
                    </m:e>
                    <m:sub>
                      <m:r>
                        <m:t>t</m:t>
                      </m:r>
                      <m:r>
                        <m:rPr>
                          <m:sty m:val="p"/>
                        </m:rPr>
                        <m:t>−</m:t>
                      </m:r>
                      <m:r>
                        <m:t>2</m:t>
                      </m:r>
                    </m:sub>
                  </m:sSub>
                </m:sub>
              </m:sSub>
            </m:num>
            <m:den>
              <m:r>
                <m:t>3</m:t>
              </m:r>
            </m:den>
          </m:f>
        </m:oMath>
      </m:oMathPara>
    </w:p>
    <w:p>
      <w:pPr>
        <w:pStyle w:val="FirstParagraph"/>
      </w:pPr>
      <w:r>
        <w:t xml:space="preserve">ainsi que :</w:t>
      </w:r>
    </w:p>
    <w:p>
      <w:pPr>
        <w:pStyle w:val="BodyText"/>
      </w:pPr>
      <m:oMathPara>
        <m:oMathParaPr>
          <m:jc m:val="center"/>
        </m:oMathParaPr>
        <m:oMath>
          <m:r>
            <m:t>T</m:t>
          </m:r>
          <m:sSub>
            <m:e>
              <m:r>
                <m:t>x</m:t>
              </m:r>
            </m:e>
            <m:sub>
              <m:r>
                <m:t>f</m:t>
              </m:r>
              <m:r>
                <m:t>r</m:t>
              </m:r>
              <m:r>
                <m:t>a</m:t>
              </m:r>
              <m:r>
                <m:t>i</m:t>
              </m:r>
              <m:r>
                <m:t>s</m:t>
              </m:r>
              <m:r>
                <m:t>g</m:t>
              </m:r>
              <m:r>
                <m:t>e</m:t>
              </m:r>
              <m:r>
                <m:t>s</m:t>
              </m:r>
              <m:r>
                <m:t>t</m:t>
              </m:r>
              <m:r>
                <m:t>i</m:t>
              </m:r>
              <m:r>
                <m:t>o</m:t>
              </m:r>
              <m:sSub>
                <m:e>
                  <m:r>
                    <m:t>n</m:t>
                  </m:r>
                </m:e>
                <m:sub>
                  <m:r>
                    <m:t>t</m:t>
                  </m:r>
                </m:sub>
              </m:sSub>
            </m:sub>
          </m:sSub>
          <m:r>
            <m:rPr>
              <m:sty m:val="p"/>
            </m:rPr>
            <m:t>=</m:t>
          </m:r>
          <m:f>
            <m:fPr>
              <m:type m:val="bar"/>
            </m:fPr>
            <m:num>
              <m:r>
                <m:t>F</m:t>
              </m:r>
              <m:r>
                <m:t>G</m:t>
              </m:r>
            </m:num>
            <m:den>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r>
                <m:rPr>
                  <m:sty m:val="p"/>
                </m:rPr>
                <m:t>+</m:t>
              </m:r>
              <m:r>
                <m:t>R</m:t>
              </m:r>
              <m:r>
                <m:t>e</m:t>
              </m:r>
              <m:r>
                <m:t>g</m:t>
              </m:r>
              <m:r>
                <m:t>l</m:t>
              </m:r>
              <m:r>
                <m:t>e</m:t>
              </m:r>
              <m:r>
                <m:t>m</m:t>
              </m:r>
              <m:r>
                <m:t>e</m:t>
              </m:r>
              <m:r>
                <m:t>n</m:t>
              </m:r>
              <m:r>
                <m:t>t</m:t>
              </m:r>
              <m:sSub>
                <m:e>
                  <m:r>
                    <m:t>s</m:t>
                  </m:r>
                </m:e>
                <m:sub>
                  <m:r>
                    <m:t>C</m:t>
                  </m:r>
                  <m:r>
                    <m:t>l</m:t>
                  </m:r>
                  <m:r>
                    <m:t>o</m:t>
                  </m:r>
                  <m:r>
                    <m:t>s</m:t>
                  </m:r>
                </m:sub>
              </m:sSub>
            </m:den>
          </m:f>
        </m:oMath>
      </m:oMathPara>
    </w:p>
    <w:p>
      <w:pPr>
        <w:numPr>
          <w:ilvl w:val="0"/>
          <w:numId w:val="1030"/>
        </w:numPr>
        <w:pStyle w:val="Compact"/>
      </w:pPr>
      <m:oMath>
        <m:r>
          <m:t>F</m:t>
        </m:r>
        <m:r>
          <m:t>G</m:t>
        </m:r>
      </m:oMath>
      <w:r>
        <w:t xml:space="preserve">: le montant frais de gestion.</w:t>
      </w:r>
    </w:p>
    <w:p>
      <w:pPr>
        <w:numPr>
          <w:ilvl w:val="0"/>
          <w:numId w:val="1030"/>
        </w:numPr>
        <w:pStyle w:val="Compact"/>
      </w:pPr>
      <m:oMath>
        <m:r>
          <m:t>R</m:t>
        </m:r>
        <m:r>
          <m:t>e</m:t>
        </m:r>
        <m:r>
          <m:t>g</m:t>
        </m:r>
        <m:r>
          <m:t>l</m:t>
        </m:r>
        <m:r>
          <m:t>e</m:t>
        </m:r>
        <m:r>
          <m:t>m</m:t>
        </m:r>
        <m:r>
          <m:t>e</m:t>
        </m:r>
        <m:r>
          <m:t>n</m:t>
        </m:r>
        <m:r>
          <m:t>t</m:t>
        </m:r>
        <m:sSub>
          <m:e>
            <m:r>
              <m:t>s</m:t>
            </m:r>
          </m:e>
          <m:sub>
            <m:r>
              <m:t>C</m:t>
            </m:r>
            <m:r>
              <m:t>l</m:t>
            </m:r>
            <m:r>
              <m:t>o</m:t>
            </m:r>
            <m:r>
              <m:t>s</m:t>
            </m:r>
          </m:sub>
        </m:sSub>
      </m:oMath>
      <w:r>
        <w:t xml:space="preserve"> </w:t>
      </w:r>
      <w:r>
        <w:t xml:space="preserve">: les règlements au titre de l’exercice clos.</w:t>
      </w:r>
    </w:p>
    <w:bookmarkEnd w:id="104"/>
    <w:bookmarkEnd w:id="105"/>
    <w:bookmarkStart w:id="116" w:name="Xf3f8abd7a5710234231d4d992dd0ccf8ee2969b"/>
    <w:p>
      <w:pPr>
        <w:pStyle w:val="Heading3"/>
      </w:pPr>
      <w:r>
        <w:t xml:space="preserve">6.4 Part des cessionnaires dans les provisions techniques prudentielles:</w:t>
      </w:r>
    </w:p>
    <w:p>
      <w:pPr>
        <w:pStyle w:val="FirstParagraph"/>
      </w:pPr>
      <w:r>
        <w:t xml:space="preserve">La part des cessionnaires dans les provisions techniques prudentielles est évaluée en considérant la différence entre d’une part, la meilleure estimation des engagements cédés et d’autre part, l’ajustement pour défaut de contrepartie.</w:t>
      </w:r>
    </w:p>
    <w:p>
      <w:pPr>
        <w:pStyle w:val="BodyText"/>
      </w:pPr>
      <m:oMathPara>
        <m:oMathParaPr>
          <m:jc m:val="center"/>
        </m:oMathParaPr>
        <m:oMath>
          <m:r>
            <m:t>P</m:t>
          </m:r>
          <m:r>
            <m:t>a</m:t>
          </m:r>
          <m:r>
            <m:t>r</m:t>
          </m:r>
          <m:sSub>
            <m:e>
              <m:r>
                <m:t>t</m:t>
              </m:r>
            </m:e>
            <m:sub>
              <m:r>
                <m:t>c</m:t>
              </m:r>
              <m:r>
                <m:t>e</m:t>
              </m:r>
              <m:r>
                <m:t>s</m:t>
              </m:r>
              <m:r>
                <m:t>s</m:t>
              </m:r>
            </m:sub>
          </m:sSub>
          <m:r>
            <m:rPr>
              <m:sty m:val="p"/>
            </m:rPr>
            <m:t>=</m:t>
          </m:r>
          <m:r>
            <m:t>B</m:t>
          </m:r>
          <m:sSubSup>
            <m:e>
              <m:r>
                <m:t>E</m:t>
              </m:r>
            </m:e>
            <m:sub>
              <m:r>
                <m:t>c</m:t>
              </m:r>
              <m:r>
                <m:t>e</m:t>
              </m:r>
              <m:r>
                <m:t>d</m:t>
              </m:r>
              <m:r>
                <m:t>e</m:t>
              </m:r>
              <m:r>
                <m:t>s</m:t>
              </m:r>
            </m:sub>
            <m:sup>
              <m:r>
                <m:t>e</m:t>
              </m:r>
              <m:r>
                <m:t>n</m:t>
              </m:r>
              <m:r>
                <m:t>g</m:t>
              </m:r>
            </m:sup>
          </m:sSubSup>
          <m:r>
            <m:rPr>
              <m:sty m:val="p"/>
            </m:rPr>
            <m:t>−</m:t>
          </m:r>
          <m:r>
            <m:t>A</m:t>
          </m:r>
          <m:r>
            <m:t>j</m:t>
          </m:r>
          <m:r>
            <m:t>u</m:t>
          </m:r>
          <m:r>
            <m:t>s</m:t>
          </m:r>
          <m:sSub>
            <m:e>
              <m:r>
                <m:t>t</m:t>
              </m:r>
            </m:e>
            <m:sub>
              <m:r>
                <m:t>D</m:t>
              </m:r>
              <m:r>
                <m:t>C</m:t>
              </m:r>
            </m:sub>
          </m:sSub>
        </m:oMath>
      </m:oMathPara>
    </w:p>
    <w:bookmarkStart w:id="108" w:name="X2a1b8cf2422c04aac5fbeb38e9044a51a42d991"/>
    <w:p>
      <w:pPr>
        <w:pStyle w:val="Heading4"/>
      </w:pPr>
      <w:r>
        <w:t xml:space="preserve">6.4.1 La meilleure estimation des engagements cédés (</w:t>
      </w:r>
      <m:oMath>
        <m:r>
          <m:t>B</m:t>
        </m:r>
        <m:sSubSup>
          <m:e>
            <m:r>
              <m:t>E</m:t>
            </m:r>
          </m:e>
          <m:sub>
            <m:r>
              <m:t>c</m:t>
            </m:r>
            <m:r>
              <m:t>e</m:t>
            </m:r>
            <m:r>
              <m:t>d</m:t>
            </m:r>
            <m:r>
              <m:t>e</m:t>
            </m:r>
            <m:r>
              <m:t>s</m:t>
            </m:r>
          </m:sub>
          <m:sup>
            <m:r>
              <m:t>e</m:t>
            </m:r>
            <m:r>
              <m:t>n</m:t>
            </m:r>
            <m:r>
              <m:t>g</m:t>
            </m:r>
          </m:sup>
        </m:sSubSup>
      </m:oMath>
      <w:r>
        <w:t xml:space="preserve">):</w:t>
      </w:r>
    </w:p>
    <w:bookmarkStart w:id="106" w:name="X0f00ae71319169104bfd1725b5f02737fc4d35e"/>
    <w:p>
      <w:pPr>
        <w:pStyle w:val="Heading5"/>
      </w:pPr>
      <w:r>
        <w:t xml:space="preserve">Les opérations d’assurance vie, décès ou de capitalisation</w:t>
      </w:r>
    </w:p>
    <w:p>
      <w:pPr>
        <w:pStyle w:val="FirstParagraph"/>
      </w:pPr>
      <w:r>
        <w:t xml:space="preserve">la meilleure estimation des engagements cédés est évaluée en multipliant la meilleure estimation des</w:t>
      </w:r>
      <w:r>
        <w:t xml:space="preserve"> </w:t>
      </w:r>
      <w:r>
        <w:t xml:space="preserve">engagements par le rapport entre d’une part, la part des cessionnaires dans les provisions</w:t>
      </w:r>
      <w:r>
        <w:t xml:space="preserve"> </w:t>
      </w:r>
      <w:r>
        <w:t xml:space="preserve">mathématiques et dans les provisions pour capitaux, rentes et rachats à payer et d’autre part, la</w:t>
      </w:r>
      <w:r>
        <w:t xml:space="preserve"> </w:t>
      </w:r>
      <w:r>
        <w:t xml:space="preserve">somme des provisions mathématiques , des provisions pour capitaux, rentes et rachats à payer bruts</w:t>
      </w:r>
      <w:r>
        <w:t xml:space="preserve"> </w:t>
      </w:r>
      <w:r>
        <w:t xml:space="preserve">de réassurance.</w:t>
      </w:r>
    </w:p>
    <w:p>
      <w:pPr>
        <w:pStyle w:val="BodyText"/>
      </w:pPr>
      <m:oMathPara>
        <m:oMathParaPr>
          <m:jc m:val="center"/>
        </m:oMathParaPr>
        <m:oMath>
          <m:sSub>
            <m:e>
              <m:r>
                <m:t>​</m:t>
              </m:r>
            </m:e>
            <m:sub>
              <m:r>
                <m:t>v</m:t>
              </m:r>
              <m:r>
                <m:t>i</m:t>
              </m:r>
              <m:r>
                <m:t>e</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c</m:t>
              </m:r>
            </m:sub>
          </m:sSub>
          <m:limLow>
            <m:e>
              <m:r>
                <m:rPr>
                  <m:sty m:val="p"/>
                </m:rPr>
                <m:t>×</m:t>
              </m:r>
            </m:e>
            <m:lim>
              <m:r>
                <m:t>v</m:t>
              </m:r>
              <m:r>
                <m:t>i</m:t>
              </m:r>
              <m:r>
                <m:t>e</m:t>
              </m:r>
            </m:lim>
          </m:limLow>
          <m:r>
            <m:t>B</m:t>
          </m:r>
          <m:sSup>
            <m:e>
              <m:r>
                <m:t>E</m:t>
              </m:r>
            </m:e>
            <m:sup>
              <m:r>
                <m:t>e</m:t>
              </m:r>
              <m:r>
                <m:t>n</m:t>
              </m:r>
              <m:r>
                <m:t>g</m:t>
              </m:r>
            </m:sup>
          </m:sSup>
        </m:oMath>
      </m:oMathPara>
    </w:p>
    <w:p>
      <w:pPr>
        <w:pStyle w:val="FirstParagraph"/>
      </w:pPr>
      <w:r>
        <w:t xml:space="preserve">Avec :</w:t>
      </w:r>
    </w:p>
    <w:p>
      <w:pPr>
        <w:numPr>
          <w:ilvl w:val="0"/>
          <w:numId w:val="1031"/>
        </w:numPr>
        <w:pStyle w:val="Compact"/>
      </w:pPr>
      <m:oMath>
        <m:r>
          <m:t>t</m:t>
        </m:r>
        <m:r>
          <m:t>a</m:t>
        </m:r>
        <m:r>
          <m:t>u</m:t>
        </m:r>
        <m:sSub>
          <m:e>
            <m:r>
              <m:t>x</m:t>
            </m:r>
          </m:e>
          <m:sub>
            <m:r>
              <m:t>c</m:t>
            </m:r>
          </m:sub>
        </m:sSub>
      </m:oMath>
      <w:r>
        <w:t xml:space="preserve"> </w:t>
      </w:r>
      <w:r>
        <w:t xml:space="preserve">(taux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bookmarkEnd w:id="106"/>
    <w:bookmarkStart w:id="107" w:name="les-opérations-non-vie"/>
    <w:p>
      <w:pPr>
        <w:pStyle w:val="Heading5"/>
      </w:pPr>
      <w:r>
        <w:t xml:space="preserve">Les opérations non vie</w:t>
      </w:r>
    </w:p>
    <w:p>
      <w:pPr>
        <w:pStyle w:val="FirstParagraph"/>
      </w:pPr>
      <w:r>
        <w:t xml:space="preserve">Pour les opérations non vie, la meilleure estimation des engagements cédés correspond à la somme de la meilleure estimation des engagements pour sinistres cédés et de la meilleure estimation des engagements pour primes cédés.</w:t>
      </w:r>
    </w:p>
    <w:p>
      <w:pPr>
        <w:pStyle w:val="BodyText"/>
      </w:pPr>
      <m:oMathPara>
        <m:oMathParaPr>
          <m:jc m:val="center"/>
        </m:oMathParaPr>
        <m:oMath>
          <m:sSub>
            <m:e>
              <m:r>
                <m:t>​</m:t>
              </m:r>
            </m:e>
            <m:sub>
              <m:r>
                <m:t>n</m:t>
              </m:r>
              <m:r>
                <m:t>v</m:t>
              </m:r>
              <m:r>
                <m:t>i</m:t>
              </m:r>
              <m:r>
                <m:t>e</m:t>
              </m:r>
            </m:sub>
          </m:sSub>
          <m:r>
            <m:t>B</m:t>
          </m:r>
          <m:sSubSup>
            <m:e>
              <m:r>
                <m:t>E</m:t>
              </m:r>
            </m:e>
            <m:sub>
              <m:r>
                <m:t>c</m:t>
              </m:r>
              <m:r>
                <m:t>e</m:t>
              </m:r>
              <m:r>
                <m:t>d</m:t>
              </m:r>
              <m:r>
                <m:t>e</m:t>
              </m:r>
              <m:r>
                <m:t>s</m:t>
              </m:r>
            </m:sub>
            <m:sup>
              <m:r>
                <m:t>e</m:t>
              </m:r>
              <m:r>
                <m:t>n</m:t>
              </m:r>
              <m:r>
                <m:t>g</m:t>
              </m:r>
            </m:sup>
          </m:sSubSup>
          <m:r>
            <m:rPr>
              <m:sty m:val="p"/>
            </m:rPr>
            <m:t>=</m:t>
          </m:r>
          <m:sSub>
            <m:e>
              <m:r>
                <m:t> </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sSub>
            <m:e>
              <m:r>
                <m:t> </m:t>
              </m:r>
            </m:e>
            <m:sub>
              <m:r>
                <m:t>p</m:t>
              </m:r>
              <m:r>
                <m:t>r</m:t>
              </m:r>
              <m:r>
                <m:t>i</m:t>
              </m:r>
              <m:r>
                <m:t>m</m:t>
              </m:r>
              <m:r>
                <m:t>e</m:t>
              </m:r>
              <m:r>
                <m:t>s</m:t>
              </m:r>
            </m:sub>
          </m:sSub>
          <m:r>
            <m:t>B</m:t>
          </m:r>
          <m:sSubSup>
            <m:e>
              <m:r>
                <m:t>E</m:t>
              </m:r>
            </m:e>
            <m:sub>
              <m:r>
                <m:t>c</m:t>
              </m:r>
              <m:r>
                <m:t>e</m:t>
              </m:r>
              <m:r>
                <m:t>d</m:t>
              </m:r>
              <m:r>
                <m:t>e</m:t>
              </m:r>
              <m:r>
                <m:t>s</m:t>
              </m:r>
            </m:sub>
            <m:sup>
              <m:r>
                <m:t>e</m:t>
              </m:r>
              <m:r>
                <m:t>n</m:t>
              </m:r>
              <m:r>
                <m:t>g</m:t>
              </m:r>
            </m:sup>
          </m:sSubSup>
        </m:oMath>
      </m:oMathPara>
    </w:p>
    <w:p>
      <w:pPr>
        <w:pStyle w:val="FirstParagraph"/>
      </w:pPr>
      <w:r>
        <w:t xml:space="preserve">Avec :</w:t>
      </w:r>
    </w:p>
    <w:p>
      <w:pPr>
        <w:pStyle w:val="BlockText"/>
      </w:pPr>
      <m:oMath>
        <m:sSub>
          <m:e>
            <m:r>
              <m:t>​</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s</m:t>
            </m:r>
          </m:sub>
        </m:sSub>
        <m:r>
          <m:rPr>
            <m:sty m:val="p"/>
          </m:rPr>
          <m:t>×</m:t>
        </m:r>
        <m:r>
          <m:t>B</m:t>
        </m:r>
        <m:sSubSup>
          <m:e>
            <m:r>
              <m:t>E</m:t>
            </m:r>
          </m:e>
          <m:sub>
            <m:r>
              <m:t>s</m:t>
            </m:r>
            <m:r>
              <m:t>i</m:t>
            </m:r>
            <m:r>
              <m:t>n</m:t>
            </m:r>
            <m:r>
              <m:t>s</m:t>
            </m:r>
            <m:r>
              <m:t>i</m:t>
            </m:r>
            <m:r>
              <m:t>t</m:t>
            </m:r>
            <m:r>
              <m:t>r</m:t>
            </m:r>
            <m:r>
              <m:t>e</m:t>
            </m:r>
            <m:r>
              <m:t>s</m:t>
            </m:r>
          </m:sub>
          <m:sup>
            <m:r>
              <m:t>e</m:t>
            </m:r>
            <m:r>
              <m:t>n</m:t>
            </m:r>
            <m:r>
              <m:t>g</m:t>
            </m:r>
          </m:sup>
        </m:sSubSup>
      </m:oMath>
      <w:r>
        <w:t xml:space="preserve"> </w:t>
      </w:r>
      <w:r>
        <w:t xml:space="preserve">: La meilleure estimation des engagements pour sinistres cédés visée à la spécification technique 33 ci- dessus est évaluée en multipliant la meilleure estimation des engagements pour sinistres nets de recours visée à par (</w:t>
      </w:r>
      <m:oMath>
        <m:r>
          <m:t>t</m:t>
        </m:r>
        <m:r>
          <m:t>a</m:t>
        </m:r>
        <m:r>
          <m:t>u</m:t>
        </m:r>
        <m:sSub>
          <m:e>
            <m:r>
              <m:t>x</m:t>
            </m:r>
          </m:e>
          <m:sub>
            <m:r>
              <m:t>s</m:t>
            </m:r>
          </m:sub>
        </m:sSub>
      </m:oMath>
      <w:r>
        <w:t xml:space="preserve">) le rapport entre la part des cessionnaires dans les provisions pour sinistres à payer et la provision pour sinistres à payer brute de réassurance.</w:t>
      </w:r>
    </w:p>
    <w:p>
      <w:pPr>
        <w:pStyle w:val="BlockText"/>
      </w:pPr>
      <m:oMath>
        <m:sSub>
          <m:e>
            <m:r>
              <m:t>​</m:t>
            </m:r>
          </m:e>
          <m:sub>
            <m:r>
              <m:t>p</m:t>
            </m:r>
            <m:r>
              <m:t>r</m:t>
            </m:r>
            <m:r>
              <m:t>i</m:t>
            </m:r>
            <m:r>
              <m:t>m</m:t>
            </m:r>
            <m:r>
              <m:t>e</m:t>
            </m:r>
            <m:r>
              <m:t>s</m:t>
            </m:r>
          </m:sub>
        </m:sSub>
        <m:r>
          <m:t>B</m:t>
        </m:r>
        <m:sSubSup>
          <m:e>
            <m:r>
              <m:t>E</m:t>
            </m:r>
          </m:e>
          <m:sub>
            <m:r>
              <m:t>c</m:t>
            </m:r>
            <m:r>
              <m:t>e</m:t>
            </m:r>
            <m:r>
              <m:t>d</m:t>
            </m:r>
            <m:r>
              <m:t>e</m:t>
            </m:r>
            <m:r>
              <m:t>s</m:t>
            </m:r>
          </m:sub>
          <m:sup>
            <m:r>
              <m:t>e</m:t>
            </m:r>
            <m:r>
              <m:t>n</m:t>
            </m:r>
            <m:r>
              <m:t>g</m:t>
            </m:r>
          </m:sup>
        </m:sSubSup>
        <m:r>
          <m:rPr>
            <m:sty m:val="p"/>
          </m:rPr>
          <m:t>=</m:t>
        </m:r>
        <m:sSubSup>
          <m:e>
            <m:r>
              <m:t>r</m:t>
            </m:r>
          </m:e>
          <m:sub>
            <m:r>
              <m:t>c</m:t>
            </m:r>
            <m:r>
              <m:t>e</m:t>
            </m:r>
            <m:r>
              <m:t>s</m:t>
            </m:r>
            <m:r>
              <m:t>s</m:t>
            </m:r>
            <m:r>
              <m:t>i</m:t>
            </m:r>
            <m:r>
              <m:t>o</m:t>
            </m:r>
            <m:r>
              <m:t>n</m:t>
            </m:r>
          </m:sub>
          <m:sup>
            <m:r>
              <m:t>p</m:t>
            </m:r>
            <m:r>
              <m:t>r</m:t>
            </m:r>
            <m:r>
              <m:t>i</m:t>
            </m:r>
            <m:r>
              <m:t>m</m:t>
            </m:r>
            <m:r>
              <m:t>e</m:t>
            </m:r>
            <m:r>
              <m:t>s</m:t>
            </m:r>
          </m:sup>
        </m:sSubSup>
        <m:r>
          <m:rPr>
            <m:sty m:val="p"/>
          </m:rPr>
          <m:t>×</m:t>
        </m:r>
        <m:r>
          <m:t>B</m:t>
        </m:r>
        <m:sSubSup>
          <m:e>
            <m:r>
              <m:t>E</m:t>
            </m:r>
          </m:e>
          <m:sub>
            <m:r>
              <m:t>p</m:t>
            </m:r>
            <m:r>
              <m:t>r</m:t>
            </m:r>
            <m:r>
              <m:t>i</m:t>
            </m:r>
            <m:r>
              <m:t>m</m:t>
            </m:r>
            <m:r>
              <m:t>e</m:t>
            </m:r>
            <m:r>
              <m:t>s</m:t>
            </m:r>
          </m:sub>
          <m:sup>
            <m:r>
              <m:t>e</m:t>
            </m:r>
            <m:r>
              <m:t>n</m:t>
            </m:r>
            <m:r>
              <m:t>g</m:t>
            </m:r>
          </m:sup>
        </m:sSubSup>
      </m:oMath>
      <w:r>
        <w:t xml:space="preserve"> </w:t>
      </w:r>
      <w:r>
        <w:t xml:space="preserve">: La meilleure estimation des engagements pour primes cédés visée est évaluée en multipliant la meilleure estimation des engagements pour primes visée par le taux de cession de primes. Le taux de cession (</w:t>
      </w:r>
      <m:oMath>
        <m:sSubSup>
          <m:e>
            <m:r>
              <m:t>r</m:t>
            </m:r>
          </m:e>
          <m:sub>
            <m:r>
              <m:t>c</m:t>
            </m:r>
            <m:r>
              <m:t>e</m:t>
            </m:r>
            <m:r>
              <m:t>s</m:t>
            </m:r>
            <m:r>
              <m:t>s</m:t>
            </m:r>
            <m:r>
              <m:t>i</m:t>
            </m:r>
            <m:r>
              <m:t>o</m:t>
            </m:r>
            <m:r>
              <m:t>n</m:t>
            </m:r>
          </m:sub>
          <m:sup>
            <m:r>
              <m:t>p</m:t>
            </m:r>
            <m:r>
              <m:t>r</m:t>
            </m:r>
            <m:r>
              <m:t>i</m:t>
            </m:r>
            <m:r>
              <m:t>m</m:t>
            </m:r>
            <m:r>
              <m:t>e</m:t>
            </m:r>
            <m:r>
              <m:t>s</m:t>
            </m:r>
          </m:sup>
        </m:sSubSup>
      </m:oMath>
      <w:r>
        <w:t xml:space="preserve">) de primes précité correspond au rapport entre les primes brutes non vie (cessions) et les primes émises de l’exercice.</w:t>
      </w:r>
    </w:p>
    <w:bookmarkEnd w:id="107"/>
    <w:bookmarkEnd w:id="108"/>
    <w:bookmarkStart w:id="115" w:name="lajustement-pour-défaut-de-contrepartie"/>
    <w:p>
      <w:pPr>
        <w:pStyle w:val="Heading4"/>
      </w:pPr>
      <w:r>
        <w:t xml:space="preserve">6.4.2 L’ajustement pour défaut de contrepartie:</w:t>
      </w:r>
    </w:p>
    <w:p>
      <w:pPr>
        <w:pStyle w:val="FirstParagraph"/>
      </w:pPr>
      <w:r>
        <w:t xml:space="preserve">L’ajustement pour défaut de contrepartie est déterminé en actualisant les flux d’ajustement futurs sur la base de la courbe des taux fixée par l’Autorité. Il correspond à la perte anticipée résultant de la défaillance probable du cessionnaire</w:t>
      </w:r>
    </w:p>
    <w:p>
      <w:pPr>
        <w:pStyle w:val="BodyText"/>
      </w:pPr>
      <w:r>
        <w:t xml:space="preserve">Les flux d’ajustement futurs sont déterminés conformément à la méthode, telle que décrite à</w:t>
      </w:r>
      <w:r>
        <w:t xml:space="preserve"> </w:t>
      </w:r>
      <w:r>
        <w:rPr>
          <w:bCs/>
          <w:b/>
        </w:rPr>
        <w:t xml:space="preserve">l’annexe N°6</w:t>
      </w:r>
      <w:r>
        <w:t xml:space="preserve"> </w:t>
      </w:r>
      <w:r>
        <w:t xml:space="preserve">de la circulaire de l’ACAPS que nous décrirons ci-après.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9" name="Picture"/>
                  <a:graphic>
                    <a:graphicData uri="http://schemas.openxmlformats.org/drawingml/2006/picture">
                      <pic:pic>
                        <pic:nvPicPr>
                          <pic:cNvPr descr="C:\PROGRA~1\RStudio\RESOUR~1\app\bin\quarto\share\formats\docx\note.png" id="110"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Nº1: Calcul des meilleures estimations cédées projetées</w:t>
            </w:r>
          </w:p>
        </w:tc>
      </w:tr>
      <w:tr>
        <w:trPr>
          <w:cantSplit/>
        </w:trPr>
        <w:tc>
          <w:tcPr>
            <w:tcMar>
              <w:top w:w="108" w:type="dxa"/>
              <w:bottom w:w="108" w:type="dxa"/>
            </w:tcMar>
          </w:tcPr>
          <w:p>
            <w:pPr>
              <w:pStyle w:val="BlockText"/>
            </w:pPr>
            <w:r>
              <w:t xml:space="preserve">Pour les opérations d’assurance non-vie hors rentes</w:t>
            </w:r>
          </w:p>
          <w:p>
            <w:pPr>
              <w:pStyle w:val="FirstParagraph"/>
            </w:pPr>
            <w:r>
              <w:t xml:space="preserve">Posons</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étant les flux de règlements futurs probabilisés. La meilleure estimation des engagements cédés au titre de l’année de projection</w:t>
            </w:r>
            <w:r>
              <w:t xml:space="preserve"> </w:t>
            </w: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oMath>
            <w:r>
              <w:t xml:space="preserve"> </w:t>
            </w:r>
            <w:r>
              <w:t xml:space="preserve">est calculée comme suit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d>
                  <m:dPr>
                    <m:begChr m:val="("/>
                    <m:endChr m:val=")"/>
                    <m:sepChr m:val=""/>
                    <m:grow/>
                  </m:dPr>
                  <m:e>
                    <m:r>
                      <m:t>M</m:t>
                    </m:r>
                    <m:sSub>
                      <m:e>
                        <m:r>
                          <m:t>E</m:t>
                        </m:r>
                      </m:e>
                      <m:sub>
                        <m:r>
                          <m:t>s</m:t>
                        </m:r>
                        <m:r>
                          <m:t>i</m:t>
                        </m:r>
                        <m:r>
                          <m:t>n</m:t>
                        </m:r>
                        <m:r>
                          <m:t>s</m:t>
                        </m:r>
                        <m:r>
                          <m:t>i</m:t>
                        </m:r>
                        <m:r>
                          <m:t>t</m:t>
                        </m:r>
                        <m:r>
                          <m:t>r</m:t>
                        </m:r>
                        <m:r>
                          <m:t>e</m:t>
                        </m:r>
                        <m:r>
                          <m:t>s</m:t>
                        </m:r>
                        <m:r>
                          <m:t> </m:t>
                        </m:r>
                        <m:r>
                          <m:t>i</m:t>
                        </m:r>
                      </m:sub>
                    </m:sSub>
                    <m:r>
                      <m:rPr>
                        <m:sty m:val="p"/>
                      </m:rPr>
                      <m:t>×</m:t>
                    </m:r>
                    <m:r>
                      <m:t>r</m:t>
                    </m:r>
                    <m:r>
                      <m:t>a</m:t>
                    </m:r>
                    <m:r>
                      <m:t>t</m:t>
                    </m:r>
                    <m:r>
                      <m:t>i</m:t>
                    </m:r>
                    <m:sSub>
                      <m:e>
                        <m:r>
                          <m:t>o</m:t>
                        </m:r>
                      </m:e>
                      <m:sub>
                        <m:r>
                          <m:t>s</m:t>
                        </m:r>
                        <m:r>
                          <m:t>i</m:t>
                        </m:r>
                        <m:r>
                          <m:t>n</m:t>
                        </m:r>
                        <m:r>
                          <m:t>i</m:t>
                        </m:r>
                        <m:r>
                          <m:t>s</m:t>
                        </m:r>
                        <m:r>
                          <m:t>t</m:t>
                        </m:r>
                        <m:r>
                          <m:t>r</m:t>
                        </m:r>
                        <m:r>
                          <m:t>e</m:t>
                        </m:r>
                        <m:r>
                          <m:t>s</m:t>
                        </m:r>
                        <m:r>
                          <m:t> </m:t>
                        </m:r>
                        <m:r>
                          <m:t>0</m:t>
                        </m:r>
                      </m:sub>
                    </m:sSub>
                    <m:r>
                      <m:rPr>
                        <m:sty m:val="p"/>
                      </m:rPr>
                      <m:t>+</m:t>
                    </m:r>
                    <m:r>
                      <m:t>M</m:t>
                    </m:r>
                    <m:sSub>
                      <m:e>
                        <m:r>
                          <m:t>E</m:t>
                        </m:r>
                      </m:e>
                      <m:sub>
                        <m:r>
                          <m:t>p</m:t>
                        </m:r>
                        <m:r>
                          <m:t>r</m:t>
                        </m:r>
                        <m:r>
                          <m:t>i</m:t>
                        </m:r>
                        <m:r>
                          <m:t>m</m:t>
                        </m:r>
                        <m:r>
                          <m:t>e</m:t>
                        </m:r>
                        <m:r>
                          <m:t>s</m:t>
                        </m:r>
                        <m:r>
                          <m:t> </m:t>
                        </m:r>
                        <m:r>
                          <m:t>i</m:t>
                        </m:r>
                      </m:sub>
                    </m:sSub>
                    <m:r>
                      <m:rPr>
                        <m:sty m:val="p"/>
                      </m:rPr>
                      <m:t>×</m:t>
                    </m:r>
                    <m:r>
                      <m:t>r</m:t>
                    </m:r>
                    <m:r>
                      <m:t>a</m:t>
                    </m:r>
                    <m:r>
                      <m:t>t</m:t>
                    </m:r>
                    <m:r>
                      <m:t>i</m:t>
                    </m:r>
                    <m:sSub>
                      <m:e>
                        <m:r>
                          <m:t>o</m:t>
                        </m:r>
                      </m:e>
                      <m:sub>
                        <m:r>
                          <m:t>p</m:t>
                        </m:r>
                        <m:r>
                          <m:t>r</m:t>
                        </m:r>
                        <m:r>
                          <m:t>i</m:t>
                        </m:r>
                        <m:r>
                          <m:t>m</m:t>
                        </m:r>
                        <m:r>
                          <m:t>e</m:t>
                        </m:r>
                        <m:r>
                          <m:t>s</m:t>
                        </m:r>
                        <m:r>
                          <m:t> </m:t>
                        </m:r>
                        <m:r>
                          <m:t>0</m:t>
                        </m:r>
                      </m:sub>
                    </m:sSub>
                  </m:e>
                </m:d>
              </m:oMath>
            </m:oMathPara>
          </w:p>
          <w:p>
            <w:pPr>
              <w:pStyle w:val="FirstParagraph"/>
            </w:pPr>
            <w:r>
              <w:t xml:space="preserve">Où:</w:t>
            </w:r>
          </w:p>
          <w:p>
            <w:pPr>
              <w:numPr>
                <w:ilvl w:val="0"/>
                <w:numId w:val="1032"/>
              </w:numPr>
              <w:pStyle w:val="Compact"/>
            </w:pPr>
            <m:oMath>
              <m:r>
                <m:t>M</m:t>
              </m:r>
              <m:sSub>
                <m:e>
                  <m:r>
                    <m:t>E</m:t>
                  </m:r>
                </m:e>
                <m:sub>
                  <m:r>
                    <m:t>s</m:t>
                  </m:r>
                  <m:r>
                    <m:t>i</m:t>
                  </m:r>
                  <m:r>
                    <m:t>n</m:t>
                  </m:r>
                  <m:r>
                    <m:t>s</m:t>
                  </m:r>
                  <m:r>
                    <m:t>i</m:t>
                  </m:r>
                  <m:r>
                    <m:t>t</m:t>
                  </m:r>
                  <m:r>
                    <m:t>r</m:t>
                  </m:r>
                  <m:r>
                    <m:t>e</m:t>
                  </m:r>
                  <m:r>
                    <m:t>s</m:t>
                  </m:r>
                  <m:r>
                    <m:t> </m:t>
                  </m:r>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p>
          <w:p>
            <w:pPr>
              <w:numPr>
                <w:ilvl w:val="0"/>
                <w:numId w:val="1032"/>
              </w:numPr>
              <w:pStyle w:val="Compact"/>
            </w:pPr>
            <m:oMath>
              <m:r>
                <m:t>M</m:t>
              </m:r>
              <m:sSub>
                <m:e>
                  <m:r>
                    <m:t>E</m:t>
                  </m:r>
                </m:e>
                <m:sub>
                  <m:r>
                    <m:t>p</m:t>
                  </m:r>
                  <m:r>
                    <m:t>r</m:t>
                  </m:r>
                  <m:r>
                    <m:t>i</m:t>
                  </m:r>
                  <m:r>
                    <m:t>m</m:t>
                  </m:r>
                  <m:r>
                    <m:t>e</m:t>
                  </m:r>
                  <m:r>
                    <m:t>s</m:t>
                  </m:r>
                  <m:r>
                    <m:t> </m:t>
                  </m:r>
                  <m:r>
                    <m:t>i</m:t>
                  </m:r>
                </m:sub>
              </m:sSub>
            </m:oMath>
            <w:r>
              <w:t xml:space="preserve">: correspond à la meilleure estimation des engagements pour primes projetée à la date i.</w:t>
            </w:r>
          </w:p>
          <w:p>
            <w:pPr>
              <w:numPr>
                <w:ilvl w:val="0"/>
                <w:numId w:val="1032"/>
              </w:numPr>
              <w:pStyle w:val="Compact"/>
            </w:pPr>
            <w:r>
              <w:t xml:space="preserve">Les termes</w:t>
            </w:r>
            <w:r>
              <w:t xml:space="preserve"> </w:t>
            </w:r>
            <m:oMath>
              <m:r>
                <m:t>r</m:t>
              </m:r>
              <m:r>
                <m:t>a</m:t>
              </m:r>
              <m:r>
                <m:t>t</m:t>
              </m:r>
              <m:r>
                <m:t>i</m:t>
              </m:r>
              <m:sSub>
                <m:e>
                  <m:r>
                    <m:t>o</m:t>
                  </m:r>
                </m:e>
                <m:sub>
                  <m:r>
                    <m:t>s</m:t>
                  </m:r>
                  <m:r>
                    <m:t>i</m:t>
                  </m:r>
                  <m:r>
                    <m:t>n</m:t>
                  </m:r>
                  <m:r>
                    <m:t>i</m:t>
                  </m:r>
                  <m:r>
                    <m:t>s</m:t>
                  </m:r>
                  <m:r>
                    <m:t>t</m:t>
                  </m:r>
                  <m:r>
                    <m:t>r</m:t>
                  </m:r>
                  <m:r>
                    <m:t>e</m:t>
                  </m:r>
                  <m:r>
                    <m:t>s</m:t>
                  </m:r>
                  <m:r>
                    <m:t> </m:t>
                  </m:r>
                  <m:r>
                    <m:t>0</m:t>
                  </m:r>
                </m:sub>
              </m:sSub>
            </m:oMath>
            <w:r>
              <w:t xml:space="preserve"> </w:t>
            </w:r>
            <w:r>
              <w:t xml:space="preserve">et</w:t>
            </w:r>
            <w:r>
              <w:t xml:space="preserve"> </w:t>
            </w:r>
            <m:oMath>
              <m:r>
                <m:t>r</m:t>
              </m:r>
              <m:r>
                <m:t>a</m:t>
              </m:r>
              <m:r>
                <m:t>t</m:t>
              </m:r>
              <m:r>
                <m:t>i</m:t>
              </m:r>
              <m:sSub>
                <m:e>
                  <m:r>
                    <m:t>o</m:t>
                  </m:r>
                </m:e>
                <m:sub>
                  <m:r>
                    <m:t>p</m:t>
                  </m:r>
                  <m:r>
                    <m:t>r</m:t>
                  </m:r>
                  <m:r>
                    <m:t>i</m:t>
                  </m:r>
                  <m:r>
                    <m:t>m</m:t>
                  </m:r>
                  <m:r>
                    <m:t>e</m:t>
                  </m:r>
                  <m:r>
                    <m:t>s</m:t>
                  </m:r>
                  <m:r>
                    <m:t> </m:t>
                  </m:r>
                  <m:r>
                    <m:t>0</m:t>
                  </m:r>
                </m:sub>
              </m:sSub>
            </m:oMath>
            <w:r>
              <w:t xml:space="preserve"> </w:t>
            </w:r>
            <w:r>
              <w:t xml:space="preserve">correspondent aux ratios de passage utilisés pour le calcul de la meilleure estimation des engagements pour sinistres cédés et pour primes cédés respectivement à la date d’inventaire.</w:t>
            </w:r>
          </w:p>
          <w:p>
            <w:pPr>
              <w:pStyle w:val="BlockText"/>
            </w:pPr>
            <w:r>
              <w:t xml:space="preserve">Pour les opérations d’assurance vie, décès ou de capitalisation</w:t>
            </w:r>
          </w:p>
          <w:p>
            <w:pPr>
              <w:pStyle w:val="FirstParagraph"/>
            </w:pPr>
            <w:r>
              <w:t xml:space="preserve">La meilleure estimation des engagements cédès est déterminée par la formule suivante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d>
                  <m:dPr>
                    <m:begChr m:val="("/>
                    <m:endChr m:val=")"/>
                    <m:sepChr m:val=""/>
                    <m:grow/>
                  </m:dPr>
                  <m:e>
                    <m:r>
                      <m:t>M</m:t>
                    </m:r>
                    <m:r>
                      <m:t>E</m:t>
                    </m:r>
                    <m:r>
                      <m:t>G</m:t>
                    </m:r>
                    <m:sSub>
                      <m:e>
                        <m:r>
                          <m:t>P</m:t>
                        </m:r>
                      </m:e>
                      <m:sub>
                        <m:r>
                          <m:t>i</m:t>
                        </m:r>
                      </m:sub>
                    </m:sSub>
                    <m:r>
                      <m:rPr>
                        <m:sty m:val="p"/>
                      </m:rPr>
                      <m:t>+</m:t>
                    </m:r>
                    <m:r>
                      <m:t>B</m:t>
                    </m:r>
                    <m:r>
                      <m:t>D</m:t>
                    </m:r>
                    <m:sSub>
                      <m:e>
                        <m:r>
                          <m:t>F</m:t>
                        </m:r>
                      </m:e>
                      <m:sub>
                        <m:r>
                          <m:t>i</m:t>
                        </m:r>
                      </m:sub>
                    </m:sSub>
                  </m:e>
                </m:d>
                <m:r>
                  <m:rPr>
                    <m:sty m:val="p"/>
                  </m:rPr>
                  <m:t>×</m:t>
                </m:r>
                <m:r>
                  <m:t>r</m:t>
                </m:r>
                <m:r>
                  <m:t>a</m:t>
                </m:r>
                <m:r>
                  <m:t>t</m:t>
                </m:r>
                <m:r>
                  <m:t>i</m:t>
                </m:r>
                <m:sSub>
                  <m:e>
                    <m:r>
                      <m:t>o</m:t>
                    </m:r>
                  </m:e>
                  <m:sub>
                    <m:r>
                      <m:t>0</m:t>
                    </m:r>
                  </m:sub>
                </m:sSub>
              </m:oMath>
            </m:oMathPara>
          </w:p>
          <w:p>
            <w:pPr>
              <w:pStyle w:val="FirstParagraph"/>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w:t>
            </w:r>
            <w:r>
              <w:t xml:space="preserve"> </w:t>
            </w:r>
            <m:oMath>
              <m:r>
                <m:t>B</m:t>
              </m:r>
              <m:r>
                <m:t>D</m:t>
              </m:r>
              <m:sSub>
                <m:e>
                  <m:r>
                    <m:t>F</m:t>
                  </m:r>
                </m:e>
                <m:sub>
                  <m:r>
                    <m:t>i</m:t>
                  </m:r>
                </m:sub>
              </m:sSub>
              <m:r>
                <m:rPr>
                  <m:sty m:val="p"/>
                </m:rPr>
                <m:t>=</m:t>
              </m:r>
              <m:f>
                <m:fPr>
                  <m:type m:val="bar"/>
                </m:fPr>
                <m:num>
                  <m:r>
                    <m:t>M</m:t>
                  </m:r>
                  <m:r>
                    <m:t>E</m:t>
                  </m:r>
                  <m:r>
                    <m:t>G</m:t>
                  </m:r>
                  <m:sSub>
                    <m:e>
                      <m:r>
                        <m:t>P</m:t>
                      </m:r>
                    </m:e>
                    <m:sub>
                      <m:r>
                        <m:t>i</m:t>
                      </m:r>
                    </m:sub>
                  </m:sSub>
                </m:num>
                <m:den>
                  <m:r>
                    <m:t>M</m:t>
                  </m:r>
                  <m:r>
                    <m:t>E</m:t>
                  </m:r>
                  <m:r>
                    <m:t>G</m:t>
                  </m:r>
                  <m:sSub>
                    <m:e>
                      <m:r>
                        <m:t>P</m:t>
                      </m:r>
                    </m:e>
                    <m:sub>
                      <m:r>
                        <m:t>0</m:t>
                      </m:r>
                    </m:sub>
                  </m:sSub>
                </m:den>
              </m:f>
              <m:r>
                <m:rPr>
                  <m:sty m:val="p"/>
                </m:rPr>
                <m:t>×</m:t>
              </m:r>
              <m:r>
                <m:t>B</m:t>
              </m:r>
              <m:r>
                <m:t>D</m:t>
              </m:r>
              <m:sSub>
                <m:e>
                  <m:r>
                    <m:t>F</m:t>
                  </m:r>
                </m:e>
                <m:sub>
                  <m:r>
                    <m:t>0</m:t>
                  </m:r>
                </m:sub>
              </m:sSub>
              <m:r>
                <m:rPr>
                  <m:sty m:val="p"/>
                </m:rPr>
                <m:t>×</m:t>
              </m:r>
              <m:sSup>
                <m:e>
                  <m:d>
                    <m:dPr>
                      <m:begChr m:val="("/>
                      <m:endChr m:val=")"/>
                      <m:sepChr m:val=""/>
                      <m:grow/>
                    </m:dPr>
                    <m:e>
                      <m:r>
                        <m:t>1</m:t>
                      </m:r>
                      <m:r>
                        <m:rPr>
                          <m:sty m:val="p"/>
                        </m:rPr>
                        <m:t>+</m:t>
                      </m:r>
                      <m:sSub>
                        <m:e>
                          <m:r>
                            <m:t>r</m:t>
                          </m:r>
                        </m:e>
                        <m:sub>
                          <m:r>
                            <m:t>i</m:t>
                          </m:r>
                        </m:sub>
                      </m:sSub>
                    </m:e>
                  </m:d>
                </m:e>
                <m:sup>
                  <m:r>
                    <m:t>i</m:t>
                  </m:r>
                </m:sup>
              </m:sSup>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r>
              <w:t xml:space="preserve"> </w:t>
            </w:r>
            <w:r>
              <w:t xml:space="preserve">-</w:t>
            </w:r>
            <w:r>
              <w:t xml:space="preserve"> </w:t>
            </w:r>
            <m:oMath>
              <m:r>
                <m:t>B</m:t>
              </m:r>
              <m:r>
                <m:t>D</m:t>
              </m:r>
              <m:sSub>
                <m:e>
                  <m:r>
                    <m:t>F</m:t>
                  </m:r>
                </m:e>
                <m:sub>
                  <m:r>
                    <m:t>0</m:t>
                  </m:r>
                </m:sub>
              </m:sSub>
            </m:oMath>
            <w:r>
              <w:t xml:space="preserve"> </w:t>
            </w:r>
            <w:r>
              <w:t xml:space="preserve">correspond aux bénéfices discrétionnaires futurs à la date d’inventaire.</w:t>
            </w:r>
            <w:r>
              <w:t xml:space="preserve"> </w:t>
            </w:r>
            <w:r>
              <w:t xml:space="preserve">- Le terme</w:t>
            </w:r>
            <w:r>
              <w:t xml:space="preserve"> </w:t>
            </w:r>
            <m:oMath>
              <m:r>
                <m:t>r</m:t>
              </m:r>
              <m:r>
                <m:t>a</m:t>
              </m:r>
              <m:r>
                <m:t>t</m:t>
              </m:r>
              <m:r>
                <m:t>i</m:t>
              </m:r>
              <m:sSub>
                <m:e>
                  <m:r>
                    <m:t>o</m:t>
                  </m:r>
                </m:e>
                <m:sub>
                  <m:r>
                    <m:t>0</m:t>
                  </m:r>
                </m:sub>
              </m:sSub>
            </m:oMath>
            <w:r>
              <w:t xml:space="preserve"> </w:t>
            </w:r>
            <w:r>
              <w:t xml:space="preserve">correspond au ratio de passage utilisé pour le calcul de la meilleure estimation des engagements cédés à la date d’inventaire.</w:t>
            </w:r>
          </w:p>
          <w:p>
            <w:pPr>
              <w:pStyle w:val="BlockText"/>
            </w:pPr>
            <w:r>
              <w:t xml:space="preserve">Pour les rentes découlant des opérations non-vie</w:t>
            </w:r>
          </w:p>
          <w:p>
            <w:pPr>
              <w:pStyle w:val="FirstParagraph"/>
            </w:pPr>
            <w:r>
              <w:t xml:space="preserve">La meilleure estimation des engagements cédès au titre de l’année de projection correspond à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r>
                  <m:t>M</m:t>
                </m:r>
                <m:r>
                  <m:t>E</m:t>
                </m:r>
                <m:r>
                  <m:t>G</m:t>
                </m:r>
                <m:sSub>
                  <m:e>
                    <m:r>
                      <m:t>P</m:t>
                    </m:r>
                  </m:e>
                  <m:sub>
                    <m:r>
                      <m:t>i</m:t>
                    </m:r>
                  </m:sub>
                </m:sSub>
                <m:r>
                  <m:rPr>
                    <m:sty m:val="p"/>
                  </m:rPr>
                  <m:t>×</m:t>
                </m:r>
                <m:r>
                  <m:t>r</m:t>
                </m:r>
                <m:r>
                  <m:t>a</m:t>
                </m:r>
                <m:r>
                  <m:t>t</m:t>
                </m:r>
                <m:r>
                  <m:t>i</m:t>
                </m:r>
                <m:sSub>
                  <m:e>
                    <m:r>
                      <m:t>o</m:t>
                    </m:r>
                  </m:e>
                  <m:sub>
                    <m:r>
                      <m:t>0</m:t>
                    </m:r>
                  </m:sub>
                </m:sSub>
              </m:oMath>
            </m:oMathPara>
          </w:p>
          <w:p>
            <w:pPr>
              <w:pStyle w:val="FirstParagraph"/>
            </w:pPr>
            <w:pPr>
              <w:spacing w:after="16"/>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 Le terme</w:t>
            </w:r>
            <w:r>
              <w:t xml:space="preserve"> </w:t>
            </w:r>
            <m:oMath>
              <m:r>
                <m:t>r</m:t>
              </m:r>
              <m:r>
                <m:t>a</m:t>
              </m:r>
              <m:r>
                <m:t>t</m:t>
              </m:r>
              <m:r>
                <m:t>i</m:t>
              </m:r>
              <m:sSub>
                <m:e>
                  <m:r>
                    <m:t>o</m:t>
                  </m:r>
                </m:e>
                <m:sub>
                  <m:r>
                    <m:t>0</m:t>
                  </m:r>
                </m:sub>
              </m:sSub>
            </m:oMath>
            <w:r>
              <w:t xml:space="preserve"> </w:t>
            </w:r>
            <w:r>
              <w:t xml:space="preserve">correspond au ratio de passage utilisé pour le calcul de la meilleure estimation des engagements cédés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11" name="Picture"/>
                  <a:graphic>
                    <a:graphicData uri="http://schemas.openxmlformats.org/drawingml/2006/picture">
                      <pic:pic>
                        <pic:nvPicPr>
                          <pic:cNvPr descr="C:\PROGRA~1\RStudio\RESOUR~1\app\bin\quarto\share\formats\docx\note.png" id="11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Nº2: Calcul des flux d’ajustement projetés</w:t>
            </w:r>
          </w:p>
        </w:tc>
      </w:tr>
      <w:tr>
        <w:trPr>
          <w:cantSplit/>
        </w:trPr>
        <w:tc>
          <w:tcPr>
            <w:tcMar>
              <w:top w:w="108" w:type="dxa"/>
              <w:bottom w:w="108" w:type="dxa"/>
            </w:tcMar>
          </w:tcPr>
          <w:p>
            <w:pPr>
              <w:pStyle w:val="BodyText"/>
            </w:pPr>
            <w:pPr>
              <w:spacing w:before="16"/>
            </w:pPr>
            <w:r>
              <w:t xml:space="preserve">Au titre de l’année de projection</w:t>
            </w:r>
            <w:r>
              <w:t xml:space="preserve"> </w:t>
            </w:r>
            <m:oMath>
              <m:r>
                <m:t>i</m:t>
              </m:r>
            </m:oMath>
            <w:r>
              <w:t xml:space="preserve">, le flux d’ajustement est calculé ainsi :</w:t>
            </w:r>
          </w:p>
          <w:p>
            <w:pPr>
              <w:pStyle w:val="BodyText"/>
            </w:pPr>
            <w:pPr>
              <w:spacing w:after="16"/>
            </w:pPr>
          </w:p>
          <w:p>
            <w:pPr>
              <w:pStyle w:val="BodyText"/>
            </w:pPr>
            <m:oMathPara>
              <m:oMathParaPr>
                <m:jc m:val="center"/>
              </m:oMathParaPr>
              <m:oMath>
                <m:r>
                  <m:t>A</m:t>
                </m:r>
                <m:r>
                  <m:t>d</m:t>
                </m:r>
                <m:sSub>
                  <m:e>
                    <m:r>
                      <m:t>j</m:t>
                    </m:r>
                  </m:e>
                  <m:sub>
                    <m:r>
                      <m:t>i</m:t>
                    </m:r>
                  </m:sub>
                </m:sSub>
                <m:r>
                  <m:rPr>
                    <m:sty m:val="p"/>
                  </m:rPr>
                  <m:t>=</m:t>
                </m:r>
                <m:f>
                  <m:fPr>
                    <m:type m:val="bar"/>
                  </m:fPr>
                  <m:num>
                    <m:r>
                      <m:t>1</m:t>
                    </m:r>
                  </m:num>
                  <m:den>
                    <m:r>
                      <m:t>2</m:t>
                    </m:r>
                  </m:den>
                </m:f>
                <m:r>
                  <m:rPr>
                    <m:sty m:val="p"/>
                  </m:rPr>
                  <m:t>×</m:t>
                </m:r>
                <m:r>
                  <m:rPr>
                    <m:sty m:val="p"/>
                  </m:rPr>
                  <m:t>max</m:t>
                </m:r>
                <m:d>
                  <m:dPr>
                    <m:begChr m:val="("/>
                    <m:endChr m:val=")"/>
                    <m:sepChr m:val=""/>
                    <m:grow/>
                  </m:dPr>
                  <m:e>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r>
                      <m:t>d</m:t>
                    </m:r>
                    <m:r>
                      <m:t>é</m:t>
                    </m:r>
                    <m:r>
                      <m:t>p</m:t>
                    </m:r>
                    <m:r>
                      <m:t>ô</m:t>
                    </m:r>
                    <m:r>
                      <m:t>t</m:t>
                    </m:r>
                    <m:r>
                      <m:t> </m:t>
                    </m:r>
                    <m:r>
                      <m:t>e</m:t>
                    </m:r>
                    <m:r>
                      <m:t>n</m:t>
                    </m:r>
                    <m:r>
                      <m:t> </m:t>
                    </m:r>
                    <m:r>
                      <m:t>e</m:t>
                    </m:r>
                    <m:r>
                      <m:t>s</m:t>
                    </m:r>
                    <m:r>
                      <m:t>p</m:t>
                    </m:r>
                    <m:r>
                      <m:t>è</m:t>
                    </m:r>
                    <m:r>
                      <m:t>c</m:t>
                    </m:r>
                    <m:r>
                      <m:t>e</m:t>
                    </m:r>
                    <m:r>
                      <m:t>s</m:t>
                    </m:r>
                    <m:r>
                      <m:t> </m:t>
                    </m:r>
                    <m:r>
                      <m:t>e</m:t>
                    </m:r>
                    <m:r>
                      <m:t>t</m:t>
                    </m:r>
                    <m:r>
                      <m:t> </m:t>
                    </m:r>
                    <m:r>
                      <m:t>e</m:t>
                    </m:r>
                    <m:r>
                      <m:t>n</m:t>
                    </m:r>
                    <m:r>
                      <m:t> </m:t>
                    </m:r>
                    <m:r>
                      <m:t>v</m:t>
                    </m:r>
                    <m:r>
                      <m:t>a</m:t>
                    </m:r>
                    <m:r>
                      <m:t>l</m:t>
                    </m:r>
                    <m:r>
                      <m:t>e</m:t>
                    </m:r>
                    <m:r>
                      <m:t>u</m:t>
                    </m:r>
                    <m:r>
                      <m:t>r</m:t>
                    </m:r>
                    <m:sSub>
                      <m:e>
                        <m:r>
                          <m:t>s</m:t>
                        </m:r>
                      </m:e>
                      <m:sub>
                        <m:r>
                          <m:t>1</m:t>
                        </m:r>
                      </m:sub>
                    </m:sSub>
                    <m:r>
                      <m:rPr>
                        <m:sty m:val="p"/>
                      </m:rPr>
                      <m:t>+</m:t>
                    </m:r>
                    <m:r>
                      <m:t>s</m:t>
                    </m:r>
                    <m:r>
                      <m:t>o</m:t>
                    </m:r>
                    <m:r>
                      <m:t>l</m:t>
                    </m:r>
                    <m:r>
                      <m:t>d</m:t>
                    </m:r>
                    <m:r>
                      <m:t>e</m:t>
                    </m:r>
                    <m:r>
                      <m:t> </m:t>
                    </m:r>
                    <m:r>
                      <m:t>d</m:t>
                    </m:r>
                    <m:r>
                      <m:t>e</m:t>
                    </m:r>
                    <m:r>
                      <m:t> </m:t>
                    </m:r>
                    <m:r>
                      <m:t>r</m:t>
                    </m:r>
                    <m:r>
                      <m:t>é</m:t>
                    </m:r>
                    <m:r>
                      <m:t>a</m:t>
                    </m:r>
                    <m:r>
                      <m:t>s</m:t>
                    </m:r>
                    <m:r>
                      <m:t>s</m:t>
                    </m:r>
                    <m:r>
                      <m:t>u</m:t>
                    </m:r>
                    <m:r>
                      <m:t>r</m:t>
                    </m:r>
                    <m:r>
                      <m:t>a</m:t>
                    </m:r>
                    <m:r>
                      <m:t>n</m:t>
                    </m:r>
                    <m:r>
                      <m:t>c</m:t>
                    </m:r>
                    <m:sSub>
                      <m:e>
                        <m:r>
                          <m:t>e</m:t>
                        </m:r>
                      </m:e>
                      <m:sub>
                        <m:r>
                          <m:t>1</m:t>
                        </m:r>
                      </m:sub>
                    </m:sSub>
                    <m:r>
                      <m:rPr>
                        <m:sty m:val="p"/>
                      </m:rPr>
                      <m:t>;</m:t>
                    </m:r>
                    <m:r>
                      <m:t>0</m:t>
                    </m:r>
                  </m:e>
                </m:d>
                <m:r>
                  <m:rPr>
                    <m:sty m:val="p"/>
                  </m:rPr>
                  <m:t>×</m:t>
                </m:r>
                <m:r>
                  <m:t>P</m:t>
                </m:r>
                <m:r>
                  <m:t>D</m:t>
                </m:r>
                <m:r>
                  <m:rPr>
                    <m:sty m:val="p"/>
                  </m:rPr>
                  <m:t>×</m:t>
                </m:r>
                <m:sSup>
                  <m:e>
                    <m:d>
                      <m:dPr>
                        <m:begChr m:val="("/>
                        <m:endChr m:val=")"/>
                        <m:sepChr m:val=""/>
                        <m:grow/>
                      </m:dPr>
                      <m:e>
                        <m:r>
                          <m:t>1</m:t>
                        </m:r>
                        <m:r>
                          <m:rPr>
                            <m:sty m:val="p"/>
                          </m:rPr>
                          <m:t>−</m:t>
                        </m:r>
                        <m:r>
                          <m:t>P</m:t>
                        </m:r>
                        <m:r>
                          <m:t>D</m:t>
                        </m:r>
                      </m:e>
                    </m:d>
                  </m:e>
                  <m:sup>
                    <m:r>
                      <m:t>i</m:t>
                    </m:r>
                    <m:r>
                      <m:rPr>
                        <m:sty m:val="p"/>
                      </m:rPr>
                      <m:t>−</m:t>
                    </m:r>
                    <m:r>
                      <m:t>1</m:t>
                    </m:r>
                  </m:sup>
                </m:sSup>
              </m:oMath>
            </m:oMathPara>
          </w:p>
          <w:p>
            <w:pPr>
              <w:pStyle w:val="FirstParagraph"/>
            </w:pPr>
            <w:r>
              <w:t xml:space="preserve">La probabilité de défaut annuelle</w:t>
            </w:r>
            <w:r>
              <w:t xml:space="preserve"> </w:t>
            </w:r>
            <w:r>
              <w:t xml:space="preserve">“</w:t>
            </w:r>
            <w:r>
              <w:t xml:space="preserve">PD</w:t>
            </w:r>
            <w:r>
              <w:t xml:space="preserve">”</w:t>
            </w:r>
            <w:r>
              <w:t xml:space="preserve"> </w:t>
            </w:r>
            <w:r>
              <w:t xml:space="preserve">du cessionnaire est établie conformément au tableau prévu au 2) de l’annexe n°12 de la circulaire qui correspond au premier Annexe de ce rapport.</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C:\PROGRA~1\RStudio\RESOUR~1\app\bin\quarto\share\formats\docx\note.png" id="114"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Nº3: Calcul de l’ajustement pour défaut de contrepartie</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r>
                  <m:t>A</m:t>
                </m:r>
                <m:r>
                  <m:t>j</m:t>
                </m:r>
                <m:r>
                  <m:t>u</m:t>
                </m:r>
                <m:r>
                  <m:t>s</m:t>
                </m:r>
                <m:r>
                  <m:t>t</m:t>
                </m:r>
                <m:r>
                  <m:t>e</m:t>
                </m:r>
                <m:r>
                  <m:t>m</m:t>
                </m:r>
                <m:r>
                  <m:t>e</m:t>
                </m:r>
                <m:r>
                  <m:t>n</m:t>
                </m:r>
                <m:sSub>
                  <m:e>
                    <m:r>
                      <m:t>t</m:t>
                    </m:r>
                  </m:e>
                  <m:sub>
                    <m:r>
                      <m:t>d</m:t>
                    </m:r>
                    <m:r>
                      <m:t>e</m:t>
                    </m:r>
                    <m:r>
                      <m:t>f</m:t>
                    </m:r>
                    <m:r>
                      <m:t>a</m:t>
                    </m:r>
                    <m:r>
                      <m:t>u</m:t>
                    </m:r>
                    <m:r>
                      <m:t>t</m:t>
                    </m:r>
                  </m:sub>
                </m:sSub>
                <m:r>
                  <m:rPr>
                    <m:sty m:val="p"/>
                  </m:rPr>
                  <m:t>=</m:t>
                </m:r>
                <m:nary>
                  <m:naryPr>
                    <m:chr m:val="∑"/>
                    <m:limLoc m:val="undOvr"/>
                    <m:subHide m:val="0"/>
                    <m:supHide m:val="1"/>
                  </m:naryPr>
                  <m:sub>
                    <m:r>
                      <m:t>i</m:t>
                    </m:r>
                    <m:r>
                      <m:rPr>
                        <m:sty m:val="p"/>
                      </m:rPr>
                      <m:t>&gt;</m:t>
                    </m:r>
                    <m:r>
                      <m:t>0</m:t>
                    </m:r>
                  </m:sub>
                  <m:sup>
                    <m:r>
                      <m:t>​</m:t>
                    </m:r>
                  </m:sup>
                  <m:e>
                    <m:f>
                      <m:fPr>
                        <m:type m:val="bar"/>
                      </m:fPr>
                      <m:num>
                        <m:r>
                          <m:t>A</m:t>
                        </m:r>
                        <m:r>
                          <m:t>d</m:t>
                        </m:r>
                        <m:sSub>
                          <m:e>
                            <m:r>
                              <m:t>j</m:t>
                            </m:r>
                          </m:e>
                          <m:sub>
                            <m:r>
                              <m:t>i</m:t>
                            </m:r>
                          </m:sub>
                        </m:sSub>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w:r>
              <w:t xml:space="preserve">avec</w:t>
            </w:r>
            <w:r>
              <w:t xml:space="preserve"> </w:t>
            </w:r>
            <m:oMath>
              <m:d>
                <m:dPr>
                  <m:begChr m:val="("/>
                  <m:endChr m:val=")"/>
                  <m:sepChr m:val=""/>
                  <m:grow/>
                </m:dPr>
                <m:e>
                  <m:sSub>
                    <m:e>
                      <m:r>
                        <m:t>r</m:t>
                      </m:r>
                    </m:e>
                    <m:sub>
                      <m:r>
                        <m:t>i</m:t>
                      </m:r>
                    </m:sub>
                  </m:sSub>
                </m:e>
              </m:d>
            </m:oMath>
            <w:r>
              <w:t xml:space="preserve"> </w:t>
            </w:r>
            <w:r>
              <w:t xml:space="preserve">calculés à partir de la courbe des taux fixée par l’Autorité</w:t>
            </w:r>
          </w:p>
        </w:tc>
      </w:tr>
    </w:tbl>
    <w:bookmarkEnd w:id="115"/>
    <w:bookmarkEnd w:id="116"/>
    <w:bookmarkEnd w:id="117"/>
    <w:bookmarkStart w:id="149" w:name="capital-de-solvabilité-requis"/>
    <w:p>
      <w:pPr>
        <w:pStyle w:val="Heading2"/>
      </w:pPr>
      <w:r>
        <w:t xml:space="preserve">7 Capital de Solvabilité Requis :</w:t>
      </w:r>
    </w:p>
    <w:p>
      <w:pPr>
        <w:pStyle w:val="FirstParagraph"/>
      </w:pPr>
      <w:r>
        <w:t xml:space="preserve">Le Capital de Solvabilité Requis (CSR) est une notion très importante dans les domaines d’assurance et de réassurance, il permet la garantie de tous les risques quantifiables auxquels les entreprises de ces domaines sont exposés. Le CSR correspond au capital dont a besoin une entreprise d’assurance ou de réassurance pour faire face à tous les risques qui peuvent survenir dans le futur et limiter la probabilité de ruine à 0,5%, c’est-à-dire à une seule occurrence tous les 200 ans.</w:t>
      </w:r>
    </w:p>
    <w:p>
      <w:pPr>
        <w:pStyle w:val="BodyText"/>
      </w:pPr>
      <w:r>
        <w:t xml:space="preserve">Commençons d’abord par la définition des différents risques dans les secteurs d’assurance et de réassurance :</w:t>
      </w:r>
    </w:p>
    <w:p>
      <w:pPr>
        <w:numPr>
          <w:ilvl w:val="0"/>
          <w:numId w:val="1033"/>
        </w:numPr>
      </w:pPr>
      <w:r>
        <w:rPr>
          <w:bCs/>
          <w:b/>
        </w:rPr>
        <w:t xml:space="preserve">Risque de souscription</w:t>
      </w:r>
      <w:r>
        <w:t xml:space="preserve"> </w:t>
      </w:r>
      <w:r>
        <w:t xml:space="preserve">: le risque de perte ou de changement défavorable de la situation financière, en</w:t>
      </w:r>
      <w:r>
        <w:t xml:space="preserve"> </w:t>
      </w:r>
      <w:r>
        <w:t xml:space="preserve">raison d’hypothèses inadéquates en matière de sinistralité, de tarification et de provisionnement.</w:t>
      </w:r>
    </w:p>
    <w:p>
      <w:pPr>
        <w:numPr>
          <w:ilvl w:val="0"/>
          <w:numId w:val="1033"/>
        </w:numPr>
      </w:pPr>
      <w:r>
        <w:rPr>
          <w:bCs/>
          <w:b/>
        </w:rPr>
        <w:t xml:space="preserve">Risque de marché</w:t>
      </w:r>
      <w:r>
        <w:t xml:space="preserve"> </w:t>
      </w:r>
      <w:r>
        <w:t xml:space="preserve">: le risque de perte ou de changement défavorable de la situation financière</w:t>
      </w:r>
      <w:r>
        <w:t xml:space="preserve"> </w:t>
      </w:r>
      <w:r>
        <w:t xml:space="preserve">résultant, directement ou indirectement, de fluctuations affectant le niveau de la valeur des actifs, des</w:t>
      </w:r>
      <w:r>
        <w:t xml:space="preserve"> </w:t>
      </w:r>
      <w:r>
        <w:t xml:space="preserve">passifs et des instruments financiers.</w:t>
      </w:r>
    </w:p>
    <w:p>
      <w:pPr>
        <w:numPr>
          <w:ilvl w:val="0"/>
          <w:numId w:val="1033"/>
        </w:numPr>
      </w:pPr>
      <w:r>
        <w:rPr>
          <w:bCs/>
          <w:b/>
        </w:rPr>
        <w:t xml:space="preserve">Risque de spread</w:t>
      </w:r>
      <w:r>
        <w:t xml:space="preserve"> </w:t>
      </w:r>
      <w:r>
        <w:t xml:space="preserve">(marge de crédit) : le risque de perte ou de changement défavorable de la situation</w:t>
      </w:r>
      <w:r>
        <w:t xml:space="preserve"> </w:t>
      </w:r>
      <w:r>
        <w:t xml:space="preserve">financière résultant des changements touchant les marges additionnelles par rapport aux taux de</w:t>
      </w:r>
      <w:r>
        <w:t xml:space="preserve"> </w:t>
      </w:r>
      <w:r>
        <w:t xml:space="preserve">référence exigée par les investisseurs sur les emprunts émis par des entités autres que l’Etat.</w:t>
      </w:r>
    </w:p>
    <w:p>
      <w:pPr>
        <w:numPr>
          <w:ilvl w:val="0"/>
          <w:numId w:val="1033"/>
        </w:numPr>
      </w:pPr>
      <w:r>
        <w:rPr>
          <w:bCs/>
          <w:b/>
        </w:rPr>
        <w:t xml:space="preserve">Risque de contrepartie</w:t>
      </w:r>
      <w:r>
        <w:t xml:space="preserve"> </w:t>
      </w:r>
      <w:r>
        <w:t xml:space="preserve">: le risque de perte ou de changement défavorable de la situation financière</w:t>
      </w:r>
      <w:r>
        <w:t xml:space="preserve"> </w:t>
      </w:r>
      <w:r>
        <w:t xml:space="preserve">résultant d’un défaut de paiement d’une contrepartie ou d’une dégradation de sa qualité de crédit.</w:t>
      </w:r>
    </w:p>
    <w:p>
      <w:pPr>
        <w:numPr>
          <w:ilvl w:val="0"/>
          <w:numId w:val="1033"/>
        </w:numPr>
      </w:pPr>
      <w:r>
        <w:rPr>
          <w:bCs/>
          <w:b/>
        </w:rPr>
        <w:t xml:space="preserve">Risque opérationnel</w:t>
      </w:r>
      <w:r>
        <w:t xml:space="preserve"> </w:t>
      </w:r>
      <w:r>
        <w:t xml:space="preserve">: le risque de perte ou de changement défavorable de la situation financière</w:t>
      </w:r>
      <w:r>
        <w:t xml:space="preserve"> </w:t>
      </w:r>
      <w:r>
        <w:t xml:space="preserve">résultant de procédures internes, de membres du personnel, de systèmes inadéquats ou défaillants,</w:t>
      </w:r>
      <w:r>
        <w:t xml:space="preserve"> </w:t>
      </w:r>
      <w:r>
        <w:t xml:space="preserve">ou d’événements extérieurs.</w:t>
      </w:r>
    </w:p>
    <w:p>
      <w:pPr>
        <w:numPr>
          <w:ilvl w:val="0"/>
          <w:numId w:val="1033"/>
        </w:numPr>
      </w:pPr>
      <w:r>
        <w:rPr>
          <w:bCs/>
          <w:b/>
        </w:rPr>
        <w:t xml:space="preserve">Risque de concentration</w:t>
      </w:r>
      <w:r>
        <w:t xml:space="preserve"> </w:t>
      </w:r>
      <w:r>
        <w:t xml:space="preserve">: le risque de perte ou de changement défavorable de la situation financière</w:t>
      </w:r>
      <w:r>
        <w:t xml:space="preserve"> </w:t>
      </w:r>
      <w:r>
        <w:t xml:space="preserve">résultant d’un manque de diversité des émetteurs auxquels l’entreprise d’assurances et de</w:t>
      </w:r>
      <w:r>
        <w:t xml:space="preserve"> </w:t>
      </w:r>
      <w:r>
        <w:t xml:space="preserve">réassurance est exposée.</w:t>
      </w:r>
    </w:p>
    <w:p>
      <w:pPr>
        <w:pStyle w:val="FirstParagraph"/>
      </w:pPr>
      <w:r>
        <w:t xml:space="preserve">Tous les risques supportés par le capital de solvabilité requis, on peut les résumer dans le schéma suivant :</w:t>
      </w:r>
    </w:p>
    <w:tbl>
      <w:tblPr>
        <w:tblStyle w:val="Table"/>
        <w:tblW w:type="pct" w:w="5000"/>
        <w:tblLook w:firstRow="0" w:lastRow="0" w:firstColumn="0" w:lastColumn="0" w:noHBand="0" w:noVBand="0" w:val="0000"/>
      </w:tblPr>
      <w:tblGrid>
        <w:gridCol w:w="7920"/>
      </w:tblGrid>
      <w:tr>
        <w:tc>
          <w:tcPr/>
          <w:bookmarkStart w:id="121" w:name="fig-piliers"/>
          <w:p>
            <w:pPr>
              <w:pStyle w:val="Figure"/>
              <w:jc w:val="center"/>
            </w:pPr>
            <w:r>
              <w:drawing>
                <wp:inline>
                  <wp:extent cx="5334000" cy="3015219"/>
                  <wp:effectExtent b="0" l="0" r="0" t="0"/>
                  <wp:docPr descr="" title="" id="119" name="Picture"/>
                  <a:graphic>
                    <a:graphicData uri="http://schemas.openxmlformats.org/drawingml/2006/picture">
                      <pic:pic>
                        <pic:nvPicPr>
                          <pic:cNvPr descr="Rapport-PFE_files/figure-html/Risques.png" id="120" name="Picture"/>
                          <pic:cNvPicPr>
                            <a:picLocks noChangeArrowheads="1" noChangeAspect="1"/>
                          </pic:cNvPicPr>
                        </pic:nvPicPr>
                        <pic:blipFill>
                          <a:blip r:embed="rId118"/>
                          <a:stretch>
                            <a:fillRect/>
                          </a:stretch>
                        </pic:blipFill>
                        <pic:spPr bwMode="auto">
                          <a:xfrm>
                            <a:off x="0" y="0"/>
                            <a:ext cx="5334000" cy="30152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Présentation des risques</w:t>
            </w:r>
          </w:p>
          <w:bookmarkEnd w:id="121"/>
        </w:tc>
      </w:tr>
    </w:tbl>
    <w:p>
      <w:pPr>
        <w:pStyle w:val="BodyText"/>
      </w:pPr>
      <w:r>
        <w:t xml:space="preserve">Selon le circulaire de l’ACAPS (l’Autorité de Contrôle des Assurances et de la Prévoyance Sociale) publié le premier Janvier 2020, Le capital de solvabilité requis est constitué de la somme des éléments suivants :</w:t>
      </w:r>
    </w:p>
    <w:p>
      <w:pPr>
        <w:numPr>
          <w:ilvl w:val="0"/>
          <w:numId w:val="1034"/>
        </w:numPr>
      </w:pPr>
      <w:r>
        <w:t xml:space="preserve">Le capital de solvabilité requis de base.</w:t>
      </w:r>
    </w:p>
    <w:p>
      <w:pPr>
        <w:numPr>
          <w:ilvl w:val="0"/>
          <w:numId w:val="1034"/>
        </w:numPr>
      </w:pPr>
      <w:r>
        <w:t xml:space="preserve">L’exigence de capital relative au risque opérationnel.</w:t>
      </w:r>
    </w:p>
    <w:p>
      <w:pPr>
        <w:numPr>
          <w:ilvl w:val="0"/>
          <w:numId w:val="1034"/>
        </w:numPr>
      </w:pPr>
      <w:r>
        <w:t xml:space="preserve">L’ajustement visant à tenir compte de la capacité d’absorption des pertes par les assurés.</w:t>
      </w:r>
    </w:p>
    <w:p>
      <w:pPr>
        <w:numPr>
          <w:ilvl w:val="0"/>
          <w:numId w:val="1034"/>
        </w:numPr>
      </w:pPr>
      <w:r>
        <w:t xml:space="preserve">L’ajustement visant à tenir compte de la capacité d’absorption des pertes par les impôts différés.</w:t>
      </w:r>
    </w:p>
    <w:p>
      <w:pPr>
        <w:pStyle w:val="FirstParagraph"/>
      </w:pPr>
      <m:oMathPara>
        <m:oMathParaPr>
          <m:jc m:val="center"/>
        </m:oMathParaPr>
        <m:oMath>
          <m:r>
            <m:t>C</m:t>
          </m:r>
          <m:r>
            <m:t>S</m:t>
          </m:r>
          <m:r>
            <m:t>R</m:t>
          </m:r>
          <m:r>
            <m:rPr>
              <m:sty m:val="p"/>
            </m:rPr>
            <m:t>=</m:t>
          </m:r>
          <m:r>
            <m:t>C</m:t>
          </m:r>
          <m:r>
            <m:t>S</m:t>
          </m:r>
          <m:sSub>
            <m:e>
              <m:r>
                <m:t>R</m:t>
              </m:r>
            </m:e>
            <m:sub>
              <m:r>
                <m:t>b</m:t>
              </m:r>
              <m:r>
                <m:t>a</m:t>
              </m:r>
              <m:r>
                <m:t>s</m:t>
              </m:r>
              <m:r>
                <m:t>e</m:t>
              </m:r>
            </m:sub>
          </m:sSub>
          <m:r>
            <m:rPr>
              <m:sty m:val="p"/>
            </m:rPr>
            <m:t>+</m:t>
          </m:r>
          <m:r>
            <m:t>C</m:t>
          </m:r>
          <m:r>
            <m:t>S</m:t>
          </m:r>
          <m:sSub>
            <m:e>
              <m:r>
                <m:t>R</m:t>
              </m:r>
            </m:e>
            <m:sub>
              <m:r>
                <m:t>o</m:t>
              </m:r>
              <m:r>
                <m:t>p</m:t>
              </m:r>
              <m:r>
                <m:t>é</m:t>
              </m:r>
              <m:r>
                <m:t>r</m:t>
              </m:r>
              <m:r>
                <m:t>a</m:t>
              </m:r>
              <m:r>
                <m:t>t</m:t>
              </m:r>
              <m:r>
                <m:t>i</m:t>
              </m:r>
              <m:r>
                <m:t>o</m:t>
              </m:r>
              <m:r>
                <m:t>n</m:t>
              </m:r>
              <m:r>
                <m:t>n</m:t>
              </m:r>
              <m:r>
                <m:t>e</m:t>
              </m:r>
              <m:r>
                <m:t>l</m:t>
              </m:r>
            </m:sub>
          </m:sSub>
          <m:r>
            <m:rPr>
              <m:sty m:val="p"/>
            </m:rPr>
            <m:t>+</m:t>
          </m:r>
          <m:r>
            <m:t>A</m:t>
          </m:r>
          <m:r>
            <m:t>d</m:t>
          </m:r>
          <m:r>
            <m:t>j</m:t>
          </m:r>
        </m:oMath>
      </m:oMathPara>
    </w:p>
    <w:bookmarkStart w:id="142" w:name="X8b89129f00e23abf7e0dc64742a1933841bd13f"/>
    <w:p>
      <w:pPr>
        <w:pStyle w:val="Heading3"/>
      </w:pPr>
      <w:r>
        <w:t xml:space="preserve">7.1 Le capital de solvabilité requis de base</w:t>
      </w:r>
      <w:r>
        <w:t xml:space="preserve"> </w:t>
      </w:r>
      <m:oMath>
        <m:r>
          <m:t>C</m:t>
        </m:r>
        <m:r>
          <m:t>S</m:t>
        </m:r>
        <m:sSub>
          <m:e>
            <m:r>
              <m:t>R</m:t>
            </m:r>
          </m:e>
          <m:sub>
            <m:r>
              <m:t>b</m:t>
            </m:r>
            <m:r>
              <m:t>a</m:t>
            </m:r>
            <m:r>
              <m:t>s</m:t>
            </m:r>
            <m:r>
              <m:t>e</m:t>
            </m:r>
          </m:sub>
        </m:sSub>
      </m:oMath>
    </w:p>
    <w:p>
      <w:pPr>
        <w:pStyle w:val="FirstParagraph"/>
      </w:pPr>
      <w:r>
        <w:t xml:space="preserve">Le capital de solvabilité requis de base est le montant total des exigences de capitaux liées aux risques de</w:t>
      </w:r>
      <w:r>
        <w:t xml:space="preserve"> </w:t>
      </w:r>
      <w:r>
        <w:rPr>
          <w:bCs/>
          <w:b/>
        </w:rPr>
        <w:t xml:space="preserve">marché</w:t>
      </w:r>
      <w:r>
        <w:t xml:space="preserve">, de</w:t>
      </w:r>
      <w:r>
        <w:t xml:space="preserve"> </w:t>
      </w:r>
      <w:r>
        <w:rPr>
          <w:bCs/>
          <w:b/>
        </w:rPr>
        <w:t xml:space="preserve">concentration</w:t>
      </w:r>
      <w:r>
        <w:t xml:space="preserve">, de</w:t>
      </w:r>
      <w:r>
        <w:t xml:space="preserve"> </w:t>
      </w:r>
      <w:r>
        <w:rPr>
          <w:bCs/>
          <w:b/>
        </w:rPr>
        <w:t xml:space="preserve">contrepartie</w:t>
      </w:r>
      <w:r>
        <w:t xml:space="preserve">, de</w:t>
      </w:r>
      <w:r>
        <w:t xml:space="preserve"> </w:t>
      </w:r>
      <w:r>
        <w:rPr>
          <w:bCs/>
          <w:b/>
        </w:rPr>
        <w:t xml:space="preserve">souscription vie</w:t>
      </w:r>
      <w:r>
        <w:t xml:space="preserve"> </w:t>
      </w:r>
      <w:r>
        <w:t xml:space="preserve">et de</w:t>
      </w:r>
      <w:r>
        <w:t xml:space="preserve"> </w:t>
      </w:r>
      <w:r>
        <w:rPr>
          <w:bCs/>
          <w:b/>
        </w:rPr>
        <w:t xml:space="preserve">souscription non-vie</w:t>
      </w:r>
      <w:r>
        <w:t xml:space="preserve"> </w:t>
      </w:r>
      <w:r>
        <w:t xml:space="preserve">et ce, après application des coefficients de corrélations.</w:t>
      </w:r>
    </w:p>
    <w:p>
      <w:pPr>
        <w:pStyle w:val="BodyText"/>
      </w:pPr>
      <w:r>
        <w:t xml:space="preserve">En d’autres termes, il s’agit du montant total des capitaux nécessaires pour faire face à ces divers types de risques. les exigences de capitaux sont évaluées individuellement pour chaque catégorie de risque, puis agrégées en appliquant les coefficients de corrélations, pour déterminer le capital de solvabilité requis de base. Cela permet aux compagnies d’assurance d’évaluer de manière précise les montants de capitaux nécessaires pour couvrir leurs risques spécifiques et d’assurer une solvabilité adéquate.</w:t>
      </w:r>
    </w:p>
    <w:p>
      <w:pPr>
        <w:pStyle w:val="BodyText"/>
      </w:pPr>
      <w:r>
        <w:t xml:space="preserve">Le capital de solvabilité requis de base peut être écrit mathématiquement comme suit:</w:t>
      </w:r>
    </w:p>
    <w:p>
      <w:pPr>
        <w:pStyle w:val="BodyText"/>
      </w:pPr>
      <m:oMathPara>
        <m:oMathParaPr>
          <m:jc m:val="center"/>
        </m:oMathParaPr>
        <m:oMath>
          <m:r>
            <m:t>C</m:t>
          </m:r>
          <m:r>
            <m:t>S</m:t>
          </m:r>
          <m:sSub>
            <m:e>
              <m:r>
                <m:t>R</m:t>
              </m:r>
            </m:e>
            <m:sub>
              <m:r>
                <m:t>b</m:t>
              </m:r>
              <m:r>
                <m:t>a</m:t>
              </m:r>
              <m:r>
                <m:t>s</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i</m:t>
                  </m:r>
                  <m:r>
                    <m:t>s</m:t>
                  </m:r>
                  <m:r>
                    <m:t>k</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5"/>
        </w:numPr>
      </w:pPr>
      <w:r>
        <w:t xml:space="preserve">Risk</w:t>
      </w:r>
      <w:r>
        <w:t xml:space="preserve"> </w:t>
      </w:r>
      <m:oMath>
        <m:r>
          <m:rPr>
            <m:sty m:val="p"/>
          </m:rPr>
          <m:t>∈</m:t>
        </m:r>
      </m:oMath>
      <w:r>
        <w:t xml:space="preserve"> </w:t>
      </w:r>
      <w:r>
        <w:t xml:space="preserve">{Marché, Concentration, Contrepartie, Souscription Vie, Souscription Non - Vie}</w:t>
      </w:r>
    </w:p>
    <w:p>
      <w:pPr>
        <w:numPr>
          <w:ilvl w:val="0"/>
          <w:numId w:val="1035"/>
        </w:numPr>
      </w:pPr>
      <m:oMath>
        <m:r>
          <m:t>ρ</m:t>
        </m:r>
      </m:oMath>
      <w:r>
        <w:t xml:space="preserve"> </w:t>
      </w:r>
      <w:r>
        <w:t xml:space="preserve">: Coefficients de corrélations.</w:t>
      </w:r>
    </w:p>
    <w:p>
      <w:pPr>
        <w:pStyle w:val="FirstParagraph"/>
      </w:pPr>
      <w:r>
        <w:t xml:space="preserve">avec la matrice de corrélations suivante:</w:t>
      </w:r>
    </w:p>
    <w:tbl>
      <w:tblPr>
        <w:tblStyle w:val="Table"/>
        <w:tblW w:type="pct" w:w="5000"/>
        <w:tblLook w:firstRow="1" w:lastRow="0" w:firstColumn="0" w:lastColumn="0" w:noHBand="0" w:noVBand="0" w:val="0020"/>
      </w:tblPr>
      <w:tblGrid>
        <w:gridCol w:w="1673"/>
        <w:gridCol w:w="780"/>
        <w:gridCol w:w="1450"/>
        <w:gridCol w:w="1338"/>
        <w:gridCol w:w="1115"/>
        <w:gridCol w:w="1561"/>
      </w:tblGrid>
      <w:tr>
        <w:trPr>
          <w:tblHeader w:val="true"/>
        </w:trPr>
        <w:tc>
          <w:tcPr/>
          <w:p>
            <w:pPr>
              <w:pStyle w:val="Compact"/>
            </w:pPr>
          </w:p>
        </w:tc>
        <w:tc>
          <w:tcPr/>
          <w:p>
            <w:pPr>
              <w:pStyle w:val="Compact"/>
              <w:jc w:val="left"/>
            </w:pPr>
            <w:r>
              <w:t xml:space="preserve">Marché</w:t>
            </w:r>
          </w:p>
        </w:tc>
        <w:tc>
          <w:tcPr/>
          <w:p>
            <w:pPr>
              <w:pStyle w:val="Compact"/>
              <w:jc w:val="left"/>
            </w:pPr>
            <w:r>
              <w:t xml:space="preserve">Concentration</w:t>
            </w:r>
          </w:p>
        </w:tc>
        <w:tc>
          <w:tcPr/>
          <w:p>
            <w:pPr>
              <w:pStyle w:val="Compact"/>
              <w:jc w:val="left"/>
            </w:pPr>
            <w:r>
              <w:t xml:space="preserve">Contrepartie</w:t>
            </w:r>
          </w:p>
        </w:tc>
        <w:tc>
          <w:tcPr/>
          <w:p>
            <w:pPr>
              <w:pStyle w:val="Compact"/>
              <w:jc w:val="left"/>
            </w:pPr>
            <w:r>
              <w:t xml:space="preserve">Sousc. vie</w:t>
            </w:r>
          </w:p>
        </w:tc>
        <w:tc>
          <w:tcPr/>
          <w:p>
            <w:pPr>
              <w:pStyle w:val="Compact"/>
              <w:jc w:val="left"/>
            </w:pPr>
            <w:r>
              <w:t xml:space="preserve">Sousc. non-vie</w:t>
            </w:r>
          </w:p>
        </w:tc>
      </w:tr>
      <w:tr>
        <w:tc>
          <w:tcPr/>
          <w:p>
            <w:pPr>
              <w:pStyle w:val="Compact"/>
              <w:jc w:val="left"/>
            </w:pPr>
            <w:r>
              <w:t xml:space="preserve">Marché</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Concentration</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Contrepartie</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Sousc. 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r>
      <w:tr>
        <w:tc>
          <w:tcPr/>
          <w:p>
            <w:pPr>
              <w:pStyle w:val="Compact"/>
              <w:jc w:val="left"/>
            </w:pPr>
            <w:r>
              <w:t xml:space="preserve">Sousc. non-vie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r>
    </w:tbl>
    <w:bookmarkStart w:id="127" w:name="X7d0de4e6ff3ca13baeb836adc8c41f16eaa6dfb"/>
    <w:p>
      <w:pPr>
        <w:pStyle w:val="Heading4"/>
      </w:pPr>
      <w:r>
        <w:t xml:space="preserve">7.1.1 EXIGENCE DE CAPITAL RELATIVE AUX RISQUES DE MARCHE</w:t>
      </w:r>
      <w:r>
        <w:t xml:space="preserve"> </w:t>
      </w:r>
      <m:oMath>
        <m:r>
          <m:t>C</m:t>
        </m:r>
        <m:r>
          <m:t>S</m:t>
        </m:r>
        <m:sSub>
          <m:e>
            <m:r>
              <m:t>R</m:t>
            </m:r>
          </m:e>
          <m:sub>
            <m:r>
              <m:t>m</m:t>
            </m:r>
            <m:r>
              <m:t>a</m:t>
            </m:r>
            <m:r>
              <m:t>r</m:t>
            </m:r>
            <m:r>
              <m:t>c</m:t>
            </m:r>
            <m:r>
              <m:t>h</m:t>
            </m:r>
            <m:r>
              <m:t>e</m:t>
            </m:r>
          </m:sub>
        </m:sSub>
      </m:oMath>
    </w:p>
    <w:p>
      <w:pPr>
        <w:pStyle w:val="FirstParagraph"/>
      </w:pPr>
      <w:r>
        <w:t xml:space="preserve">Pour l’exigence de capital relative au risque de marché, il est important de prendre en compte plusieurs sous-risques telle que, les sous-risques action, taux, immobilier, écart de taux et change. Chacun de ces sous-risques présente des caractéristiques uniques et nécessite une évaluation distincte. Une fois que les exigences de capitaux sont déterminées pour chaque sous-risque, elles sont agrégées pour obtenir l’exigence de capital total relative au risque de marché et ce, après application des coefficients de corrélations appropriés, ce qui permet de tenir compte des interdépendances et des corrélations entre ces différents sous-risques.</w:t>
      </w:r>
    </w:p>
    <w:p>
      <w:pPr>
        <w:pStyle w:val="BodyText"/>
      </w:pPr>
      <w:r>
        <w:t xml:space="preserve">Mathématiquement l’exigence de capital relative au risque de marché peut être représentée comme suit</w:t>
      </w:r>
    </w:p>
    <w:p>
      <w:pPr>
        <w:pStyle w:val="BodyText"/>
      </w:pPr>
      <m:oMathPara>
        <m:oMathParaPr>
          <m:jc m:val="center"/>
        </m:oMathParaPr>
        <m:oMath>
          <m:r>
            <m:t>C</m:t>
          </m:r>
          <m:r>
            <m:t>S</m:t>
          </m:r>
          <m:sSub>
            <m:e>
              <m:r>
                <m:t>R</m:t>
              </m:r>
            </m:e>
            <m:sub>
              <m:r>
                <m:t>m</m:t>
              </m:r>
              <m:r>
                <m:t>a</m:t>
              </m:r>
              <m:r>
                <m:t>r</m:t>
              </m:r>
              <m:r>
                <m:t>c</m:t>
              </m:r>
              <m:r>
                <m:t>h</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6"/>
        </w:numPr>
      </w:pPr>
      <w:r>
        <w:t xml:space="preserve">RM</w:t>
      </w:r>
      <w:r>
        <w:t xml:space="preserve"> </w:t>
      </w:r>
      <m:oMath>
        <m:r>
          <m:rPr>
            <m:sty m:val="p"/>
          </m:rPr>
          <m:t>∈</m:t>
        </m:r>
      </m:oMath>
      <w:r>
        <w:t xml:space="preserve"> </w:t>
      </w:r>
      <w:r>
        <w:t xml:space="preserve">{action, taux, immobilier, écart de taux et change}</w:t>
      </w:r>
    </w:p>
    <w:p>
      <w:pPr>
        <w:numPr>
          <w:ilvl w:val="0"/>
          <w:numId w:val="1036"/>
        </w:numPr>
      </w:pPr>
      <m:oMath>
        <m:r>
          <m:t>ρ</m:t>
        </m:r>
      </m:oMath>
      <w:r>
        <w:t xml:space="preserve"> </w:t>
      </w:r>
      <w:r>
        <w:t xml:space="preserve">: Coefficients de corrélations.</w:t>
      </w:r>
    </w:p>
    <w:bookmarkStart w:id="122" w:name="X3cf8c7738901705451aeaf1bf62340f8a8e3146"/>
    <w:p>
      <w:pPr>
        <w:pStyle w:val="Heading5"/>
      </w:pPr>
      <w:r>
        <w:t xml:space="preserve">7.1.1.1 L’exigence de capital relative au risque action (</w:t>
      </w:r>
      <m:oMath>
        <m:r>
          <m:t>C</m:t>
        </m:r>
        <m:r>
          <m:t>S</m:t>
        </m:r>
        <m:sSub>
          <m:e>
            <m:r>
              <m:t>R</m:t>
            </m:r>
          </m:e>
          <m:sub>
            <m:r>
              <m:t>a</m:t>
            </m:r>
            <m:r>
              <m:t>c</m:t>
            </m:r>
            <m:r>
              <m:t>t</m:t>
            </m:r>
            <m:r>
              <m:t>i</m:t>
            </m:r>
            <m:r>
              <m:t>o</m:t>
            </m:r>
            <m:r>
              <m:t>n</m:t>
            </m:r>
          </m:sub>
        </m:sSub>
      </m:oMath>
      <w:r>
        <w:t xml:space="preserve">)</w:t>
      </w:r>
    </w:p>
    <w:p>
      <w:pPr>
        <w:pStyle w:val="FirstParagraph"/>
      </w:pPr>
      <w:r>
        <w:t xml:space="preserve">Lorsqu’on parle de l’exigence de capital relative au risque action, il s’agit du montant de perte potentiel des fonds propres d’une institution financière résultant de baisses simultanées des valeurs des actions. Ce type de risque est lié à la volatilité et à la corrélation entre les différentes actions détenues dans le portefeuille d’action.</w:t>
      </w:r>
    </w:p>
    <w:p>
      <w:pPr>
        <w:pStyle w:val="BodyText"/>
      </w:pPr>
      <w:r>
        <w:t xml:space="preserve">Les taux de baisse à appliquer pour le calcul de l’exigence précitée sont fixés pour les catégories d’actions suivantes:</w:t>
      </w:r>
    </w:p>
    <w:p>
      <w:pPr>
        <w:pStyle w:val="BodyText"/>
      </w:pPr>
      <w:r>
        <w:t xml:space="preserve">• Actions cotées à long terme</w:t>
      </w:r>
    </w:p>
    <w:p>
      <w:pPr>
        <w:pStyle w:val="BodyText"/>
      </w:pPr>
      <w:r>
        <w:t xml:space="preserve">• Autres actions cotées</w:t>
      </w:r>
    </w:p>
    <w:p>
      <w:pPr>
        <w:pStyle w:val="BodyText"/>
      </w:pPr>
      <w:r>
        <w:t xml:space="preserve">• Actions non cotées à long terme</w:t>
      </w:r>
    </w:p>
    <w:p>
      <w:pPr>
        <w:pStyle w:val="BodyText"/>
      </w:pPr>
      <w:r>
        <w:t xml:space="preserve">• Autres actions non cotées</w:t>
      </w:r>
    </w:p>
    <w:p>
      <w:pPr>
        <w:pStyle w:val="BodyText"/>
      </w:pPr>
      <w:r>
        <w:t xml:space="preserve">• Entités d’infrastructures</w:t>
      </w:r>
    </w:p>
    <w:p>
      <w:pPr>
        <w:pStyle w:val="BodyText"/>
      </w:pPr>
      <m:oMathPara>
        <m:oMathParaPr>
          <m:jc m:val="center"/>
        </m:oMathParaPr>
        <m:oMath>
          <m:r>
            <m:t>C</m:t>
          </m:r>
          <m:r>
            <m:t>S</m:t>
          </m:r>
          <m:sSub>
            <m:e>
              <m:r>
                <m:t>R</m:t>
              </m:r>
            </m:e>
            <m:sub>
              <m:r>
                <m:t>a</m:t>
              </m:r>
              <m:r>
                <m:t>c</m:t>
              </m:r>
              <m:r>
                <m:t>t</m:t>
              </m:r>
              <m:r>
                <m:t>i</m:t>
              </m:r>
              <m:r>
                <m:t>o</m:t>
              </m:r>
              <m:r>
                <m:t>n</m:t>
              </m:r>
            </m:sub>
          </m:sSub>
          <m:r>
            <m:rPr>
              <m:sty m:val="p"/>
            </m:rPr>
            <m:t>=</m:t>
          </m:r>
          <m:r>
            <m:t>V</m:t>
          </m:r>
          <m:sSubSup>
            <m:e>
              <m:r>
                <m:t>M</m:t>
              </m:r>
            </m:e>
            <m:sub>
              <m:r>
                <m:t>a</m:t>
              </m:r>
              <m:r>
                <m:t>c</m:t>
              </m:r>
              <m:r>
                <m:t>t</m:t>
              </m:r>
              <m:r>
                <m:t>i</m:t>
              </m:r>
              <m:r>
                <m:t>o</m:t>
              </m:r>
              <m:r>
                <m:t>n</m:t>
              </m:r>
            </m:sub>
            <m:sup>
              <m:r>
                <m:rPr>
                  <m:nor/>
                  <m:sty m:val="p"/>
                </m:rPr>
                <m:t>cas de baisse</m:t>
              </m:r>
            </m:sup>
          </m:sSubSup>
          <m:r>
            <m:rPr>
              <m:sty m:val="p"/>
            </m:rPr>
            <m:t>−</m:t>
          </m:r>
          <m:r>
            <m:t>V</m:t>
          </m:r>
          <m:sSub>
            <m:e>
              <m:r>
                <m:t>M</m:t>
              </m:r>
            </m:e>
            <m:sub>
              <m:r>
                <m:t>a</m:t>
              </m:r>
              <m:r>
                <m:t>c</m:t>
              </m:r>
              <m:r>
                <m:t>t</m:t>
              </m:r>
              <m:r>
                <m:t>i</m:t>
              </m:r>
              <m:r>
                <m:t>o</m:t>
              </m:r>
              <m:r>
                <m:t>n</m:t>
              </m:r>
            </m:sub>
          </m:sSub>
        </m:oMath>
      </m:oMathPara>
    </w:p>
    <w:bookmarkEnd w:id="122"/>
    <w:bookmarkStart w:id="123" w:name="X4731aa5458fe1c45bdb9bc7a63d0b9bdcef0af7"/>
    <w:p>
      <w:pPr>
        <w:pStyle w:val="Heading5"/>
      </w:pPr>
      <w:r>
        <w:t xml:space="preserve">7.1.1.2 L’exigence de capital relative au risque de taux (</w:t>
      </w:r>
      <m:oMath>
        <m:r>
          <m:t>C</m:t>
        </m:r>
        <m:r>
          <m:t>S</m:t>
        </m:r>
        <m:sSub>
          <m:e>
            <m:r>
              <m:t>R</m:t>
            </m:r>
          </m:e>
          <m:sub>
            <m:r>
              <m:t>t</m:t>
            </m:r>
            <m:r>
              <m:t>a</m:t>
            </m:r>
            <m:r>
              <m:t>u</m:t>
            </m:r>
            <m:r>
              <m:t>x</m:t>
            </m:r>
          </m:sub>
        </m:sSub>
      </m:oMath>
      <w:r>
        <w:t xml:space="preserve">)</w:t>
      </w:r>
    </w:p>
    <w:p>
      <w:pPr>
        <w:pStyle w:val="FirstParagraph"/>
      </w:pPr>
      <w:r>
        <w:t xml:space="preserve">L’exigence de capital relative au risque de taux représente le montant estimé de la perte maximale en fonds propres subir en raison de variations à la baisse ou à la hausse des taux d’intérêt appliquées à l’ensemble de ses actifs et passifs.</w:t>
      </w:r>
    </w:p>
    <w:p>
      <w:pPr>
        <w:pStyle w:val="BodyText"/>
      </w:pPr>
      <w:r>
        <w:t xml:space="preserve">l’exigence de capital relative au risque de taux est une mesure essentielle pour évaluer et gérer les risques liés aux fluctuations des taux d’intérêt. Elle contribue à assurer la stabilité financière en prévoyant une réserve adéquate pour faire face aux pertes potentielles résultant de ces variations.</w:t>
      </w:r>
    </w:p>
    <w:p>
      <w:pPr>
        <w:pStyle w:val="BodyText"/>
      </w:pPr>
      <w:r>
        <w:t xml:space="preserve">La formule mathématique peut s’écrire comme suit:</w:t>
      </w:r>
    </w:p>
    <w:p>
      <w:pPr>
        <w:pStyle w:val="BodyText"/>
      </w:pPr>
      <m:oMathPara>
        <m:oMathParaPr>
          <m:jc m:val="center"/>
        </m:oMathParaPr>
        <m:oMath>
          <m:r>
            <m:t>C</m:t>
          </m:r>
          <m:r>
            <m:t>S</m:t>
          </m:r>
          <m:sSub>
            <m:e>
              <m:r>
                <m:t>R</m:t>
              </m:r>
            </m:e>
            <m:sub>
              <m:r>
                <m:t>t</m:t>
              </m:r>
              <m:r>
                <m:t>a</m:t>
              </m:r>
              <m:r>
                <m:t>u</m:t>
              </m:r>
              <m:r>
                <m:t>x</m:t>
              </m:r>
            </m:sub>
          </m:sSub>
          <m:r>
            <m:rPr>
              <m:sty m:val="p"/>
            </m:rPr>
            <m:t>=</m:t>
          </m:r>
          <m:r>
            <m:t>m</m:t>
          </m:r>
          <m:r>
            <m:t>a</m:t>
          </m:r>
          <m:r>
            <m:t>x</m:t>
          </m:r>
          <m:d>
            <m:dPr>
              <m:begChr m:val="("/>
              <m:endChr m:val=")"/>
              <m:sepChr m:val=""/>
              <m:grow/>
            </m:dPr>
            <m:e>
              <m:r>
                <m:t>C</m:t>
              </m:r>
              <m:r>
                <m:t>S</m:t>
              </m:r>
              <m:sSub>
                <m:e>
                  <m:r>
                    <m:t>R</m:t>
                  </m:r>
                </m:e>
                <m:sub>
                  <m:r>
                    <m:t>t</m:t>
                  </m:r>
                  <m:r>
                    <m:t>a</m:t>
                  </m:r>
                  <m:r>
                    <m:t>u</m:t>
                  </m:r>
                  <m:r>
                    <m:t>x</m:t>
                  </m:r>
                  <m:r>
                    <m:rPr>
                      <m:sty m:val="p"/>
                    </m:rPr>
                    <m:t>−</m:t>
                  </m:r>
                  <m:r>
                    <m:t>h</m:t>
                  </m:r>
                  <m:r>
                    <m:t>a</m:t>
                  </m:r>
                  <m:r>
                    <m:t>u</m:t>
                  </m:r>
                  <m:r>
                    <m:t>s</m:t>
                  </m:r>
                  <m:r>
                    <m:t>s</m:t>
                  </m:r>
                  <m:r>
                    <m:t>e</m:t>
                  </m:r>
                </m:sub>
              </m:sSub>
              <m:r>
                <m:rPr>
                  <m:sty m:val="p"/>
                </m:rPr>
                <m:t>;</m:t>
              </m:r>
              <m:r>
                <m:t>C</m:t>
              </m:r>
              <m:r>
                <m:t>S</m:t>
              </m:r>
              <m:sSub>
                <m:e>
                  <m:r>
                    <m:t>R</m:t>
                  </m:r>
                </m:e>
                <m:sub>
                  <m:r>
                    <m:t>t</m:t>
                  </m:r>
                  <m:r>
                    <m:t>a</m:t>
                  </m:r>
                  <m:r>
                    <m:t>u</m:t>
                  </m:r>
                  <m:r>
                    <m:t>x</m:t>
                  </m:r>
                  <m:r>
                    <m:rPr>
                      <m:sty m:val="p"/>
                    </m:rPr>
                    <m:t>−</m:t>
                  </m:r>
                  <m:r>
                    <m:t>b</m:t>
                  </m:r>
                  <m:r>
                    <m:t>a</m:t>
                  </m:r>
                  <m:r>
                    <m:t>i</m:t>
                  </m:r>
                  <m:r>
                    <m:t>s</m:t>
                  </m:r>
                  <m:r>
                    <m:t>s</m:t>
                  </m:r>
                  <m:r>
                    <m:t>e</m:t>
                  </m:r>
                </m:sub>
              </m:sSub>
            </m:e>
          </m:d>
        </m:oMath>
      </m:oMathPara>
    </w:p>
    <w:p>
      <w:pPr>
        <w:pStyle w:val="FirstParagraph"/>
      </w:pPr>
      <w:r>
        <w:t xml:space="preserve">avec :  </w:t>
      </w:r>
      <w:r>
        <w:t xml:space="preserve"> </w:t>
      </w:r>
      <m:oMath>
        <m:r>
          <m:t>C</m:t>
        </m:r>
        <m:r>
          <m:t>S</m:t>
        </m:r>
        <m:sSub>
          <m:e>
            <m:r>
              <m:t>R</m:t>
            </m:r>
          </m:e>
          <m:sub>
            <m:r>
              <m:t>t</m:t>
            </m:r>
            <m:r>
              <m:t>a</m:t>
            </m:r>
            <m:r>
              <m:t>u</m:t>
            </m:r>
            <m:r>
              <m:t>x</m:t>
            </m:r>
            <m:r>
              <m:rPr>
                <m:sty m:val="p"/>
              </m:rPr>
              <m:t>−</m:t>
            </m:r>
            <m:r>
              <m:t>i</m:t>
            </m:r>
          </m:sub>
        </m:sSub>
        <m:r>
          <m:rPr>
            <m:sty m:val="p"/>
          </m:rPr>
          <m:t>=</m:t>
        </m:r>
        <m:r>
          <m:t>B</m:t>
        </m:r>
        <m:sSup>
          <m:e>
            <m:r>
              <m:t>E</m:t>
            </m:r>
          </m:e>
          <m:sup>
            <m:r>
              <m:t>s</m:t>
            </m:r>
            <m:r>
              <m:t>c</m:t>
            </m:r>
            <m:r>
              <m:t>é</m:t>
            </m:r>
            <m:r>
              <m:t>n</m:t>
            </m:r>
            <m:r>
              <m:t>a</m:t>
            </m:r>
            <m:r>
              <m:t>r</m:t>
            </m:r>
            <m:r>
              <m:t>i</m:t>
            </m:r>
            <m:r>
              <m:t>o</m:t>
            </m:r>
            <m:r>
              <m:rPr>
                <m:sty m:val="p"/>
              </m:rPr>
              <m:t>−</m:t>
            </m:r>
            <m:r>
              <m:t>i</m:t>
            </m:r>
          </m:sup>
        </m:sSup>
        <m:r>
          <m:rPr>
            <m:sty m:val="p"/>
          </m:rPr>
          <m:t>−</m:t>
        </m:r>
        <m:r>
          <m:t>B</m:t>
        </m:r>
        <m:r>
          <m:t>E</m:t>
        </m:r>
      </m:oMath>
      <w:r>
        <w:t xml:space="preserve"> </w:t>
      </w:r>
      <w:r>
        <w:t xml:space="preserve"> </w:t>
      </w:r>
      <m:oMath>
        <m:r>
          <m:t>i</m:t>
        </m:r>
        <m:r>
          <m:rPr>
            <m:sty m:val="p"/>
          </m:rPr>
          <m:t>∈</m:t>
        </m:r>
        <m:r>
          <m:rPr>
            <m:sty m:val="p"/>
          </m:rPr>
          <m:t>{</m:t>
        </m:r>
        <m:r>
          <m:t>h</m:t>
        </m:r>
        <m:r>
          <m:t>a</m:t>
        </m:r>
        <m:r>
          <m:t>u</m:t>
        </m:r>
        <m:r>
          <m:t>s</m:t>
        </m:r>
        <m:r>
          <m:t>s</m:t>
        </m:r>
        <m:r>
          <m:t>e</m:t>
        </m:r>
        <m:r>
          <m:rPr>
            <m:sty m:val="p"/>
          </m:rPr>
          <m:t>,</m:t>
        </m:r>
        <m:r>
          <m:t>b</m:t>
        </m:r>
        <m:r>
          <m:t>a</m:t>
        </m:r>
        <m:r>
          <m:t>i</m:t>
        </m:r>
        <m:r>
          <m:t>s</m:t>
        </m:r>
        <m:r>
          <m:t>s</m:t>
        </m:r>
        <m:r>
          <m:t>e</m:t>
        </m:r>
        <m:r>
          <m:rPr>
            <m:sty m:val="p"/>
          </m:rPr>
          <m:t>}</m:t>
        </m:r>
      </m:oMath>
    </w:p>
    <w:bookmarkEnd w:id="123"/>
    <w:bookmarkStart w:id="124" w:name="X40fb47ea19ba513da95205d89bb9da70a68e95c"/>
    <w:p>
      <w:pPr>
        <w:pStyle w:val="Heading5"/>
      </w:pPr>
      <w:r>
        <w:t xml:space="preserve">7.1.1.3 L’exigence de capital relative au risque immobilier (</w:t>
      </w:r>
      <m:oMath>
        <m:r>
          <m:t>C</m:t>
        </m:r>
        <m:r>
          <m:t>S</m:t>
        </m:r>
        <m:sSub>
          <m:e>
            <m:r>
              <m:t>R</m:t>
            </m:r>
          </m:e>
          <m:sub>
            <m:r>
              <m:t>i</m:t>
            </m:r>
            <m:r>
              <m:t>m</m:t>
            </m:r>
            <m:r>
              <m:t>m</m:t>
            </m:r>
            <m:r>
              <m:t>o</m:t>
            </m:r>
            <m:r>
              <m:t>b</m:t>
            </m:r>
            <m:r>
              <m:t>i</m:t>
            </m:r>
            <m:r>
              <m:t>l</m:t>
            </m:r>
            <m:r>
              <m:t>i</m:t>
            </m:r>
            <m:r>
              <m:t>e</m:t>
            </m:r>
            <m:r>
              <m:t>r</m:t>
            </m:r>
          </m:sub>
        </m:sSub>
      </m:oMath>
      <w:r>
        <w:t xml:space="preserve">)</w:t>
      </w:r>
    </w:p>
    <w:p>
      <w:pPr>
        <w:pStyle w:val="FirstParagraph"/>
      </w:pPr>
      <w:r>
        <w:t xml:space="preserve">L’exigence de capital relative au risque immobilier est la perte de fonds propres due à une baisse de X% de la valeur des actifs immobiliers.</w:t>
      </w:r>
    </w:p>
    <w:p>
      <w:pPr>
        <w:pStyle w:val="BodyText"/>
      </w:pPr>
      <w:r>
        <w:t xml:space="preserve">Cette exigence est établie pour évaluer les réserves financières nécessaires face à une potentielle baisse de valeur des biens immobiliers pour minimiser les risques.</w:t>
      </w:r>
    </w:p>
    <w:p>
      <w:pPr>
        <w:pStyle w:val="BodyText"/>
      </w:pPr>
      <m:oMathPara>
        <m:oMathParaPr>
          <m:jc m:val="center"/>
        </m:oMathParaPr>
        <m:oMath>
          <m:r>
            <m:t>C</m:t>
          </m:r>
          <m:r>
            <m:t>S</m:t>
          </m:r>
          <m:sSub>
            <m:e>
              <m:r>
                <m:t>R</m:t>
              </m:r>
            </m:e>
            <m:sub>
              <m:r>
                <m:t>i</m:t>
              </m:r>
              <m:r>
                <m:t>m</m:t>
              </m:r>
              <m:r>
                <m:t>m</m:t>
              </m:r>
              <m:r>
                <m:t>o</m:t>
              </m:r>
              <m:r>
                <m:t>b</m:t>
              </m:r>
              <m:r>
                <m:t>i</m:t>
              </m:r>
              <m:r>
                <m:t>l</m:t>
              </m:r>
              <m:r>
                <m:t>i</m:t>
              </m:r>
              <m:r>
                <m:t>e</m:t>
              </m:r>
              <m:r>
                <m:t>r</m:t>
              </m:r>
            </m:sub>
          </m:sSub>
          <m:r>
            <m:rPr>
              <m:sty m:val="p"/>
            </m:rPr>
            <m:t>=</m:t>
          </m:r>
          <m:r>
            <m:t>B</m:t>
          </m:r>
          <m:sSubSup>
            <m:e>
              <m:r>
                <m:t>E</m:t>
              </m:r>
            </m:e>
            <m:sub>
              <m:r>
                <m:t>e</m:t>
              </m:r>
              <m:r>
                <m:t>n</m:t>
              </m:r>
              <m:r>
                <m:t>g</m:t>
              </m:r>
            </m:sub>
            <m:sup>
              <m:r>
                <m:rPr>
                  <m:nor/>
                  <m:sty m:val="p"/>
                </m:rPr>
                <m:t>baisse actifs immobiliers</m:t>
              </m:r>
            </m:sup>
          </m:sSubSup>
          <m:r>
            <m:rPr>
              <m:sty m:val="p"/>
            </m:rPr>
            <m:t>−</m:t>
          </m:r>
          <m:r>
            <m:t>B</m:t>
          </m:r>
          <m:sSub>
            <m:e>
              <m:r>
                <m:t>E</m:t>
              </m:r>
            </m:e>
            <m:sub>
              <m:r>
                <m:t>e</m:t>
              </m:r>
              <m:r>
                <m:t>n</m:t>
              </m:r>
              <m:r>
                <m:t>g</m:t>
              </m:r>
            </m:sub>
          </m:sSub>
        </m:oMath>
      </m:oMathPara>
    </w:p>
    <w:bookmarkEnd w:id="124"/>
    <w:bookmarkStart w:id="125" w:name="Xe8b0c02ffa4303d8ffd8ac356c32a420803f92c"/>
    <w:p>
      <w:pPr>
        <w:pStyle w:val="Heading5"/>
      </w:pPr>
      <w:r>
        <w:t xml:space="preserve">7.1.1.4 L’exigence de capital relative au risque d’écart de taux (</w:t>
      </w:r>
      <m:oMath>
        <m:r>
          <m:t>C</m:t>
        </m:r>
        <m:r>
          <m:t>S</m:t>
        </m:r>
        <m:sSub>
          <m:e>
            <m:r>
              <m:t>R</m:t>
            </m:r>
          </m:e>
          <m:sub>
            <m:r>
              <m:t>E</m:t>
            </m:r>
            <m:r>
              <m:t>c</m:t>
            </m:r>
            <m:r>
              <m:t>a</m:t>
            </m:r>
            <m:r>
              <m:t>r</m:t>
            </m:r>
            <m:r>
              <m:t>t</m:t>
            </m:r>
            <m:r>
              <m:t> </m:t>
            </m:r>
            <m:r>
              <m:t>t</m:t>
            </m:r>
            <m:r>
              <m:t>a</m:t>
            </m:r>
            <m:r>
              <m:t>u</m:t>
            </m:r>
            <m:r>
              <m:t>x</m:t>
            </m:r>
          </m:sub>
        </m:sSub>
      </m:oMath>
      <w:r>
        <w:t xml:space="preserve">)</w:t>
      </w:r>
    </w:p>
    <w:p>
      <w:pPr>
        <w:pStyle w:val="FirstParagraph"/>
      </w:pPr>
      <w:r>
        <w:t xml:space="preserve">L’exigence de capital relative au risque d’écart de taux est la perte de fonds propres due à l’application des taux de baisse à la valeur des titres de créances non émis ou non garantis par l’Etat.</w:t>
      </w:r>
    </w:p>
    <w:p>
      <w:pPr>
        <w:pStyle w:val="BodyText"/>
      </w:pPr>
      <w:r>
        <w:t xml:space="preserve">Les taux de baisse à appliquer sont calculés en fonction de la duration et de la prime de risque à l’émission.</w:t>
      </w:r>
    </w:p>
    <w:bookmarkEnd w:id="125"/>
    <w:bookmarkStart w:id="126" w:name="X0b86f92798bd2d75800a724a913850a71127576"/>
    <w:p>
      <w:pPr>
        <w:pStyle w:val="Heading5"/>
      </w:pPr>
      <w:r>
        <w:t xml:space="preserve">7.1.1.5 L’exigence de capital relative au sous-risque de change (</w:t>
      </w:r>
      <m:oMath>
        <m:r>
          <m:t>C</m:t>
        </m:r>
        <m:r>
          <m:t>S</m:t>
        </m:r>
        <m:sSub>
          <m:e>
            <m:r>
              <m:t>R</m:t>
            </m:r>
          </m:e>
          <m:sub>
            <m:r>
              <m:t>c</m:t>
            </m:r>
            <m:r>
              <m:t>h</m:t>
            </m:r>
            <m:r>
              <m:t>a</m:t>
            </m:r>
            <m:r>
              <m:t>n</m:t>
            </m:r>
            <m:r>
              <m:t>g</m:t>
            </m:r>
            <m:r>
              <m:t>e</m:t>
            </m:r>
          </m:sub>
        </m:sSub>
      </m:oMath>
      <w:r>
        <w:t xml:space="preserve">)</w:t>
      </w:r>
    </w:p>
    <w:p>
      <w:pPr>
        <w:pStyle w:val="FirstParagraph"/>
      </w:pPr>
      <w:r>
        <w:t xml:space="preserve">L’exigence de capital relative au sous-risque de change correspond à la somme des exigences de capitaux pour risque de change pour chaque devise étrangère.</w:t>
      </w:r>
    </w:p>
    <w:p>
      <w:pPr>
        <w:pStyle w:val="BodyText"/>
      </w:pPr>
      <w:r>
        <w:t xml:space="preserve">L’exigence de capital pour risque de change pour chaque devise étrangère correspond à la plus élevée des exigences de capitaux suivantes:</w:t>
      </w:r>
    </w:p>
    <w:p>
      <w:pPr>
        <w:numPr>
          <w:ilvl w:val="0"/>
          <w:numId w:val="1037"/>
        </w:numPr>
        <w:pStyle w:val="Compact"/>
      </w:pPr>
      <w:r>
        <w:t xml:space="preserve">l’exigence de capital pour risque d’augmentation de la valeur de la devise étrangère par rapport au dirham.</w:t>
      </w:r>
    </w:p>
    <w:p>
      <w:pPr>
        <w:numPr>
          <w:ilvl w:val="0"/>
          <w:numId w:val="1037"/>
        </w:numPr>
        <w:pStyle w:val="Compact"/>
      </w:pPr>
      <w:r>
        <w:t xml:space="preserve">l’exigence de capital pour risque de diminution de la valeur de la devise étrangère par rapport au dirham.</w:t>
      </w:r>
    </w:p>
    <w:p>
      <w:pPr>
        <w:pStyle w:val="FirstParagraph"/>
      </w:pPr>
      <w:r>
        <w:t xml:space="preserve">L’exigence de capital pour risques d’augmentation ou de diminution de la valeur de la devise étrangère par rapport au dirham est egale à la perte de fonds propres qui résulterait des scénarios d’augmentation ou de diminution, respectivement de</w:t>
      </w:r>
      <w:r>
        <w:t xml:space="preserve"> </w:t>
      </w:r>
      <m:oMath>
        <m:r>
          <m:t>X</m:t>
        </m:r>
        <m:r>
          <m:rPr>
            <m:sty m:val="p"/>
          </m:rPr>
          <m:t>%</m:t>
        </m:r>
      </m:oMath>
      <w:r>
        <w:t xml:space="preserve"> </w:t>
      </w:r>
      <w:r>
        <w:t xml:space="preserve">et</w:t>
      </w:r>
      <w:r>
        <w:t xml:space="preserve"> </w:t>
      </w:r>
      <m:oMath>
        <m:r>
          <m:t>X</m:t>
        </m:r>
        <m:r>
          <m:rPr>
            <m:sty m:val="p"/>
          </m:rPr>
          <m:t>%</m:t>
        </m:r>
      </m:oMath>
      <w:r>
        <w:t xml:space="preserve">, de la valeur de la devise étrangère par rapport au dirham.</w:t>
      </w:r>
    </w:p>
    <w:p>
      <w:pPr>
        <w:pStyle w:val="BodyText"/>
      </w:pPr>
      <m:oMathPara>
        <m:oMathParaPr>
          <m:jc m:val="center"/>
        </m:oMathParaPr>
        <m:oMath>
          <m:r>
            <m:t>C</m:t>
          </m:r>
          <m:r>
            <m:t>S</m:t>
          </m:r>
          <m:sSub>
            <m:e>
              <m:r>
                <m:t>R</m:t>
              </m:r>
            </m:e>
            <m:sub>
              <m:r>
                <m:t>c</m:t>
              </m:r>
              <m:r>
                <m:t>h</m:t>
              </m:r>
              <m:r>
                <m:t>a</m:t>
              </m:r>
              <m:r>
                <m:t>n</m:t>
              </m:r>
              <m:r>
                <m:t>g</m:t>
              </m:r>
              <m:r>
                <m:t>e</m:t>
              </m:r>
            </m:sub>
          </m:sSub>
          <m:r>
            <m:rPr>
              <m:sty m:val="p"/>
            </m:rPr>
            <m:t>=</m:t>
          </m:r>
          <m:nary>
            <m:naryPr>
              <m:chr m:val="∑"/>
              <m:limLoc m:val="undOvr"/>
              <m:subHide m:val="0"/>
              <m:supHide m:val="1"/>
            </m:naryPr>
            <m:sub>
              <m:r>
                <m:t>i</m:t>
              </m:r>
              <m:r>
                <m:rPr>
                  <m:sty m:val="p"/>
                </m:rPr>
                <m:t>∈</m:t>
              </m:r>
              <m:r>
                <m:t>R</m:t>
              </m:r>
              <m:r>
                <m:t>C</m:t>
              </m:r>
            </m:sub>
            <m:sup>
              <m:r>
                <m:t>​</m:t>
              </m:r>
            </m:sup>
            <m:e>
              <m:r>
                <m:t>C</m:t>
              </m:r>
            </m:e>
          </m:nary>
          <m:r>
            <m:t>S</m:t>
          </m:r>
          <m:sSubSup>
            <m:e>
              <m:r>
                <m:t>R</m:t>
              </m:r>
            </m:e>
            <m:sub>
              <m:r>
                <m:t>i</m:t>
              </m:r>
            </m:sub>
            <m:sup>
              <m:r>
                <m:t>c</m:t>
              </m:r>
              <m:r>
                <m:t>h</m:t>
              </m:r>
              <m:r>
                <m:t>a</m:t>
              </m:r>
              <m:r>
                <m:t>n</m:t>
              </m:r>
              <m:r>
                <m:t>g</m:t>
              </m:r>
              <m:r>
                <m:t>e</m:t>
              </m:r>
            </m:sup>
          </m:sSubSup>
        </m:oMath>
      </m:oMathPara>
    </w:p>
    <w:p>
      <w:pPr>
        <w:pStyle w:val="FirstParagraph"/>
      </w:pPr>
      <w:r>
        <w:t xml:space="preserve">avec :</w:t>
      </w:r>
      <w:r>
        <w:t xml:space="preserve"> </w:t>
      </w:r>
      <m:oMath>
        <m:r>
          <m:t>R</m:t>
        </m:r>
        <m:r>
          <m:t>C</m:t>
        </m:r>
      </m:oMath>
      <w:r>
        <w:t xml:space="preserve"> </w:t>
      </w:r>
      <w:r>
        <w:t xml:space="preserve">= {risque de change pour chaque devise étrangère }</w:t>
      </w:r>
      <w:r>
        <w:t xml:space="preserve"> </w:t>
      </w:r>
      <w:r>
        <w:t xml:space="preserve">et</w:t>
      </w:r>
    </w:p>
    <w:p>
      <w:pPr>
        <w:pStyle w:val="BodyText"/>
      </w:pPr>
      <m:oMathPara>
        <m:oMathParaPr>
          <m:jc m:val="center"/>
        </m:oMathParaPr>
        <m:oMath>
          <m:r>
            <m:t>C</m:t>
          </m:r>
          <m:r>
            <m:t>S</m:t>
          </m:r>
          <m:sSubSup>
            <m:e>
              <m:r>
                <m:t>R</m:t>
              </m:r>
            </m:e>
            <m:sub>
              <m:r>
                <m:t>i</m:t>
              </m:r>
            </m:sub>
            <m:sup>
              <m:r>
                <m:t>c</m:t>
              </m:r>
              <m:r>
                <m:t>h</m:t>
              </m:r>
              <m:r>
                <m:t>a</m:t>
              </m:r>
              <m:r>
                <m:t>n</m:t>
              </m:r>
              <m:r>
                <m:t>g</m:t>
              </m:r>
              <m:r>
                <m:t>e</m:t>
              </m:r>
            </m:sup>
          </m:sSubSup>
          <m:r>
            <m:rPr>
              <m:sty m:val="p"/>
            </m:rPr>
            <m:t>=</m:t>
          </m:r>
          <m:r>
            <m:t>m</m:t>
          </m:r>
          <m:r>
            <m:t>a</m:t>
          </m:r>
          <m:r>
            <m:t>x</m:t>
          </m:r>
          <m:d>
            <m:dPr>
              <m:begChr m:val="("/>
              <m:endChr m:val=")"/>
              <m:sepChr m:val=""/>
              <m:grow/>
            </m:dPr>
            <m:e>
              <m:r>
                <m:t>C</m:t>
              </m:r>
              <m:r>
                <m:t>S</m:t>
              </m:r>
              <m:sSubSup>
                <m:e>
                  <m:r>
                    <m:t>R</m:t>
                  </m:r>
                </m:e>
                <m:sub>
                  <m:r>
                    <m:t>i</m:t>
                  </m:r>
                </m:sub>
                <m:sup>
                  <m:r>
                    <m:t>a</m:t>
                  </m:r>
                  <m:r>
                    <m:t>u</m:t>
                  </m:r>
                  <m:r>
                    <m:t>g</m:t>
                  </m:r>
                  <m:r>
                    <m:t>m</m:t>
                  </m:r>
                  <m:r>
                    <m:t>e</m:t>
                  </m:r>
                  <m:r>
                    <m:t>n</m:t>
                  </m:r>
                  <m:r>
                    <m:t>t</m:t>
                  </m:r>
                  <m:r>
                    <m:t>a</m:t>
                  </m:r>
                  <m:r>
                    <m:t>t</m:t>
                  </m:r>
                  <m:r>
                    <m:t>i</m:t>
                  </m:r>
                  <m:r>
                    <m:t>o</m:t>
                  </m:r>
                  <m:r>
                    <m:t>n</m:t>
                  </m:r>
                </m:sup>
              </m:sSubSup>
              <m:r>
                <m:rPr>
                  <m:sty m:val="p"/>
                </m:rPr>
                <m:t>;</m:t>
              </m:r>
              <m:r>
                <m:t>C</m:t>
              </m:r>
              <m:r>
                <m:t>S</m:t>
              </m:r>
              <m:sSubSup>
                <m:e>
                  <m:r>
                    <m:t>R</m:t>
                  </m:r>
                </m:e>
                <m:sub>
                  <m:r>
                    <m:t>i</m:t>
                  </m:r>
                </m:sub>
                <m:sup>
                  <m:r>
                    <m:t>d</m:t>
                  </m:r>
                  <m:r>
                    <m:t>i</m:t>
                  </m:r>
                  <m:r>
                    <m:t>m</m:t>
                  </m:r>
                  <m:r>
                    <m:t>i</m:t>
                  </m:r>
                  <m:r>
                    <m:t>n</m:t>
                  </m:r>
                  <m:r>
                    <m:t>u</m:t>
                  </m:r>
                  <m:r>
                    <m:t>t</m:t>
                  </m:r>
                  <m:r>
                    <m:t>i</m:t>
                  </m:r>
                  <m:r>
                    <m:t>o</m:t>
                  </m:r>
                  <m:r>
                    <m:t>n</m:t>
                  </m:r>
                </m:sup>
              </m:sSubSup>
            </m:e>
          </m:d>
        </m:oMath>
      </m:oMathPara>
    </w:p>
    <w:p>
      <w:pPr>
        <w:pStyle w:val="FirstParagraph"/>
      </w:pPr>
      <w:r>
        <w:t xml:space="preserve">- augmentation : le risque d’augmentation de la valeur de la devise étrangère par rapport au dirham.</w:t>
      </w:r>
      <w:r>
        <w:t xml:space="preserve"> </w:t>
      </w:r>
      <w:r>
        <w:t xml:space="preserve">- diminution : le risque de diminution de la valeur de la devise étrangère par rapport au dirham.</w:t>
      </w:r>
    </w:p>
    <w:p>
      <w:pPr>
        <w:pStyle w:val="BodyText"/>
      </w:pPr>
      <w:r>
        <w:t xml:space="preserve">tel que:  </w:t>
      </w:r>
      <w:r>
        <w:t xml:space="preserve"> </w:t>
      </w:r>
      <m:oMath>
        <m:r>
          <m:t>C</m:t>
        </m:r>
        <m:r>
          <m:t>S</m:t>
        </m:r>
        <m:sSubSup>
          <m:e>
            <m:r>
              <m:t>R</m:t>
            </m:r>
          </m:e>
          <m:sub>
            <m:r>
              <m:t>i</m:t>
            </m:r>
          </m:sub>
          <m:sup>
            <m:r>
              <m:t>j</m:t>
            </m:r>
          </m:sup>
        </m:sSubSup>
        <m:r>
          <m:rPr>
            <m:sty m:val="p"/>
          </m:rPr>
          <m:t>=</m:t>
        </m:r>
        <m:r>
          <m:t>B</m:t>
        </m:r>
        <m:sSup>
          <m:e>
            <m:r>
              <m:t>E</m:t>
            </m:r>
          </m:e>
          <m:sup>
            <m:r>
              <m:rPr>
                <m:nor/>
                <m:sty m:val="p"/>
              </m:rPr>
              <m:t>scénario j</m:t>
            </m:r>
          </m:sup>
        </m:sSup>
        <m:r>
          <m:rPr>
            <m:sty m:val="p"/>
          </m:rPr>
          <m:t>−</m:t>
        </m:r>
        <m:r>
          <m:t>B</m:t>
        </m:r>
        <m:r>
          <m:t>E</m:t>
        </m:r>
      </m:oMath>
      <w:r>
        <w:t xml:space="preserve"> </w:t>
      </w:r>
      <w:r>
        <w:t xml:space="preserve"> </w:t>
      </w:r>
      <m:oMath>
        <m:r>
          <m:t>j</m:t>
        </m:r>
        <m:r>
          <m:rPr>
            <m:sty m:val="p"/>
          </m:rPr>
          <m:t>∈</m:t>
        </m:r>
        <m:r>
          <m:rPr>
            <m:sty m:val="p"/>
          </m:rPr>
          <m:t>{</m:t>
        </m:r>
        <m:r>
          <m:t>a</m:t>
        </m:r>
        <m:r>
          <m:t>u</m:t>
        </m:r>
        <m:r>
          <m:t>g</m:t>
        </m:r>
        <m:r>
          <m:t>m</m:t>
        </m:r>
        <m:r>
          <m:t>e</m:t>
        </m:r>
        <m:r>
          <m:t>n</m:t>
        </m:r>
        <m:r>
          <m:t>t</m:t>
        </m:r>
        <m:r>
          <m:t>a</m:t>
        </m:r>
        <m:r>
          <m:t>t</m:t>
        </m:r>
        <m:r>
          <m:t>i</m:t>
        </m:r>
        <m:r>
          <m:t>o</m:t>
        </m:r>
        <m:r>
          <m:t>n</m:t>
        </m:r>
        <m:r>
          <m:rPr>
            <m:sty m:val="p"/>
          </m:rPr>
          <m:t>;</m:t>
        </m:r>
        <m:r>
          <m:t>d</m:t>
        </m:r>
        <m:r>
          <m:t>i</m:t>
        </m:r>
        <m:r>
          <m:t>m</m:t>
        </m:r>
        <m:r>
          <m:t>i</m:t>
        </m:r>
        <m:r>
          <m:t>n</m:t>
        </m:r>
        <m:r>
          <m:t>u</m:t>
        </m:r>
        <m:r>
          <m:t>t</m:t>
        </m:r>
        <m:r>
          <m:t>i</m:t>
        </m:r>
        <m:r>
          <m:t>o</m:t>
        </m:r>
        <m:r>
          <m:t>n</m:t>
        </m:r>
        <m:r>
          <m:rPr>
            <m:sty m:val="p"/>
          </m:rPr>
          <m:t>}</m:t>
        </m:r>
      </m:oMath>
    </w:p>
    <w:bookmarkEnd w:id="126"/>
    <w:bookmarkEnd w:id="127"/>
    <w:bookmarkStart w:id="130" w:name="X9c0184a5ab36aa780ba8e9d38716205766fa364"/>
    <w:p>
      <w:pPr>
        <w:pStyle w:val="Heading4"/>
      </w:pPr>
      <w:r>
        <w:t xml:space="preserve">7.1.2 Exigence de capital relative au risque de contrepartie (</w:t>
      </w:r>
      <m:oMath>
        <m:r>
          <m:t>C</m:t>
        </m:r>
        <m:r>
          <m:t>S</m:t>
        </m:r>
        <m:sSub>
          <m:e>
            <m:r>
              <m:t>R</m:t>
            </m:r>
          </m:e>
          <m:sub>
            <m:r>
              <m:t>c</m:t>
            </m:r>
            <m:r>
              <m:t>o</m:t>
            </m:r>
            <m:r>
              <m:t>n</m:t>
            </m:r>
            <m:r>
              <m:t>t</m:t>
            </m:r>
            <m:r>
              <m:t>r</m:t>
            </m:r>
            <m:r>
              <m:t>e</m:t>
            </m:r>
            <m:r>
              <m:t>p</m:t>
            </m:r>
            <m:r>
              <m:t>a</m:t>
            </m:r>
            <m:r>
              <m:t>r</m:t>
            </m:r>
            <m:r>
              <m:t>t</m:t>
            </m:r>
            <m:r>
              <m:t>i</m:t>
            </m:r>
            <m:r>
              <m:t>e</m:t>
            </m:r>
          </m:sub>
        </m:sSub>
      </m:oMath>
      <w:r>
        <w:t xml:space="preserve">)</w:t>
      </w:r>
    </w:p>
    <w:p>
      <w:pPr>
        <w:pStyle w:val="FirstParagraph"/>
      </w:pPr>
      <w:r>
        <w:t xml:space="preserve">L’exigence de capital relative au risque de contrepartie est le montant total des exigences de capitaux relatives aux sous-risques de contrepartie de</w:t>
      </w:r>
      <w:r>
        <w:t xml:space="preserve"> </w:t>
      </w:r>
      <w:r>
        <w:rPr>
          <w:iCs/>
          <w:i/>
        </w:rPr>
        <w:t xml:space="preserve">type 1</w:t>
      </w:r>
      <w:r>
        <w:t xml:space="preserve"> </w:t>
      </w:r>
      <w:r>
        <w:t xml:space="preserve">et de</w:t>
      </w:r>
      <w:r>
        <w:t xml:space="preserve"> </w:t>
      </w:r>
      <w:r>
        <w:rPr>
          <w:iCs/>
          <w:i/>
        </w:rPr>
        <w:t xml:space="preserve">type 2</w:t>
      </w:r>
      <w:r>
        <w:t xml:space="preserve"> </w:t>
      </w:r>
      <w:r>
        <w:t xml:space="preserve">, une fois les coefficients de corrélation appliqués.</w:t>
      </w:r>
    </w:p>
    <w:p>
      <w:pPr>
        <w:pStyle w:val="BodyText"/>
      </w:pPr>
      <m:oMathPara>
        <m:oMathParaPr>
          <m:jc m:val="center"/>
        </m:oMathParaPr>
        <m:oMath>
          <m:r>
            <m:t>C</m:t>
          </m:r>
          <m:r>
            <m:t>S</m:t>
          </m:r>
          <m:sSub>
            <m:e>
              <m:r>
                <m:t>R</m:t>
              </m:r>
            </m:e>
            <m:sub>
              <m:r>
                <m:t>c</m:t>
              </m:r>
              <m:r>
                <m:t>o</m:t>
              </m:r>
              <m:r>
                <m:t>n</m:t>
              </m:r>
              <m:r>
                <m:t>t</m:t>
              </m:r>
              <m:r>
                <m:t>r</m:t>
              </m:r>
              <m:r>
                <m:t>e</m:t>
              </m:r>
              <m:r>
                <m:t>p</m:t>
              </m:r>
              <m:r>
                <m:t>a</m:t>
              </m:r>
              <m:r>
                <m:t>r</m:t>
              </m:r>
              <m:r>
                <m:t>t</m:t>
              </m:r>
              <m:r>
                <m:t>i</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t</m:t>
                  </m:r>
                  <m:r>
                    <m:t>y</m:t>
                  </m:r>
                  <m:r>
                    <m:t>p</m:t>
                  </m:r>
                  <m:r>
                    <m:t>e</m:t>
                  </m:r>
                </m:sub>
                <m:sup>
                  <m:r>
                    <m:t>​</m:t>
                  </m:r>
                </m:sup>
                <m:e>
                  <m:d>
                    <m:dPr>
                      <m:begChr m:val="("/>
                      <m:endChr m:val=")"/>
                      <m:sepChr m:val=""/>
                      <m:grow/>
                    </m:dPr>
                    <m:e>
                      <m:sSub>
                        <m:e>
                          <m:r>
                            <m:t>ρ</m:t>
                          </m:r>
                        </m:e>
                        <m:sub>
                          <m:r>
                            <m:t>i</m:t>
                          </m:r>
                          <m:r>
                            <m:rPr>
                              <m:sty m:val="p"/>
                            </m:rPr>
                            <m:t>,</m:t>
                          </m:r>
                          <m:r>
                            <m:t>j</m:t>
                          </m:r>
                        </m:sub>
                      </m:sSub>
                      <m:r>
                        <m:rPr>
                          <m:sty m:val="p"/>
                        </m:rPr>
                        <m:t>×</m:t>
                      </m:r>
                      <m:r>
                        <m:t>C</m:t>
                      </m:r>
                      <m:r>
                        <m:t>S</m:t>
                      </m:r>
                      <m:sSubSup>
                        <m:e>
                          <m:r>
                            <m:t>R</m:t>
                          </m:r>
                        </m:e>
                        <m:sub>
                          <m:r>
                            <m:t>c</m:t>
                          </m:r>
                          <m:r>
                            <m:t>o</m:t>
                          </m:r>
                          <m:r>
                            <m:t>n</m:t>
                          </m:r>
                          <m:r>
                            <m:t>t</m:t>
                          </m:r>
                          <m:r>
                            <m:t>r</m:t>
                          </m:r>
                          <m:r>
                            <m:t>e</m:t>
                          </m:r>
                          <m:r>
                            <m:t>p</m:t>
                          </m:r>
                          <m:r>
                            <m:t>a</m:t>
                          </m:r>
                          <m:r>
                            <m:t>r</m:t>
                          </m:r>
                          <m:r>
                            <m:t>t</m:t>
                          </m:r>
                          <m:r>
                            <m:t>i</m:t>
                          </m:r>
                          <m:r>
                            <m:t>e</m:t>
                          </m:r>
                        </m:sub>
                        <m:sup>
                          <m:r>
                            <m:t>i</m:t>
                          </m:r>
                        </m:sup>
                      </m:sSubSup>
                      <m:r>
                        <m:rPr>
                          <m:sty m:val="p"/>
                        </m:rPr>
                        <m:t>×</m:t>
                      </m:r>
                      <m:r>
                        <m:t>C</m:t>
                      </m:r>
                      <m:r>
                        <m:t>S</m:t>
                      </m:r>
                      <m:sSubSup>
                        <m:e>
                          <m:r>
                            <m:t>R</m:t>
                          </m:r>
                        </m:e>
                        <m:sub>
                          <m:r>
                            <m:t>c</m:t>
                          </m:r>
                          <m:r>
                            <m:t>o</m:t>
                          </m:r>
                          <m:r>
                            <m:t>n</m:t>
                          </m:r>
                          <m:r>
                            <m:t>t</m:t>
                          </m:r>
                          <m:r>
                            <m:t>r</m:t>
                          </m:r>
                          <m:r>
                            <m:t>e</m:t>
                          </m:r>
                          <m:r>
                            <m:t>p</m:t>
                          </m:r>
                          <m:r>
                            <m:t>a</m:t>
                          </m:r>
                          <m:r>
                            <m:t>r</m:t>
                          </m:r>
                          <m:r>
                            <m:t>t</m:t>
                          </m:r>
                          <m:r>
                            <m:t>i</m:t>
                          </m:r>
                          <m:r>
                            <m:t>e</m:t>
                          </m:r>
                        </m:sub>
                        <m:sup>
                          <m:r>
                            <m:t>j</m:t>
                          </m:r>
                        </m:sup>
                      </m:sSubSup>
                    </m:e>
                  </m:d>
                </m:e>
              </m:nary>
            </m:e>
          </m:rad>
        </m:oMath>
      </m:oMathPara>
    </w:p>
    <w:p>
      <w:pPr>
        <w:pStyle w:val="FirstParagraph"/>
      </w:pPr>
      <w:r>
        <w:t xml:space="preserve">avec :</w:t>
      </w:r>
      <w:r>
        <w:t xml:space="preserve"> </w:t>
      </w:r>
      <m:oMath>
        <m:r>
          <m:t>t</m:t>
        </m:r>
        <m:r>
          <m:t>y</m:t>
        </m:r>
        <m:r>
          <m:t>p</m:t>
        </m:r>
        <m:r>
          <m:t>e</m:t>
        </m:r>
        <m:r>
          <m:rPr>
            <m:sty m:val="p"/>
          </m:rPr>
          <m:t>∈</m:t>
        </m:r>
        <m:r>
          <m:rPr>
            <m:sty m:val="p"/>
          </m:rPr>
          <m:t>{</m:t>
        </m:r>
        <m:r>
          <m:t>t</m:t>
        </m:r>
        <m:r>
          <m:t>y</m:t>
        </m:r>
        <m:r>
          <m:t>p</m:t>
        </m:r>
        <m:r>
          <m:t>e</m:t>
        </m:r>
        <m:r>
          <m:t>1</m:t>
        </m:r>
        <m:r>
          <m:rPr>
            <m:sty m:val="p"/>
          </m:rPr>
          <m:t>;</m:t>
        </m:r>
        <m:r>
          <m:t>t</m:t>
        </m:r>
        <m:r>
          <m:t>y</m:t>
        </m:r>
        <m:r>
          <m:t>p</m:t>
        </m:r>
        <m:r>
          <m:t>e</m:t>
        </m:r>
        <m:r>
          <m:t>2</m:t>
        </m:r>
        <m:r>
          <m:rPr>
            <m:sty m:val="p"/>
          </m:rPr>
          <m:t>}</m:t>
        </m:r>
      </m:oMath>
    </w:p>
    <w:bookmarkStart w:id="128" w:name="X303ad4190ba297cc4664f228835544b0eb3361f"/>
    <w:p>
      <w:pPr>
        <w:pStyle w:val="Heading5"/>
      </w:pPr>
      <w:r>
        <w:t xml:space="preserve">7.1.2.1 Exigence de capital relative au risque de contrepartie de type 1:</w:t>
      </w:r>
    </w:p>
    <w:p>
      <w:pPr>
        <w:pStyle w:val="FirstParagraph"/>
      </w:pPr>
      <w:r>
        <w:t xml:space="preserve">L’exigence de capital relative au risque de contrepartie de type 1 est calculé en fonction des montants</w:t>
      </w:r>
      <w:r>
        <w:t xml:space="preserve"> </w:t>
      </w:r>
      <w:r>
        <w:t xml:space="preserve">de pertes en cas de défaut des cessionnaires, des cédantes et des organismes dépositaires, selon la</w:t>
      </w:r>
      <w:r>
        <w:t xml:space="preserve"> </w:t>
      </w:r>
      <w:r>
        <w:t xml:space="preserve">méthode suivante: ** voir l’annexe 9**</w:t>
      </w:r>
    </w:p>
    <w:p>
      <w:pPr>
        <w:pStyle w:val="BodyText"/>
      </w:pPr>
      <w:r>
        <w:rPr>
          <w:bCs/>
          <w:b/>
        </w:rPr>
        <w:t xml:space="preserve">1ère étape:</w:t>
      </w:r>
      <w:r>
        <w:t xml:space="preserve"> </w:t>
      </w:r>
      <w:r>
        <w:t xml:space="preserve">Calcul des pertes en cas de défaut des différentes contreparties</w:t>
      </w:r>
      <w:r>
        <w:t xml:space="preserve"> </w:t>
      </w:r>
      <m:oMath>
        <m:r>
          <m:t>i</m:t>
        </m:r>
      </m:oMath>
      <w:r>
        <w:t xml:space="preserve">.</w:t>
      </w:r>
    </w:p>
    <w:p>
      <w:pPr>
        <w:numPr>
          <w:ilvl w:val="0"/>
          <w:numId w:val="1038"/>
        </w:numPr>
        <w:pStyle w:val="Compact"/>
      </w:pPr>
      <w:r>
        <w:t xml:space="preserve">Pour un contrat de réassurance:</w:t>
      </w:r>
    </w:p>
    <w:p>
      <w:pPr>
        <w:pStyle w:val="FirstParagraph"/>
      </w:pPr>
      <m:oMathPara>
        <m:oMathParaPr>
          <m:jc m:val="center"/>
        </m:oMathParaPr>
        <m:oMath>
          <m:r>
            <m:t>L</m:t>
          </m:r>
          <m:r>
            <m:t>G</m:t>
          </m:r>
          <m:sSub>
            <m:e>
              <m:r>
                <m:t>D</m:t>
              </m:r>
            </m:e>
            <m:sub>
              <m:r>
                <m:t>i</m:t>
              </m:r>
            </m:sub>
          </m:sSub>
          <m:r>
            <m:rPr>
              <m:sty m:val="p"/>
            </m:rPr>
            <m:t>=</m:t>
          </m:r>
          <m:r>
            <m:t>m</m:t>
          </m:r>
          <m:r>
            <m:t>a</m:t>
          </m:r>
          <m:r>
            <m:t>x</m:t>
          </m:r>
          <m:d>
            <m:dPr>
              <m:begChr m:val="("/>
              <m:endChr m:val=")"/>
              <m:sepChr m:val=""/>
              <m:grow/>
            </m:dPr>
            <m:e>
              <m:r>
                <m:t>X</m:t>
              </m:r>
              <m:r>
                <m:rPr>
                  <m:sty m:val="p"/>
                </m:rPr>
                <m:t>*</m:t>
              </m:r>
              <m:d>
                <m:dPr>
                  <m:begChr m:val="("/>
                  <m:endChr m:val=")"/>
                  <m:sepChr m:val=""/>
                  <m:grow/>
                </m:dPr>
                <m:e>
                  <m:r>
                    <m:t>B</m:t>
                  </m:r>
                  <m:sSub>
                    <m:e>
                      <m:r>
                        <m:t>E</m:t>
                      </m:r>
                    </m:e>
                    <m:sub>
                      <m:r>
                        <m:t>c</m:t>
                      </m:r>
                      <m:r>
                        <m:t>é</m:t>
                      </m:r>
                      <m:r>
                        <m:t>d</m:t>
                      </m:r>
                      <m:r>
                        <m:t>é</m:t>
                      </m:r>
                      <m:sSub>
                        <m:e>
                          <m:r>
                            <m:t>e</m:t>
                          </m:r>
                        </m:e>
                        <m:sub>
                          <m:r>
                            <m:t>i</m:t>
                          </m:r>
                        </m:sub>
                      </m:sSub>
                    </m:sub>
                  </m:sSub>
                  <m:r>
                    <m:rPr>
                      <m:sty m:val="p"/>
                    </m:rPr>
                    <m:t>+</m:t>
                  </m:r>
                  <m:r>
                    <m:rPr>
                      <m:nor/>
                      <m:sty m:val="p"/>
                    </m:rPr>
                    <m:t>créances sur les cessionaires</m:t>
                  </m:r>
                  <m:r>
                    <m:rPr>
                      <m:sty m:val="p"/>
                    </m:rPr>
                    <m:t>+</m:t>
                  </m:r>
                  <m:r>
                    <m:t>A</m:t>
                  </m:r>
                  <m:sSub>
                    <m:e>
                      <m:r>
                        <m:t>R</m:t>
                      </m:r>
                    </m:e>
                    <m:sub>
                      <m:r>
                        <m:t>i</m:t>
                      </m:r>
                    </m:sub>
                  </m:sSub>
                </m:e>
              </m:d>
              <m:r>
                <m:rPr>
                  <m:sty m:val="p"/>
                </m:rPr>
                <m:t>−</m:t>
              </m:r>
              <m:r>
                <m:rPr>
                  <m:nor/>
                  <m:sty m:val="p"/>
                </m:rPr>
                <m:t>Dépot en espèces ou en valeur</m:t>
              </m:r>
              <m:r>
                <m:rPr>
                  <m:sty m:val="p"/>
                </m:rPr>
                <m:t>;</m:t>
              </m:r>
              <m:r>
                <m:t>0</m:t>
              </m:r>
            </m:e>
          </m:d>
        </m:oMath>
      </m:oMathPara>
    </w:p>
    <w:p>
      <w:pPr>
        <w:pStyle w:val="FirstParagraph"/>
      </w:pPr>
      <w:r>
        <w:t xml:space="preserve">Où :</w:t>
      </w:r>
    </w:p>
    <w:p>
      <w:pPr>
        <w:numPr>
          <w:ilvl w:val="0"/>
          <w:numId w:val="1039"/>
        </w:numPr>
      </w:pPr>
      <m:oMath>
        <m:r>
          <m:t>B</m:t>
        </m:r>
        <m:sSub>
          <m:e>
            <m:r>
              <m:t>E</m:t>
            </m:r>
          </m:e>
          <m:sub>
            <m:r>
              <m:t>c</m:t>
            </m:r>
            <m:r>
              <m:t>é</m:t>
            </m:r>
            <m:r>
              <m:t>d</m:t>
            </m:r>
            <m:r>
              <m:t>é</m:t>
            </m:r>
            <m:sSub>
              <m:e>
                <m:r>
                  <m:t>e</m:t>
                </m:r>
              </m:e>
              <m:sub>
                <m:r>
                  <m:t>i</m:t>
                </m:r>
              </m:sub>
            </m:sSub>
          </m:sub>
        </m:sSub>
      </m:oMath>
      <w:r>
        <w:t xml:space="preserve"> </w:t>
      </w:r>
      <w:r>
        <w:t xml:space="preserve">: La meilleure estimation des engagements cédés au cessionnaire ;</w:t>
      </w:r>
    </w:p>
    <w:p>
      <w:pPr>
        <w:numPr>
          <w:ilvl w:val="0"/>
          <w:numId w:val="1039"/>
        </w:numPr>
      </w:pPr>
      <m:oMath>
        <m:r>
          <m:t>L</m:t>
        </m:r>
        <m:r>
          <m:t>G</m:t>
        </m:r>
        <m:sSub>
          <m:e>
            <m:r>
              <m:t>D</m:t>
            </m:r>
          </m:e>
          <m:sub>
            <m:r>
              <m:t>i</m:t>
            </m:r>
          </m:sub>
        </m:sSub>
      </m:oMath>
      <w:r>
        <w:t xml:space="preserve"> </w:t>
      </w:r>
      <w:r>
        <w:t xml:space="preserve">: la perte en cas de défaut du cessionnaire i ;</w:t>
      </w:r>
    </w:p>
    <w:p>
      <w:pPr>
        <w:numPr>
          <w:ilvl w:val="0"/>
          <w:numId w:val="1039"/>
        </w:numPr>
      </w:pPr>
      <m:oMath>
        <m:r>
          <m:rPr>
            <m:nor/>
            <m:sty m:val="p"/>
          </m:rPr>
          <m:t>Depot en espèces ou en valeur</m:t>
        </m:r>
      </m:oMath>
      <w:r>
        <w:t xml:space="preserve"> </w:t>
      </w:r>
      <w:r>
        <w:t xml:space="preserve">: le montant des dépôts en espèces ou en valeurs du cessionnaire i ;</w:t>
      </w:r>
    </w:p>
    <w:p>
      <w:pPr>
        <w:numPr>
          <w:ilvl w:val="0"/>
          <w:numId w:val="1039"/>
        </w:numPr>
      </w:pPr>
      <m:oMath>
        <m:r>
          <m:t>A</m:t>
        </m:r>
        <m:sSub>
          <m:e>
            <m:r>
              <m:t>R</m:t>
            </m:r>
          </m:e>
          <m:sub>
            <m:r>
              <m:t>i</m:t>
            </m:r>
          </m:sub>
        </m:sSub>
      </m:oMath>
      <w:r>
        <w:t xml:space="preserve"> </w:t>
      </w:r>
      <w:r>
        <w:t xml:space="preserve">: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p>
      <w:pPr>
        <w:numPr>
          <w:ilvl w:val="0"/>
          <w:numId w:val="1039"/>
        </w:numPr>
      </w:pPr>
      <w:r>
        <w:t xml:space="preserve">Pour un contrat d’acceptation:</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Dépôts en espèces aupret de la cédante </m:t>
                  </m:r>
                </m:e>
                <m:sub>
                  <m:r>
                    <m:t>i</m:t>
                  </m:r>
                </m:sub>
              </m:sSub>
              <m:r>
                <m:rPr>
                  <m:sty m:val="p"/>
                </m:rPr>
                <m:t>+</m:t>
              </m:r>
              <m:sSub>
                <m:e>
                  <m:r>
                    <m:rPr>
                      <m:nor/>
                      <m:sty m:val="p"/>
                    </m:rPr>
                    <m:t>Créance sur la cédante</m:t>
                  </m:r>
                </m:e>
                <m:sub>
                  <m:r>
                    <m:t>i</m:t>
                  </m:r>
                </m:sub>
              </m:sSub>
              <m:r>
                <m:rPr>
                  <m:sty m:val="p"/>
                </m:rPr>
                <m:t>−</m:t>
              </m:r>
              <m:sSub>
                <m:e>
                  <m:r>
                    <m:rPr>
                      <m:nor/>
                      <m:sty m:val="p"/>
                    </m:rPr>
                    <m:t>Provision techniques</m:t>
                  </m:r>
                </m:e>
                <m:sub>
                  <m:r>
                    <m:t>i</m:t>
                  </m:r>
                </m:sub>
              </m:sSub>
              <m:r>
                <m:rPr>
                  <m:sty m:val="p"/>
                </m:rPr>
                <m:t>;</m:t>
              </m:r>
              <m:r>
                <m:t>0</m:t>
              </m:r>
            </m:e>
          </m:d>
        </m:oMath>
      </m:oMathPara>
    </w:p>
    <w:p>
      <w:pPr>
        <w:numPr>
          <w:ilvl w:val="0"/>
          <w:numId w:val="1000"/>
        </w:numPr>
      </w:pPr>
      <w:r>
        <w:t xml:space="preserve">Où :</w:t>
      </w:r>
    </w:p>
    <w:p>
      <w:pPr>
        <w:numPr>
          <w:ilvl w:val="0"/>
          <w:numId w:val="1039"/>
        </w:numPr>
      </w:pPr>
      <m:oMath>
        <m:r>
          <m:t>L</m:t>
        </m:r>
        <m:r>
          <m:t>G</m:t>
        </m:r>
        <m:sSub>
          <m:e>
            <m:r>
              <m:t>D</m:t>
            </m:r>
          </m:e>
          <m:sub>
            <m:r>
              <m:t>i</m:t>
            </m:r>
          </m:sub>
        </m:sSub>
      </m:oMath>
      <w:r>
        <w:t xml:space="preserve">: la perte en cas de défaut de la cédante i ;</w:t>
      </w:r>
    </w:p>
    <w:p>
      <w:pPr>
        <w:numPr>
          <w:ilvl w:val="0"/>
          <w:numId w:val="1039"/>
        </w:numPr>
      </w:pPr>
      <m:oMath>
        <m:sSub>
          <m:e>
            <m:r>
              <m:rPr>
                <m:nor/>
                <m:sty m:val="p"/>
              </m:rPr>
              <m:t>Dépôts en espèces aupret de la cédante </m:t>
            </m:r>
          </m:e>
          <m:sub>
            <m:r>
              <m:t>i</m:t>
            </m:r>
          </m:sub>
        </m:sSub>
      </m:oMath>
      <w:r>
        <w:t xml:space="preserve"> </w:t>
      </w:r>
      <w:r>
        <w:t xml:space="preserve">: le montant des dépôts en espèces déposés chez la cédante i ;</w:t>
      </w:r>
    </w:p>
    <w:p>
      <w:pPr>
        <w:numPr>
          <w:ilvl w:val="0"/>
          <w:numId w:val="1039"/>
        </w:numPr>
      </w:pPr>
      <m:oMath>
        <m:sSub>
          <m:e>
            <m:r>
              <m:rPr>
                <m:nor/>
                <m:sty m:val="p"/>
              </m:rPr>
              <m:t>Provision techniques</m:t>
            </m:r>
          </m:e>
          <m:sub>
            <m:r>
              <m:t>i</m:t>
            </m:r>
          </m:sub>
        </m:sSub>
      </m:oMath>
      <w:r>
        <w:t xml:space="preserve"> </w:t>
      </w:r>
      <w:r>
        <w:t xml:space="preserve">: le montant des provisions techniques acceptées avec la cédante i</w:t>
      </w:r>
    </w:p>
    <w:p>
      <w:pPr>
        <w:numPr>
          <w:ilvl w:val="0"/>
          <w:numId w:val="1039"/>
        </w:numPr>
      </w:pPr>
      <w:r>
        <w:t xml:space="preserve">Pour un avoir auprès d’un organisme dépositaire :</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Avoirs en banque</m:t>
                  </m:r>
                </m:e>
                <m:sub>
                  <m:r>
                    <m:t>i</m:t>
                  </m:r>
                </m:sub>
              </m:sSub>
              <m:r>
                <m:rPr>
                  <m:sty m:val="p"/>
                </m:rPr>
                <m:t>;</m:t>
              </m:r>
              <m:r>
                <m:t>0</m:t>
              </m:r>
            </m:e>
          </m:d>
        </m:oMath>
      </m:oMathPara>
    </w:p>
    <w:p>
      <w:pPr>
        <w:numPr>
          <w:ilvl w:val="0"/>
          <w:numId w:val="1000"/>
        </w:numPr>
      </w:pPr>
      <w:r>
        <w:t xml:space="preserve">Où :</w:t>
      </w:r>
    </w:p>
    <w:p>
      <w:pPr>
        <w:pStyle w:val="FirstParagraph"/>
      </w:pPr>
      <w:r>
        <w:t xml:space="preserve">-</w:t>
      </w:r>
      <m:oMath>
        <m:r>
          <m:t>L</m:t>
        </m:r>
        <m:r>
          <m:t>G</m:t>
        </m:r>
        <m:sSub>
          <m:e>
            <m:r>
              <m:t>D</m:t>
            </m:r>
          </m:e>
          <m:sub>
            <m:r>
              <m:t>i</m:t>
            </m:r>
          </m:sub>
        </m:sSub>
      </m:oMath>
      <w:r>
        <w:t xml:space="preserve"> </w:t>
      </w:r>
      <w:r>
        <w:t xml:space="preserve">: la perte en cas de défaut de la banque i ;</w:t>
      </w:r>
    </w:p>
    <w:p>
      <w:pPr>
        <w:pStyle w:val="BodyText"/>
      </w:pPr>
      <w:r>
        <w:rPr>
          <w:bCs/>
          <w:b/>
        </w:rPr>
        <w:t xml:space="preserve">2ème étape:</w:t>
      </w:r>
      <w:r>
        <w:t xml:space="preserve"> </w:t>
      </w:r>
      <w:r>
        <w:t xml:space="preserve">Sommation des LGD par échelle de notation :</w:t>
      </w:r>
    </w:p>
    <w:p>
      <w:pPr>
        <w:pStyle w:val="BodyText"/>
      </w:pPr>
      <w:r>
        <w:t xml:space="preserve">Pour chaque échelle de notation</w:t>
      </w:r>
      <w:r>
        <w:t xml:space="preserve"> </w:t>
      </w:r>
      <m:oMath>
        <m:r>
          <m:t>k</m:t>
        </m:r>
      </m:oMath>
      <w:r>
        <w:t xml:space="preserve"> </w:t>
      </w:r>
      <w:r>
        <w:t xml:space="preserve">:</w:t>
      </w:r>
    </w:p>
    <w:p>
      <w:pPr>
        <w:pStyle w:val="BodyText"/>
      </w:pPr>
      <m:oMathPara>
        <m:oMathParaPr>
          <m:jc m:val="center"/>
        </m:oMathParaPr>
        <m:oMath>
          <m:r>
            <m:t>T</m:t>
          </m:r>
          <m:r>
            <m:t>L</m:t>
          </m:r>
          <m:r>
            <m:t>G</m:t>
          </m:r>
          <m:sSub>
            <m:e>
              <m:r>
                <m:t>D</m:t>
              </m:r>
            </m:e>
            <m:sub>
              <m:r>
                <m:t>K</m:t>
              </m:r>
            </m:sub>
          </m:sSub>
          <m:r>
            <m:rPr>
              <m:sty m:val="p"/>
            </m:rPr>
            <m:t>=</m:t>
          </m:r>
          <m:nary>
            <m:naryPr>
              <m:chr m:val="∑"/>
              <m:limLoc m:val="undOvr"/>
              <m:subHide m:val="0"/>
              <m:supHide m:val="1"/>
            </m:naryPr>
            <m:sub>
              <m:r>
                <m:rPr>
                  <m:nor/>
                  <m:sty m:val="p"/>
                </m:rPr>
                <m:t>Contrepartie faisant partie de la même échels de notation k</m:t>
              </m:r>
            </m:sub>
            <m:sup>
              <m:r>
                <m:t>​</m:t>
              </m:r>
            </m:sup>
            <m:e>
              <m:r>
                <m:t>L</m:t>
              </m:r>
            </m:e>
          </m:nary>
          <m:r>
            <m:t>G</m:t>
          </m:r>
          <m:sSub>
            <m:e>
              <m:r>
                <m:t>D</m:t>
              </m:r>
            </m:e>
            <m:sub>
              <m:r>
                <m:t>k</m:t>
              </m:r>
            </m:sub>
          </m:sSub>
        </m:oMath>
      </m:oMathPara>
    </w:p>
    <w:p>
      <w:pPr>
        <w:pStyle w:val="FirstParagraph"/>
      </w:pPr>
      <w:r>
        <w:rPr>
          <w:bCs/>
          <w:b/>
        </w:rPr>
        <w:t xml:space="preserve">3ème étape:</w:t>
      </w:r>
      <w:r>
        <w:t xml:space="preserve"> </w:t>
      </w:r>
      <w:r>
        <w:t xml:space="preserve">Calcul des volumes suivants :</w:t>
      </w:r>
    </w:p>
    <w:p>
      <w:pPr>
        <w:pStyle w:val="BodyText"/>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r>
                <m:rPr>
                  <m:sty m:val="p"/>
                </m:rPr>
                <m:t>,</m:t>
              </m:r>
              <m:r>
                <m:t>k</m:t>
              </m:r>
            </m:sub>
            <m:sup>
              <m:r>
                <m:t>​</m:t>
              </m:r>
            </m:sup>
            <m:e>
              <m:f>
                <m:fPr>
                  <m:type m:val="bar"/>
                </m:fPr>
                <m:num>
                  <m:r>
                    <m:t>P</m:t>
                  </m:r>
                  <m:sSub>
                    <m:e>
                      <m:r>
                        <m:t>D</m:t>
                      </m:r>
                    </m:e>
                    <m:sub>
                      <m:r>
                        <m:t>k</m:t>
                      </m:r>
                    </m:sub>
                  </m:sSub>
                  <m:r>
                    <m:rPr>
                      <m:sty m:val="p"/>
                    </m:rPr>
                    <m:t>*</m:t>
                  </m:r>
                  <m:d>
                    <m:dPr>
                      <m:begChr m:val="("/>
                      <m:endChr m:val=")"/>
                      <m:sepChr m:val=""/>
                      <m:grow/>
                    </m:dPr>
                    <m:e>
                      <m:r>
                        <m:t>1</m:t>
                      </m:r>
                      <m:r>
                        <m:rPr>
                          <m:sty m:val="p"/>
                        </m:rPr>
                        <m:t>−</m:t>
                      </m:r>
                      <m:r>
                        <m:t>P</m:t>
                      </m:r>
                      <m:sSub>
                        <m:e>
                          <m:r>
                            <m:t>D</m:t>
                          </m:r>
                        </m:e>
                        <m:sub>
                          <m:r>
                            <m:t>k</m:t>
                          </m:r>
                        </m:sub>
                      </m:sSub>
                    </m:e>
                  </m:d>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d>
                    <m:dPr>
                      <m:begChr m:val="("/>
                      <m:endChr m:val=")"/>
                      <m:sepChr m:val=""/>
                      <m:grow/>
                    </m:dPr>
                    <m:e>
                      <m:r>
                        <m:t>P</m:t>
                      </m:r>
                      <m:sSub>
                        <m:e>
                          <m:r>
                            <m:t>D</m:t>
                          </m:r>
                        </m:e>
                        <m:sub>
                          <m:r>
                            <m:t>j</m:t>
                          </m:r>
                        </m:sub>
                      </m:sSub>
                      <m:r>
                        <m:rPr>
                          <m:sty m:val="p"/>
                        </m:rPr>
                        <m:t>+</m:t>
                      </m:r>
                      <m:r>
                        <m:t>P</m:t>
                      </m:r>
                      <m:sSub>
                        <m:e>
                          <m:r>
                            <m:t>D</m:t>
                          </m:r>
                        </m:e>
                        <m:sub>
                          <m:r>
                            <m:t>k</m:t>
                          </m:r>
                        </m:sub>
                      </m:sSub>
                    </m:e>
                  </m:d>
                  <m:r>
                    <m:rPr>
                      <m:sty m:val="p"/>
                    </m:rPr>
                    <m:t>−</m:t>
                  </m:r>
                  <m:r>
                    <m:t>P</m:t>
                  </m:r>
                  <m:sSub>
                    <m:e>
                      <m:r>
                        <m:t>D</m:t>
                      </m:r>
                    </m:e>
                    <m:sub>
                      <m:r>
                        <m:t>j</m:t>
                      </m:r>
                    </m:sub>
                  </m:sSub>
                  <m:r>
                    <m:rPr>
                      <m:sty m:val="p"/>
                    </m:rPr>
                    <m:t>*</m:t>
                  </m:r>
                  <m:r>
                    <m:t>P</m:t>
                  </m:r>
                  <m:sSub>
                    <m:e>
                      <m:r>
                        <m:t>D</m:t>
                      </m:r>
                    </m:e>
                    <m:sub>
                      <m:r>
                        <m:t>k</m:t>
                      </m:r>
                    </m:sub>
                  </m:sSub>
                </m:den>
              </m:f>
            </m:e>
          </m:nary>
          <m:r>
            <m:rPr>
              <m:sty m:val="p"/>
            </m:rPr>
            <m:t>*</m:t>
          </m:r>
          <m:r>
            <m:t>T</m:t>
          </m:r>
          <m:r>
            <m:t>L</m:t>
          </m:r>
          <m:r>
            <m:t>G</m:t>
          </m:r>
          <m:sSub>
            <m:e>
              <m:r>
                <m:t>D</m:t>
              </m:r>
            </m:e>
            <m:sub>
              <m:r>
                <m:t>j</m:t>
              </m:r>
            </m:sub>
          </m:sSub>
          <m:r>
            <m:rPr>
              <m:sty m:val="p"/>
            </m:rPr>
            <m:t>*</m:t>
          </m:r>
          <m:r>
            <m:t>T</m:t>
          </m:r>
          <m:r>
            <m:t>L</m:t>
          </m:r>
          <m:r>
            <m:t>G</m:t>
          </m:r>
          <m:sSub>
            <m:e>
              <m:r>
                <m:t>D</m:t>
              </m:r>
            </m:e>
            <m:sub>
              <m:r>
                <m:t>k</m:t>
              </m:r>
            </m:sub>
          </m:sSub>
        </m:oMath>
      </m:oMathPara>
    </w:p>
    <w:p>
      <w:pPr>
        <w:pStyle w:val="FirstParagraph"/>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sub>
            <m:sup>
              <m:r>
                <m:t>​</m:t>
              </m:r>
            </m:sup>
            <m:e>
              <m:f>
                <m:fPr>
                  <m:type m:val="bar"/>
                </m:fPr>
                <m:num>
                  <m:r>
                    <m:t>X</m:t>
                  </m:r>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r>
                    <m:t>P</m:t>
                  </m:r>
                  <m:sSub>
                    <m:e>
                      <m:r>
                        <m:t>D</m:t>
                      </m:r>
                    </m:e>
                    <m:sub>
                      <m:r>
                        <m:t>j</m:t>
                      </m:r>
                    </m:sub>
                  </m:sSub>
                </m:den>
              </m:f>
            </m:e>
          </m:nary>
          <m:r>
            <m:rPr>
              <m:sty m:val="p"/>
            </m:rPr>
            <m:t>*</m:t>
          </m:r>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m:oMathPara>
    </w:p>
    <w:p>
      <w:pPr>
        <w:pStyle w:val="FirstParagraph"/>
      </w:pPr>
      <w:r>
        <w:t xml:space="preserve">Où :</w:t>
      </w:r>
    </w:p>
    <w:p>
      <w:pPr>
        <w:numPr>
          <w:ilvl w:val="0"/>
          <w:numId w:val="1040"/>
        </w:numPr>
        <w:pStyle w:val="Compact"/>
      </w:pPr>
      <m:oMath>
        <m:r>
          <m:t>P</m:t>
        </m:r>
        <m:sSub>
          <m:e>
            <m:r>
              <m:t>D</m:t>
            </m:r>
          </m:e>
          <m:sub>
            <m:r>
              <m:t>j</m:t>
            </m:r>
          </m:sub>
        </m:sSub>
      </m:oMath>
      <w:r>
        <w:t xml:space="preserve"> </w:t>
      </w:r>
      <w:r>
        <w:t xml:space="preserve">et</w:t>
      </w:r>
      <m:oMath>
        <m:r>
          <m:t>P</m:t>
        </m:r>
        <m:sSub>
          <m:e>
            <m:r>
              <m:t>D</m:t>
            </m:r>
          </m:e>
          <m:sub>
            <m:r>
              <m:t>k</m:t>
            </m:r>
          </m:sub>
        </m:sSub>
      </m:oMath>
      <w:r>
        <w:t xml:space="preserve">: probabilités de défaut des contreparties j et k, établies conformément au tableau prévu au 2) de l’annexe n°12.</w:t>
      </w:r>
    </w:p>
    <w:p>
      <w:pPr>
        <w:numPr>
          <w:ilvl w:val="0"/>
          <w:numId w:val="1040"/>
        </w:numPr>
        <w:pStyle w:val="Compact"/>
      </w:pPr>
      <m:oMath>
        <m:r>
          <m:t>T</m:t>
        </m:r>
        <m:r>
          <m:t>L</m:t>
        </m:r>
        <m:r>
          <m:t>G</m:t>
        </m:r>
        <m:sSub>
          <m:e>
            <m:r>
              <m:t>D</m:t>
            </m:r>
          </m:e>
          <m:sub>
            <m:r>
              <m:t>j</m:t>
            </m:r>
          </m:sub>
        </m:sSub>
      </m:oMath>
      <w:r>
        <w:t xml:space="preserve"> </w:t>
      </w:r>
      <w:r>
        <w:t xml:space="preserve">et</w:t>
      </w:r>
      <w:r>
        <w:t xml:space="preserve"> </w:t>
      </w:r>
      <m:oMath>
        <m:r>
          <m:t>T</m:t>
        </m:r>
        <m:r>
          <m:t>L</m:t>
        </m:r>
        <m:r>
          <m:t>G</m:t>
        </m:r>
        <m:sSub>
          <m:e>
            <m:r>
              <m:t>D</m:t>
            </m:r>
          </m:e>
          <m:sub>
            <m:r>
              <m:t>k</m:t>
            </m:r>
          </m:sub>
        </m:sSub>
      </m:oMath>
      <w:r>
        <w:t xml:space="preserve"> </w:t>
      </w:r>
      <w:r>
        <w:t xml:space="preserve">: somme des pertes en cas de défaut pour les contreparties dont la probabilité de défaut est, respectivement, de</w:t>
      </w:r>
      <w:r>
        <w:t xml:space="preserve"> </w:t>
      </w:r>
      <m:oMath>
        <m:r>
          <m:t>P</m:t>
        </m:r>
        <m:sSub>
          <m:e>
            <m:r>
              <m:t>D</m:t>
            </m:r>
          </m:e>
          <m:sub>
            <m:r>
              <m:t>j</m:t>
            </m:r>
          </m:sub>
        </m:sSub>
      </m:oMath>
      <w:r>
        <w:t xml:space="preserve"> </w:t>
      </w:r>
      <w:r>
        <w:t xml:space="preserve">et</w:t>
      </w:r>
      <m:oMath>
        <m:r>
          <m:t>P</m:t>
        </m:r>
        <m:sSub>
          <m:e>
            <m:r>
              <m:t>D</m:t>
            </m:r>
          </m:e>
          <m:sub>
            <m:r>
              <m:t>k</m:t>
            </m:r>
          </m:sub>
        </m:sSub>
      </m:oMath>
      <w:r>
        <w:t xml:space="preserve">.</w:t>
      </w:r>
    </w:p>
    <w:p>
      <w:pPr>
        <w:numPr>
          <w:ilvl w:val="0"/>
          <w:numId w:val="1040"/>
        </w:numPr>
        <w:pStyle w:val="Compact"/>
      </w:pPr>
      <m:oMath>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w:r>
        <w:t xml:space="preserve"> </w:t>
      </w:r>
      <w:r>
        <w:t xml:space="preserve">: somme couvrant toutes les expositions dont la probabilité de défaut est de</w:t>
      </w:r>
      <w:r>
        <w:t xml:space="preserve"> </w:t>
      </w:r>
      <m:oMath>
        <m:r>
          <m:t>P</m:t>
        </m:r>
        <m:sSub>
          <m:e>
            <m:r>
              <m:t>D</m:t>
            </m:r>
          </m:e>
          <m:sub>
            <m:r>
              <m:t>j</m:t>
            </m:r>
          </m:sub>
        </m:sSub>
      </m:oMath>
      <w:r>
        <w:t xml:space="preserve">.</w:t>
      </w:r>
    </w:p>
    <w:p>
      <w:pPr>
        <w:pStyle w:val="FirstParagraph"/>
      </w:pPr>
      <w:r>
        <w:rPr>
          <w:bCs/>
          <w:b/>
        </w:rPr>
        <w:t xml:space="preserve">4ème étape:</w:t>
      </w:r>
      <w:r>
        <w:t xml:space="preserve"> </w:t>
      </w:r>
      <w:r>
        <w:t xml:space="preserve">Calcul du de la façon suivante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1</m:t>
              </m:r>
            </m:sup>
          </m:sSubSup>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1</m:t>
                    </m:r>
                  </m:e>
                </m:m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x</m:t>
                    </m:r>
                    <m:r>
                      <m:t>1</m:t>
                    </m:r>
                    <m:r>
                      <m:rPr>
                        <m:sty m:val="p"/>
                      </m:rPr>
                      <m:t>≤</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r>
                  <m:e>
                    <m:nary>
                      <m:naryPr>
                        <m:chr m:val="∑"/>
                        <m:limLoc m:val="undOvr"/>
                        <m:subHide m:val="0"/>
                        <m:supHide m:val="1"/>
                      </m:naryPr>
                      <m:sub>
                        <m:r>
                          <m:t>i</m:t>
                        </m:r>
                      </m:sub>
                      <m:sup>
                        <m:r>
                          <m:t>​</m:t>
                        </m:r>
                      </m:sup>
                      <m:e>
                        <m:r>
                          <m:t>L</m:t>
                        </m:r>
                      </m:e>
                    </m:nary>
                    <m:r>
                      <m:t>G</m:t>
                    </m:r>
                    <m:sSub>
                      <m:e>
                        <m:r>
                          <m:t>D</m:t>
                        </m:r>
                      </m:e>
                      <m:sub>
                        <m:r>
                          <m:t>i</m:t>
                        </m:r>
                      </m:sub>
                    </m:sSub>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
            </m:e>
          </m:d>
        </m:oMath>
      </m:oMathPara>
    </w:p>
    <w:bookmarkEnd w:id="128"/>
    <w:bookmarkStart w:id="129" w:name="Xde70ab66fad04d143ab07d5ec8525e6812bbe93"/>
    <w:p>
      <w:pPr>
        <w:pStyle w:val="Heading5"/>
      </w:pPr>
      <w:r>
        <w:t xml:space="preserve">7.1.2.2 Exigence de capital relative au risque de contrepartie de type 2:</w:t>
      </w:r>
    </w:p>
    <w:p>
      <w:pPr>
        <w:pStyle w:val="FirstParagraph"/>
      </w:pPr>
      <w:r>
        <w:t xml:space="preserve">L’exigence de capital relative au risque de contrepartie de type 2 est le montant total des</w:t>
      </w:r>
      <w:r>
        <w:t xml:space="preserve"> </w:t>
      </w:r>
      <w:r>
        <w:t xml:space="preserve">exigences de capitaux relatives aux risque de contrepartie des assurés, des intermédiaires et des</w:t>
      </w:r>
      <w:r>
        <w:t xml:space="preserve"> </w:t>
      </w:r>
      <w:r>
        <w:t xml:space="preserve">autres contreparties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2</m:t>
              </m:r>
            </m:sup>
          </m:sSubSup>
          <m:r>
            <m:rPr>
              <m:sty m:val="p"/>
            </m:rPr>
            <m:t>=</m:t>
          </m:r>
          <m:r>
            <m:t>C</m:t>
          </m:r>
          <m:r>
            <m:t>S</m:t>
          </m:r>
          <m:sSubSup>
            <m:e>
              <m:r>
                <m:t>R</m:t>
              </m:r>
            </m:e>
            <m:sub>
              <m:r>
                <m:t>c</m:t>
              </m:r>
              <m:r>
                <m:t>o</m:t>
              </m:r>
              <m:r>
                <m:t>n</m:t>
              </m:r>
              <m:r>
                <m:t>t</m:t>
              </m:r>
              <m:r>
                <m:t>r</m:t>
              </m:r>
              <m:r>
                <m:t>e</m:t>
              </m:r>
              <m:r>
                <m:t>p</m:t>
              </m:r>
              <m:r>
                <m:t>a</m:t>
              </m:r>
              <m:r>
                <m:t>r</m:t>
              </m:r>
              <m:r>
                <m:t>t</m:t>
              </m:r>
              <m:r>
                <m:t>i</m:t>
              </m:r>
              <m:r>
                <m:t>e</m:t>
              </m:r>
            </m:sub>
            <m:sup>
              <m:r>
                <m:t>A</m:t>
              </m:r>
              <m:r>
                <m:t>s</m:t>
              </m:r>
              <m:r>
                <m:t>s</m:t>
              </m:r>
              <m:r>
                <m:t>u</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I</m:t>
              </m:r>
              <m:r>
                <m:t>n</m:t>
              </m:r>
              <m:r>
                <m:t>t</m:t>
              </m:r>
              <m:r>
                <m:t>e</m:t>
              </m:r>
              <m:r>
                <m:t>r</m:t>
              </m:r>
              <m:r>
                <m:t>m</m:t>
              </m:r>
              <m:r>
                <m:t>e</m:t>
              </m:r>
              <m:r>
                <m:t>d</m:t>
              </m:r>
              <m:r>
                <m:t>i</m:t>
              </m:r>
              <m:r>
                <m:t>a</m:t>
              </m:r>
              <m:r>
                <m:t>i</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a</m:t>
              </m:r>
              <m:r>
                <m:t>u</m:t>
              </m:r>
              <m:r>
                <m:t>t</m:t>
              </m:r>
              <m:r>
                <m:t>r</m:t>
              </m:r>
              <m:r>
                <m:t>e</m:t>
              </m:r>
              <m:r>
                <m:t>s</m:t>
              </m:r>
              <m:r>
                <m:rPr>
                  <m:sty m:val="p"/>
                </m:rPr>
                <m:t>−</m:t>
              </m:r>
              <m:r>
                <m:t>c</m:t>
              </m:r>
              <m:r>
                <m:t>o</m:t>
              </m:r>
              <m:r>
                <m:t>n</m:t>
              </m:r>
              <m:r>
                <m:t>t</m:t>
              </m:r>
              <m:r>
                <m:t>r</m:t>
              </m:r>
              <m:r>
                <m:t>e</m:t>
              </m:r>
              <m:r>
                <m:t>p</m:t>
              </m:r>
              <m:r>
                <m:t>a</m:t>
              </m:r>
              <m:r>
                <m:t>r</m:t>
              </m:r>
              <m:r>
                <m:t>t</m:t>
              </m:r>
              <m:r>
                <m:t>i</m:t>
              </m:r>
              <m:r>
                <m:t>e</m:t>
              </m:r>
              <m:r>
                <m:t>s</m:t>
              </m:r>
            </m:sup>
          </m:sSubSup>
        </m:oMath>
      </m:oMathPara>
    </w:p>
    <w:p>
      <w:pPr>
        <w:pStyle w:val="FirstParagraph"/>
      </w:pPr>
      <w:r>
        <w:t xml:space="preserve">avec :</w:t>
      </w:r>
    </w:p>
    <w:p>
      <w:pPr>
        <w:numPr>
          <w:ilvl w:val="0"/>
          <w:numId w:val="1041"/>
        </w:numPr>
      </w:pPr>
      <w:r>
        <w:t xml:space="preserve">L’exigence de capital relative au risque de contrepartie des assurés correspond à</w:t>
      </w:r>
      <w:r>
        <w:t xml:space="preserve"> </w:t>
      </w:r>
      <m:oMath>
        <m:r>
          <m:t>X</m:t>
        </m:r>
        <m:r>
          <m:rPr>
            <m:sty m:val="p"/>
          </m:rPr>
          <m:t>%</m:t>
        </m:r>
      </m:oMath>
      <w:r>
        <w:t xml:space="preserve"> </w:t>
      </w:r>
      <w:r>
        <w:t xml:space="preserve">des créances relatives aux primes ou cotisations qui demeurent impayées six (06) mois après la date de leur émission. Les créances précitées s’entendent nettes de provisions.</w:t>
      </w:r>
    </w:p>
    <w:p>
      <w:pPr>
        <w:numPr>
          <w:ilvl w:val="0"/>
          <w:numId w:val="1041"/>
        </w:numPr>
      </w:pPr>
      <w:r>
        <w:t xml:space="preserve">L’exigence de capital relative au risque de contrepartie des intermédiaires correspond à</w:t>
      </w:r>
      <w:r>
        <w:t xml:space="preserve"> </w:t>
      </w:r>
      <m:oMath>
        <m:r>
          <m:t>X</m:t>
        </m:r>
        <m:r>
          <m:rPr>
            <m:sty m:val="p"/>
          </m:rPr>
          <m:t>%</m:t>
        </m:r>
      </m:oMath>
      <w:r>
        <w:t xml:space="preserve"> </w:t>
      </w:r>
      <w:r>
        <w:t xml:space="preserve">des créances sur les intermédiaires d’assurances nettes de provisions.</w:t>
      </w:r>
    </w:p>
    <w:p>
      <w:pPr>
        <w:numPr>
          <w:ilvl w:val="0"/>
          <w:numId w:val="1041"/>
        </w:numPr>
      </w:pPr>
      <w:r>
        <w:t xml:space="preserve">L’exigence de capital relative au risque lié aux autres contreparties correspond à</w:t>
      </w:r>
      <w:r>
        <w:t xml:space="preserve"> </w:t>
      </w:r>
      <m:oMath>
        <m:r>
          <m:t>X</m:t>
        </m:r>
        <m:r>
          <m:rPr>
            <m:sty m:val="p"/>
          </m:rPr>
          <m:t>%</m:t>
        </m:r>
      </m:oMath>
      <w:r>
        <w:t xml:space="preserve"> </w:t>
      </w:r>
      <w:r>
        <w:t xml:space="preserve">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bookmarkEnd w:id="129"/>
    <w:bookmarkEnd w:id="130"/>
    <w:bookmarkStart w:id="131" w:name="Xac2a78756e1947e45e0b443464340ca4e07c6ed"/>
    <w:p>
      <w:pPr>
        <w:pStyle w:val="Heading4"/>
      </w:pPr>
      <w:r>
        <w:t xml:space="preserve">7.1.3 Exigence de capital relative au risque de concentration (</w:t>
      </w:r>
      <m:oMath>
        <m:r>
          <m:t>C</m:t>
        </m:r>
        <m:r>
          <m:t>S</m:t>
        </m:r>
        <m:sSub>
          <m:e>
            <m:r>
              <m:t>R</m:t>
            </m:r>
          </m:e>
          <m:sub>
            <m:r>
              <m:t>c</m:t>
            </m:r>
            <m:r>
              <m:t>o</m:t>
            </m:r>
            <m:r>
              <m:t>n</m:t>
            </m:r>
            <m:r>
              <m:t>c</m:t>
            </m:r>
            <m:r>
              <m:t>e</m:t>
            </m:r>
            <m:r>
              <m:t>n</m:t>
            </m:r>
            <m:r>
              <m:t>t</m:t>
            </m:r>
            <m:r>
              <m:t>r</m:t>
            </m:r>
            <m:r>
              <m:t>a</m:t>
            </m:r>
            <m:r>
              <m:t>t</m:t>
            </m:r>
            <m:r>
              <m:t>i</m:t>
            </m:r>
            <m:r>
              <m:t>o</m:t>
            </m:r>
            <m:r>
              <m:t>n</m:t>
            </m:r>
          </m:sub>
        </m:sSub>
      </m:oMath>
      <w:r>
        <w:t xml:space="preserve">)</w:t>
      </w:r>
    </w:p>
    <w:p>
      <w:pPr>
        <w:pStyle w:val="FirstParagraph"/>
      </w:pPr>
      <w:r>
        <w:t xml:space="preserve">L’exigence de capital relative au risque de concentration correspond à la perte des fonds propres due à la baisse des actifs associés aux ensembles d’émetteurs appartenant aux mêmes groupes.</w:t>
      </w:r>
    </w:p>
    <w:p>
      <w:pPr>
        <w:pStyle w:val="BodyText"/>
      </w:pPr>
      <w:r>
        <w:t xml:space="preserve">Lorsque des émetteurs appartenant à des groupes spécifiques présentent des liens étroits et partagent des caractéristiques similaires, une baisse de la valeur de leurs actifs peut avoir un impact très important. Par conséquent, il est essentiel de prendre en compte cette concentration de risques lors de l’évaluation des réserves de capital requises.</w:t>
      </w:r>
    </w:p>
    <w:p>
      <w:pPr>
        <w:pStyle w:val="BodyText"/>
      </w:pPr>
      <w:r>
        <w:t xml:space="preserve">Mathématiquement l’exigence de capital relative au risque de concentration correspond à la racine carrée de la somme des carrés des exigences de capitaux relatives au sous-risque de concentration relatifs aux différents groupes d’émetteurs.</w:t>
      </w:r>
    </w:p>
    <w:p>
      <w:pPr>
        <w:pStyle w:val="BodyText"/>
      </w:pPr>
      <m:oMathPara>
        <m:oMathParaPr>
          <m:jc m:val="center"/>
        </m:oMathParaPr>
        <m:oMath>
          <m:r>
            <m:t>C</m:t>
          </m:r>
          <m:r>
            <m:t>S</m:t>
          </m:r>
          <m:sSub>
            <m:e>
              <m:r>
                <m:t>R</m:t>
              </m:r>
            </m:e>
            <m:sub>
              <m:r>
                <m:t>c</m:t>
              </m:r>
              <m:r>
                <m:t>o</m:t>
              </m:r>
              <m:r>
                <m:t>n</m:t>
              </m:r>
              <m:r>
                <m:t>c</m:t>
              </m:r>
              <m:r>
                <m:t>e</m:t>
              </m:r>
              <m:r>
                <m:t>n</m:t>
              </m:r>
              <m:r>
                <m:t>t</m:t>
              </m:r>
              <m:r>
                <m:t>r</m:t>
              </m:r>
              <m:r>
                <m:t>a</m:t>
              </m:r>
              <m:r>
                <m:t>t</m:t>
              </m:r>
              <m:r>
                <m:t>i</m:t>
              </m:r>
              <m:r>
                <m:t>o</m:t>
              </m:r>
              <m:r>
                <m:t>n</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oMath>
      </m:oMathPara>
    </w:p>
    <w:p>
      <w:pPr>
        <w:pStyle w:val="FirstParagraph"/>
      </w:pPr>
      <w:r>
        <w:t xml:space="preserve">avec</w:t>
      </w:r>
      <w:r>
        <w:t xml:space="preserve"> </w:t>
      </w:r>
      <m:oMath>
        <m:r>
          <m:t>i</m:t>
        </m:r>
        <m:r>
          <m:rPr>
            <m:sty m:val="p"/>
          </m:rPr>
          <m:t>∈</m:t>
        </m:r>
        <m:r>
          <m:rPr>
            <m:sty m:val="p"/>
          </m:rPr>
          <m:t>{</m:t>
        </m:r>
        <m:r>
          <m:rPr>
            <m:nor/>
            <m:sty m:val="p"/>
          </m:rPr>
          <m:t>Les sous-risques de concentration relatifs aux differents groupes d’emetteurs.</m:t>
        </m:r>
        <m:r>
          <m:rPr>
            <m:sty m:val="p"/>
          </m:rPr>
          <m:t>}</m:t>
        </m:r>
      </m:oMath>
    </w:p>
    <w:p>
      <w:pPr>
        <w:pStyle w:val="BodyText"/>
      </w:pPr>
      <w:r>
        <w:t xml:space="preserve">Pour chaque groupe d’émetteurs, l’exigence de capital relative au risque de concentration egale à</w:t>
      </w:r>
      <w:r>
        <w:t xml:space="preserve"> </w:t>
      </w:r>
      <m:oMath>
        <m:r>
          <m:t>X</m:t>
        </m:r>
        <m:r>
          <m:rPr>
            <m:sty m:val="p"/>
          </m:rPr>
          <m:t>%</m:t>
        </m:r>
      </m:oMath>
      <w:r>
        <w:t xml:space="preserve"> </w:t>
      </w:r>
      <w:r>
        <w:t xml:space="preserve">de l’écart positif constaté entre le montant des placements de l’entreprise d’assurances et de réassurance, autres que les valeurs de l’Etat ou celles jouissant de sa garantie, relatifs à l’ensemble d’émetteurs appartenant au groupe précité et</w:t>
      </w:r>
      <w:r>
        <w:t xml:space="preserve"> </w:t>
      </w:r>
      <m:oMath>
        <m:r>
          <m:t>X</m:t>
        </m:r>
        <m:r>
          <m:rPr>
            <m:sty m:val="p"/>
          </m:rPr>
          <m:t>%</m:t>
        </m:r>
      </m:oMath>
      <w:r>
        <w:t xml:space="preserve"> </w:t>
      </w:r>
      <w:r>
        <w:t xml:space="preserve">du total de ses placements.</w:t>
      </w:r>
    </w:p>
    <w:bookmarkEnd w:id="131"/>
    <w:bookmarkStart w:id="137" w:name="X8bdc5d6c520394ae1ab3fd8ff0e20bf39ae18c3"/>
    <w:p>
      <w:pPr>
        <w:pStyle w:val="Heading4"/>
      </w:pPr>
      <w:r>
        <w:t xml:space="preserve">7.1.4 Exigence de capital relative au risque de souscription vie (</w:t>
      </w: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oMath>
      <w:r>
        <w:t xml:space="preserve">)</w:t>
      </w:r>
    </w:p>
    <w:p>
      <w:pPr>
        <w:pStyle w:val="FirstParagraph"/>
      </w:pPr>
      <w:r>
        <w:t xml:space="preserve">L’exigence de capital relative au risque de souscription vie est la somme total des exigences de capitaux relatives aux sous-risques de mortalité, de longévité, de rachat, de frais et de catastrophe, on appliquant les coefficients de corrélations entre ces sous-risques.</w:t>
      </w:r>
    </w:p>
    <w:p>
      <w:pPr>
        <w:pStyle w:val="BodyText"/>
      </w:pPr>
      <w:r>
        <w:t xml:space="preserve">Le sous-risque de mortalité concerne les pertes potentielles découlant de décès prématurés d’un assuré, tandis que le sous-risque de longévité se rapporte aux pertes potentielles résultant d’une durée de vie plus longue que prévue. Le sous-risque de rachat concerne les pertes potentielles liées aux retraits anticipés des contrats d’assurance-vie, aussi le sous-risque de frais porte sur les pertes potentielles engendrées par les coûts administratifs associés aux contrats. Et le sous-risque de catastrophe concerne les pertes potentielles résultant d’événements extrêmes tels que des catastrophes naturelles.</w:t>
      </w:r>
    </w:p>
    <w:p>
      <w:pPr>
        <w:pStyle w:val="BodyText"/>
      </w:pPr>
      <w:r>
        <w:t xml:space="preserve">L’exigence de capital relative au risque de souscription vie permet de tenir compte des interdépendances entre ces différents sous-risques par l’applications des coefficients des corrélations entre ces eux, et de quantifier les réserves financières nécessaires aux compagnies d’assurance pour faire face aux pertes potentielles résultant des variations des facteurs liés à la mortalité, à la longévité, aux rachats, aux frais et aux catastrophes.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mortalite, longevite, rachat, frais catastrophe</m:t>
        </m:r>
        <m:r>
          <m:rPr>
            <m:sty m:val="p"/>
          </m:rPr>
          <m:t>}</m:t>
        </m:r>
      </m:oMath>
    </w:p>
    <w:bookmarkStart w:id="132" w:name="X70ec578e7130a57a8c8842c95b63e70e295ba28"/>
    <w:p>
      <w:pPr>
        <w:pStyle w:val="Heading5"/>
      </w:pPr>
      <w:r>
        <w:t xml:space="preserve">7.1.4.1 Exigence de capital pour risque de mortalité (</w:t>
      </w:r>
      <m:oMath>
        <m:r>
          <m:t>C</m:t>
        </m:r>
        <m:r>
          <m:t>S</m:t>
        </m:r>
        <m:sSub>
          <m:e>
            <m:r>
              <m:t>R</m:t>
            </m:r>
          </m:e>
          <m:sub>
            <m:r>
              <m:t>m</m:t>
            </m:r>
            <m:r>
              <m:t>o</m:t>
            </m:r>
            <m:r>
              <m:t>r</m:t>
            </m:r>
            <m:r>
              <m:t>t</m:t>
            </m:r>
            <m:r>
              <m:t>a</m:t>
            </m:r>
            <m:r>
              <m:t>l</m:t>
            </m:r>
            <m:r>
              <m:t>i</m:t>
            </m:r>
            <m:r>
              <m:t>t</m:t>
            </m:r>
            <m:r>
              <m:t>e</m:t>
            </m:r>
          </m:sub>
        </m:sSub>
      </m:oMath>
      <w:r>
        <w:t xml:space="preserve">)</w:t>
      </w:r>
    </w:p>
    <w:p>
      <w:pPr>
        <w:pStyle w:val="FirstParagraph"/>
      </w:pPr>
      <w:r>
        <w:t xml:space="preserve">L’exigence de capital pour risque de mortalité correspond à la perte de fonds propres due à la hausse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hausse des taux de mortalité précitée ne s’applique qu’aux contrats d’assurance pour lesquels une</w:t>
      </w:r>
      <w:r>
        <w:t xml:space="preserve"> </w:t>
      </w:r>
      <w:r>
        <w:t xml:space="preserve">hausse des taux de mortalité entraîne une augmentation des provisions techniques prudentielles.</w:t>
      </w:r>
    </w:p>
    <w:p>
      <w:pPr>
        <w:pStyle w:val="BodyText"/>
      </w:pPr>
      <m:oMathPara>
        <m:oMathParaPr>
          <m:jc m:val="center"/>
        </m:oMathParaPr>
        <m:oMath>
          <m:r>
            <m:t>C</m:t>
          </m:r>
          <m:r>
            <m:t>S</m:t>
          </m:r>
          <m:sSub>
            <m:e>
              <m:r>
                <m:t>R</m:t>
              </m:r>
            </m:e>
            <m:sub>
              <m:r>
                <m:t>m</m:t>
              </m:r>
              <m:r>
                <m:t>o</m:t>
              </m:r>
              <m:r>
                <m:t>r</m:t>
              </m:r>
              <m:r>
                <m:t>t</m:t>
              </m:r>
              <m:r>
                <m:t>a</m:t>
              </m:r>
              <m:r>
                <m:t>l</m:t>
              </m:r>
              <m:r>
                <m:t>i</m:t>
              </m:r>
              <m:r>
                <m:t>t</m:t>
              </m:r>
              <m:r>
                <m:t>e</m:t>
              </m:r>
            </m:sub>
          </m:sSub>
          <m:r>
            <m:rPr>
              <m:sty m:val="p"/>
            </m:rPr>
            <m:t>=</m:t>
          </m:r>
          <m:r>
            <m:t>B</m:t>
          </m:r>
          <m:sSup>
            <m:e>
              <m:r>
                <m:t>E</m:t>
              </m:r>
            </m:e>
            <m:sup>
              <m:r>
                <m:t>h</m:t>
              </m:r>
              <m:r>
                <m:t>a</m:t>
              </m:r>
              <m:r>
                <m:t>u</m:t>
              </m:r>
              <m:r>
                <m:t>s</m:t>
              </m:r>
              <m:r>
                <m:t>s</m:t>
              </m:r>
              <m:r>
                <m:t>e</m:t>
              </m:r>
            </m:sup>
          </m:sSup>
          <m:r>
            <m:rPr>
              <m:sty m:val="p"/>
            </m:rPr>
            <m:t>−</m:t>
          </m:r>
          <m:r>
            <m:t>B</m:t>
          </m:r>
          <m:r>
            <m:t>E</m:t>
          </m:r>
        </m:oMath>
      </m:oMathPara>
    </w:p>
    <w:bookmarkEnd w:id="132"/>
    <w:bookmarkStart w:id="133" w:name="X92ef2d5d6d1f309ee4dc38a892eea4151c6a010"/>
    <w:p>
      <w:pPr>
        <w:pStyle w:val="Heading5"/>
      </w:pPr>
      <w:r>
        <w:t xml:space="preserve">7.1.4.2 Exigence de capital pour risque de longévité (</w:t>
      </w:r>
      <m:oMath>
        <m:r>
          <m:t>C</m:t>
        </m:r>
        <m:r>
          <m:t>S</m:t>
        </m:r>
        <m:sSub>
          <m:e>
            <m:r>
              <m:t>R</m:t>
            </m:r>
          </m:e>
          <m:sub>
            <m:r>
              <m:t>l</m:t>
            </m:r>
            <m:r>
              <m:t>o</m:t>
            </m:r>
            <m:r>
              <m:t>n</m:t>
            </m:r>
            <m:r>
              <m:t>g</m:t>
            </m:r>
            <m:r>
              <m:t>é</m:t>
            </m:r>
            <m:r>
              <m:t>v</m:t>
            </m:r>
            <m:r>
              <m:t>i</m:t>
            </m:r>
            <m:r>
              <m:t>t</m:t>
            </m:r>
            <m:r>
              <m:t>é</m:t>
            </m:r>
          </m:sub>
        </m:sSub>
      </m:oMath>
      <w:r>
        <w:t xml:space="preserve">)</w:t>
      </w:r>
    </w:p>
    <w:p>
      <w:pPr>
        <w:pStyle w:val="FirstParagraph"/>
      </w:pPr>
      <w:r>
        <w:t xml:space="preserve">L’exigence de capital pour risque de longévité correspond à la perte de fonds propres qui résulterait de la baisse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baisse des taux de mortalité précitée ne s’applique qu’aux contrats d’assurance pour lesquels une</w:t>
      </w:r>
      <w:r>
        <w:t xml:space="preserve"> </w:t>
      </w:r>
      <w:r>
        <w:t xml:space="preserve">baisse des taux de mortalité entraîne une augmentation des provisions techniques prudentielles.</w:t>
      </w:r>
    </w:p>
    <w:p>
      <w:pPr>
        <w:pStyle w:val="BodyText"/>
      </w:pPr>
      <m:oMathPara>
        <m:oMathParaPr>
          <m:jc m:val="center"/>
        </m:oMathParaPr>
        <m:oMath>
          <m:r>
            <m:t>C</m:t>
          </m:r>
          <m:r>
            <m:t>S</m:t>
          </m:r>
          <m:sSub>
            <m:e>
              <m:r>
                <m:t>R</m:t>
              </m:r>
            </m:e>
            <m:sub>
              <m:r>
                <m:t>l</m:t>
              </m:r>
              <m:r>
                <m:t>o</m:t>
              </m:r>
              <m:r>
                <m:t>n</m:t>
              </m:r>
              <m:r>
                <m:t>g</m:t>
              </m:r>
              <m:r>
                <m:t>é</m:t>
              </m:r>
              <m:r>
                <m:t>v</m:t>
              </m:r>
              <m:r>
                <m:t>i</m:t>
              </m:r>
              <m:r>
                <m:t>t</m:t>
              </m:r>
              <m:r>
                <m:t>é</m:t>
              </m:r>
            </m:sub>
          </m:sSub>
          <m:r>
            <m:rPr>
              <m:sty m:val="p"/>
            </m:rPr>
            <m:t>=</m:t>
          </m:r>
          <m:r>
            <m:t>B</m:t>
          </m:r>
          <m:sSup>
            <m:e>
              <m:r>
                <m:t>E</m:t>
              </m:r>
            </m:e>
            <m:sup>
              <m:r>
                <m:t>b</m:t>
              </m:r>
              <m:r>
                <m:t>a</m:t>
              </m:r>
              <m:r>
                <m:t>i</m:t>
              </m:r>
              <m:r>
                <m:t>s</m:t>
              </m:r>
              <m:r>
                <m:t>s</m:t>
              </m:r>
              <m:r>
                <m:t>e</m:t>
              </m:r>
            </m:sup>
          </m:sSup>
          <m:r>
            <m:rPr>
              <m:sty m:val="p"/>
            </m:rPr>
            <m:t>−</m:t>
          </m:r>
          <m:r>
            <m:t>B</m:t>
          </m:r>
          <m:r>
            <m:t>E</m:t>
          </m:r>
        </m:oMath>
      </m:oMathPara>
    </w:p>
    <w:bookmarkEnd w:id="133"/>
    <w:bookmarkStart w:id="134" w:name="Xe142ffdc5761a23c812b30051e7ff3529769432"/>
    <w:p>
      <w:pPr>
        <w:pStyle w:val="Heading5"/>
      </w:pPr>
      <w:r>
        <w:t xml:space="preserve">7.1.4.3 Exigence de capital pour risque de rachat (</w:t>
      </w:r>
      <m:oMath>
        <m:r>
          <m:t>C</m:t>
        </m:r>
        <m:r>
          <m:t>S</m:t>
        </m:r>
        <m:sSub>
          <m:e>
            <m:r>
              <m:t>R</m:t>
            </m:r>
          </m:e>
          <m:sub>
            <m:r>
              <m:t>r</m:t>
            </m:r>
            <m:r>
              <m:t>a</m:t>
            </m:r>
            <m:r>
              <m:t>c</m:t>
            </m:r>
            <m:r>
              <m:t>h</m:t>
            </m:r>
            <m:r>
              <m:t>a</m:t>
            </m:r>
            <m:r>
              <m:t>t</m:t>
            </m:r>
          </m:sub>
        </m:sSub>
      </m:oMath>
      <w:r>
        <w:t xml:space="preserve">)</w:t>
      </w:r>
    </w:p>
    <w:p>
      <w:pPr>
        <w:pStyle w:val="FirstParagraph"/>
      </w:pPr>
      <w:r>
        <w:t xml:space="preserve">Commençons d’abord par la définition de quoi un rachat en assurance vie ?</w:t>
      </w:r>
    </w:p>
    <w:p>
      <w:pPr>
        <w:pStyle w:val="BodyText"/>
      </w:pPr>
      <w:r>
        <w:t xml:space="preserve">un rachat en assurance vie est un retrait. L’épargne placée sur ce contrat est disponible : les fonds ne sont pas bloqués et les assures peuvent les récupérer intégralement, ou en partie, à tout moment. On distingue :</w:t>
      </w:r>
    </w:p>
    <w:p>
      <w:pPr>
        <w:pStyle w:val="BodyText"/>
      </w:pPr>
      <w:r>
        <w:t xml:space="preserve">•</w:t>
      </w:r>
      <w:r>
        <w:t xml:space="preserve"> </w:t>
      </w:r>
      <w:r>
        <w:rPr>
          <w:bCs/>
          <w:b/>
        </w:rPr>
        <w:t xml:space="preserve">Le rachat partiel</w:t>
      </w:r>
      <w:r>
        <w:t xml:space="preserve"> </w:t>
      </w:r>
      <w:r>
        <w:t xml:space="preserve">: les assures peuvent récupérer une fraction de la valeur du contrat – qui sera constituée d’une part de capital et d’une part d’intérêts capitalisés – s’ils ont par exemple besoin de liquidités pour un projet précis. Le rachat partiel permet de ne pas mettre un terme au contrat et de ne pas perdre l’antériorité fiscale.</w:t>
      </w:r>
    </w:p>
    <w:p>
      <w:pPr>
        <w:pStyle w:val="BodyText"/>
      </w:pPr>
      <w:r>
        <w:t xml:space="preserve">•</w:t>
      </w:r>
      <w:r>
        <w:t xml:space="preserve"> </w:t>
      </w:r>
      <w:r>
        <w:rPr>
          <w:bCs/>
          <w:b/>
        </w:rPr>
        <w:t xml:space="preserve">Le rachat total</w:t>
      </w:r>
      <w:r>
        <w:t xml:space="preserve"> </w:t>
      </w:r>
      <w:r>
        <w:t xml:space="preserve">: les assures peuvent récupérer l’intégralité de la valeur de rachat de leur assurance vie, et leur contrat prend fin, entrainant la perte de l’antériorité fiscale.</w:t>
      </w:r>
    </w:p>
    <w:p>
      <w:pPr>
        <w:pStyle w:val="BodyText"/>
      </w:pPr>
      <w:r>
        <w:t xml:space="preserve">L’exigence de capital pour risque de rachat est correspond au maximun entre les exigences de capitaux suivantes:</w:t>
      </w:r>
    </w:p>
    <w:p>
      <w:pPr>
        <w:numPr>
          <w:ilvl w:val="0"/>
          <w:numId w:val="1042"/>
        </w:numPr>
        <w:pStyle w:val="Compact"/>
      </w:pPr>
      <w:r>
        <w:t xml:space="preserve">L’exigence de capital pour risque de hausse des taux de rachat : cette exigence signifie la perte de fonds propre qui résulterait d’une revalorisation des provisions techniques prudentielles suite à une hausse de</w:t>
      </w:r>
      <w:r>
        <w:t xml:space="preserve"> </w:t>
      </w:r>
      <m:oMath>
        <m:r>
          <m:t>X</m:t>
        </m:r>
        <m:r>
          <m:rPr>
            <m:sty m:val="p"/>
          </m:rPr>
          <m:t>%</m:t>
        </m:r>
      </m:oMath>
      <w:r>
        <w:t xml:space="preserve"> </w:t>
      </w:r>
      <w:r>
        <w:t xml:space="preserve">des taux de rachat retenus, en montant et en nombre. Toutefois, les taux de rachat augmentés de la hausse précitée ne doivent pas dépasser</w:t>
      </w:r>
      <w:r>
        <w:t xml:space="preserve"> </w:t>
      </w:r>
      <m:oMath>
        <m:r>
          <m:t>X</m:t>
        </m:r>
        <m:r>
          <m:rPr>
            <m:sty m:val="p"/>
          </m:rPr>
          <m:t>%</m:t>
        </m:r>
      </m:oMath>
      <w:r>
        <w:t xml:space="preserve">.</w:t>
      </w:r>
    </w:p>
    <w:p>
      <w:pPr>
        <w:pStyle w:val="FirstParagraph"/>
      </w:pPr>
      <w:r>
        <w:t xml:space="preserve">La hausse des taux de rachat précitée ne s’applique qu’aux contrats d’assurance pour lesquels une hausse des taux de rachat entraîne une augmentation des provisions techniques prudentielles.</w:t>
      </w:r>
    </w:p>
    <w:p>
      <w:pPr>
        <w:numPr>
          <w:ilvl w:val="0"/>
          <w:numId w:val="1043"/>
        </w:numPr>
        <w:pStyle w:val="Compact"/>
      </w:pPr>
      <w:r>
        <w:t xml:space="preserve">L’exigence de capital pour risque de baisse des taux de rachat : cette exigence correspond à la perte de fonds propre qui résulterait d’une revalorisation des provisions technique prudentielles due à une baisse de X% des taux de rachat retenus, en montant et en nombre.</w:t>
      </w:r>
    </w:p>
    <w:p>
      <w:pPr>
        <w:pStyle w:val="FirstParagraph"/>
      </w:pPr>
      <w:r>
        <w:t xml:space="preserve">La baisse des taux de rachat précitée ne s’applique qu’aux contrats d’assurance pour lesquels une baisse des taux de rachat entraîne une augmentation des provisions techniques prudentielles.</w:t>
      </w:r>
    </w:p>
    <w:p>
      <w:pPr>
        <w:pStyle w:val="BodyText"/>
      </w:pPr>
      <m:oMathPara>
        <m:oMathParaPr>
          <m:jc m:val="center"/>
        </m:oMathParaPr>
        <m:oMath>
          <m:r>
            <m:t>C</m:t>
          </m:r>
          <m:r>
            <m:t>S</m:t>
          </m:r>
          <m:sSub>
            <m:e>
              <m:r>
                <m:t>R</m:t>
              </m:r>
            </m:e>
            <m:sub>
              <m:r>
                <m:t>r</m:t>
              </m:r>
              <m:r>
                <m:t>a</m:t>
              </m:r>
              <m:r>
                <m:t>c</m:t>
              </m:r>
              <m:r>
                <m:t>h</m:t>
              </m:r>
              <m:r>
                <m:t>a</m:t>
              </m:r>
              <m:r>
                <m:t>t</m:t>
              </m:r>
            </m:sub>
          </m:sSub>
          <m:r>
            <m:rPr>
              <m:sty m:val="p"/>
            </m:rPr>
            <m:t>=</m:t>
          </m:r>
          <m:r>
            <m:t>m</m:t>
          </m:r>
          <m:r>
            <m:t>a</m:t>
          </m:r>
          <m:r>
            <m:t>x</m:t>
          </m:r>
          <m:d>
            <m:dPr>
              <m:begChr m:val="("/>
              <m:endChr m:val=")"/>
              <m:sepChr m:val=""/>
              <m:grow/>
            </m:dPr>
            <m:e>
              <m:r>
                <m:t>C</m:t>
              </m:r>
              <m:r>
                <m:t>S</m:t>
              </m:r>
              <m:sSubSup>
                <m:e>
                  <m:r>
                    <m:t>R</m:t>
                  </m:r>
                </m:e>
                <m:sub>
                  <m:r>
                    <m:t>r</m:t>
                  </m:r>
                  <m:r>
                    <m:t>a</m:t>
                  </m:r>
                  <m:r>
                    <m:t>c</m:t>
                  </m:r>
                  <m:r>
                    <m:t>h</m:t>
                  </m:r>
                  <m:r>
                    <m:t>a</m:t>
                  </m:r>
                  <m:r>
                    <m:t>t</m:t>
                  </m:r>
                </m:sub>
                <m:sup>
                  <m:r>
                    <m:rPr>
                      <m:nor/>
                      <m:sty m:val="p"/>
                    </m:rPr>
                    <m:t>hausse taux</m:t>
                  </m:r>
                </m:sup>
              </m:sSubSup>
              <m:r>
                <m:rPr>
                  <m:sty m:val="p"/>
                </m:rPr>
                <m:t>;</m:t>
              </m:r>
              <m:r>
                <m:t>C</m:t>
              </m:r>
              <m:r>
                <m:t>S</m:t>
              </m:r>
              <m:sSubSup>
                <m:e>
                  <m:r>
                    <m:t>R</m:t>
                  </m:r>
                </m:e>
                <m:sub>
                  <m:r>
                    <m:t>r</m:t>
                  </m:r>
                  <m:r>
                    <m:t>a</m:t>
                  </m:r>
                  <m:r>
                    <m:t>c</m:t>
                  </m:r>
                  <m:r>
                    <m:t>h</m:t>
                  </m:r>
                  <m:r>
                    <m:t>a</m:t>
                  </m:r>
                  <m:r>
                    <m:t>t</m:t>
                  </m:r>
                </m:sub>
                <m:sup>
                  <m:r>
                    <m:rPr>
                      <m:nor/>
                      <m:sty m:val="p"/>
                    </m:rPr>
                    <m:t>baisse taux</m:t>
                  </m:r>
                </m:sup>
              </m:sSubSup>
            </m:e>
          </m:d>
        </m:oMath>
      </m:oMathPara>
    </w:p>
    <w:p>
      <w:pPr>
        <w:pStyle w:val="FirstParagraph"/>
      </w:pPr>
      <w:r>
        <w:t xml:space="preserve">avec :</w:t>
      </w:r>
    </w:p>
    <w:p>
      <w:pPr>
        <w:pStyle w:val="BodyText"/>
      </w:pPr>
      <m:oMathPara>
        <m:oMathParaPr>
          <m:jc m:val="center"/>
        </m:oMathParaPr>
        <m:oMath>
          <m:r>
            <m:t>C</m:t>
          </m:r>
          <m:r>
            <m:t>S</m:t>
          </m:r>
          <m:sSubSup>
            <m:e>
              <m:r>
                <m:t>R</m:t>
              </m:r>
            </m:e>
            <m:sub>
              <m:r>
                <m:t>r</m:t>
              </m:r>
              <m:r>
                <m:t>a</m:t>
              </m:r>
              <m:r>
                <m:t>c</m:t>
              </m:r>
              <m:r>
                <m:t>h</m:t>
              </m:r>
              <m:r>
                <m:t>a</m:t>
              </m:r>
              <m:r>
                <m:t>t</m:t>
              </m:r>
            </m:sub>
            <m:sup>
              <m:r>
                <m:rPr>
                  <m:nor/>
                  <m:sty m:val="p"/>
                </m:rPr>
                <m:t>hausse taux</m:t>
              </m:r>
            </m:sup>
          </m:sSubSup>
          <m:r>
            <m:rPr>
              <m:sty m:val="p"/>
            </m:rPr>
            <m:t>=</m:t>
          </m:r>
          <m:r>
            <m:t>B</m:t>
          </m:r>
          <m:sSubSup>
            <m:e>
              <m:r>
                <m:t>E</m:t>
              </m:r>
            </m:e>
            <m:sub>
              <m:r>
                <m:t>r</m:t>
              </m:r>
              <m:r>
                <m:t>a</m:t>
              </m:r>
              <m:r>
                <m:t>c</m:t>
              </m:r>
              <m:r>
                <m:t>h</m:t>
              </m:r>
              <m:r>
                <m:t>a</m:t>
              </m:r>
              <m:r>
                <m:t>t</m:t>
              </m:r>
            </m:sub>
            <m:sup>
              <m:r>
                <m:rPr>
                  <m:nor/>
                  <m:sty m:val="p"/>
                </m:rPr>
                <m:t>hausse taux</m:t>
              </m:r>
            </m:sup>
          </m:sSubSup>
          <m:r>
            <m:rPr>
              <m:sty m:val="p"/>
            </m:rPr>
            <m:t>−</m:t>
          </m:r>
          <m:r>
            <m:t>B</m:t>
          </m:r>
          <m:r>
            <m:t>E</m:t>
          </m:r>
        </m:oMath>
      </m:oMathPara>
    </w:p>
    <w:p>
      <w:pPr>
        <w:pStyle w:val="FirstParagraph"/>
      </w:pPr>
      <m:oMathPara>
        <m:oMathParaPr>
          <m:jc m:val="center"/>
        </m:oMathParaPr>
        <m:oMath>
          <m:r>
            <m:t>C</m:t>
          </m:r>
          <m:r>
            <m:t>S</m:t>
          </m:r>
          <m:sSubSup>
            <m:e>
              <m:r>
                <m:t>R</m:t>
              </m:r>
            </m:e>
            <m:sub>
              <m:r>
                <m:t>r</m:t>
              </m:r>
              <m:r>
                <m:t>a</m:t>
              </m:r>
              <m:r>
                <m:t>c</m:t>
              </m:r>
              <m:r>
                <m:t>h</m:t>
              </m:r>
              <m:r>
                <m:t>a</m:t>
              </m:r>
              <m:r>
                <m:t>t</m:t>
              </m:r>
            </m:sub>
            <m:sup>
              <m:r>
                <m:rPr>
                  <m:nor/>
                  <m:sty m:val="p"/>
                </m:rPr>
                <m:t>baisse taux</m:t>
              </m:r>
            </m:sup>
          </m:sSubSup>
          <m:r>
            <m:rPr>
              <m:sty m:val="p"/>
            </m:rPr>
            <m:t>=</m:t>
          </m:r>
          <m:r>
            <m:t>B</m:t>
          </m:r>
          <m:sSubSup>
            <m:e>
              <m:r>
                <m:t>E</m:t>
              </m:r>
            </m:e>
            <m:sub>
              <m:r>
                <m:t>r</m:t>
              </m:r>
              <m:r>
                <m:t>a</m:t>
              </m:r>
              <m:r>
                <m:t>c</m:t>
              </m:r>
              <m:r>
                <m:t>h</m:t>
              </m:r>
              <m:r>
                <m:t>a</m:t>
              </m:r>
              <m:r>
                <m:t>t</m:t>
              </m:r>
            </m:sub>
            <m:sup>
              <m:r>
                <m:rPr>
                  <m:nor/>
                  <m:sty m:val="p"/>
                </m:rPr>
                <m:t>baisse taux</m:t>
              </m:r>
            </m:sup>
          </m:sSubSup>
          <m:r>
            <m:rPr>
              <m:sty m:val="p"/>
            </m:rPr>
            <m:t>−</m:t>
          </m:r>
          <m:r>
            <m:t>B</m:t>
          </m:r>
          <m:r>
            <m:t>E</m:t>
          </m:r>
        </m:oMath>
      </m:oMathPara>
    </w:p>
    <w:bookmarkEnd w:id="134"/>
    <w:bookmarkStart w:id="135" w:name="X2ad39c1112d69d7cc07addd7e09c4a1062144f3"/>
    <w:p>
      <w:pPr>
        <w:pStyle w:val="Heading5"/>
      </w:pPr>
      <w:r>
        <w:t xml:space="preserve">7.1.4.4 Exigence de capital relative au risque de frais (</w:t>
      </w:r>
      <m:oMath>
        <m:r>
          <m:t>C</m:t>
        </m:r>
        <m:r>
          <m:t>S</m:t>
        </m:r>
        <m:sSub>
          <m:e>
            <m:r>
              <m:t>R</m:t>
            </m:r>
          </m:e>
          <m:sub>
            <m:r>
              <m:t>f</m:t>
            </m:r>
            <m:r>
              <m:t>r</m:t>
            </m:r>
            <m:r>
              <m:t>a</m:t>
            </m:r>
            <m:r>
              <m:t>i</m:t>
            </m:r>
            <m:r>
              <m:t>s</m:t>
            </m:r>
          </m:sub>
        </m:sSub>
      </m:oMath>
      <w:r>
        <w:t xml:space="preserve">)</w:t>
      </w:r>
    </w:p>
    <w:p>
      <w:pPr>
        <w:pStyle w:val="FirstParagraph"/>
      </w:pPr>
      <w:r>
        <w:t xml:space="preserve">L’exigence de capital relative au risque de frais correspond à la perte de fonds propres due à des augmentations combinées de :</w:t>
      </w:r>
    </w:p>
    <w:p>
      <w:pPr>
        <w:numPr>
          <w:ilvl w:val="0"/>
          <w:numId w:val="1044"/>
        </w:numPr>
        <w:pStyle w:val="Compact"/>
      </w:pPr>
      <m:oMath>
        <m:r>
          <m:t>X</m:t>
        </m:r>
      </m:oMath>
      <w:r>
        <w:t xml:space="preserve"> </w:t>
      </w:r>
      <w:r>
        <w:t xml:space="preserve">du montant de frais de gestion unitaire moyen retenu pour le calcul des provisions techniques prudentielles des opérations d’assurance vie, décès ou de capitalisation et des rentes découlant des opérations non-vie et ce, par sous-catégorie;</w:t>
      </w:r>
    </w:p>
    <w:p>
      <w:pPr>
        <w:numPr>
          <w:ilvl w:val="0"/>
          <w:numId w:val="1044"/>
        </w:numPr>
        <w:pStyle w:val="Compact"/>
      </w:pPr>
      <m:oMath>
        <m:r>
          <m:t>X</m:t>
        </m:r>
      </m:oMath>
      <w:r>
        <w:t xml:space="preserve"> </w:t>
      </w:r>
      <w:r>
        <w:t xml:space="preserve">par année de projection du montant de frais de gestion unitaire moyen précité.</w:t>
      </w:r>
    </w:p>
    <w:p>
      <w:pPr>
        <w:pStyle w:val="Compact"/>
      </w:pPr>
      <m:oMathPara>
        <m:oMathParaPr>
          <m:jc m:val="center"/>
        </m:oMathParaPr>
        <m:oMath>
          <m:r>
            <m:t>C</m:t>
          </m:r>
          <m:r>
            <m:t>S</m:t>
          </m:r>
          <m:sSub>
            <m:e>
              <m:r>
                <m:t>R</m:t>
              </m:r>
            </m:e>
            <m:sub>
              <m:r>
                <m:t>f</m:t>
              </m:r>
              <m:r>
                <m:t>r</m:t>
              </m:r>
              <m:r>
                <m:t>a</m:t>
              </m:r>
              <m:r>
                <m:t>i</m:t>
              </m:r>
              <m:r>
                <m:t>s</m:t>
              </m:r>
            </m:sub>
          </m:sSub>
          <m:r>
            <m:rPr>
              <m:sty m:val="p"/>
            </m:rPr>
            <m:t>=</m:t>
          </m:r>
          <m:r>
            <m:t>B</m:t>
          </m:r>
          <m:sSubSup>
            <m:e>
              <m:r>
                <m:t>E</m:t>
              </m:r>
            </m:e>
            <m:sub>
              <m:r>
                <m:t>f</m:t>
              </m:r>
              <m:r>
                <m:t>r</m:t>
              </m:r>
              <m:r>
                <m:t>a</m:t>
              </m:r>
              <m:r>
                <m:t>i</m:t>
              </m:r>
              <m:r>
                <m:t>s</m:t>
              </m:r>
            </m:sub>
            <m:sup>
              <m:r>
                <m:rPr>
                  <m:nor/>
                  <m:sty m:val="p"/>
                </m:rPr>
                <m:t>chocé</m:t>
              </m:r>
            </m:sup>
          </m:sSubSup>
          <m:r>
            <m:rPr>
              <m:sty m:val="p"/>
            </m:rPr>
            <m:t>−</m:t>
          </m:r>
          <m:r>
            <m:t>B</m:t>
          </m:r>
          <m:sSub>
            <m:e>
              <m:r>
                <m:t>E</m:t>
              </m:r>
            </m:e>
            <m:sub>
              <m:r>
                <m:t>f</m:t>
              </m:r>
              <m:r>
                <m:t>r</m:t>
              </m:r>
              <m:r>
                <m:t>a</m:t>
              </m:r>
              <m:r>
                <m:t>i</m:t>
              </m:r>
              <m:r>
                <m:t>s</m:t>
              </m:r>
            </m:sub>
          </m:sSub>
        </m:oMath>
      </m:oMathPara>
    </w:p>
    <w:bookmarkEnd w:id="135"/>
    <w:bookmarkStart w:id="136" w:name="X7a733b5774bbec975e5e71b96ffb3b71cffef89"/>
    <w:p>
      <w:pPr>
        <w:pStyle w:val="Heading5"/>
      </w:pPr>
      <w:r>
        <w:t xml:space="preserve">7.1.4.5 Exigence de capital relative au risque de catastrophe (</w:t>
      </w:r>
      <m:oMath>
        <m:r>
          <m:t>C</m:t>
        </m:r>
        <m:r>
          <m:t>S</m:t>
        </m:r>
        <m:sSub>
          <m:e>
            <m:r>
              <m:t>R</m:t>
            </m:r>
          </m:e>
          <m:sub>
            <m:r>
              <m:t>c</m:t>
            </m:r>
            <m:r>
              <m:t>a</m:t>
            </m:r>
            <m:r>
              <m:t>t</m:t>
            </m:r>
            <m:r>
              <m:t>a</m:t>
            </m:r>
            <m:r>
              <m:t>s</m:t>
            </m:r>
            <m:r>
              <m:t>t</m:t>
            </m:r>
            <m:r>
              <m:t>r</m:t>
            </m:r>
            <m:r>
              <m:t>o</m:t>
            </m:r>
            <m:r>
              <m:t>p</m:t>
            </m:r>
            <m:r>
              <m:t>h</m:t>
            </m:r>
            <m:r>
              <m:t>e</m:t>
            </m:r>
          </m:sub>
        </m:sSub>
      </m:oMath>
      <w:r>
        <w:t xml:space="preserve">)</w:t>
      </w:r>
    </w:p>
    <w:p>
      <w:pPr>
        <w:pStyle w:val="FirstParagraph"/>
      </w:pPr>
      <w:r>
        <w:t xml:space="preserve">L’exigence de capital relative au risque de catastrophe vie correspond à l’application d’un coefficient de</w:t>
      </w:r>
      <w:r>
        <w:t xml:space="preserve"> </w:t>
      </w:r>
      <m:oMath>
        <m:r>
          <m:t>X</m:t>
        </m:r>
        <m:r>
          <m:rPr>
            <m:sty m:val="p"/>
          </m:rPr>
          <m:t>%</m:t>
        </m:r>
      </m:oMath>
      <w:r>
        <w:t xml:space="preserve"> </w:t>
      </w:r>
      <w:r>
        <w:t xml:space="preserve">aux montants des capitaux sous risque relatifs aux garanties en cas de décès nets de réassurance.</w:t>
      </w:r>
    </w:p>
    <w:bookmarkEnd w:id="136"/>
    <w:bookmarkEnd w:id="137"/>
    <w:bookmarkStart w:id="141" w:name="X1b6aa8fc00d4f5599dfcf10f97be846d7f67a01"/>
    <w:p>
      <w:pPr>
        <w:pStyle w:val="Heading4"/>
      </w:pPr>
      <w:r>
        <w:t xml:space="preserve">7.1.5 Exigence de capital relative au risque de souscription non vie (</w:t>
      </w: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oMath>
      <w:r>
        <w:t xml:space="preserve">)</w:t>
      </w:r>
    </w:p>
    <w:p>
      <w:pPr>
        <w:pStyle w:val="FirstParagraph"/>
      </w:pPr>
      <w:r>
        <w:t xml:space="preserve">L’exigence de capital relative au risque de souscription non-vie est la somme totale des exigences de capitaux relatives aux</w:t>
      </w:r>
      <w:r>
        <w:t xml:space="preserve"> </w:t>
      </w:r>
      <w:r>
        <w:t xml:space="preserve">, une fois les coefficients de corrélation appliqués.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primes, provisions, catastrophe</m:t>
        </m:r>
        <m:r>
          <m:rPr>
            <m:sty m:val="p"/>
          </m:rPr>
          <m:t>}</m:t>
        </m:r>
      </m:oMath>
      <w:r>
        <w:t xml:space="preserve"> </w:t>
      </w:r>
      <w:r>
        <w:t xml:space="preserve">et</w:t>
      </w:r>
      <w:r>
        <w:t xml:space="preserve"> </w:t>
      </w:r>
      <m:oMath>
        <m:r>
          <m:t>ρ</m:t>
        </m:r>
      </m:oMath>
      <w:r>
        <w:t xml:space="preserve"> </w:t>
      </w:r>
      <w:r>
        <w:t xml:space="preserve">es le coefficient de corrélation.</w:t>
      </w:r>
    </w:p>
    <w:bookmarkStart w:id="138" w:name="Xaf5135c38b35f3935e7fbb38292cb902ba10fce"/>
    <w:p>
      <w:pPr>
        <w:pStyle w:val="Heading5"/>
      </w:pPr>
      <w:r>
        <w:t xml:space="preserve">7.1.5.1 Exigence de capital relative au sous-risque de primes (</w:t>
      </w:r>
      <m:oMath>
        <m:r>
          <m:t>C</m:t>
        </m:r>
        <m:r>
          <m:t>S</m:t>
        </m:r>
        <m:sSub>
          <m:e>
            <m:r>
              <m:t>R</m:t>
            </m:r>
          </m:e>
          <m:sub>
            <m:r>
              <m:t>p</m:t>
            </m:r>
            <m:r>
              <m:t>r</m:t>
            </m:r>
            <m:r>
              <m:t>i</m:t>
            </m:r>
            <m:r>
              <m:t>m</m:t>
            </m:r>
            <m:r>
              <m:t>e</m:t>
            </m:r>
            <m:r>
              <m:t>s</m:t>
            </m:r>
          </m:sub>
        </m:sSub>
      </m:oMath>
      <w:r>
        <w:t xml:space="preserve">)</w:t>
      </w:r>
    </w:p>
    <w:p>
      <w:pPr>
        <w:pStyle w:val="FirstParagraph"/>
      </w:pPr>
      <w:r>
        <w:t xml:space="preserve">L’exigence de capital relative au sous-risque de primes est le montant total des exigences de capitaux relatives aux sous-risques de primes par sous-catégorie et ce, après application des coefficients de corrélations.</w:t>
      </w:r>
    </w:p>
    <w:p>
      <w:pPr>
        <w:pStyle w:val="BodyText"/>
      </w:pPr>
      <m:oMathPara>
        <m:oMathParaPr>
          <m:jc m:val="center"/>
        </m:oMathParaPr>
        <m:oMath>
          <m:r>
            <m:t>C</m:t>
          </m:r>
          <m:r>
            <m:t>S</m:t>
          </m:r>
          <m:sSub>
            <m:e>
              <m:r>
                <m:t>R</m:t>
              </m:r>
            </m:e>
            <m:sub>
              <m:r>
                <m:t>p</m:t>
              </m:r>
              <m:r>
                <m:t>r</m:t>
              </m:r>
              <m:r>
                <m:t>i</m:t>
              </m:r>
              <m:r>
                <m:t>m</m:t>
              </m:r>
              <m:r>
                <m:t>e</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primes par sous-categorie </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primes.</w:t>
      </w:r>
    </w:p>
    <w:p>
      <w:pPr>
        <w:pStyle w:val="BodyText"/>
      </w:pPr>
      <w:r>
        <w:t xml:space="preserve">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i</m:t>
              </m:r>
              <m:r>
                <m:t>m</m:t>
              </m:r>
              <m:r>
                <m:t>e</m:t>
              </m:r>
              <m:r>
                <m:t>s</m:t>
              </m:r>
            </m:sup>
          </m:sSubSup>
          <m:r>
            <m:rPr>
              <m:sty m:val="p"/>
            </m:rPr>
            <m:t>=</m:t>
          </m:r>
          <m:r>
            <m:t>X</m:t>
          </m:r>
          <m:r>
            <m:rPr>
              <m:sty m:val="p"/>
            </m:rPr>
            <m:t>*</m:t>
          </m:r>
          <m:sSub>
            <m:e>
              <m:r>
                <m:t>σ</m:t>
              </m:r>
            </m:e>
            <m:sub>
              <m:r>
                <m:t>p</m:t>
              </m:r>
              <m:r>
                <m:t>r</m:t>
              </m:r>
              <m:r>
                <m:t>i</m:t>
              </m:r>
              <m:r>
                <m:t>m</m:t>
              </m:r>
              <m:r>
                <m:t>e</m:t>
              </m:r>
              <m:r>
                <m:t>s</m:t>
              </m:r>
            </m:sub>
          </m:sSub>
          <m:r>
            <m:rPr>
              <m:sty m:val="p"/>
            </m:rPr>
            <m:t>*</m:t>
          </m:r>
          <m:r>
            <m:t>B</m:t>
          </m:r>
          <m:sSub>
            <m:e>
              <m:r>
                <m:t>E</m:t>
              </m:r>
            </m:e>
            <m:sub>
              <m:r>
                <m:t>p</m:t>
              </m:r>
              <m:r>
                <m:t>r</m:t>
              </m:r>
              <m:r>
                <m:t>i</m:t>
              </m:r>
              <m:r>
                <m:t>m</m:t>
              </m:r>
              <m:r>
                <m:t>e</m:t>
              </m:r>
              <m:r>
                <m:t>s</m:t>
              </m:r>
            </m:sub>
          </m:sSub>
        </m:oMath>
      </m:oMathPara>
    </w:p>
    <w:p>
      <w:pPr>
        <w:pStyle w:val="FirstParagraph"/>
      </w:pPr>
      <w:r>
        <w:t xml:space="preserve">avec :  </w:t>
      </w:r>
      <w:r>
        <w:t xml:space="preserve"> </w:t>
      </w:r>
      <m:oMath>
        <m:r>
          <m:t>B</m:t>
        </m:r>
        <m:sSub>
          <m:e>
            <m:r>
              <m:t>E</m:t>
            </m:r>
          </m:e>
          <m:sub>
            <m:r>
              <m:t>p</m:t>
            </m:r>
            <m:r>
              <m:t>r</m:t>
            </m:r>
            <m:r>
              <m:t>i</m:t>
            </m:r>
            <m:r>
              <m:t>m</m:t>
            </m:r>
            <m:r>
              <m:t>e</m:t>
            </m:r>
            <m:r>
              <m:t>s</m:t>
            </m:r>
          </m:sub>
        </m:sSub>
        <m:r>
          <m:rPr>
            <m:sty m:val="p"/>
          </m:rPr>
          <m:t>=</m:t>
        </m:r>
        <m:r>
          <m:t>P</m:t>
        </m:r>
        <m:r>
          <m:t>r</m:t>
        </m:r>
        <m:r>
          <m:t>i</m:t>
        </m:r>
        <m:r>
          <m:t>m</m:t>
        </m:r>
        <m:r>
          <m:t>e</m:t>
        </m:r>
        <m:sSubSup>
          <m:e>
            <m:r>
              <m:t>s</m:t>
            </m:r>
          </m:e>
          <m:sub>
            <m:r>
              <m:t>a</m:t>
            </m:r>
            <m:r>
              <m:t>c</m:t>
            </m:r>
            <m:r>
              <m:t>q</m:t>
            </m:r>
            <m:r>
              <m:t>u</m:t>
            </m:r>
            <m:r>
              <m:t>i</m:t>
            </m:r>
            <m:r>
              <m:t>s</m:t>
            </m:r>
            <m:r>
              <m:t>e</m:t>
            </m:r>
            <m:r>
              <m:t>s</m:t>
            </m:r>
          </m:sub>
          <m:sup>
            <m:r>
              <m:t>n</m:t>
            </m:r>
            <m:r>
              <m:t>e</m:t>
            </m:r>
            <m:r>
              <m:t>t</m:t>
            </m:r>
            <m:r>
              <m:t>t</m:t>
            </m:r>
            <m:r>
              <m:t>e</m:t>
            </m:r>
            <m:r>
              <m:t>s</m:t>
            </m:r>
          </m:sup>
        </m:sSubSup>
        <m:r>
          <m:rPr>
            <m:sty m:val="p"/>
          </m:rPr>
          <m:t>+</m:t>
        </m:r>
        <m:r>
          <m:t>P</m:t>
        </m:r>
        <m:r>
          <m:t>r</m:t>
        </m:r>
        <m:r>
          <m:t>o</m:t>
        </m:r>
        <m:r>
          <m:t>v</m:t>
        </m:r>
        <m:r>
          <m:t>i</m:t>
        </m:r>
        <m:r>
          <m:t>s</m:t>
        </m:r>
        <m:r>
          <m:t>i</m:t>
        </m:r>
        <m:r>
          <m:t>o</m:t>
        </m:r>
        <m:sSubSup>
          <m:e>
            <m:r>
              <m:t>n</m:t>
            </m:r>
          </m:e>
          <m:sub>
            <m:r>
              <m:t>p</m:t>
            </m:r>
            <m:r>
              <m:t>r</m:t>
            </m:r>
            <m:r>
              <m:t>i</m:t>
            </m:r>
            <m:r>
              <m:t>m</m:t>
            </m:r>
            <m:r>
              <m:t>e</m:t>
            </m:r>
            <m:sSub>
              <m:e>
                <m:r>
                  <m:t>s</m:t>
                </m:r>
              </m:e>
              <m:sub>
                <m:r>
                  <m:t>n</m:t>
                </m:r>
                <m:r>
                  <m:t>o</m:t>
                </m:r>
                <m:r>
                  <m:t>n</m:t>
                </m:r>
                <m:r>
                  <m:rPr>
                    <m:sty m:val="p"/>
                  </m:rPr>
                  <m:t>−</m:t>
                </m:r>
                <m:r>
                  <m:t>a</m:t>
                </m:r>
                <m:r>
                  <m:t>c</m:t>
                </m:r>
                <m:r>
                  <m:t>q</m:t>
                </m:r>
                <m:r>
                  <m:t>u</m:t>
                </m:r>
                <m:r>
                  <m:t>i</m:t>
                </m:r>
                <m:r>
                  <m:t>s</m:t>
                </m:r>
                <m:r>
                  <m:t>e</m:t>
                </m:r>
              </m:sub>
            </m:sSub>
          </m:sub>
          <m:sup>
            <m:r>
              <m:t>n</m:t>
            </m:r>
            <m:r>
              <m:t>e</m:t>
            </m:r>
            <m:r>
              <m:t>t</m:t>
            </m:r>
            <m:r>
              <m:t>t</m:t>
            </m:r>
            <m:r>
              <m:t>e</m:t>
            </m:r>
            <m:r>
              <m:t>s</m:t>
            </m:r>
          </m:sup>
        </m:sSubSup>
      </m:oMath>
    </w:p>
    <w:bookmarkEnd w:id="138"/>
    <w:bookmarkStart w:id="139" w:name="X97c27c4f6aaa2dc3a04acf8f040871c5ebd6f65"/>
    <w:p>
      <w:pPr>
        <w:pStyle w:val="Heading5"/>
      </w:pPr>
      <w:r>
        <w:t xml:space="preserve">7.1.5.2 Exigence de capital relative au sous-risque de provisions (</w:t>
      </w:r>
      <m:oMath>
        <m:r>
          <m:t>C</m:t>
        </m:r>
        <m:r>
          <m:t>S</m:t>
        </m:r>
        <m:sSub>
          <m:e>
            <m:r>
              <m:t>R</m:t>
            </m:r>
          </m:e>
          <m:sub>
            <m:r>
              <m:t>p</m:t>
            </m:r>
            <m:r>
              <m:t>r</m:t>
            </m:r>
            <m:r>
              <m:t>o</m:t>
            </m:r>
            <m:r>
              <m:t>v</m:t>
            </m:r>
            <m:r>
              <m:t>i</m:t>
            </m:r>
            <m:r>
              <m:t>s</m:t>
            </m:r>
            <m:r>
              <m:t>i</m:t>
            </m:r>
            <m:r>
              <m:t>o</m:t>
            </m:r>
            <m:r>
              <m:t>n</m:t>
            </m:r>
            <m:r>
              <m:t>s</m:t>
            </m:r>
          </m:sub>
        </m:sSub>
      </m:oMath>
      <w:r>
        <w:t xml:space="preserve">)</w:t>
      </w:r>
    </w:p>
    <w:p>
      <w:pPr>
        <w:pStyle w:val="FirstParagraph"/>
      </w:pPr>
      <w:r>
        <w:t xml:space="preserve">L’exigence de capital relative au sous-risque de provisions est la somme total des exigences de capitaux relatives aux sous-risques de provision par sous-catégorie, on prenant on considration les coefficients de correlation entre les sous-risques.</w:t>
      </w:r>
    </w:p>
    <w:p>
      <w:pPr>
        <w:pStyle w:val="BodyText"/>
      </w:pPr>
      <m:oMathPara>
        <m:oMathParaPr>
          <m:jc m:val="center"/>
        </m:oMathParaPr>
        <m:oMath>
          <m:r>
            <m:t>C</m:t>
          </m:r>
          <m:r>
            <m:t>S</m:t>
          </m:r>
          <m:sSub>
            <m:e>
              <m:r>
                <m:t>R</m:t>
              </m:r>
            </m:e>
            <m:sub>
              <m:r>
                <m:t>p</m:t>
              </m:r>
              <m:r>
                <m:t>r</m:t>
              </m:r>
              <m:r>
                <m:t>o</m:t>
              </m:r>
              <m:r>
                <m:t>v</m:t>
              </m:r>
              <m:r>
                <m:t>i</m:t>
              </m:r>
              <m:r>
                <m:t>s</m:t>
              </m:r>
              <m:r>
                <m:t>i</m:t>
              </m:r>
              <m:r>
                <m:t>o</m:t>
              </m:r>
              <m:r>
                <m:t>n</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provisions par sous-categorie</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provisions.</w:t>
      </w:r>
    </w:p>
    <w:p>
      <w:pPr>
        <w:pStyle w:val="BodyText"/>
      </w:pPr>
      <w:r>
        <w:t xml:space="preserve">Pour chaque sous-catégorie, l’exigence de capital afférente au sous risque de provision est égale à X fois le produit de l’écart-type de provisions et du montant de la meilleure estimation des engagements pour sinistres nette de réassurance.</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o</m:t>
              </m:r>
              <m:r>
                <m:t>v</m:t>
              </m:r>
              <m:r>
                <m:t>i</m:t>
              </m:r>
              <m:r>
                <m:t>s</m:t>
              </m:r>
              <m:r>
                <m:t>i</m:t>
              </m:r>
              <m:r>
                <m:t>o</m:t>
              </m:r>
              <m:r>
                <m:t>n</m:t>
              </m:r>
              <m:r>
                <m:t>s</m:t>
              </m:r>
            </m:sup>
          </m:sSubSup>
          <m:r>
            <m:rPr>
              <m:sty m:val="p"/>
            </m:rPr>
            <m:t>=</m:t>
          </m:r>
          <m:r>
            <m:t>X</m:t>
          </m:r>
          <m:r>
            <m:rPr>
              <m:sty m:val="p"/>
            </m:rPr>
            <m:t>*</m:t>
          </m:r>
          <m:sSub>
            <m:e>
              <m:r>
                <m:t>σ</m:t>
              </m:r>
            </m:e>
            <m:sub>
              <m:r>
                <m:t>p</m:t>
              </m:r>
              <m:r>
                <m:t>r</m:t>
              </m:r>
              <m:r>
                <m:t>o</m:t>
              </m:r>
              <m:r>
                <m:t>v</m:t>
              </m:r>
              <m:r>
                <m:t>i</m:t>
              </m:r>
              <m:r>
                <m:t>s</m:t>
              </m:r>
              <m:r>
                <m:t>i</m:t>
              </m:r>
              <m:r>
                <m:t>o</m:t>
              </m:r>
              <m:r>
                <m:t>n</m:t>
              </m:r>
              <m:r>
                <m:t>s</m:t>
              </m:r>
            </m:sub>
          </m:sSub>
          <m:r>
            <m:rPr>
              <m:sty m:val="p"/>
            </m:rPr>
            <m:t>*</m:t>
          </m:r>
          <m:r>
            <m:t>B</m:t>
          </m:r>
          <m:sSub>
            <m:e>
              <m:r>
                <m:t>E</m:t>
              </m:r>
            </m:e>
            <m:sub>
              <m:r>
                <m:t>e</m:t>
              </m:r>
              <m:r>
                <m:t>n</m:t>
              </m:r>
              <m:r>
                <m:t>g</m:t>
              </m:r>
              <m:r>
                <m:t>a</m:t>
              </m:r>
              <m:r>
                <m:t>g</m:t>
              </m:r>
              <m:r>
                <m:t>e</m:t>
              </m:r>
              <m:r>
                <m:t>m</m:t>
              </m:r>
              <m:r>
                <m:t>e</m:t>
              </m:r>
              <m:r>
                <m:t>n</m:t>
              </m:r>
              <m:r>
                <m:t>t</m:t>
              </m:r>
              <m:r>
                <m:t>s</m:t>
              </m:r>
            </m:sub>
          </m:sSub>
        </m:oMath>
      </m:oMathPara>
    </w:p>
    <w:bookmarkEnd w:id="139"/>
    <w:bookmarkStart w:id="140" w:name="X2d899550002a89faf70685e2ededa357230b7ec"/>
    <w:p>
      <w:pPr>
        <w:pStyle w:val="Heading5"/>
      </w:pPr>
      <w:r>
        <w:t xml:space="preserve">7.1.5.3 Exigence de capital relative au risque de catastrophe non-vie</w:t>
      </w:r>
    </w:p>
    <w:p>
      <w:pPr>
        <w:pStyle w:val="FirstParagraph"/>
      </w:pPr>
      <w:r>
        <w:t xml:space="preserve">L’exigence de capital relative au risque de catastrophe non-vie correspond au racine carrée de la somme des carrés des exigences de capitaux relatives au sous-risque de catastrophe non-vie des garanties suivantes :</w:t>
      </w:r>
    </w:p>
    <w:p>
      <w:pPr>
        <w:numPr>
          <w:ilvl w:val="0"/>
          <w:numId w:val="1045"/>
        </w:numPr>
        <w:pStyle w:val="Compact"/>
      </w:pPr>
      <w:r>
        <w:t xml:space="preserve">Individuelles accidents et Invalidité ;</w:t>
      </w:r>
    </w:p>
    <w:p>
      <w:pPr>
        <w:numPr>
          <w:ilvl w:val="0"/>
          <w:numId w:val="1045"/>
        </w:numPr>
        <w:pStyle w:val="Compact"/>
      </w:pPr>
      <w:r>
        <w:t xml:space="preserve">Maladie;</w:t>
      </w:r>
    </w:p>
    <w:p>
      <w:pPr>
        <w:numPr>
          <w:ilvl w:val="0"/>
          <w:numId w:val="1045"/>
        </w:numPr>
        <w:pStyle w:val="Compact"/>
      </w:pPr>
      <w:r>
        <w:t xml:space="preserve">Accidents du travail et maladies professionnelles ;</w:t>
      </w:r>
    </w:p>
    <w:p>
      <w:pPr>
        <w:numPr>
          <w:ilvl w:val="0"/>
          <w:numId w:val="1045"/>
        </w:numPr>
        <w:pStyle w:val="Compact"/>
      </w:pPr>
      <w:r>
        <w:t xml:space="preserve">Responsabilité civile automobile des véhicules terrestres à moteur;</w:t>
      </w:r>
    </w:p>
    <w:p>
      <w:pPr>
        <w:numPr>
          <w:ilvl w:val="0"/>
          <w:numId w:val="1045"/>
        </w:numPr>
        <w:pStyle w:val="Compact"/>
      </w:pPr>
      <w:r>
        <w:t xml:space="preserve">Responsabilité civile (autre que la responsabilité civile automobile et la responsabilité civile résultant de l’emploi de véhicules fluviaux ou maritimes ou de l’emploi des aéronefs) ;</w:t>
      </w:r>
    </w:p>
    <w:p>
      <w:pPr>
        <w:numPr>
          <w:ilvl w:val="0"/>
          <w:numId w:val="1045"/>
        </w:numPr>
        <w:pStyle w:val="Compact"/>
      </w:pPr>
      <w:r>
        <w:t xml:space="preserve">Incendie ;</w:t>
      </w:r>
    </w:p>
    <w:p>
      <w:pPr>
        <w:numPr>
          <w:ilvl w:val="0"/>
          <w:numId w:val="1045"/>
        </w:numPr>
        <w:pStyle w:val="Compact"/>
      </w:pPr>
      <w:r>
        <w:t xml:space="preserve">Maritime corps, facultés et responsabilité civile résultant de l’emploi de véhicules fluviaux et maritimes ;</w:t>
      </w:r>
    </w:p>
    <w:p>
      <w:pPr>
        <w:numPr>
          <w:ilvl w:val="0"/>
          <w:numId w:val="1045"/>
        </w:numPr>
        <w:pStyle w:val="Compact"/>
      </w:pPr>
      <w:r>
        <w:t xml:space="preserve">Aviation corps et responsabilité civile résultant de l’emploi des aéronefs ;</w:t>
      </w:r>
    </w:p>
    <w:p>
      <w:pPr>
        <w:numPr>
          <w:ilvl w:val="0"/>
          <w:numId w:val="1045"/>
        </w:numPr>
        <w:pStyle w:val="Compact"/>
      </w:pPr>
      <w:r>
        <w:t xml:space="preserve">Marchandises transportées par voie terrestre ;</w:t>
      </w:r>
    </w:p>
    <w:p>
      <w:pPr>
        <w:numPr>
          <w:ilvl w:val="0"/>
          <w:numId w:val="1045"/>
        </w:numPr>
        <w:pStyle w:val="Compact"/>
      </w:pPr>
      <w:r>
        <w:t xml:space="preserve">Assurance récolte, grêle ou gelée et éléments naturels ;</w:t>
      </w:r>
    </w:p>
    <w:p>
      <w:pPr>
        <w:numPr>
          <w:ilvl w:val="0"/>
          <w:numId w:val="1045"/>
        </w:numPr>
        <w:pStyle w:val="Compact"/>
      </w:pPr>
      <w:r>
        <w:t xml:space="preserve">Crédit et caution</w:t>
      </w:r>
    </w:p>
    <w:bookmarkEnd w:id="140"/>
    <w:bookmarkEnd w:id="141"/>
    <w:bookmarkEnd w:id="142"/>
    <w:bookmarkStart w:id="143" w:name="X784839fd8516b8df5730ae0da267f1818a874be"/>
    <w:p>
      <w:pPr>
        <w:pStyle w:val="Heading3"/>
      </w:pPr>
      <w:r>
        <w:t xml:space="preserve">7.2 Exigence de capital relative au risque opérationnel (</w:t>
      </w:r>
      <m:oMath>
        <m:r>
          <m:t>C</m:t>
        </m:r>
        <m:r>
          <m:t>S</m:t>
        </m:r>
        <m:sSub>
          <m:e>
            <m:r>
              <m:t>R</m:t>
            </m:r>
          </m:e>
          <m:sub>
            <m:r>
              <m:t>o</m:t>
            </m:r>
            <m:r>
              <m:t>p</m:t>
            </m:r>
            <m:r>
              <m:t>é</m:t>
            </m:r>
            <m:r>
              <m:t>r</m:t>
            </m:r>
            <m:r>
              <m:t>a</m:t>
            </m:r>
            <m:r>
              <m:t>t</m:t>
            </m:r>
            <m:r>
              <m:t>i</m:t>
            </m:r>
            <m:r>
              <m:t>o</m:t>
            </m:r>
            <m:r>
              <m:t>n</m:t>
            </m:r>
            <m:r>
              <m:t>n</m:t>
            </m:r>
            <m:r>
              <m:t>e</m:t>
            </m:r>
            <m:r>
              <m:t>l</m:t>
            </m:r>
          </m:sub>
        </m:sSub>
      </m:oMath>
      <w:r>
        <w:t xml:space="preserve">)</w:t>
      </w:r>
    </w:p>
    <w:p>
      <w:pPr>
        <w:pStyle w:val="FirstParagraph"/>
      </w:pPr>
      <w:r>
        <w:t xml:space="preserve">L’exigence de capital relative au risque opérationnel correspond à X% du capital de solvabilité requis de base.</w:t>
      </w:r>
    </w:p>
    <w:p>
      <w:pPr>
        <w:pStyle w:val="BodyText"/>
      </w:pPr>
      <m:oMathPara>
        <m:oMathParaPr>
          <m:jc m:val="center"/>
        </m:oMathParaPr>
        <m:oMath>
          <m:r>
            <m:t>C</m:t>
          </m:r>
          <m:r>
            <m:t>S</m:t>
          </m:r>
          <m:sSub>
            <m:e>
              <m:r>
                <m:t>R</m:t>
              </m:r>
            </m:e>
            <m:sub>
              <m:r>
                <m:t>o</m:t>
              </m:r>
              <m:r>
                <m:t>p</m:t>
              </m:r>
              <m:r>
                <m:t>é</m:t>
              </m:r>
              <m:r>
                <m:t>r</m:t>
              </m:r>
              <m:r>
                <m:t>a</m:t>
              </m:r>
              <m:r>
                <m:t>t</m:t>
              </m:r>
              <m:r>
                <m:t>i</m:t>
              </m:r>
              <m:r>
                <m:t>o</m:t>
              </m:r>
              <m:r>
                <m:t>n</m:t>
              </m:r>
              <m:r>
                <m:t>n</m:t>
              </m:r>
              <m:r>
                <m:t>e</m:t>
              </m:r>
              <m:r>
                <m:t>l</m:t>
              </m:r>
            </m:sub>
          </m:sSub>
          <m:r>
            <m:rPr>
              <m:sty m:val="p"/>
            </m:rPr>
            <m:t>=</m:t>
          </m:r>
          <m:r>
            <m:t>X</m:t>
          </m:r>
          <m:r>
            <m:rPr>
              <m:sty m:val="p"/>
            </m:rPr>
            <m:t>%</m:t>
          </m:r>
          <m:r>
            <m:rPr>
              <m:sty m:val="p"/>
            </m:rPr>
            <m:t>*</m:t>
          </m:r>
          <m:r>
            <m:t>C</m:t>
          </m:r>
          <m:r>
            <m:t>S</m:t>
          </m:r>
          <m:sSub>
            <m:e>
              <m:r>
                <m:t>R</m:t>
              </m:r>
            </m:e>
            <m:sub>
              <m:r>
                <m:t>b</m:t>
              </m:r>
              <m:r>
                <m:t>a</m:t>
              </m:r>
              <m:r>
                <m:t>s</m:t>
              </m:r>
              <m:r>
                <m:t>e</m:t>
              </m:r>
            </m:sub>
          </m:sSub>
        </m:oMath>
      </m:oMathPara>
    </w:p>
    <w:bookmarkEnd w:id="143"/>
    <w:bookmarkStart w:id="148" w:name="X384c0c3c983e0c0cecb046cfdf19f3cf5bf77b3"/>
    <w:p>
      <w:pPr>
        <w:pStyle w:val="Heading3"/>
      </w:pPr>
      <w:r>
        <w:t xml:space="preserve">7.3 Ajustement du capital de solvabilité requis</w:t>
      </w:r>
    </w:p>
    <w:bookmarkStart w:id="144" w:name="X60f7df077bb6b37af80367e8ec055588dd69751"/>
    <w:p>
      <w:pPr>
        <w:pStyle w:val="Heading4"/>
      </w:pPr>
      <w:r>
        <w:t xml:space="preserve">7.3.1 Ajustement visant à tenir compte de la capacité d’absorption des pertes par les assurés (</w:t>
      </w:r>
      <m:oMath>
        <m:r>
          <m:t>A</m:t>
        </m:r>
        <m:r>
          <m:t>d</m:t>
        </m:r>
        <m:sSubSup>
          <m:e>
            <m:r>
              <m:t>j</m:t>
            </m:r>
          </m:e>
          <m:sub>
            <m:r>
              <m:t>a</m:t>
            </m:r>
            <m:r>
              <m:t>s</m:t>
            </m:r>
            <m:r>
              <m:t>s</m:t>
            </m:r>
            <m:r>
              <m:t>u</m:t>
            </m:r>
            <m:r>
              <m:t>r</m:t>
            </m:r>
            <m:r>
              <m:t>e</m:t>
            </m:r>
            <m:r>
              <m:t>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pPr>
        <w:pStyle w:val="BodyText"/>
      </w:pPr>
      <m:oMathPara>
        <m:oMathParaPr>
          <m:jc m:val="center"/>
        </m:oMathParaPr>
        <m:oMath>
          <m:r>
            <m:t>A</m:t>
          </m:r>
          <m:r>
            <m:t>d</m:t>
          </m:r>
          <m:sSubSup>
            <m:e>
              <m:r>
                <m:t>j</m:t>
              </m:r>
            </m:e>
            <m:sub>
              <m:r>
                <m:t>a</m:t>
              </m:r>
              <m:r>
                <m:t>s</m:t>
              </m:r>
              <m:r>
                <m:t>s</m:t>
              </m:r>
              <m:r>
                <m:t>u</m:t>
              </m:r>
              <m:r>
                <m:t>r</m:t>
              </m:r>
              <m:r>
                <m:t>e</m:t>
              </m:r>
              <m:r>
                <m:t>s</m:t>
              </m:r>
            </m:sub>
            <m:sup>
              <m:r>
                <m:t>P</m:t>
              </m:r>
              <m:r>
                <m:t>e</m:t>
              </m:r>
              <m:r>
                <m:t>r</m:t>
              </m:r>
              <m:r>
                <m:t>t</m:t>
              </m:r>
              <m:r>
                <m:t>e</m:t>
              </m:r>
              <m:r>
                <m:t>s</m:t>
              </m:r>
            </m:sup>
          </m:sSubSup>
          <m:r>
            <m:rPr>
              <m:sty m:val="p"/>
            </m:rPr>
            <m:t>=</m:t>
          </m:r>
          <m:r>
            <m:t>m</m:t>
          </m:r>
          <m:r>
            <m:t>i</m:t>
          </m:r>
          <m:r>
            <m:t>n</m:t>
          </m:r>
          <m:d>
            <m:dPr>
              <m:begChr m:val="("/>
              <m:endChr m:val=")"/>
              <m:sepChr m:val=""/>
              <m:grow/>
            </m:dPr>
            <m:e>
              <m:r>
                <m:t>C</m:t>
              </m:r>
              <m:r>
                <m:t>S</m:t>
              </m:r>
              <m:sSubSup>
                <m:e>
                  <m:r>
                    <m:t>R</m:t>
                  </m:r>
                </m:e>
                <m:sub>
                  <m:r>
                    <m:t>b</m:t>
                  </m:r>
                  <m:r>
                    <m:t>a</m:t>
                  </m:r>
                  <m:r>
                    <m:t>s</m:t>
                  </m:r>
                  <m:r>
                    <m:t>e</m:t>
                  </m:r>
                </m:sub>
                <m:sup>
                  <m:r>
                    <m:t>n</m:t>
                  </m:r>
                  <m:r>
                    <m:t>e</m:t>
                  </m:r>
                  <m:r>
                    <m:t>t</m:t>
                  </m:r>
                  <m:r>
                    <m:t>t</m:t>
                  </m:r>
                  <m:r>
                    <m:t>e</m:t>
                  </m:r>
                  <m:r>
                    <m:t>s</m:t>
                  </m:r>
                </m:sup>
              </m:sSubSup>
              <m:r>
                <m:rPr>
                  <m:sty m:val="p"/>
                </m:rPr>
                <m:t>−</m:t>
              </m:r>
              <m:r>
                <m:t>C</m:t>
              </m:r>
              <m:r>
                <m:t>S</m:t>
              </m:r>
              <m:sSubSup>
                <m:e>
                  <m:r>
                    <m:t>R</m:t>
                  </m:r>
                </m:e>
                <m:sub>
                  <m:r>
                    <m:t>b</m:t>
                  </m:r>
                  <m:r>
                    <m:t>a</m:t>
                  </m:r>
                  <m:r>
                    <m:t>s</m:t>
                  </m:r>
                  <m:r>
                    <m:t>e</m:t>
                  </m:r>
                </m:sub>
                <m:sup>
                  <m:r>
                    <m:t>b</m:t>
                  </m:r>
                  <m:r>
                    <m:t>r</m:t>
                  </m:r>
                  <m:r>
                    <m:t>u</m:t>
                  </m:r>
                  <m:r>
                    <m:t>t</m:t>
                  </m:r>
                  <m:r>
                    <m:t>e</m:t>
                  </m:r>
                  <m:r>
                    <m:t>s</m:t>
                  </m:r>
                </m:sup>
              </m:sSubSup>
              <m:r>
                <m:rPr>
                  <m:sty m:val="p"/>
                </m:rPr>
                <m:t>;</m:t>
              </m:r>
              <m:r>
                <m:t>B</m:t>
              </m:r>
              <m:r>
                <m:t>D</m:t>
              </m:r>
              <m:r>
                <m:t>F</m:t>
              </m:r>
            </m:e>
          </m:d>
        </m:oMath>
      </m:oMathPara>
    </w:p>
    <w:bookmarkEnd w:id="144"/>
    <w:bookmarkStart w:id="147" w:name="Xbd336be1e04da1ede3fc1224bb2eedd17c6bfce"/>
    <w:p>
      <w:pPr>
        <w:pStyle w:val="Heading4"/>
      </w:pPr>
      <w:r>
        <w:t xml:space="preserve">7.3.2 Ajustement visant à tenir compte de la capacité d’absorption des pertes par les impôts différés (</w:t>
      </w:r>
      <m:oMath>
        <m:r>
          <m:t>A</m:t>
        </m:r>
        <m:r>
          <m:t>j</m:t>
        </m:r>
        <m:sSubSup>
          <m:e>
            <m:r>
              <m:t>t</m:t>
            </m:r>
          </m:e>
          <m:sub>
            <m:r>
              <m:rPr>
                <m:nor/>
                <m:sty m:val="p"/>
              </m:rPr>
              <m:t>impots differes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pPr>
        <w:pStyle w:val="BodyText"/>
      </w:pPr>
      <m:oMathPara>
        <m:oMathParaPr>
          <m:jc m:val="center"/>
        </m:oMathParaPr>
        <m:oMath>
          <m:r>
            <m:t>A</m:t>
          </m:r>
          <m:r>
            <m:t>j</m:t>
          </m:r>
          <m:sSubSup>
            <m:e>
              <m:r>
                <m:t>t</m:t>
              </m:r>
            </m:e>
            <m:sub>
              <m:r>
                <m:rPr>
                  <m:nor/>
                  <m:sty m:val="p"/>
                </m:rPr>
                <m:t>impots differes</m:t>
              </m:r>
            </m:sub>
            <m:sup>
              <m:r>
                <m:t>P</m:t>
              </m:r>
              <m:r>
                <m:t>e</m:t>
              </m:r>
              <m:r>
                <m:t>r</m:t>
              </m:r>
              <m:r>
                <m:t>t</m:t>
              </m:r>
              <m:r>
                <m:t>e</m:t>
              </m:r>
              <m:r>
                <m:t>s</m:t>
              </m:r>
            </m:sup>
          </m:sSubSup>
          <m:r>
            <m:rPr>
              <m:sty m:val="p"/>
            </m:rPr>
            <m:t>=</m:t>
          </m:r>
          <m:r>
            <m:t>T</m:t>
          </m:r>
          <m:sSub>
            <m:e>
              <m:r>
                <m:t>x</m:t>
              </m:r>
            </m:e>
            <m:sub>
              <m:r>
                <m:t>i</m:t>
              </m:r>
              <m:r>
                <m:t>m</m:t>
              </m:r>
              <m:r>
                <m:t>p</m:t>
              </m:r>
              <m:r>
                <m:t>o</m:t>
              </m:r>
              <m:r>
                <m:t>t</m:t>
              </m:r>
              <m:r>
                <m:t>s</m:t>
              </m:r>
            </m:sub>
          </m:sSub>
          <m:r>
            <m:rPr>
              <m:sty m:val="p"/>
            </m:rPr>
            <m:t>×</m:t>
          </m:r>
          <m:r>
            <m:t>m</m:t>
          </m:r>
          <m:r>
            <m:t>i</m:t>
          </m:r>
          <m:r>
            <m:t>n</m:t>
          </m:r>
          <m:d>
            <m:dPr>
              <m:begChr m:val="("/>
              <m:endChr m:val=")"/>
              <m:sepChr m:val=""/>
              <m:grow/>
            </m:dPr>
            <m:e>
              <m:r>
                <m:t>C</m:t>
              </m:r>
              <m:r>
                <m:t>S</m:t>
              </m:r>
              <m:sSub>
                <m:e>
                  <m:r>
                    <m:t>R</m:t>
                  </m:r>
                </m:e>
                <m:sub>
                  <m:r>
                    <m:t>b</m:t>
                  </m:r>
                  <m:r>
                    <m:t>a</m:t>
                  </m:r>
                  <m:r>
                    <m:t>s</m:t>
                  </m:r>
                  <m:r>
                    <m:t>e</m:t>
                  </m:r>
                </m:sub>
              </m:sSub>
              <m:r>
                <m:rPr>
                  <m:sty m:val="p"/>
                </m:rPr>
                <m:t>+</m:t>
              </m:r>
              <m:r>
                <m:t>C</m:t>
              </m:r>
              <m:r>
                <m:t>S</m:t>
              </m:r>
              <m:r>
                <m:t>R</m:t>
              </m:r>
              <m:r>
                <m:t>o</m:t>
              </m:r>
              <m:r>
                <m:t>p</m:t>
              </m:r>
              <m:r>
                <m:t>e</m:t>
              </m:r>
              <m:r>
                <m:t>r</m:t>
              </m:r>
              <m:r>
                <m:t>a</m:t>
              </m:r>
              <m:r>
                <m:t>t</m:t>
              </m:r>
              <m:r>
                <m:t>i</m:t>
              </m:r>
              <m:r>
                <m:t>o</m:t>
              </m:r>
              <m:r>
                <m:t>n</m:t>
              </m:r>
              <m:r>
                <m:t>n</m:t>
              </m:r>
              <m:r>
                <m:t>e</m:t>
              </m:r>
              <m:r>
                <m:t>l</m:t>
              </m:r>
              <m:r>
                <m:rPr>
                  <m:sty m:val="p"/>
                </m:rPr>
                <m:t>−</m:t>
              </m:r>
              <m:r>
                <m:t>A</m:t>
              </m:r>
              <m:r>
                <m:t>d</m:t>
              </m:r>
              <m:sSubSup>
                <m:e>
                  <m:r>
                    <m:t>j</m:t>
                  </m:r>
                </m:e>
                <m:sub>
                  <m:r>
                    <m:t>a</m:t>
                  </m:r>
                  <m:r>
                    <m:t>s</m:t>
                  </m:r>
                  <m:r>
                    <m:t>s</m:t>
                  </m:r>
                  <m:r>
                    <m:t>u</m:t>
                  </m:r>
                  <m:r>
                    <m:t>r</m:t>
                  </m:r>
                  <m:r>
                    <m:t>e</m:t>
                  </m:r>
                  <m:r>
                    <m:t>s</m:t>
                  </m:r>
                </m:sub>
                <m:sup>
                  <m:r>
                    <m:t>P</m:t>
                  </m:r>
                  <m:r>
                    <m:t>e</m:t>
                  </m:r>
                  <m:r>
                    <m:t>r</m:t>
                  </m:r>
                  <m:r>
                    <m:t>t</m:t>
                  </m:r>
                  <m:r>
                    <m:t>e</m:t>
                  </m:r>
                  <m:r>
                    <m:t>s</m:t>
                  </m:r>
                </m:sup>
              </m:sSubSup>
              <m:r>
                <m:rPr>
                  <m:sty m:val="p"/>
                </m:rPr>
                <m:t>;</m:t>
              </m:r>
              <m:r>
                <m:t>I</m:t>
              </m:r>
              <m:r>
                <m:t>m</m:t>
              </m:r>
              <m:r>
                <m:t>p</m:t>
              </m:r>
              <m:r>
                <m:t>o</m:t>
              </m:r>
              <m:r>
                <m:t>t</m:t>
              </m:r>
              <m:sSubSup>
                <m:e>
                  <m:r>
                    <m:t>s</m:t>
                  </m:r>
                </m:e>
                <m:sub>
                  <m:r>
                    <m:t>p</m:t>
                  </m:r>
                  <m:r>
                    <m:t>a</m:t>
                  </m:r>
                  <m:r>
                    <m:t>s</m:t>
                  </m:r>
                  <m:r>
                    <m:t>s</m:t>
                  </m:r>
                  <m:r>
                    <m:t>i</m:t>
                  </m:r>
                  <m:r>
                    <m:t>f</m:t>
                  </m:r>
                </m:sub>
                <m:sup>
                  <m:r>
                    <m:t>d</m:t>
                  </m:r>
                  <m:r>
                    <m:t>i</m:t>
                  </m:r>
                  <m:r>
                    <m:t>f</m:t>
                  </m:r>
                  <m:r>
                    <m:t>f</m:t>
                  </m:r>
                  <m:r>
                    <m:t>e</m:t>
                  </m:r>
                  <m:r>
                    <m:t>r</m:t>
                  </m:r>
                  <m:r>
                    <m:t>e</m:t>
                  </m:r>
                  <m:r>
                    <m:t>s</m:t>
                  </m:r>
                </m:sup>
              </m:sSubSup>
              <m:r>
                <m:rPr>
                  <m:sty m:val="p"/>
                </m:rPr>
                <m:t>−</m:t>
              </m:r>
              <m:r>
                <m:t>I</m:t>
              </m:r>
              <m:r>
                <m:t>m</m:t>
              </m:r>
              <m:r>
                <m:t>p</m:t>
              </m:r>
              <m:r>
                <m:t>o</m:t>
              </m:r>
              <m:r>
                <m:t>t</m:t>
              </m:r>
              <m:sSubSup>
                <m:e>
                  <m:r>
                    <m:t>s</m:t>
                  </m:r>
                </m:e>
                <m:sub>
                  <m:r>
                    <m:t>a</m:t>
                  </m:r>
                  <m:r>
                    <m:t>c</m:t>
                  </m:r>
                  <m:r>
                    <m:t>t</m:t>
                  </m:r>
                  <m:r>
                    <m:t>i</m:t>
                  </m:r>
                  <m:r>
                    <m:t>f</m:t>
                  </m:r>
                </m:sub>
                <m:sup>
                  <m:r>
                    <m:t>d</m:t>
                  </m:r>
                  <m:r>
                    <m:t>i</m:t>
                  </m:r>
                  <m:r>
                    <m:t>f</m:t>
                  </m:r>
                  <m:r>
                    <m:t>f</m:t>
                  </m:r>
                  <m:r>
                    <m:t>e</m:t>
                  </m:r>
                  <m:r>
                    <m:t>r</m:t>
                  </m:r>
                  <m:r>
                    <m:t>e</m:t>
                  </m:r>
                  <m:r>
                    <m:t>s</m:t>
                  </m:r>
                </m:sup>
              </m:sSubSup>
            </m:e>
          </m:d>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45" name="Picture"/>
                  <a:graphic>
                    <a:graphicData uri="http://schemas.openxmlformats.org/drawingml/2006/picture">
                      <pic:pic>
                        <pic:nvPicPr>
                          <pic:cNvPr descr="C:\PROGRA~1\RStudio\RESOUR~1\app\bin\quarto\share\formats\docx\tip.png" id="146"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Dans le cas où l’écart entre les impôts différés-passif et les impôts différés-actif est négatif, l’ajustement précité est nul.</w:t>
            </w:r>
          </w:p>
        </w:tc>
      </w:tr>
    </w:tbl>
    <w:bookmarkEnd w:id="147"/>
    <w:bookmarkEnd w:id="148"/>
    <w:bookmarkEnd w:id="149"/>
    <w:bookmarkStart w:id="152" w:name="Xec1a8240f33c78c61c9bf625a7d43ebee855295"/>
    <w:p>
      <w:pPr>
        <w:pStyle w:val="Heading2"/>
      </w:pPr>
      <w:r>
        <w:t xml:space="preserve">ANNEXE : Correspondance CORRESPONDANCE ENTRE ECHELLE DE NOTATION ET PROBABILITE DE DEFAUT</w:t>
      </w:r>
    </w:p>
    <w:bookmarkStart w:id="150" w:name="echelles-de-notation"/>
    <w:p>
      <w:pPr>
        <w:pStyle w:val="Heading3"/>
      </w:pPr>
      <w:r>
        <w:t xml:space="preserve">Echelles de notation</w:t>
      </w:r>
    </w:p>
    <w:p>
      <w:pPr>
        <w:numPr>
          <w:ilvl w:val="0"/>
          <w:numId w:val="1046"/>
        </w:numPr>
        <w:pStyle w:val="Compact"/>
      </w:pPr>
      <w:r>
        <w:t xml:space="preserve">Pour les cessionnaires et les cédantes :</w:t>
      </w:r>
    </w:p>
    <w:p>
      <w:pPr>
        <w:pStyle w:val="FirstParagraph"/>
      </w:pPr>
      <w:r>
        <w:t xml:space="preserve">L’échelle de notation à retenir correspond à la notation financière la plus récente délivrée, durant les 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w:t>
            </w:r>
          </w:p>
        </w:tc>
        <w:tc>
          <w:tcPr/>
          <w:p>
            <w:pPr>
              <w:pStyle w:val="Compact"/>
              <w:jc w:val="left"/>
            </w:pPr>
            <w:r>
              <w:t xml:space="preserve">AM BEST</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à A et supérieure ou égale à BBB</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BB</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du cessionnaire ou de la cédante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175%</w:t>
            </w:r>
          </w:p>
        </w:tc>
      </w:tr>
      <w:tr>
        <w:tc>
          <w:tcPr/>
          <w:p>
            <w:pPr>
              <w:pStyle w:val="Compact"/>
              <w:jc w:val="left"/>
            </w:pPr>
            <w:r>
              <w:t xml:space="preserve">2</w:t>
            </w:r>
          </w:p>
        </w:tc>
        <w:tc>
          <w:tcPr/>
          <w:p>
            <w:pPr>
              <w:pStyle w:val="Compact"/>
              <w:jc w:val="left"/>
            </w:pPr>
            <w:r>
              <w:t xml:space="preserve">]122% ; 175%]</w:t>
            </w:r>
          </w:p>
        </w:tc>
      </w:tr>
      <w:tr>
        <w:tc>
          <w:tcPr/>
          <w:p>
            <w:pPr>
              <w:pStyle w:val="Compact"/>
              <w:jc w:val="left"/>
            </w:pPr>
            <w:r>
              <w:t xml:space="preserve">3</w:t>
            </w:r>
          </w:p>
        </w:tc>
        <w:tc>
          <w:tcPr/>
          <w:p>
            <w:pPr>
              <w:pStyle w:val="Compact"/>
              <w:jc w:val="left"/>
            </w:pPr>
            <w:r>
              <w:t xml:space="preserve">]95% ; 122%]</w:t>
            </w:r>
          </w:p>
        </w:tc>
      </w:tr>
      <w:tr>
        <w:tc>
          <w:tcPr/>
          <w:p>
            <w:pPr>
              <w:pStyle w:val="Compact"/>
              <w:jc w:val="left"/>
            </w:pPr>
            <w:r>
              <w:t xml:space="preserve">4</w:t>
            </w:r>
          </w:p>
        </w:tc>
        <w:tc>
          <w:tcPr/>
          <w:p>
            <w:pPr>
              <w:pStyle w:val="Compact"/>
              <w:jc w:val="left"/>
            </w:pPr>
            <w:r>
              <w:t xml:space="preserve">]75% ; 95%]</w:t>
            </w:r>
          </w:p>
        </w:tc>
      </w:tr>
      <w:tr>
        <w:tc>
          <w:tcPr/>
          <w:p>
            <w:pPr>
              <w:pStyle w:val="Compact"/>
              <w:jc w:val="left"/>
            </w:pPr>
            <w:r>
              <w:t xml:space="preserve">5</w:t>
            </w:r>
          </w:p>
        </w:tc>
        <w:tc>
          <w:tcPr/>
          <w:p>
            <w:pPr>
              <w:pStyle w:val="Compact"/>
              <w:jc w:val="left"/>
            </w:pPr>
            <w:r>
              <w:t xml:space="preserve">Inférieur ou égale à 75%</w:t>
            </w:r>
          </w:p>
        </w:tc>
      </w:tr>
    </w:tbl>
    <w:p>
      <w:pPr>
        <w:pStyle w:val="BodyText"/>
      </w:pPr>
      <w:r>
        <w:t xml:space="preserve">Dans les autres cas, l’échelle de notation la plus faible est retenue.</w:t>
      </w:r>
    </w:p>
    <w:p>
      <w:pPr>
        <w:numPr>
          <w:ilvl w:val="0"/>
          <w:numId w:val="1047"/>
        </w:numPr>
        <w:pStyle w:val="Compact"/>
      </w:pPr>
      <w:r>
        <w:t xml:space="preserve">Pour les organismes dépositaires :</w:t>
      </w:r>
    </w:p>
    <w:p>
      <w:pPr>
        <w:pStyle w:val="FirstParagraph"/>
      </w:pPr>
      <w:r>
        <w:t xml:space="preserve">L’échelle de notation à retenir correspond à la notation financière la plus récente délivrée, durant les</w:t>
      </w:r>
      <w:r>
        <w:t xml:space="preserve"> </w:t>
      </w:r>
      <w:r>
        <w:t xml:space="preserve">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RATINGS</w:t>
            </w:r>
          </w:p>
        </w:tc>
        <w:tc>
          <w:tcPr/>
          <w:p>
            <w:pPr>
              <w:pStyle w:val="Compact"/>
              <w:jc w:val="left"/>
            </w:pPr>
            <w:r>
              <w:t xml:space="preserve">MOODY’S</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A et supérieure ou égale à Baa</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Baa et supérieure ou égale à Ba</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Ba</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de l’organisme dépositaire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21%</w:t>
            </w:r>
          </w:p>
        </w:tc>
      </w:tr>
      <w:tr>
        <w:tc>
          <w:tcPr/>
          <w:p>
            <w:pPr>
              <w:pStyle w:val="Compact"/>
              <w:jc w:val="left"/>
            </w:pPr>
            <w:r>
              <w:t xml:space="preserve">2</w:t>
            </w:r>
          </w:p>
        </w:tc>
        <w:tc>
          <w:tcPr/>
          <w:p>
            <w:pPr>
              <w:pStyle w:val="Compact"/>
              <w:jc w:val="left"/>
            </w:pPr>
            <w:r>
              <w:t xml:space="preserve">]14,6% ; 21%]</w:t>
            </w:r>
          </w:p>
        </w:tc>
      </w:tr>
      <w:tr>
        <w:tc>
          <w:tcPr/>
          <w:p>
            <w:pPr>
              <w:pStyle w:val="Compact"/>
              <w:jc w:val="left"/>
            </w:pPr>
            <w:r>
              <w:t xml:space="preserve">3</w:t>
            </w:r>
          </w:p>
        </w:tc>
        <w:tc>
          <w:tcPr/>
          <w:p>
            <w:pPr>
              <w:pStyle w:val="Compact"/>
              <w:jc w:val="left"/>
            </w:pPr>
            <w:r>
              <w:t xml:space="preserve">]11,4% ; 14,6%]</w:t>
            </w:r>
          </w:p>
        </w:tc>
      </w:tr>
      <w:tr>
        <w:tc>
          <w:tcPr/>
          <w:p>
            <w:pPr>
              <w:pStyle w:val="Compact"/>
              <w:jc w:val="left"/>
            </w:pPr>
            <w:r>
              <w:t xml:space="preserve">4</w:t>
            </w:r>
          </w:p>
        </w:tc>
        <w:tc>
          <w:tcPr/>
          <w:p>
            <w:pPr>
              <w:pStyle w:val="Compact"/>
              <w:jc w:val="left"/>
            </w:pPr>
            <w:r>
              <w:t xml:space="preserve">]9% ; 11,4%]</w:t>
            </w:r>
          </w:p>
        </w:tc>
      </w:tr>
      <w:tr>
        <w:tc>
          <w:tcPr/>
          <w:p>
            <w:pPr>
              <w:pStyle w:val="Compact"/>
              <w:jc w:val="left"/>
            </w:pPr>
            <w:r>
              <w:t xml:space="preserve">5</w:t>
            </w:r>
          </w:p>
        </w:tc>
        <w:tc>
          <w:tcPr/>
          <w:p>
            <w:pPr>
              <w:pStyle w:val="Compact"/>
              <w:jc w:val="left"/>
            </w:pPr>
            <w:r>
              <w:t xml:space="preserve">Inférieur ou égale à 9%</w:t>
            </w:r>
          </w:p>
        </w:tc>
      </w:tr>
    </w:tbl>
    <w:p>
      <w:pPr>
        <w:pStyle w:val="BodyText"/>
      </w:pPr>
      <w:r>
        <w:t xml:space="preserve">Dans les autres cas, l’échelle de notation la plus faible est retenue.</w:t>
      </w:r>
    </w:p>
    <w:bookmarkEnd w:id="150"/>
    <w:bookmarkStart w:id="151" w:name="probabilités-de-défaut"/>
    <w:p>
      <w:pPr>
        <w:pStyle w:val="Heading3"/>
      </w:pPr>
      <w:r>
        <w:t xml:space="preserve">Probabilités de défaut</w:t>
      </w:r>
    </w:p>
    <w:p>
      <w:pPr>
        <w:pStyle w:val="FirstParagraph"/>
      </w:pPr>
      <w:r>
        <w:t xml:space="preserve">La probabilité de défaut annuelle est établie en fonction de l’échelle de notation retenue en</w:t>
      </w:r>
      <w:r>
        <w:t xml:space="preserve"> </w:t>
      </w:r>
      <w:r>
        <w:t xml:space="preserve">application des dispositions du 1) ci-dessus et ce, conformément au tableau de correspondance ciaprès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Probabilité de défaut annuelle</w:t>
            </w:r>
          </w:p>
        </w:tc>
      </w:tr>
      <w:tr>
        <w:tc>
          <w:tcPr/>
          <w:p>
            <w:pPr>
              <w:pStyle w:val="Compact"/>
              <w:jc w:val="left"/>
            </w:pPr>
            <w:r>
              <w:t xml:space="preserve">1</w:t>
            </w:r>
          </w:p>
        </w:tc>
        <w:tc>
          <w:tcPr/>
          <w:p>
            <w:pPr>
              <w:pStyle w:val="Compact"/>
              <w:jc w:val="left"/>
            </w:pPr>
            <w:r>
              <w:t xml:space="preserve">0,010%</w:t>
            </w:r>
          </w:p>
        </w:tc>
      </w:tr>
      <w:tr>
        <w:tc>
          <w:tcPr/>
          <w:p>
            <w:pPr>
              <w:pStyle w:val="Compact"/>
              <w:jc w:val="left"/>
            </w:pPr>
            <w:r>
              <w:t xml:space="preserve">2</w:t>
            </w:r>
          </w:p>
        </w:tc>
        <w:tc>
          <w:tcPr/>
          <w:p>
            <w:pPr>
              <w:pStyle w:val="Compact"/>
              <w:jc w:val="left"/>
            </w:pPr>
            <w:r>
              <w:t xml:space="preserve">0,050%</w:t>
            </w:r>
          </w:p>
        </w:tc>
      </w:tr>
      <w:tr>
        <w:tc>
          <w:tcPr/>
          <w:p>
            <w:pPr>
              <w:pStyle w:val="Compact"/>
              <w:jc w:val="left"/>
            </w:pPr>
            <w:r>
              <w:t xml:space="preserve">3</w:t>
            </w:r>
          </w:p>
        </w:tc>
        <w:tc>
          <w:tcPr/>
          <w:p>
            <w:pPr>
              <w:pStyle w:val="Compact"/>
              <w:jc w:val="left"/>
            </w:pPr>
            <w:r>
              <w:t xml:space="preserve">0,240%</w:t>
            </w:r>
          </w:p>
        </w:tc>
      </w:tr>
      <w:tr>
        <w:tc>
          <w:tcPr/>
          <w:p>
            <w:pPr>
              <w:pStyle w:val="Compact"/>
              <w:jc w:val="left"/>
            </w:pPr>
            <w:r>
              <w:t xml:space="preserve">4</w:t>
            </w:r>
          </w:p>
        </w:tc>
        <w:tc>
          <w:tcPr/>
          <w:p>
            <w:pPr>
              <w:pStyle w:val="Compact"/>
              <w:jc w:val="left"/>
            </w:pPr>
            <w:r>
              <w:t xml:space="preserve">1,200%</w:t>
            </w:r>
          </w:p>
        </w:tc>
      </w:tr>
      <w:tr>
        <w:tc>
          <w:tcPr/>
          <w:p>
            <w:pPr>
              <w:pStyle w:val="Compact"/>
              <w:jc w:val="left"/>
            </w:pPr>
            <w:r>
              <w:t xml:space="preserve">5</w:t>
            </w:r>
          </w:p>
        </w:tc>
        <w:tc>
          <w:tcPr/>
          <w:p>
            <w:pPr>
              <w:pStyle w:val="Compact"/>
              <w:jc w:val="left"/>
            </w:pPr>
            <w:r>
              <w:t xml:space="preserve">4,200%</w:t>
            </w:r>
          </w:p>
        </w:tc>
      </w:tr>
    </w:tbl>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https://www.acaps.ma/fr/l-acaps/missions</w:t>
      </w:r>
    </w:p>
  </w:footnote>
  <w:footnote w:id="23">
    <w:p>
      <w:pPr>
        <w:pStyle w:val="FootnoteText"/>
      </w:pPr>
      <w:r>
        <w:rPr>
          <w:rStyle w:val="FootnoteReference"/>
        </w:rPr>
        <w:footnoteRef/>
      </w:r>
      <w:r>
        <w:t xml:space="preserve"> </w:t>
      </w:r>
      <w:r>
        <w:t xml:space="preserve">https://www.atlas-mag.net/article/marche-africain-de-l-assurance-en-2019-chiffre-d-affaires-des-principaux-pays</w:t>
      </w:r>
    </w:p>
  </w:footnote>
  <w:footnote w:id="25">
    <w:p>
      <w:pPr>
        <w:pStyle w:val="FootnoteText"/>
      </w:pPr>
      <w:r>
        <w:rPr>
          <w:rStyle w:val="FootnoteReference"/>
        </w:rPr>
        <w:footnoteRef/>
      </w:r>
      <w:r>
        <w:t xml:space="preserve"> </w:t>
      </w:r>
      <w:r>
        <w:t xml:space="preserve">solvabilité basée sur les risques assurances maroc Acaps</w:t>
      </w:r>
    </w:p>
  </w:footnote>
  <w:footnote w:id="26">
    <w:p>
      <w:pPr>
        <w:pStyle w:val="FootnoteText"/>
      </w:pPr>
      <w:r>
        <w:rPr>
          <w:rStyle w:val="FootnoteReference"/>
        </w:rPr>
        <w:footnoteRef/>
      </w:r>
      <w:r>
        <w:t xml:space="preserve"> </w:t>
      </w:r>
      <w:r>
        <w:t xml:space="preserve">https://fnh.ma/article/actualite-financiere-maroc/assurances-solvabilite-basee-sur-les-risques-les-seuils-minimums-fixes-en-janvier-2019</w:t>
      </w:r>
    </w:p>
  </w:footnote>
  <w:footnote w:id="27">
    <w:p>
      <w:pPr>
        <w:pStyle w:val="FootnoteText"/>
      </w:pPr>
      <w:r>
        <w:rPr>
          <w:rStyle w:val="FootnoteReference"/>
        </w:rPr>
        <w:footnoteRef/>
      </w:r>
      <w:r>
        <w:t xml:space="preserve"> </w:t>
      </w:r>
      <w:r>
        <w:t xml:space="preserve">ORSA Own Risk and Solvency Assessment</w:t>
      </w:r>
    </w:p>
  </w:footnote>
  <w:footnote w:id="31">
    <w:p>
      <w:pPr>
        <w:pStyle w:val="FootnoteText"/>
      </w:pPr>
      <w:r>
        <w:rPr>
          <w:rStyle w:val="FootnoteReference"/>
        </w:rPr>
        <w:footnoteRef/>
      </w:r>
      <w:r>
        <w:t xml:space="preserve"> </w:t>
      </w:r>
      <w:hyperlink r:id="rId32">
        <w:r>
          <w:rPr>
            <w:rStyle w:val="Hyperlink"/>
          </w:rPr>
          <w:t xml:space="preserve">Ciculaire en préparation concernant le second pilier relatif à la gouvernance</w:t>
        </w:r>
      </w:hyperlink>
    </w:p>
  </w:footnote>
  <w:footnote w:id="38">
    <w:p>
      <w:pPr>
        <w:pStyle w:val="FootnoteText"/>
      </w:pPr>
      <w:r>
        <w:rPr>
          <w:rStyle w:val="FootnoteReference"/>
        </w:rPr>
        <w:footnoteRef/>
      </w:r>
      <w:r>
        <w:t xml:space="preserve"> </w:t>
      </w:r>
      <w:r>
        <w:t xml:space="preserve">La métrique de risque n’est pas encore défini</w:t>
      </w:r>
      <w:r>
        <w:t xml:space="preserve"> </w:t>
      </w:r>
      <w:r>
        <w:t xml:space="preserve">dans le projet marocain</w:t>
      </w:r>
      <w:r>
        <w:t xml:space="preserve"> </w:t>
      </w:r>
      <m:oMath>
        <m:r>
          <m:t>S</m:t>
        </m:r>
        <m:r>
          <m:t>B</m:t>
        </m:r>
        <m:r>
          <m:t>R</m:t>
        </m:r>
      </m:oMath>
    </w:p>
  </w:footnote>
  <w:footnote w:id="44">
    <w:p>
      <w:pPr>
        <w:pStyle w:val="FootnoteText"/>
      </w:pPr>
      <w:r>
        <w:rPr>
          <w:rStyle w:val="FootnoteReference"/>
        </w:rPr>
        <w:footnoteRef/>
      </w:r>
      <w:r>
        <w:t xml:space="preserve"> </w:t>
      </w:r>
      <w:r>
        <w:t xml:space="preserve">Alonso Peña, Ph.D, C++ For Quantitative Finance</w:t>
      </w:r>
    </w:p>
  </w:footnote>
  <w:footnote w:id="70">
    <w:p>
      <w:pPr>
        <w:pStyle w:val="FootnoteText"/>
      </w:pPr>
      <w:r>
        <w:rPr>
          <w:rStyle w:val="FootnoteReference"/>
        </w:rPr>
        <w:footnoteRef/>
      </w:r>
      <w:r>
        <w:t xml:space="preserve"> </w:t>
      </w:r>
      <w:r>
        <w:t xml:space="preserve">Un contrat d’assurance mixte à prime unique sur</w:t>
      </w:r>
      <w:r>
        <w:t xml:space="preserve"> </w:t>
      </w:r>
      <m:oMath>
        <m:r>
          <m:t>N</m:t>
        </m:r>
      </m:oMath>
      <w:r>
        <w:t xml:space="preserve"> </w:t>
      </w:r>
      <w:r>
        <w:t xml:space="preserve">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 w:id="98">
    <w:p>
      <w:pPr>
        <w:pStyle w:val="FootnoteText"/>
      </w:pPr>
      <w:r>
        <w:rPr>
          <w:rStyle w:val="FootnoteReference"/>
        </w:rPr>
        <w:footnoteRef/>
      </w:r>
      <w:r>
        <w:t xml:space="preserve"> </w:t>
      </w:r>
      <w:r>
        <w:t xml:space="preserve">The Actuary and IBNR publié en 1972</w:t>
      </w:r>
    </w:p>
  </w:footnote>
  <w:footnote w:id="99">
    <w:p>
      <w:pPr>
        <w:pStyle w:val="FootnoteText"/>
      </w:pPr>
      <w:r>
        <w:rPr>
          <w:rStyle w:val="FootnoteReference"/>
        </w:rPr>
        <w:footnoteRef/>
      </w:r>
      <w:r>
        <w:t xml:space="preserve"> </w:t>
      </w:r>
      <w:r>
        <w:t xml:space="preserve">CNAM 2002-2003, Mathématiques actuarielles fondamentales (assurance non vie), Eléments de cours – 24 mars 2003 – liquidation des sinistres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image" Id="rId28" Target="media/rId28.png" /><Relationship Type="http://schemas.openxmlformats.org/officeDocument/2006/relationships/image" Id="rId49" Target="media/rId49.png" /><Relationship Type="http://schemas.openxmlformats.org/officeDocument/2006/relationships/image" Id="rId39" Target="media/rId39.png" /><Relationship Type="http://schemas.openxmlformats.org/officeDocument/2006/relationships/image" Id="rId118" Target="media/rId118.png" /><Relationship Type="http://schemas.openxmlformats.org/officeDocument/2006/relationships/image" Id="rId33" Target="media/rId33.png" /><Relationship Type="http://schemas.openxmlformats.org/officeDocument/2006/relationships/hyperlink" Id="rId32" Target="https://fnh.ma/article/actualite-financiere-maroc/assurances-sbr-un-projet-de-circulaire-en-preparation" TargetMode="External" /><Relationship Type="http://schemas.openxmlformats.org/officeDocument/2006/relationships/hyperlink" Id="rId22" Target="https://www.atlas-mag.net/article/marche-africain-de-l-assurance-en-2019-chiffre-d-affaires-des-principaux-pays" TargetMode="External" /><Relationship Type="http://schemas.openxmlformats.org/officeDocument/2006/relationships/hyperlink" Id="rId56"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_rels/footnotes.xml.rels><?xml version="1.0" encoding="UTF-8"?><Relationships xmlns="http://schemas.openxmlformats.org/package/2006/relationships"><Relationship Type="http://schemas.openxmlformats.org/officeDocument/2006/relationships/hyperlink" Id="rId32" Target="https://fnh.ma/article/actualite-financiere-maroc/assurances-sbr-un-projet-de-circulaire-en-preparation" TargetMode="External" /><Relationship Type="http://schemas.openxmlformats.org/officeDocument/2006/relationships/hyperlink" Id="rId22" Target="https://www.atlas-mag.net/article/marche-africain-de-l-assurance-en-2019-chiffre-d-affaires-des-principaux-pays" TargetMode="External" /><Relationship Type="http://schemas.openxmlformats.org/officeDocument/2006/relationships/hyperlink" Id="rId56"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dcterms:created xsi:type="dcterms:W3CDTF">2023-05-23T10:34:32Z</dcterms:created>
  <dcterms:modified xsi:type="dcterms:W3CDTF">2023-05-23T10:34:32Z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