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28.png" ContentType="image/png"/>
  <Override PartName="/word/media/rId49.png" ContentType="image/png"/>
  <Override PartName="/word/media/rId3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0"/>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1"/>
    <w:bookmarkStart w:id="37" w:name="cadre-réglementaire-marocain"/>
    <w:p>
      <w:pPr>
        <w:pStyle w:val="Heading2"/>
      </w:pPr>
      <w:r>
        <w:t xml:space="preserve">2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2">
        <w:r>
          <w:rPr>
            <w:rStyle w:val="Hyperlink"/>
          </w:rPr>
          <w:t xml:space="preserve">Atlas Mag</w:t>
        </w:r>
      </w:hyperlink>
      <w:r>
        <w:rPr>
          <w:rStyle w:val="FootnoteReference"/>
        </w:rPr>
        <w:footnoteReference w:id="23"/>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4"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4"/>
    <w:p>
      <w:pPr>
        <w:pStyle w:val="BodyText"/>
      </w:pPr>
      <w:r>
        <w:t xml:space="preserve">Le Royaume doit ce succès à la rigueur de sont dispositif prudentiel qui se consolide de plus en plus.</w:t>
      </w:r>
      <w:r>
        <w:t xml:space="preserve"> </w:t>
      </w:r>
      <w:r>
        <w:t xml:space="preserve">La SBR (Solvabilité basée sur les risques) est une réforme prudentielle qui vient en ce sens renforcer cette dynamique. elle vise à conoslider la résilience des compagnies d’assurances face aux différents risques qu’elles encourent. Elle repose sur trois piliers : le pilier quantitatif, le pilier qualitatif et le pilier informatif</w:t>
      </w:r>
      <w:r>
        <w:rPr>
          <w:rStyle w:val="FootnoteReference"/>
        </w:rPr>
        <w:footnoteReference w:id="25"/>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6"/>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7"/>
      </w:r>
      <w:r>
        <w:t xml:space="preserve">). Il applique aussi le principe de « personne prudente » pour la politique d’investissement des assureurs.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1\RStudio\RESOUR~1\app\bin\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principe de « personne prudente »</w:t>
            </w:r>
          </w:p>
        </w:tc>
      </w:tr>
      <w:tr>
        <w:trPr>
          <w:cantSplit/>
        </w:trPr>
        <w:tc>
          <w:tcPr>
            <w:tcMar>
              <w:top w:w="108" w:type="dxa"/>
              <w:bottom w:w="108" w:type="dxa"/>
            </w:tcMar>
          </w:tcPr>
          <w:p>
            <w:pPr>
              <w:pStyle w:val="BodyText"/>
            </w:pPr>
            <w:pPr>
              <w:spacing w:before="16" w:after="16"/>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31"/>
      </w:r>
      <w:r>
        <w:t xml:space="preserve">.</w:t>
      </w:r>
    </w:p>
    <w:tbl>
      <w:tblPr>
        <w:tblStyle w:val="Table"/>
        <w:tblW w:type="pct" w:w="5000"/>
        <w:tblLook w:firstRow="0" w:lastRow="0" w:firstColumn="0" w:lastColumn="0" w:noHBand="0" w:noVBand="0" w:val="0000"/>
      </w:tblPr>
      <w:tblGrid>
        <w:gridCol w:w="7920"/>
      </w:tblGrid>
      <w:tr>
        <w:tc>
          <w:tcPr/>
          <w:bookmarkStart w:id="36" w:name="fig-piliers"/>
          <w:p>
            <w:pPr>
              <w:pStyle w:val="Figure"/>
              <w:jc w:val="center"/>
            </w:pPr>
            <w:r>
              <w:drawing>
                <wp:inline>
                  <wp:extent cx="5334000" cy="3000375"/>
                  <wp:effectExtent b="0" l="0" r="0" t="0"/>
                  <wp:docPr descr="" title="" id="34" name="Picture"/>
                  <a:graphic>
                    <a:graphicData uri="http://schemas.openxmlformats.org/drawingml/2006/picture">
                      <pic:pic>
                        <pic:nvPicPr>
                          <pic:cNvPr descr="Rapport-PFE_files/figure-html/piliers.png"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6"/>
        </w:tc>
      </w:tr>
    </w:tbl>
    <w:bookmarkEnd w:id="37"/>
    <w:bookmarkStart w:id="43" w:name="piliers-1-exigences-quantitatives"/>
    <w:p>
      <w:pPr>
        <w:pStyle w:val="Heading2"/>
      </w:pPr>
      <w:r>
        <w:t xml:space="preserve">3 Piliers 1: Exigences quantitatives</w:t>
      </w:r>
    </w:p>
    <w:p>
      <w:pPr>
        <w:pStyle w:val="FirstParagraph"/>
      </w:pPr>
      <w:r>
        <w:t xml:space="preserve">Sur les trois piliers de la normes SBR, notre rapport de stage se concentre essentiellement sur le pilier 1. Ce dernier spécifie toutes les dipositions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une analyse économique annuel du bilan prudentiel. L’organisme d’assurance ou de réassurance doit disposer d’une richesse nette suffisante pour faire face à ses risques dans</w:t>
      </w:r>
      <w:r>
        <w:t xml:space="preserve"> </w:t>
      </w:r>
      <m:oMath>
        <m:r>
          <m:t>X</m:t>
        </m:r>
        <m:r>
          <m:rPr>
            <m:sty m:val="p"/>
          </m:rPr>
          <m:t>%</m:t>
        </m:r>
      </m:oMath>
      <w:r>
        <w:rPr>
          <w:rStyle w:val="FootnoteReference"/>
        </w:rPr>
        <w:footnoteReference w:id="38"/>
      </w:r>
      <w:r>
        <w:t xml:space="preserve"> </w:t>
      </w:r>
      <w:r>
        <w:t xml:space="preserve">des situations possibles. Cela implique que sa richesse nette soit supérieure ou égale à l’exigence de solvabilité.</w:t>
      </w:r>
      <w:r>
        <w:t xml:space="preserve"> </w:t>
      </w:r>
      <w:r>
        <w:t xml:space="preserve">Le bilan prudentiel SBR est un bilan qui reflète la situation économique des assureurs, et non pas uniquement leur situation comptable. Il se base sur une valorisation des actifs à leur prix de marché, c’est-à-dire le prix auquel ils pourraient être vendus ou transférés.</w:t>
      </w:r>
      <w:r>
        <w:t xml:space="preserve"> </w:t>
      </w:r>
      <w:r>
        <w:t xml:space="preserve">Les passifs sont constitués essentiellement de dettes et des provisions techniques, qui représentent le coût estimé des engagements pris par les assureurs envers les assurés. Les provisions techniques se décomposent en deux éléments :</w:t>
      </w:r>
    </w:p>
    <w:p>
      <w:pPr>
        <w:numPr>
          <w:ilvl w:val="0"/>
          <w:numId w:val="1002"/>
        </w:numPr>
      </w:pPr>
      <w:r>
        <w:t xml:space="preserve">Le Best Estimate, qui n’est rien d’aute que la valeur actualisée des flux futurs attendus liés aux contrats en cours. L’actualisation se fait en utilisant une courbe de taux sans risque de référence, qui reflète les conditions du marché.</w:t>
      </w:r>
    </w:p>
    <w:p>
      <w:pPr>
        <w:numPr>
          <w:ilvl w:val="0"/>
          <w:numId w:val="1002"/>
        </w:numPr>
      </w:pPr>
      <w:r>
        <w:t xml:space="preserve">La marge de risque, qui correspond au coût du capital nécessaire pour couvrir les risques liés aux passifs jusqu’à leur extinction. Le coût du capital est calculé en appliquant un taux fixe aux exigences de fonds propres futures.</w:t>
      </w:r>
    </w:p>
    <w:p>
      <w:pPr>
        <w:pStyle w:val="FirstParagraph"/>
      </w:pPr>
      <w:r>
        <w:t xml:space="preserve">Le montant des provisions techniques a une influence importante sur la solvabilité des assureurs et sur leurs fonds propres. Plus les provisions techniques sont élevées, plus les assureurs doivent avoir de fonds propres pour couvrir leurs risques.</w:t>
      </w:r>
    </w:p>
    <w:tbl>
      <w:tblPr>
        <w:tblStyle w:val="Table"/>
        <w:tblW w:type="pct" w:w="5000"/>
        <w:tblLook w:firstRow="0" w:lastRow="0" w:firstColumn="0" w:lastColumn="0" w:noHBand="0" w:noVBand="0" w:val="0000"/>
      </w:tblPr>
      <w:tblGrid>
        <w:gridCol w:w="7920"/>
      </w:tblGrid>
      <w:tr>
        <w:tc>
          <w:tcPr/>
          <w:bookmarkStart w:id="42" w:name="fig-bilan"/>
          <w:p>
            <w:pPr>
              <w:pStyle w:val="Figure"/>
              <w:jc w:val="center"/>
            </w:pPr>
            <w:r>
              <w:drawing>
                <wp:inline>
                  <wp:extent cx="5334000" cy="2993010"/>
                  <wp:effectExtent b="0" l="0" r="0" t="0"/>
                  <wp:docPr descr="" title="" id="40" name="Picture"/>
                  <a:graphic>
                    <a:graphicData uri="http://schemas.openxmlformats.org/drawingml/2006/picture">
                      <pic:pic>
                        <pic:nvPicPr>
                          <pic:cNvPr descr="Rapport-PFE_files/figure-html/Bilan.png" id="41" name="Picture"/>
                          <pic:cNvPicPr>
                            <a:picLocks noChangeArrowheads="1" noChangeAspect="1"/>
                          </pic:cNvPicPr>
                        </pic:nvPicPr>
                        <pic:blipFill>
                          <a:blip r:embed="rId39"/>
                          <a:stretch>
                            <a:fillRect/>
                          </a:stretch>
                        </pic:blipFill>
                        <pic:spPr bwMode="auto">
                          <a:xfrm>
                            <a:off x="0" y="0"/>
                            <a:ext cx="5334000" cy="2993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Structure d’un bilan</w:t>
            </w:r>
          </w:p>
          <w:bookmarkEnd w:id="42"/>
        </w:tc>
      </w:tr>
    </w:tbl>
    <w:p>
      <w:pPr>
        <w:pStyle w:val="BodyText"/>
      </w:pPr>
      <w:r>
        <w:t xml:space="preserve">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pPr>
        <w:pStyle w:val="BodyText"/>
      </w:pPr>
      <w:r>
        <w:t xml:space="preserve">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pPr>
        <w:numPr>
          <w:ilvl w:val="0"/>
          <w:numId w:val="1003"/>
        </w:numPr>
      </w:pPr>
      <w:r>
        <w:rPr>
          <w:iCs/>
          <w:i/>
        </w:rPr>
        <w:t xml:space="preserve">L’approche par scénario</w:t>
      </w:r>
      <w:r>
        <w:t xml:space="preserve">,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pPr>
        <w:numPr>
          <w:ilvl w:val="0"/>
          <w:numId w:val="1003"/>
        </w:numPr>
      </w:pPr>
      <w:r>
        <w:rPr>
          <w:iCs/>
          <w:i/>
        </w:rPr>
        <w:t xml:space="preserve">L’approche par facteurs</w:t>
      </w:r>
      <w:r>
        <w:t xml:space="preserve">, qui consiste à appliquer une formule mathématique qui détermine la charge en capital en fonction de paramètres prédéfinis. Par exemple, on peut utiliser un pourcentage des primes ou des provisions pour calculer le risque de souscription.</w:t>
      </w:r>
    </w:p>
    <w:p>
      <w:pPr>
        <w:pStyle w:val="FirstParagraph"/>
      </w:pPr>
      <w:r>
        <w:t xml:space="preserve">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pPr>
        <w:pStyle w:val="BodyText"/>
      </w:pPr>
      <w:r>
        <w:t xml:space="preserve">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pPr>
        <w:pStyle w:val="BodyText"/>
      </w:pPr>
      <w:r>
        <w:t xml:space="preserve">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pPr>
        <w:pStyle w:val="BodyText"/>
      </w:pPr>
      <w:r>
        <w:t xml:space="preserve">Enfin, les assureurs peuvent bénéficier d’un ajustement pour capacité d’absorption des pertes par les impôts différés. Cela signifie qu’en cas de perte, ils peuvent réduire leur base imposable et donc leur impôt à payer. Cet ajustement diminue le SCR des assureurs.</w:t>
      </w:r>
    </w:p>
    <w:p>
      <w:pPr>
        <w:pStyle w:val="BodyText"/>
      </w:pPr>
      <w: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Parmi ces règles et principes, on peut citer :</w:t>
      </w:r>
    </w:p>
    <w:p>
      <w:pPr>
        <w:numPr>
          <w:ilvl w:val="0"/>
          <w:numId w:val="1004"/>
        </w:numPr>
        <w:pStyle w:val="Compact"/>
      </w:pPr>
      <w:r>
        <w:t xml:space="preserve">L’approche réglementaire vs la liberté de modélisation : il s’agit du choix entre utiliser une méthode standardisée définie par le régulateur, ou utiliser une méthode propre à l’assureur, qui doit être validée par le régulateur.</w:t>
      </w:r>
    </w:p>
    <w:p>
      <w:pPr>
        <w:numPr>
          <w:ilvl w:val="0"/>
          <w:numId w:val="1004"/>
        </w:numPr>
        <w:pStyle w:val="Compact"/>
      </w:pPr>
      <w:r>
        <w:t xml:space="preserve">La qualité des données et la segmentation : il s’agit de s’assurer que les données utilisées pour l’évaluation sont complètes, exactes et pertinentes, et qu’elles permettent de distinguer les différents types de contrats et de risques.</w:t>
      </w:r>
    </w:p>
    <w:p>
      <w:pPr>
        <w:numPr>
          <w:ilvl w:val="0"/>
          <w:numId w:val="1004"/>
        </w:numPr>
        <w:pStyle w:val="Compact"/>
      </w:pPr>
      <w:r>
        <w:t xml:space="preserve">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pPr>
        <w:numPr>
          <w:ilvl w:val="0"/>
          <w:numId w:val="1004"/>
        </w:numPr>
        <w:pStyle w:val="Compact"/>
      </w:pPr>
      <w:r>
        <w:t xml:space="preserve">La possibilité de recourir aux</w:t>
      </w:r>
      <w:r>
        <w:t xml:space="preserve"> </w:t>
      </w:r>
      <w:r>
        <w:t xml:space="preserve">“</w:t>
      </w:r>
      <w:r>
        <w:t xml:space="preserve">dires d’experts</w:t>
      </w:r>
      <w:r>
        <w:t xml:space="preserve">”</w:t>
      </w:r>
      <w:r>
        <w:t xml:space="preserve"> </w:t>
      </w:r>
      <w:r>
        <w:t xml:space="preserve">: il s’agit de la possibilité d’utiliser le jugement professionnel des experts actuariels pour compléter ou ajuster les données ou les hypothèses, en cas de manque d’information ou d’incertitude.</w:t>
      </w:r>
    </w:p>
    <w:p>
      <w:pPr>
        <w:numPr>
          <w:ilvl w:val="0"/>
          <w:numId w:val="1004"/>
        </w:numPr>
        <w:pStyle w:val="Compact"/>
      </w:pPr>
      <w:r>
        <w:t xml:space="preserve">La modélisation des frais récurrents en adéquation avec les frontières des contrats : il s’agit de prendre en compte les frais liés à la gestion des contrats, en fonction de leur durée et de leur contenu.</w:t>
      </w:r>
    </w:p>
    <w:p>
      <w:pPr>
        <w:numPr>
          <w:ilvl w:val="0"/>
          <w:numId w:val="1004"/>
        </w:numPr>
        <w:pStyle w:val="Compact"/>
      </w:pPr>
      <w:r>
        <w:t xml:space="preserve">L’intégration des</w:t>
      </w:r>
      <w:r>
        <w:t xml:space="preserve"> </w:t>
      </w:r>
      <w:r>
        <w:t xml:space="preserve">“</w:t>
      </w:r>
      <w:r>
        <w:t xml:space="preserve">management actions</w:t>
      </w:r>
      <w:r>
        <w:t xml:space="preserve">”</w:t>
      </w:r>
      <w:r>
        <w:t xml:space="preserve"> </w:t>
      </w:r>
      <w:r>
        <w:t xml:space="preserve">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pPr>
        <w:numPr>
          <w:ilvl w:val="0"/>
          <w:numId w:val="1004"/>
        </w:numPr>
        <w:pStyle w:val="Compact"/>
      </w:pPr>
      <w:r>
        <w:t xml:space="preserve">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pPr>
        <w:pStyle w:val="FirstParagraph"/>
      </w:pPr>
      <w:r>
        <w:t xml:space="preserve">L’évaluation des risques financiers est aussi une étape importante du bilan prudentiel, car elle détermine la valeur de marché des actifs détenus par les assureurs. Ainsi, cette évalution repose sur un certains nombre de principes parmi lesquels nous pouvons citer :</w:t>
      </w:r>
    </w:p>
    <w:p>
      <w:pPr>
        <w:numPr>
          <w:ilvl w:val="0"/>
          <w:numId w:val="1005"/>
        </w:numPr>
        <w:pStyle w:val="Compact"/>
      </w:pPr>
      <w:r>
        <w:t xml:space="preserve">La valorisation de l’immobilier et du non coté : il s’agit de déterminer le prix auquel les actifs immobiliers ou non cotés en bourse pourraient être vendus ou transférés sur le marché.</w:t>
      </w:r>
    </w:p>
    <w:p>
      <w:pPr>
        <w:numPr>
          <w:ilvl w:val="0"/>
          <w:numId w:val="1005"/>
        </w:numPr>
        <w:pStyle w:val="Compact"/>
      </w:pPr>
      <w:r>
        <w:t xml:space="preserve">La mise en transparence des OPCVM : connaître la composition détaillée des organismes de placement collectif en valeurs mobilières (OPCVM), qui sont des fonds d’investissement regroupant plusieurs actifs financiers.</w:t>
      </w:r>
    </w:p>
    <w:p>
      <w:pPr>
        <w:numPr>
          <w:ilvl w:val="0"/>
          <w:numId w:val="1005"/>
        </w:numPr>
        <w:pStyle w:val="Compact"/>
      </w:pPr>
      <w:r>
        <w:t xml:space="preserve">L’ajustement des chocs en fonction de la situation du marché financier et de la géographie du capital : il s’agit d’adapter l’intensité des chocs appliqués aux actifs financiers en fonction du contexte économique et du lieu où ils sont investis.</w:t>
      </w:r>
    </w:p>
    <w:p>
      <w:pPr>
        <w:numPr>
          <w:ilvl w:val="0"/>
          <w:numId w:val="1005"/>
        </w:numPr>
        <w:pStyle w:val="Compact"/>
      </w:pPr>
      <w:r>
        <w:t xml:space="preserve">La problématique des notations externes : il s’agit du problème lié à l’utilisation des notations attribuées par les agences externes pour évaluer le risque de défaut des actifs financiers, qui peuvent être biaisées ou imprécises.</w:t>
      </w:r>
    </w:p>
    <w:p>
      <w:pPr>
        <w:numPr>
          <w:ilvl w:val="0"/>
          <w:numId w:val="1005"/>
        </w:numPr>
        <w:pStyle w:val="Compact"/>
      </w:pPr>
      <w:r>
        <w:t xml:space="preserve">La définition des</w:t>
      </w:r>
      <w:r>
        <w:t xml:space="preserve"> </w:t>
      </w:r>
      <w:r>
        <w:t xml:space="preserve">“</w:t>
      </w:r>
      <w:r>
        <w:t xml:space="preserve">groupes</w:t>
      </w:r>
      <w:r>
        <w:t xml:space="preserve">”</w:t>
      </w:r>
      <w:r>
        <w:t xml:space="preserve"> </w:t>
      </w:r>
      <w:r>
        <w:t xml:space="preserve">et actifs</w:t>
      </w:r>
      <w:r>
        <w:t xml:space="preserve"> </w:t>
      </w:r>
      <w:r>
        <w:t xml:space="preserve">“</w:t>
      </w:r>
      <w:r>
        <w:t xml:space="preserve">stratégiques</w:t>
      </w:r>
      <w:r>
        <w:t xml:space="preserve">”</w:t>
      </w:r>
      <w:r>
        <w:t xml:space="preserve"> </w:t>
      </w:r>
      <w:r>
        <w:t xml:space="preserve">: il s’agit de définir quels sont les groupes ou les actifs financiers qui ont une importance particulière pour l’assureur, et qui doivent donc être traités différemment.</w:t>
      </w:r>
    </w:p>
    <w:p>
      <w:pPr>
        <w:pStyle w:val="FirstParagraph"/>
      </w:pPr>
      <w:r>
        <w:t xml:space="preserve">L’évaluation des impôts différés est également une étape importante du bilan prudentiel, car elle détermine le montant d’impôt que l’assureur peut économiser ou payer en cas de perte ou de bénéfice. L’évalution aps par un test de recouvrabilité et la capacité d’absorption des pertes par les impôts différés. L’objecif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pPr>
        <w:pStyle w:val="BodyText"/>
      </w:pPr>
      <w:r>
        <w:t xml:space="preserve">L’évaluation du capital de solvabilité requis (SCR) est la dernière étape du bilan prudentiel, car elle détermine le montant minimum de fonds propres que l’assureur doit avoir pour couvrir ses risques. Il existe deux approches possibles pour calculer le SCR :</w:t>
      </w:r>
    </w:p>
    <w:p>
      <w:pPr>
        <w:numPr>
          <w:ilvl w:val="0"/>
          <w:numId w:val="1006"/>
        </w:numPr>
      </w:pPr>
      <w:r>
        <w:t xml:space="preserve">La formule standard, qui est une méthode standardisée définie par le régulateur, qui prend en compte les différents types de risques auxquels les assureurs sont exposés, et qui utilise des paramètres prédéfinis.</w:t>
      </w:r>
    </w:p>
    <w:p>
      <w:pPr>
        <w:numPr>
          <w:ilvl w:val="0"/>
          <w:numId w:val="1006"/>
        </w:numPr>
      </w:pPr>
      <w:r>
        <w:t xml:space="preserve">Le modèle interne, qui est une méthode propre à l’assureur, qui prend en compte les spécificités de son profil de risque, et qui utilise ses propres paramètres. Le modèle interne doit être validé par le régulateur.</w:t>
      </w:r>
    </w:p>
    <w:bookmarkEnd w:id="43"/>
    <w:bookmarkStart w:id="55" w:name="valorisation-de-lactif"/>
    <w:p>
      <w:pPr>
        <w:pStyle w:val="Heading2"/>
      </w:pPr>
      <w:r>
        <w:t xml:space="preserve">4 Valorisation de l’actif</w:t>
      </w:r>
    </w:p>
    <w:bookmarkStart w:id="54" w:name="actions-cotées-à-la-bourse"/>
    <w:p>
      <w:pPr>
        <w:pStyle w:val="Heading3"/>
      </w:pPr>
      <w:r>
        <w:t xml:space="preserve">4.1 Actions cotées à la bourse</w:t>
      </w:r>
    </w:p>
    <w:p>
      <w:pPr>
        <w:pStyle w:val="FirstParagraph"/>
      </w:pPr>
      <w:r>
        <w:t xml:space="preserve">Les actions cotées à la bourse de Casablanca sont valorisées conformément à la</w:t>
      </w:r>
      <w:r>
        <w:t xml:space="preserve"> </w:t>
      </w:r>
      <w:r>
        <w:rPr>
          <w:iCs/>
          <w:i/>
        </w:rPr>
        <w:t xml:space="preserve">Spécification technique 7</w:t>
      </w:r>
      <w:r>
        <w:t xml:space="preserve"> </w:t>
      </w:r>
      <w:r>
        <w:t xml:space="preserve">de la</w:t>
      </w:r>
      <w:r>
        <w:t xml:space="preserve"> </w:t>
      </w:r>
      <w:r>
        <w:rPr>
          <w:iCs/>
          <w:i/>
        </w:rPr>
        <w:t xml:space="preserve">Section 2</w:t>
      </w:r>
      <w:r>
        <w:t xml:space="preserve"> </w:t>
      </w:r>
      <w:r>
        <w:t xml:space="preserve">de la circulaire de l’ACAPS comme suit :</w:t>
      </w:r>
    </w:p>
    <w:p>
      <w:pPr>
        <w:numPr>
          <w:ilvl w:val="0"/>
          <w:numId w:val="1007"/>
        </w:numPr>
        <w:pStyle w:val="Compact"/>
      </w:pPr>
      <w:r>
        <w:t xml:space="preserve">Dernier coté avant la date d’inventaire</w:t>
      </w:r>
    </w:p>
    <w:p>
      <w:pPr>
        <w:numPr>
          <w:ilvl w:val="0"/>
          <w:numId w:val="1007"/>
        </w:numPr>
        <w:pStyle w:val="Compact"/>
      </w:pPr>
      <w:r>
        <w:t xml:space="preserve">Moyenne des cours côtés des trois derniers mois précédant la date d’inventaire si le volume ou la quantité journaliers moyens des transactions sur les 3 derniers mois précédant la date d’inventaire sont inférieurs aux seuils fixés par autorité</w:t>
      </w:r>
    </w:p>
    <w:bookmarkStart w:id="53" w:name="modélisation-du-prix-des-actions"/>
    <w:p>
      <w:pPr>
        <w:pStyle w:val="Heading4"/>
      </w:pPr>
      <w:r>
        <w:t xml:space="preserve">4.1.1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52" w:name="modèle-de-black-scholes"/>
    <w:p>
      <w:pPr>
        <w:pStyle w:val="Heading5"/>
      </w:pPr>
      <w:r>
        <w:t xml:space="preserve">4.1.1.1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44"/>
      </w:r>
    </w:p>
    <w:p>
      <w:pPr>
        <w:pStyle w:val="BodyText"/>
      </w:pPr>
      <w:bookmarkStart w:id="45"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45"/>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46"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46"/>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47"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47"/>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48"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48"/>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50" name="Picture"/>
                  <a:graphic>
                    <a:graphicData uri="http://schemas.openxmlformats.org/drawingml/2006/picture">
                      <pic:pic>
                        <pic:nvPicPr>
                          <pic:cNvPr descr="Rapport-PFE_files/figure-docx/unnamed-chunk-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52"/>
    <w:bookmarkEnd w:id="53"/>
    <w:bookmarkEnd w:id="54"/>
    <w:bookmarkEnd w:id="55"/>
    <w:bookmarkStart w:id="65" w:name="X07868ea8b9ac752e9889fc2a9eede4b2fc4d338"/>
    <w:p>
      <w:pPr>
        <w:pStyle w:val="Heading2"/>
      </w:pPr>
      <w:r>
        <w:t xml:space="preserve">5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56">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57"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17/01/2022</w:t>
            </w:r>
          </w:p>
        </w:tc>
        <w:tc>
          <w:tcPr/>
          <w:p>
            <w:pPr>
              <w:pStyle w:val="Compact"/>
              <w:jc w:val="left"/>
            </w:pPr>
            <w:r>
              <w:t xml:space="preserve">31,40</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0.050</w:t>
            </w:r>
          </w:p>
        </w:tc>
      </w:tr>
      <w:tr>
        <w:tc>
          <w:tcPr/>
          <w:p>
            <w:pPr>
              <w:pStyle w:val="Compact"/>
              <w:jc w:val="left"/>
            </w:pPr>
            <w:r>
              <w:t xml:space="preserve">14/02/2022</w:t>
            </w:r>
          </w:p>
        </w:tc>
        <w:tc>
          <w:tcPr/>
          <w:p>
            <w:pPr>
              <w:pStyle w:val="Compact"/>
              <w:jc w:val="left"/>
            </w:pPr>
            <w:r>
              <w:t xml:space="preserve">207,57</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0.128</w:t>
            </w:r>
          </w:p>
        </w:tc>
      </w:tr>
      <w:tr>
        <w:tc>
          <w:tcPr/>
          <w:p>
            <w:pPr>
              <w:pStyle w:val="Compact"/>
              <w:jc w:val="left"/>
            </w:pPr>
            <w:r>
              <w:t xml:space="preserve">09/03/2022</w:t>
            </w:r>
          </w:p>
        </w:tc>
        <w:tc>
          <w:tcPr/>
          <w:p>
            <w:pPr>
              <w:pStyle w:val="Compact"/>
              <w:jc w:val="left"/>
            </w:pPr>
            <w:r>
              <w:t xml:space="preserve">272,51</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0.192</w:t>
            </w:r>
          </w:p>
        </w:tc>
      </w:tr>
      <w:tr>
        <w:tc>
          <w:tcPr/>
          <w:p>
            <w:pPr>
              <w:pStyle w:val="Compact"/>
              <w:jc w:val="left"/>
            </w:pPr>
            <w:r>
              <w:t xml:space="preserve">18/04/2022</w:t>
            </w:r>
          </w:p>
        </w:tc>
        <w:tc>
          <w:tcPr/>
          <w:p>
            <w:pPr>
              <w:pStyle w:val="Compact"/>
              <w:jc w:val="left"/>
            </w:pPr>
            <w:r>
              <w:t xml:space="preserve">156,30</w:t>
            </w:r>
          </w:p>
        </w:tc>
        <w:tc>
          <w:tcPr/>
          <w:p>
            <w:pPr>
              <w:pStyle w:val="Compact"/>
              <w:jc w:val="right"/>
            </w:pPr>
            <w:r>
              <w:t xml:space="preserve">0.01538</w:t>
            </w:r>
          </w:p>
        </w:tc>
        <w:tc>
          <w:tcPr/>
          <w:p>
            <w:pPr>
              <w:pStyle w:val="Compact"/>
              <w:jc w:val="left"/>
            </w:pPr>
            <w:r>
              <w:t xml:space="preserve">1,538 %</w:t>
            </w:r>
          </w:p>
        </w:tc>
        <w:tc>
          <w:tcPr/>
          <w:p>
            <w:pPr>
              <w:pStyle w:val="Compact"/>
              <w:jc w:val="left"/>
            </w:pPr>
            <w:r>
              <w:t xml:space="preserve">30/12/2021</w:t>
            </w:r>
          </w:p>
        </w:tc>
        <w:tc>
          <w:tcPr/>
          <w:p>
            <w:pPr>
              <w:pStyle w:val="Compact"/>
              <w:jc w:val="right"/>
            </w:pPr>
            <w:r>
              <w:t xml:space="preserve">0.303</w:t>
            </w:r>
          </w:p>
        </w:tc>
      </w:tr>
      <w:tr>
        <w:tc>
          <w:tcPr/>
          <w:p>
            <w:pPr>
              <w:pStyle w:val="Compact"/>
              <w:jc w:val="left"/>
            </w:pPr>
            <w:r>
              <w:t xml:space="preserve">20/06/2022</w:t>
            </w:r>
          </w:p>
        </w:tc>
        <w:tc>
          <w:tcPr/>
          <w:p>
            <w:pPr>
              <w:pStyle w:val="Compact"/>
              <w:jc w:val="left"/>
            </w:pPr>
            <w:r>
              <w:t xml:space="preserve">20,03</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0.478</w:t>
            </w:r>
          </w:p>
        </w:tc>
      </w:tr>
      <w:tr>
        <w:tc>
          <w:tcPr/>
          <w:p>
            <w:pPr>
              <w:pStyle w:val="Compact"/>
              <w:jc w:val="left"/>
            </w:pPr>
            <w:r>
              <w:t xml:space="preserve">18/07/2022</w:t>
            </w:r>
          </w:p>
        </w:tc>
        <w:tc>
          <w:tcPr/>
          <w:p>
            <w:pPr>
              <w:pStyle w:val="Compact"/>
              <w:jc w:val="left"/>
            </w:pPr>
            <w:r>
              <w:t xml:space="preserve">104,51</w:t>
            </w:r>
          </w:p>
        </w:tc>
        <w:tc>
          <w:tcPr/>
          <w:p>
            <w:pPr>
              <w:pStyle w:val="Compact"/>
              <w:jc w:val="right"/>
            </w:pPr>
            <w:r>
              <w:t xml:space="preserve">0.01560</w:t>
            </w:r>
          </w:p>
        </w:tc>
        <w:tc>
          <w:tcPr/>
          <w:p>
            <w:pPr>
              <w:pStyle w:val="Compact"/>
              <w:jc w:val="left"/>
            </w:pPr>
            <w:r>
              <w:t xml:space="preserve">1,560 %</w:t>
            </w:r>
          </w:p>
        </w:tc>
        <w:tc>
          <w:tcPr/>
          <w:p>
            <w:pPr>
              <w:pStyle w:val="Compact"/>
              <w:jc w:val="left"/>
            </w:pPr>
            <w:r>
              <w:t xml:space="preserve">30/12/2021</w:t>
            </w:r>
          </w:p>
        </w:tc>
        <w:tc>
          <w:tcPr/>
          <w:p>
            <w:pPr>
              <w:pStyle w:val="Compact"/>
              <w:jc w:val="right"/>
            </w:pPr>
            <w:r>
              <w:t xml:space="preserve">0.556</w:t>
            </w:r>
          </w:p>
        </w:tc>
      </w:tr>
      <w:tr>
        <w:tc>
          <w:tcPr/>
          <w:p>
            <w:pPr>
              <w:pStyle w:val="Compact"/>
              <w:jc w:val="left"/>
            </w:pPr>
            <w:r>
              <w:t xml:space="preserve">19/09/2022</w:t>
            </w:r>
          </w:p>
        </w:tc>
        <w:tc>
          <w:tcPr/>
          <w:p>
            <w:pPr>
              <w:pStyle w:val="Compact"/>
              <w:jc w:val="left"/>
            </w:pPr>
            <w:r>
              <w:t xml:space="preserve">252,40</w:t>
            </w:r>
          </w:p>
        </w:tc>
        <w:tc>
          <w:tcPr/>
          <w:p>
            <w:pPr>
              <w:pStyle w:val="Compact"/>
              <w:jc w:val="right"/>
            </w:pPr>
            <w:r>
              <w:t xml:space="preserve">0.01564</w:t>
            </w:r>
          </w:p>
        </w:tc>
        <w:tc>
          <w:tcPr/>
          <w:p>
            <w:pPr>
              <w:pStyle w:val="Compact"/>
              <w:jc w:val="left"/>
            </w:pPr>
            <w:r>
              <w:t xml:space="preserve">1,564 %</w:t>
            </w:r>
          </w:p>
        </w:tc>
        <w:tc>
          <w:tcPr/>
          <w:p>
            <w:pPr>
              <w:pStyle w:val="Compact"/>
              <w:jc w:val="left"/>
            </w:pPr>
            <w:r>
              <w:t xml:space="preserve">30/12/2021</w:t>
            </w:r>
          </w:p>
        </w:tc>
        <w:tc>
          <w:tcPr/>
          <w:p>
            <w:pPr>
              <w:pStyle w:val="Compact"/>
              <w:jc w:val="right"/>
            </w:pPr>
            <w:r>
              <w:t xml:space="preserve">0.731</w:t>
            </w:r>
          </w:p>
        </w:tc>
      </w:tr>
      <w:tr>
        <w:tc>
          <w:tcPr/>
          <w:p>
            <w:pPr>
              <w:pStyle w:val="Compact"/>
              <w:jc w:val="left"/>
            </w:pPr>
            <w:r>
              <w:t xml:space="preserve">17/10/2022</w:t>
            </w:r>
          </w:p>
        </w:tc>
        <w:tc>
          <w:tcPr/>
          <w:p>
            <w:pPr>
              <w:pStyle w:val="Compact"/>
              <w:jc w:val="left"/>
            </w:pPr>
            <w:r>
              <w:t xml:space="preserve">37,32</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0.808</w:t>
            </w:r>
          </w:p>
        </w:tc>
      </w:tr>
      <w:tr>
        <w:tc>
          <w:tcPr/>
          <w:p>
            <w:pPr>
              <w:pStyle w:val="Compact"/>
              <w:jc w:val="left"/>
            </w:pPr>
            <w:r>
              <w:t xml:space="preserve">14/11/2022</w:t>
            </w:r>
          </w:p>
        </w:tc>
        <w:tc>
          <w:tcPr/>
          <w:p>
            <w:pPr>
              <w:pStyle w:val="Compact"/>
              <w:jc w:val="left"/>
            </w:pPr>
            <w:r>
              <w:t xml:space="preserve">191,54</w:t>
            </w:r>
          </w:p>
        </w:tc>
        <w:tc>
          <w:tcPr/>
          <w:p>
            <w:pPr>
              <w:pStyle w:val="Compact"/>
              <w:jc w:val="right"/>
            </w:pPr>
            <w:r>
              <w:t xml:space="preserve">0.01581</w:t>
            </w:r>
          </w:p>
        </w:tc>
        <w:tc>
          <w:tcPr/>
          <w:p>
            <w:pPr>
              <w:pStyle w:val="Compact"/>
              <w:jc w:val="left"/>
            </w:pPr>
            <w:r>
              <w:t xml:space="preserve">1,581 %</w:t>
            </w:r>
          </w:p>
        </w:tc>
        <w:tc>
          <w:tcPr/>
          <w:p>
            <w:pPr>
              <w:pStyle w:val="Compact"/>
              <w:jc w:val="left"/>
            </w:pPr>
            <w:r>
              <w:t xml:space="preserve">30/12/2021</w:t>
            </w:r>
          </w:p>
        </w:tc>
        <w:tc>
          <w:tcPr/>
          <w:p>
            <w:pPr>
              <w:pStyle w:val="Compact"/>
              <w:jc w:val="right"/>
            </w:pPr>
            <w:r>
              <w:t xml:space="preserve">0.886</w:t>
            </w:r>
          </w:p>
        </w:tc>
      </w:tr>
      <w:tr>
        <w:tc>
          <w:tcPr/>
          <w:p>
            <w:pPr>
              <w:pStyle w:val="Compact"/>
              <w:jc w:val="left"/>
            </w:pPr>
            <w:r>
              <w:t xml:space="preserve">20/03/2023</w:t>
            </w:r>
          </w:p>
        </w:tc>
        <w:tc>
          <w:tcPr/>
          <w:p>
            <w:pPr>
              <w:pStyle w:val="Compact"/>
              <w:jc w:val="left"/>
            </w:pPr>
            <w:r>
              <w:t xml:space="preserve">31,00</w:t>
            </w:r>
          </w:p>
        </w:tc>
        <w:tc>
          <w:tcPr/>
          <w:p>
            <w:pPr>
              <w:pStyle w:val="Compact"/>
              <w:jc w:val="right"/>
            </w:pPr>
            <w:r>
              <w:t xml:space="preserve">0.01650</w:t>
            </w:r>
          </w:p>
        </w:tc>
        <w:tc>
          <w:tcPr/>
          <w:p>
            <w:pPr>
              <w:pStyle w:val="Compact"/>
              <w:jc w:val="left"/>
            </w:pPr>
            <w:r>
              <w:t xml:space="preserve">1,650 %</w:t>
            </w:r>
          </w:p>
        </w:tc>
        <w:tc>
          <w:tcPr/>
          <w:p>
            <w:pPr>
              <w:pStyle w:val="Compact"/>
              <w:jc w:val="left"/>
            </w:pPr>
            <w:r>
              <w:t xml:space="preserve">30/12/2021</w:t>
            </w:r>
          </w:p>
        </w:tc>
        <w:tc>
          <w:tcPr/>
          <w:p>
            <w:pPr>
              <w:pStyle w:val="Compact"/>
              <w:jc w:val="right"/>
            </w:pPr>
            <w:r>
              <w:t xml:space="preserve">1.236</w:t>
            </w:r>
          </w:p>
        </w:tc>
      </w:tr>
    </w:tbl>
    <w:bookmarkEnd w:id="57"/>
    <w:p>
      <w:pPr>
        <w:pStyle w:val="BodyText"/>
      </w:pPr>
      <w:r>
        <w:t xml:space="preserve">Pour cette raison on va suivre les étapes suivantes pour la construction de la courbe des taux zéro-coupon :</w:t>
      </w:r>
    </w:p>
    <w:p>
      <w:pPr>
        <w:numPr>
          <w:ilvl w:val="0"/>
          <w:numId w:val="1008"/>
        </w:numPr>
        <w:pStyle w:val="Compact"/>
      </w:pPr>
      <w:r>
        <w:t xml:space="preserve">1ere étape : Transformation des taux monétaires en taux actuariels.</w:t>
      </w:r>
    </w:p>
    <w:p>
      <w:pPr>
        <w:numPr>
          <w:ilvl w:val="0"/>
          <w:numId w:val="1008"/>
        </w:numPr>
        <w:pStyle w:val="Compact"/>
      </w:pPr>
      <w:r>
        <w:t xml:space="preserve">2eme étape : Interpolation linéaire afin d’obtenir des taux actuariels pour des maturités pleines.</w:t>
      </w:r>
    </w:p>
    <w:p>
      <w:pPr>
        <w:numPr>
          <w:ilvl w:val="0"/>
          <w:numId w:val="1008"/>
        </w:numPr>
        <w:pStyle w:val="Compact"/>
      </w:pPr>
      <w:r>
        <w:t xml:space="preserve">3eme étape : Calcule des taux zéro coupons à partir des taux actuariels des maturités pleines par la Méthode du Bootstrap.</w:t>
      </w:r>
    </w:p>
    <w:p>
      <w:pPr>
        <w:numPr>
          <w:ilvl w:val="0"/>
          <w:numId w:val="1008"/>
        </w:numPr>
        <w:pStyle w:val="Compact"/>
      </w:pPr>
      <w:r>
        <w:t xml:space="preserve">4eme étape : Extrapolation de la courbe des taux zéro-coupon pour des maturités non observées lointaines par la méthode de Smith-Wilson</w:t>
      </w:r>
    </w:p>
    <w:bookmarkStart w:id="59" w:name="Xcbe522a13d0cf3ed962fdea859902dd7c035635"/>
    <w:p>
      <w:pPr>
        <w:pStyle w:val="Heading3"/>
      </w:pPr>
      <w:r>
        <w:t xml:space="preserve">5.1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58"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0.050</w:t>
            </w:r>
          </w:p>
        </w:tc>
        <w:tc>
          <w:tcPr/>
          <w:p>
            <w:pPr>
              <w:pStyle w:val="Compact"/>
              <w:jc w:val="right"/>
            </w:pPr>
            <w:r>
              <w:t xml:space="preserve">0.01563</w:t>
            </w:r>
          </w:p>
        </w:tc>
        <w:tc>
          <w:tcPr/>
          <w:p>
            <w:pPr>
              <w:pStyle w:val="Compact"/>
              <w:jc w:val="left"/>
            </w:pPr>
            <w:r>
              <w:t xml:space="preserve">1,563%</w:t>
            </w:r>
          </w:p>
        </w:tc>
      </w:tr>
      <w:tr>
        <w:tc>
          <w:tcPr/>
          <w:p>
            <w:pPr>
              <w:pStyle w:val="Compact"/>
              <w:jc w:val="right"/>
            </w:pPr>
            <w:r>
              <w:t xml:space="preserve">0.128</w:t>
            </w:r>
          </w:p>
        </w:tc>
        <w:tc>
          <w:tcPr/>
          <w:p>
            <w:pPr>
              <w:pStyle w:val="Compact"/>
              <w:jc w:val="right"/>
            </w:pPr>
            <w:r>
              <w:t xml:space="preserve">0.01562</w:t>
            </w:r>
          </w:p>
        </w:tc>
        <w:tc>
          <w:tcPr/>
          <w:p>
            <w:pPr>
              <w:pStyle w:val="Compact"/>
              <w:jc w:val="left"/>
            </w:pPr>
            <w:r>
              <w:t xml:space="preserve">1,562%</w:t>
            </w:r>
          </w:p>
        </w:tc>
      </w:tr>
      <w:tr>
        <w:tc>
          <w:tcPr/>
          <w:p>
            <w:pPr>
              <w:pStyle w:val="Compact"/>
              <w:jc w:val="right"/>
            </w:pPr>
            <w:r>
              <w:t xml:space="preserve">0.192</w:t>
            </w:r>
          </w:p>
        </w:tc>
        <w:tc>
          <w:tcPr/>
          <w:p>
            <w:pPr>
              <w:pStyle w:val="Compact"/>
              <w:jc w:val="right"/>
            </w:pPr>
            <w:r>
              <w:t xml:space="preserve">0.01561</w:t>
            </w:r>
          </w:p>
        </w:tc>
        <w:tc>
          <w:tcPr/>
          <w:p>
            <w:pPr>
              <w:pStyle w:val="Compact"/>
              <w:jc w:val="left"/>
            </w:pPr>
            <w:r>
              <w:t xml:space="preserve">1,561%</w:t>
            </w:r>
          </w:p>
        </w:tc>
      </w:tr>
      <w:tr>
        <w:tc>
          <w:tcPr/>
          <w:p>
            <w:pPr>
              <w:pStyle w:val="Compact"/>
              <w:jc w:val="right"/>
            </w:pPr>
            <w:r>
              <w:t xml:space="preserve">0.303</w:t>
            </w:r>
          </w:p>
        </w:tc>
        <w:tc>
          <w:tcPr/>
          <w:p>
            <w:pPr>
              <w:pStyle w:val="Compact"/>
              <w:jc w:val="right"/>
            </w:pPr>
            <w:r>
              <w:t xml:space="preserve">0.01568</w:t>
            </w:r>
          </w:p>
        </w:tc>
        <w:tc>
          <w:tcPr/>
          <w:p>
            <w:pPr>
              <w:pStyle w:val="Compact"/>
              <w:jc w:val="left"/>
            </w:pPr>
            <w:r>
              <w:t xml:space="preserve">1,568%</w:t>
            </w:r>
          </w:p>
        </w:tc>
      </w:tr>
      <w:tr>
        <w:tc>
          <w:tcPr/>
          <w:p>
            <w:pPr>
              <w:pStyle w:val="Compact"/>
              <w:jc w:val="right"/>
            </w:pPr>
            <w:r>
              <w:t xml:space="preserve">0.478</w:t>
            </w:r>
          </w:p>
        </w:tc>
        <w:tc>
          <w:tcPr/>
          <w:p>
            <w:pPr>
              <w:pStyle w:val="Compact"/>
              <w:jc w:val="right"/>
            </w:pPr>
            <w:r>
              <w:t xml:space="preserve">0.01599</w:t>
            </w:r>
          </w:p>
        </w:tc>
        <w:tc>
          <w:tcPr/>
          <w:p>
            <w:pPr>
              <w:pStyle w:val="Compact"/>
              <w:jc w:val="left"/>
            </w:pPr>
            <w:r>
              <w:t xml:space="preserve">1,599%</w:t>
            </w:r>
          </w:p>
        </w:tc>
      </w:tr>
      <w:tr>
        <w:tc>
          <w:tcPr/>
          <w:p>
            <w:pPr>
              <w:pStyle w:val="Compact"/>
              <w:jc w:val="right"/>
            </w:pPr>
            <w:r>
              <w:t xml:space="preserve">0.556</w:t>
            </w:r>
          </w:p>
        </w:tc>
        <w:tc>
          <w:tcPr/>
          <w:p>
            <w:pPr>
              <w:pStyle w:val="Compact"/>
              <w:jc w:val="right"/>
            </w:pPr>
            <w:r>
              <w:t xml:space="preserve">0.01587</w:t>
            </w:r>
          </w:p>
        </w:tc>
        <w:tc>
          <w:tcPr/>
          <w:p>
            <w:pPr>
              <w:pStyle w:val="Compact"/>
              <w:jc w:val="left"/>
            </w:pPr>
            <w:r>
              <w:t xml:space="preserve">1,587%</w:t>
            </w:r>
          </w:p>
        </w:tc>
      </w:tr>
      <w:tr>
        <w:tc>
          <w:tcPr/>
          <w:p>
            <w:pPr>
              <w:pStyle w:val="Compact"/>
              <w:jc w:val="right"/>
            </w:pPr>
            <w:r>
              <w:t xml:space="preserve">0.731</w:t>
            </w:r>
          </w:p>
        </w:tc>
        <w:tc>
          <w:tcPr/>
          <w:p>
            <w:pPr>
              <w:pStyle w:val="Compact"/>
              <w:jc w:val="right"/>
            </w:pPr>
            <w:r>
              <w:t xml:space="preserve">0.01589</w:t>
            </w:r>
          </w:p>
        </w:tc>
        <w:tc>
          <w:tcPr/>
          <w:p>
            <w:pPr>
              <w:pStyle w:val="Compact"/>
              <w:jc w:val="left"/>
            </w:pPr>
            <w:r>
              <w:t xml:space="preserve">1,589%</w:t>
            </w:r>
          </w:p>
        </w:tc>
      </w:tr>
      <w:tr>
        <w:tc>
          <w:tcPr/>
          <w:p>
            <w:pPr>
              <w:pStyle w:val="Compact"/>
              <w:jc w:val="right"/>
            </w:pPr>
            <w:r>
              <w:t xml:space="preserve">0.808</w:t>
            </w:r>
          </w:p>
        </w:tc>
        <w:tc>
          <w:tcPr/>
          <w:p>
            <w:pPr>
              <w:pStyle w:val="Compact"/>
              <w:jc w:val="right"/>
            </w:pPr>
            <w:r>
              <w:t xml:space="preserve">0.01594</w:t>
            </w:r>
          </w:p>
        </w:tc>
        <w:tc>
          <w:tcPr/>
          <w:p>
            <w:pPr>
              <w:pStyle w:val="Compact"/>
              <w:jc w:val="left"/>
            </w:pPr>
            <w:r>
              <w:t xml:space="preserve">1,594%</w:t>
            </w:r>
          </w:p>
        </w:tc>
      </w:tr>
      <w:tr>
        <w:tc>
          <w:tcPr/>
          <w:p>
            <w:pPr>
              <w:pStyle w:val="Compact"/>
              <w:jc w:val="right"/>
            </w:pPr>
            <w:r>
              <w:t xml:space="preserve">0.886</w:t>
            </w:r>
          </w:p>
        </w:tc>
        <w:tc>
          <w:tcPr/>
          <w:p>
            <w:pPr>
              <w:pStyle w:val="Compact"/>
              <w:jc w:val="right"/>
            </w:pPr>
            <w:r>
              <w:t xml:space="preserve">0.01605</w:t>
            </w:r>
          </w:p>
        </w:tc>
        <w:tc>
          <w:tcPr/>
          <w:p>
            <w:pPr>
              <w:pStyle w:val="Compact"/>
              <w:jc w:val="left"/>
            </w:pPr>
            <w:r>
              <w:t xml:space="preserve">1,605%</w:t>
            </w:r>
          </w:p>
        </w:tc>
      </w:tr>
      <w:tr>
        <w:tc>
          <w:tcPr/>
          <w:p>
            <w:pPr>
              <w:pStyle w:val="Compact"/>
              <w:jc w:val="right"/>
            </w:pPr>
            <w:r>
              <w:t xml:space="preserve">1.236</w:t>
            </w:r>
          </w:p>
        </w:tc>
        <w:tc>
          <w:tcPr/>
          <w:p>
            <w:pPr>
              <w:pStyle w:val="Compact"/>
              <w:jc w:val="right"/>
            </w:pPr>
            <w:r>
              <w:t xml:space="preserve">0.01650</w:t>
            </w:r>
          </w:p>
        </w:tc>
        <w:tc>
          <w:tcPr/>
          <w:p>
            <w:pPr>
              <w:pStyle w:val="Compact"/>
              <w:jc w:val="left"/>
            </w:pPr>
            <w:r>
              <w:t xml:space="preserve">1,65%</w:t>
            </w:r>
          </w:p>
        </w:tc>
      </w:tr>
    </w:tbl>
    <w:bookmarkEnd w:id="58"/>
    <w:bookmarkEnd w:id="59"/>
    <w:bookmarkStart w:id="61" w:name="X96b896b92b42645ba88a707007c4252bf9e5cd7"/>
    <w:p>
      <w:pPr>
        <w:pStyle w:val="Heading3"/>
      </w:pPr>
      <w:r>
        <w:t xml:space="preserve">5.2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60"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0.01732</w:t>
            </w:r>
          </w:p>
        </w:tc>
        <w:tc>
          <w:tcPr/>
          <w:p>
            <w:pPr>
              <w:pStyle w:val="Compact"/>
              <w:jc w:val="left"/>
            </w:pPr>
            <w:r>
              <w:t xml:space="preserve">1,732%</w:t>
            </w:r>
          </w:p>
        </w:tc>
      </w:tr>
      <w:tr>
        <w:tc>
          <w:tcPr/>
          <w:p>
            <w:pPr>
              <w:pStyle w:val="Compact"/>
              <w:jc w:val="right"/>
            </w:pPr>
            <w:r>
              <w:t xml:space="preserve">3</w:t>
            </w:r>
          </w:p>
        </w:tc>
        <w:tc>
          <w:tcPr/>
          <w:p>
            <w:pPr>
              <w:pStyle w:val="Compact"/>
              <w:jc w:val="right"/>
            </w:pPr>
            <w:r>
              <w:t xml:space="preserve">0.01823</w:t>
            </w:r>
          </w:p>
        </w:tc>
        <w:tc>
          <w:tcPr/>
          <w:p>
            <w:pPr>
              <w:pStyle w:val="Compact"/>
              <w:jc w:val="left"/>
            </w:pPr>
            <w:r>
              <w:t xml:space="preserve">1,823%</w:t>
            </w:r>
          </w:p>
        </w:tc>
      </w:tr>
      <w:tr>
        <w:tc>
          <w:tcPr/>
          <w:p>
            <w:pPr>
              <w:pStyle w:val="Compact"/>
              <w:jc w:val="right"/>
            </w:pPr>
            <w:r>
              <w:t xml:space="preserve">4</w:t>
            </w:r>
          </w:p>
        </w:tc>
        <w:tc>
          <w:tcPr/>
          <w:p>
            <w:pPr>
              <w:pStyle w:val="Compact"/>
              <w:jc w:val="right"/>
            </w:pPr>
            <w:r>
              <w:t xml:space="preserve">0.01908</w:t>
            </w:r>
          </w:p>
        </w:tc>
        <w:tc>
          <w:tcPr/>
          <w:p>
            <w:pPr>
              <w:pStyle w:val="Compact"/>
              <w:jc w:val="left"/>
            </w:pPr>
            <w:r>
              <w:t xml:space="preserve">1,908%</w:t>
            </w:r>
          </w:p>
        </w:tc>
      </w:tr>
      <w:tr>
        <w:tc>
          <w:tcPr/>
          <w:p>
            <w:pPr>
              <w:pStyle w:val="Compact"/>
              <w:jc w:val="right"/>
            </w:pPr>
            <w:r>
              <w:t xml:space="preserve">5</w:t>
            </w:r>
          </w:p>
        </w:tc>
        <w:tc>
          <w:tcPr/>
          <w:p>
            <w:pPr>
              <w:pStyle w:val="Compact"/>
              <w:jc w:val="right"/>
            </w:pPr>
            <w:r>
              <w:t xml:space="preserve">0.01976</w:t>
            </w:r>
          </w:p>
        </w:tc>
        <w:tc>
          <w:tcPr/>
          <w:p>
            <w:pPr>
              <w:pStyle w:val="Compact"/>
              <w:jc w:val="left"/>
            </w:pPr>
            <w:r>
              <w:t xml:space="preserve">1,976%</w:t>
            </w:r>
          </w:p>
        </w:tc>
      </w:tr>
      <w:tr>
        <w:tc>
          <w:tcPr/>
          <w:p>
            <w:pPr>
              <w:pStyle w:val="Compact"/>
              <w:jc w:val="right"/>
            </w:pPr>
            <w:r>
              <w:t xml:space="preserve">6</w:t>
            </w:r>
          </w:p>
        </w:tc>
        <w:tc>
          <w:tcPr/>
          <w:p>
            <w:pPr>
              <w:pStyle w:val="Compact"/>
              <w:jc w:val="right"/>
            </w:pPr>
            <w:r>
              <w:t xml:space="preserve">0.02081</w:t>
            </w:r>
          </w:p>
        </w:tc>
        <w:tc>
          <w:tcPr/>
          <w:p>
            <w:pPr>
              <w:pStyle w:val="Compact"/>
              <w:jc w:val="left"/>
            </w:pPr>
            <w:r>
              <w:t xml:space="preserve">2,081%</w:t>
            </w:r>
          </w:p>
        </w:tc>
      </w:tr>
      <w:tr>
        <w:tc>
          <w:tcPr/>
          <w:p>
            <w:pPr>
              <w:pStyle w:val="Compact"/>
              <w:jc w:val="right"/>
            </w:pPr>
            <w:r>
              <w:t xml:space="preserve">7</w:t>
            </w:r>
          </w:p>
        </w:tc>
        <w:tc>
          <w:tcPr/>
          <w:p>
            <w:pPr>
              <w:pStyle w:val="Compact"/>
              <w:jc w:val="right"/>
            </w:pPr>
            <w:r>
              <w:t xml:space="preserve">0.02117</w:t>
            </w:r>
          </w:p>
        </w:tc>
        <w:tc>
          <w:tcPr/>
          <w:p>
            <w:pPr>
              <w:pStyle w:val="Compact"/>
              <w:jc w:val="left"/>
            </w:pPr>
            <w:r>
              <w:t xml:space="preserve">2,117%</w:t>
            </w:r>
          </w:p>
        </w:tc>
      </w:tr>
      <w:tr>
        <w:tc>
          <w:tcPr/>
          <w:p>
            <w:pPr>
              <w:pStyle w:val="Compact"/>
              <w:jc w:val="right"/>
            </w:pPr>
            <w:r>
              <w:t xml:space="preserve">8</w:t>
            </w:r>
          </w:p>
        </w:tc>
        <w:tc>
          <w:tcPr/>
          <w:p>
            <w:pPr>
              <w:pStyle w:val="Compact"/>
              <w:jc w:val="right"/>
            </w:pPr>
            <w:r>
              <w:t xml:space="preserve">0.02157</w:t>
            </w:r>
          </w:p>
        </w:tc>
        <w:tc>
          <w:tcPr/>
          <w:p>
            <w:pPr>
              <w:pStyle w:val="Compact"/>
              <w:jc w:val="left"/>
            </w:pPr>
            <w:r>
              <w:t xml:space="preserve">2,157%</w:t>
            </w:r>
          </w:p>
        </w:tc>
      </w:tr>
      <w:tr>
        <w:tc>
          <w:tcPr/>
          <w:p>
            <w:pPr>
              <w:pStyle w:val="Compact"/>
              <w:jc w:val="right"/>
            </w:pPr>
            <w:r>
              <w:t xml:space="preserve">9</w:t>
            </w:r>
          </w:p>
        </w:tc>
        <w:tc>
          <w:tcPr/>
          <w:p>
            <w:pPr>
              <w:pStyle w:val="Compact"/>
              <w:jc w:val="right"/>
            </w:pPr>
            <w:r>
              <w:t xml:space="preserve">0.02247</w:t>
            </w:r>
          </w:p>
        </w:tc>
        <w:tc>
          <w:tcPr/>
          <w:p>
            <w:pPr>
              <w:pStyle w:val="Compact"/>
              <w:jc w:val="left"/>
            </w:pPr>
            <w:r>
              <w:t xml:space="preserve">2,247%</w:t>
            </w:r>
          </w:p>
        </w:tc>
      </w:tr>
      <w:tr>
        <w:tc>
          <w:tcPr/>
          <w:p>
            <w:pPr>
              <w:pStyle w:val="Compact"/>
              <w:jc w:val="right"/>
            </w:pPr>
            <w:r>
              <w:t xml:space="preserve">10</w:t>
            </w:r>
          </w:p>
        </w:tc>
        <w:tc>
          <w:tcPr/>
          <w:p>
            <w:pPr>
              <w:pStyle w:val="Compact"/>
              <w:jc w:val="right"/>
            </w:pPr>
            <w:r>
              <w:t xml:space="preserve">0.02318</w:t>
            </w:r>
          </w:p>
        </w:tc>
        <w:tc>
          <w:tcPr/>
          <w:p>
            <w:pPr>
              <w:pStyle w:val="Compact"/>
              <w:jc w:val="left"/>
            </w:pPr>
            <w:r>
              <w:t xml:space="preserve">2,318%</w:t>
            </w:r>
          </w:p>
        </w:tc>
      </w:tr>
    </w:tbl>
    <w:bookmarkEnd w:id="60"/>
    <w:bookmarkEnd w:id="61"/>
    <w:bookmarkStart w:id="63" w:name="la-méthode-de-bootstrap"/>
    <w:p>
      <w:pPr>
        <w:pStyle w:val="Heading3"/>
      </w:pPr>
      <w:r>
        <w:t xml:space="preserve">5.3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9"/>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10"/>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En effet, on a supposé que le prix théorique d’une obligation correspond à la somme de ses flux futures actualisés aux taux zéro-coupon de l’échéance de chaque flux:</w:t>
      </w:r>
    </w:p>
    <w:p>
      <w:pPr>
        <w:pStyle w:val="BodyText"/>
      </w:pPr>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62" w:name="tbl-taux_zc"/>
    <w:p>
      <w:pPr>
        <w:pStyle w:val="TableCaption"/>
      </w:pPr>
      <w:r>
        <w:t xml:space="preserve">Table 5: Transformation du taux actuariel en taux ZC avec la méthode Boostrap</w:t>
      </w:r>
    </w:p>
    <w:tbl>
      <w:tblPr>
        <w:tblStyle w:val="Table"/>
        <w:tblW w:type="auto" w:w="0"/>
        <w:tblLook w:firstRow="1" w:lastRow="0" w:firstColumn="0" w:lastColumn="0" w:noHBand="0" w:noVBand="0" w:val="0020"/>
        <w:tblCaption w:val="Table 5: Transformation du taux actuariel en taux ZC avec la méthode Boo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0.01733</w:t>
            </w:r>
          </w:p>
        </w:tc>
        <w:tc>
          <w:tcPr/>
          <w:p>
            <w:pPr>
              <w:pStyle w:val="Compact"/>
              <w:jc w:val="left"/>
            </w:pPr>
            <w:r>
              <w:t xml:space="preserve">1,733%</w:t>
            </w:r>
          </w:p>
        </w:tc>
      </w:tr>
      <w:tr>
        <w:tc>
          <w:tcPr/>
          <w:p>
            <w:pPr>
              <w:pStyle w:val="Compact"/>
              <w:jc w:val="right"/>
            </w:pPr>
            <w:r>
              <w:t xml:space="preserve">3</w:t>
            </w:r>
          </w:p>
        </w:tc>
        <w:tc>
          <w:tcPr/>
          <w:p>
            <w:pPr>
              <w:pStyle w:val="Compact"/>
              <w:jc w:val="right"/>
            </w:pPr>
            <w:r>
              <w:t xml:space="preserve">0.01825</w:t>
            </w:r>
          </w:p>
        </w:tc>
        <w:tc>
          <w:tcPr/>
          <w:p>
            <w:pPr>
              <w:pStyle w:val="Compact"/>
              <w:jc w:val="left"/>
            </w:pPr>
            <w:r>
              <w:t xml:space="preserve">1,825%</w:t>
            </w:r>
          </w:p>
        </w:tc>
      </w:tr>
      <w:tr>
        <w:tc>
          <w:tcPr/>
          <w:p>
            <w:pPr>
              <w:pStyle w:val="Compact"/>
              <w:jc w:val="right"/>
            </w:pPr>
            <w:r>
              <w:t xml:space="preserve">4</w:t>
            </w:r>
          </w:p>
        </w:tc>
        <w:tc>
          <w:tcPr/>
          <w:p>
            <w:pPr>
              <w:pStyle w:val="Compact"/>
              <w:jc w:val="right"/>
            </w:pPr>
            <w:r>
              <w:t xml:space="preserve">0.01912</w:t>
            </w:r>
          </w:p>
        </w:tc>
        <w:tc>
          <w:tcPr/>
          <w:p>
            <w:pPr>
              <w:pStyle w:val="Compact"/>
              <w:jc w:val="left"/>
            </w:pPr>
            <w:r>
              <w:t xml:space="preserve">1,912%</w:t>
            </w:r>
          </w:p>
        </w:tc>
      </w:tr>
      <w:tr>
        <w:tc>
          <w:tcPr/>
          <w:p>
            <w:pPr>
              <w:pStyle w:val="Compact"/>
              <w:jc w:val="right"/>
            </w:pPr>
            <w:r>
              <w:t xml:space="preserve">5</w:t>
            </w:r>
          </w:p>
        </w:tc>
        <w:tc>
          <w:tcPr/>
          <w:p>
            <w:pPr>
              <w:pStyle w:val="Compact"/>
              <w:jc w:val="right"/>
            </w:pPr>
            <w:r>
              <w:t xml:space="preserve">0.01982</w:t>
            </w:r>
          </w:p>
        </w:tc>
        <w:tc>
          <w:tcPr/>
          <w:p>
            <w:pPr>
              <w:pStyle w:val="Compact"/>
              <w:jc w:val="left"/>
            </w:pPr>
            <w:r>
              <w:t xml:space="preserve">1,982%</w:t>
            </w:r>
          </w:p>
        </w:tc>
      </w:tr>
      <w:tr>
        <w:tc>
          <w:tcPr/>
          <w:p>
            <w:pPr>
              <w:pStyle w:val="Compact"/>
              <w:jc w:val="right"/>
            </w:pPr>
            <w:r>
              <w:t xml:space="preserve">6</w:t>
            </w:r>
          </w:p>
        </w:tc>
        <w:tc>
          <w:tcPr/>
          <w:p>
            <w:pPr>
              <w:pStyle w:val="Compact"/>
              <w:jc w:val="right"/>
            </w:pPr>
            <w:r>
              <w:t xml:space="preserve">0.02092</w:t>
            </w:r>
          </w:p>
        </w:tc>
        <w:tc>
          <w:tcPr/>
          <w:p>
            <w:pPr>
              <w:pStyle w:val="Compact"/>
              <w:jc w:val="left"/>
            </w:pPr>
            <w:r>
              <w:t xml:space="preserve">2,092%</w:t>
            </w:r>
          </w:p>
        </w:tc>
      </w:tr>
      <w:tr>
        <w:tc>
          <w:tcPr/>
          <w:p>
            <w:pPr>
              <w:pStyle w:val="Compact"/>
              <w:jc w:val="right"/>
            </w:pPr>
            <w:r>
              <w:t xml:space="preserve">7</w:t>
            </w:r>
          </w:p>
        </w:tc>
        <w:tc>
          <w:tcPr/>
          <w:p>
            <w:pPr>
              <w:pStyle w:val="Compact"/>
              <w:jc w:val="right"/>
            </w:pPr>
            <w:r>
              <w:t xml:space="preserve">0.02129</w:t>
            </w:r>
          </w:p>
        </w:tc>
        <w:tc>
          <w:tcPr/>
          <w:p>
            <w:pPr>
              <w:pStyle w:val="Compact"/>
              <w:jc w:val="left"/>
            </w:pPr>
            <w:r>
              <w:t xml:space="preserve">2,129%</w:t>
            </w:r>
          </w:p>
        </w:tc>
      </w:tr>
      <w:tr>
        <w:tc>
          <w:tcPr/>
          <w:p>
            <w:pPr>
              <w:pStyle w:val="Compact"/>
              <w:jc w:val="right"/>
            </w:pPr>
            <w:r>
              <w:t xml:space="preserve">8</w:t>
            </w:r>
          </w:p>
        </w:tc>
        <w:tc>
          <w:tcPr/>
          <w:p>
            <w:pPr>
              <w:pStyle w:val="Compact"/>
              <w:jc w:val="right"/>
            </w:pPr>
            <w:r>
              <w:t xml:space="preserve">0.02171</w:t>
            </w:r>
          </w:p>
        </w:tc>
        <w:tc>
          <w:tcPr/>
          <w:p>
            <w:pPr>
              <w:pStyle w:val="Compact"/>
              <w:jc w:val="left"/>
            </w:pPr>
            <w:r>
              <w:t xml:space="preserve">2,171%</w:t>
            </w:r>
          </w:p>
        </w:tc>
      </w:tr>
      <w:tr>
        <w:tc>
          <w:tcPr/>
          <w:p>
            <w:pPr>
              <w:pStyle w:val="Compact"/>
              <w:jc w:val="right"/>
            </w:pPr>
            <w:r>
              <w:t xml:space="preserve">9</w:t>
            </w:r>
          </w:p>
        </w:tc>
        <w:tc>
          <w:tcPr/>
          <w:p>
            <w:pPr>
              <w:pStyle w:val="Compact"/>
              <w:jc w:val="right"/>
            </w:pPr>
            <w:r>
              <w:t xml:space="preserve">0.02269</w:t>
            </w:r>
          </w:p>
        </w:tc>
        <w:tc>
          <w:tcPr/>
          <w:p>
            <w:pPr>
              <w:pStyle w:val="Compact"/>
              <w:jc w:val="left"/>
            </w:pPr>
            <w:r>
              <w:t xml:space="preserve">2,269%</w:t>
            </w:r>
          </w:p>
        </w:tc>
      </w:tr>
      <w:tr>
        <w:tc>
          <w:tcPr/>
          <w:p>
            <w:pPr>
              <w:pStyle w:val="Compact"/>
              <w:jc w:val="right"/>
            </w:pPr>
            <w:r>
              <w:t xml:space="preserve">10</w:t>
            </w:r>
          </w:p>
        </w:tc>
        <w:tc>
          <w:tcPr/>
          <w:p>
            <w:pPr>
              <w:pStyle w:val="Compact"/>
              <w:jc w:val="right"/>
            </w:pPr>
            <w:r>
              <w:t xml:space="preserve">0.02346</w:t>
            </w:r>
          </w:p>
        </w:tc>
        <w:tc>
          <w:tcPr/>
          <w:p>
            <w:pPr>
              <w:pStyle w:val="Compact"/>
              <w:jc w:val="left"/>
            </w:pPr>
            <w:r>
              <w:t xml:space="preserve">2,346%</w:t>
            </w:r>
          </w:p>
        </w:tc>
      </w:tr>
    </w:tbl>
    <w:bookmarkEnd w:id="62"/>
    <w:bookmarkEnd w:id="63"/>
    <w:bookmarkStart w:id="64" w:name="X336f36db0687334b747abecf8d379445810500d"/>
    <w:p>
      <w:pPr>
        <w:pStyle w:val="Heading3"/>
      </w:pPr>
      <w:r>
        <w:t xml:space="preserve">5.4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11"/>
        </w:numPr>
        <w:pStyle w:val="Compact"/>
      </w:pPr>
      <w:r>
        <w:t xml:space="preserve">le UFR (Ultimate Forward Rate)</w:t>
      </w:r>
    </w:p>
    <w:p>
      <w:pPr>
        <w:numPr>
          <w:ilvl w:val="0"/>
          <w:numId w:val="1011"/>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p>
    <w:p>
      <w:pPr>
        <w:numPr>
          <w:ilvl w:val="0"/>
          <w:numId w:val="1012"/>
        </w:numPr>
        <w:pStyle w:val="Compact"/>
      </w:pPr>
      <m:oMath>
        <m:r>
          <m:t>W</m:t>
        </m:r>
      </m:oMath>
      <w:r>
        <w:t xml:space="preserve"> </w:t>
      </w:r>
      <w:r>
        <w:t xml:space="preserve">représente un ensemble de fonctions à noyau pour chaque prix d’obligation observable d’entrée.</w:t>
      </w:r>
    </w:p>
    <w:p>
      <w:pPr>
        <w:numPr>
          <w:ilvl w:val="0"/>
          <w:numId w:val="1012"/>
        </w:numPr>
        <w:pStyle w:val="Compact"/>
      </w:pPr>
      <m:oMath>
        <m:r>
          <m:t>α</m:t>
        </m:r>
      </m:oMath>
      <w:r>
        <w:t xml:space="preserve"> </w:t>
      </w:r>
      <w:r>
        <w:t xml:space="preserve">: la vitesse de convergence vers le UFR.</w:t>
      </w:r>
    </w:p>
    <w:p>
      <w:pPr>
        <w:numPr>
          <w:ilvl w:val="0"/>
          <w:numId w:val="1012"/>
        </w:numPr>
        <w:pStyle w:val="Compact"/>
      </w:pPr>
      <m:oMath>
        <m:r>
          <m:t>N</m:t>
        </m:r>
      </m:oMath>
      <w:r>
        <w:t xml:space="preserve">: le nombre d’obligations ZC dont le prix est observésur le marché.</w:t>
      </w:r>
    </w:p>
    <w:p>
      <w:pPr>
        <w:numPr>
          <w:ilvl w:val="0"/>
          <w:numId w:val="1012"/>
        </w:numPr>
        <w:pStyle w:val="Compact"/>
      </w:pPr>
      <m:oMath>
        <m:sSub>
          <m:e>
            <m:r>
              <m:t>u</m:t>
            </m:r>
          </m:e>
          <m:sub>
            <m:r>
              <m:t>j</m:t>
            </m:r>
          </m:sub>
        </m:sSub>
      </m:oMath>
      <w:r>
        <w:t xml:space="preserve">: la j-ème maturité disponible. .</w:t>
      </w:r>
    </w:p>
    <w:p>
      <w:pPr>
        <w:numPr>
          <w:ilvl w:val="0"/>
          <w:numId w:val="1012"/>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w:t>
      </w:r>
      <w:r>
        <w:t xml:space="preserve">,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64"/>
    <w:bookmarkEnd w:id="65"/>
    <w:bookmarkStart w:id="117" w:name="X3c86a714d03aed139a19db084b97b445aa0c8e4"/>
    <w:p>
      <w:pPr>
        <w:pStyle w:val="Heading2"/>
      </w:pPr>
      <w:r>
        <w:t xml:space="preserve">6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13"/>
        </w:numPr>
      </w:pPr>
      <m:oMath>
        <m:r>
          <m:t>P</m:t>
        </m:r>
        <m:r>
          <m:t>T</m:t>
        </m:r>
      </m:oMath>
      <w:r>
        <w:t xml:space="preserve"> </w:t>
      </w:r>
      <w:r>
        <w:t xml:space="preserve">: la provision technique</w:t>
      </w:r>
    </w:p>
    <w:p>
      <w:pPr>
        <w:numPr>
          <w:ilvl w:val="0"/>
          <w:numId w:val="1013"/>
        </w:numPr>
      </w:pPr>
      <m:oMath>
        <m:r>
          <m:t>B</m:t>
        </m:r>
        <m:sSub>
          <m:e>
            <m:r>
              <m:t>E</m:t>
            </m:r>
          </m:e>
          <m:sub>
            <m:r>
              <m:t>e</m:t>
            </m:r>
            <m:r>
              <m:t>n</m:t>
            </m:r>
            <m:r>
              <m:t>g</m:t>
            </m:r>
            <m:r>
              <m:t>a</m:t>
            </m:r>
            <m:r>
              <m:t>g</m:t>
            </m:r>
            <m:r>
              <m:t>e</m:t>
            </m:r>
            <m:r>
              <m:t>m</m:t>
            </m:r>
            <m:r>
              <m:t>e</m:t>
            </m:r>
            <m:r>
              <m:t>n</m:t>
            </m:r>
            <m:r>
              <m:t>t</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13"/>
        </w:numPr>
      </w:pP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13"/>
        </w:numPr>
      </w:pPr>
      <m:oMath>
        <m:r>
          <m:t>M</m:t>
        </m:r>
        <m:r>
          <m:t>a</m:t>
        </m:r>
        <m:r>
          <m:t>r</m:t>
        </m:r>
        <m:r>
          <m:t>g</m:t>
        </m:r>
        <m:r>
          <m:t>e</m:t>
        </m:r>
        <m:r>
          <m:t>R</m:t>
        </m:r>
        <m:r>
          <m:t>i</m:t>
        </m:r>
        <m:r>
          <m:t>s</m:t>
        </m:r>
        <m:r>
          <m:t>q</m:t>
        </m:r>
        <m:r>
          <m:t>u</m:t>
        </m:r>
        <m:r>
          <m:t>e</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75" w:name="X32462c7e3a0a11848884f7548d4747bc280232c"/>
    <w:p>
      <w:pPr>
        <w:pStyle w:val="Heading3"/>
      </w:pPr>
      <w:r>
        <w:t xml:space="preserve">6.1 Opérations d’assurance vie, décès ou capitalisation:</w:t>
      </w:r>
    </w:p>
    <w:bookmarkStart w:id="73" w:name="Xc53c51e1abf3296dd0041db77db5363caf8f222"/>
    <w:p>
      <w:pPr>
        <w:pStyle w:val="Heading4"/>
      </w:pPr>
      <w:r>
        <w:t xml:space="preserve">6.1.1 Meilleure estimations des engagements (</w:t>
      </w:r>
      <m:oMath>
        <m:r>
          <m:t>B</m:t>
        </m:r>
        <m:sSub>
          <m:e>
            <m:r>
              <m:t>E</m:t>
            </m:r>
          </m:e>
          <m:sub>
            <m:r>
              <m:t>e</m:t>
            </m:r>
            <m:r>
              <m:t>n</m:t>
            </m:r>
            <m:r>
              <m:t>g</m:t>
            </m:r>
            <m:r>
              <m:t>a</m:t>
            </m:r>
            <m:r>
              <m:t>g</m:t>
            </m:r>
            <m:r>
              <m:t>e</m:t>
            </m:r>
            <m:r>
              <m:t>m</m:t>
            </m:r>
            <m:r>
              <m:t>e</m:t>
            </m:r>
            <m:r>
              <m:t>n</m:t>
            </m:r>
            <m:r>
              <m:t>t</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sSub>
            <m:e>
              <m:r>
                <m:t>​</m:t>
              </m:r>
            </m:e>
            <m:sub>
              <m:r>
                <m:t>v</m:t>
              </m:r>
              <m:r>
                <m:t>i</m:t>
              </m:r>
              <m:r>
                <m:t>e</m:t>
              </m:r>
            </m:sub>
          </m:sSub>
          <m:r>
            <m:t>B</m:t>
          </m:r>
          <m:sSup>
            <m:e>
              <m:r>
                <m:t>E</m:t>
              </m:r>
            </m:e>
            <m:sup>
              <m:r>
                <m:t>e</m:t>
              </m:r>
              <m:r>
                <m:t>n</m:t>
              </m:r>
              <m:r>
                <m:t>g</m:t>
              </m:r>
              <m:r>
                <m:t>a</m:t>
              </m:r>
              <m:r>
                <m:t>g</m:t>
              </m:r>
              <m:r>
                <m:t>e</m:t>
              </m:r>
              <m:r>
                <m:t>m</m:t>
              </m:r>
              <m:r>
                <m:t>e</m:t>
              </m:r>
              <m:r>
                <m:t>n</m:t>
              </m:r>
              <m:r>
                <m:t>t</m:t>
              </m:r>
            </m:sup>
          </m:sSup>
          <m:r>
            <m:rPr>
              <m:sty m:val="p"/>
            </m:rPr>
            <m:t>=</m:t>
          </m:r>
          <m:r>
            <m:t>B</m:t>
          </m:r>
          <m:sSubSup>
            <m:e>
              <m:r>
                <m:t>E</m:t>
              </m:r>
            </m:e>
            <m:sub>
              <m:r>
                <m:t>g</m:t>
              </m:r>
              <m:r>
                <m:t>a</m:t>
              </m:r>
              <m:r>
                <m:t>r</m:t>
              </m:r>
              <m:r>
                <m:t>a</m:t>
              </m:r>
              <m:r>
                <m:t>n</m:t>
              </m:r>
              <m:r>
                <m:t>t</m:t>
              </m:r>
              <m:r>
                <m:t>i</m:t>
              </m:r>
              <m:r>
                <m:t>e</m:t>
              </m:r>
            </m:sub>
            <m:sup>
              <m:r>
                <m:t>p</m:t>
              </m:r>
              <m:r>
                <m:t>r</m:t>
              </m:r>
              <m:r>
                <m:t>o</m:t>
              </m:r>
              <m:r>
                <m:t>b</m:t>
              </m:r>
            </m:sup>
          </m:sSubSup>
          <m:r>
            <m:rPr>
              <m:sty m:val="p"/>
            </m:rPr>
            <m:t>+</m:t>
          </m:r>
          <m:r>
            <m:t>B</m:t>
          </m:r>
          <m:r>
            <m:t>D</m:t>
          </m:r>
          <m:r>
            <m:t>F</m:t>
          </m:r>
        </m:oMath>
      </m:oMathPara>
    </w:p>
    <w:p>
      <w:pPr>
        <w:pStyle w:val="FirstParagraph"/>
      </w:pPr>
      <w:r>
        <w:t xml:space="preserve">Avec :</w:t>
      </w:r>
    </w:p>
    <w:p>
      <w:pPr>
        <w:numPr>
          <w:ilvl w:val="0"/>
          <w:numId w:val="1014"/>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la meilleure estimation des garanties probabilisées.</w:t>
      </w:r>
    </w:p>
    <w:p>
      <w:pPr>
        <w:numPr>
          <w:ilvl w:val="0"/>
          <w:numId w:val="1014"/>
        </w:numPr>
        <w:pStyle w:val="Compact"/>
      </w:pPr>
      <m:oMath>
        <m:r>
          <m:t>B</m:t>
        </m:r>
        <m:r>
          <m:t>D</m:t>
        </m:r>
        <m:r>
          <m:t>F</m:t>
        </m:r>
      </m:oMath>
      <w:r>
        <w:t xml:space="preserve">: les bénéfices discrétionnaires futurs.</w:t>
      </w:r>
    </w:p>
    <w:bookmarkStart w:id="71" w:name="sec-MEGP"/>
    <w:p>
      <w:pPr>
        <w:pStyle w:val="Heading5"/>
      </w:pPr>
      <w:r>
        <w:t xml:space="preserve">6.1.1.1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sSubSup>
            <m:e>
              <m:r>
                <m:t>E</m:t>
              </m:r>
            </m:e>
            <m:sub>
              <m:r>
                <m:t>g</m:t>
              </m:r>
              <m:r>
                <m:t>a</m:t>
              </m:r>
              <m:r>
                <m:t>r</m:t>
              </m:r>
              <m:r>
                <m:t>a</m:t>
              </m:r>
              <m:r>
                <m:t>n</m:t>
              </m:r>
              <m:r>
                <m:t>t</m:t>
              </m:r>
              <m:r>
                <m:t>i</m:t>
              </m:r>
              <m:r>
                <m:t>e</m:t>
              </m:r>
            </m:sub>
            <m:sup>
              <m:r>
                <m:t>p</m:t>
              </m:r>
              <m:r>
                <m:t>r</m:t>
              </m:r>
              <m:r>
                <m:t>o</m:t>
              </m:r>
              <m:r>
                <m:t>b</m:t>
              </m:r>
            </m:sup>
          </m:sSubSup>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C</m:t>
                      </m:r>
                      <m:sSubSup>
                        <m:e>
                          <m:r>
                            <m:t>F</m:t>
                          </m:r>
                        </m:e>
                        <m:sub>
                          <m:r>
                            <m:t>t</m:t>
                          </m:r>
                        </m:sub>
                        <m:sup>
                          <m:r>
                            <m:t>D</m:t>
                          </m:r>
                          <m:r>
                            <m:t>e</m:t>
                          </m:r>
                          <m:r>
                            <m:t>c</m:t>
                          </m:r>
                        </m:sup>
                      </m:sSubSup>
                      <m:r>
                        <m:rPr>
                          <m:sty m:val="p"/>
                        </m:rPr>
                        <m:t>−</m:t>
                      </m:r>
                      <m:r>
                        <m:t>C</m:t>
                      </m:r>
                      <m:sSubSup>
                        <m:e>
                          <m:r>
                            <m:t>F</m:t>
                          </m:r>
                        </m:e>
                        <m:sub>
                          <m:r>
                            <m:t>t</m:t>
                          </m:r>
                        </m:sub>
                        <m:sup>
                          <m:r>
                            <m:t>E</m:t>
                          </m:r>
                          <m:r>
                            <m:t>n</m:t>
                          </m:r>
                          <m:r>
                            <m:t>c</m:t>
                          </m:r>
                        </m:sup>
                      </m:sSubSup>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15"/>
        </w:numPr>
      </w:pPr>
      <m:oMath>
        <m:r>
          <m:t>C</m:t>
        </m:r>
        <m:sSubSup>
          <m:e>
            <m:r>
              <m:t>F</m:t>
            </m:r>
          </m:e>
          <m:sub>
            <m:r>
              <m:t>t</m:t>
            </m:r>
          </m:sub>
          <m:sup>
            <m:r>
              <m:t>E</m:t>
            </m:r>
            <m:r>
              <m:t>n</m:t>
            </m:r>
            <m:r>
              <m:t>c</m:t>
            </m:r>
          </m:sup>
        </m:sSubSup>
      </m:oMath>
      <w:r>
        <w:t xml:space="preserve">: Les encaissements à la date</w:t>
      </w:r>
      <w:r>
        <w:t xml:space="preserve"> </w:t>
      </w:r>
      <m:oMath>
        <m:r>
          <m:t>t</m:t>
        </m:r>
      </m:oMath>
      <w:r>
        <w:t xml:space="preserve"> </w:t>
      </w:r>
      <w:r>
        <w:t xml:space="preserve">qui correspondent aux engagements des assurés.</w:t>
      </w:r>
    </w:p>
    <w:p>
      <w:pPr>
        <w:numPr>
          <w:ilvl w:val="0"/>
          <w:numId w:val="1015"/>
        </w:numPr>
      </w:pPr>
      <m:oMath>
        <m:r>
          <m:t>C</m:t>
        </m:r>
        <m:sSubSup>
          <m:e>
            <m:r>
              <m:t>F</m:t>
            </m:r>
          </m:e>
          <m:sub>
            <m:r>
              <m:t>t</m:t>
            </m:r>
          </m:sub>
          <m:sup>
            <m:r>
              <m:t>D</m:t>
            </m:r>
            <m:r>
              <m:t>é</m:t>
            </m:r>
            <m:r>
              <m:t>c</m:t>
            </m:r>
          </m:sup>
        </m:sSubSup>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5"/>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15"/>
        </w:numPr>
      </w:pPr>
      <w:r>
        <w:rPr>
          <w:bCs/>
          <w:b/>
        </w:rPr>
        <w:t xml:space="preserve">La table de rachat en montant</w:t>
      </w:r>
      <w:r>
        <w:t xml:space="preserve">.</w:t>
      </w:r>
    </w:p>
    <w:p>
      <w:pPr>
        <w:numPr>
          <w:ilvl w:val="0"/>
          <w:numId w:val="1015"/>
        </w:numPr>
      </w:pPr>
      <w:r>
        <w:rPr>
          <w:bCs/>
          <w:b/>
        </w:rPr>
        <w:t xml:space="preserve">La table de résiliation</w:t>
      </w:r>
      <w:r>
        <w:t xml:space="preserve">.</w:t>
      </w:r>
    </w:p>
    <w:p>
      <w:pPr>
        <w:numPr>
          <w:ilvl w:val="0"/>
          <w:numId w:val="1015"/>
        </w:numPr>
      </w:pPr>
      <w:r>
        <w:rPr>
          <w:bCs/>
          <w:b/>
        </w:rPr>
        <w:t xml:space="preserve">Un taux de sortie en rente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1\RStudio\RESOUR~1\app\bin\quarto\share\formats\docx\tip.png" id="67"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Les flux de trésorerie futurs probabilisés précités sont déterminés en considérant un horizon de projection suffisant pour la couverture de l’ensemble de la durée de vie des engagements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C:\PROGRA~1\RStudio\RESOUR~1\app\bin\quarto\share\formats\docx\tip.png" id="6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after="16"/>
            </w:pPr>
            <w:r>
              <w:t xml:space="preserve">Si on prend l’exemple d’un contrat d’assurance-vie mixte</w:t>
            </w:r>
            <w:r>
              <w:rPr>
                <w:rStyle w:val="FootnoteReference"/>
              </w:rPr>
              <w:footnoteReference w:id="70"/>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r>
                <m:t>P</m:t>
              </m:r>
              <m:r>
                <m:t>o</m:t>
              </m:r>
              <m:r>
                <m:t>l</m:t>
              </m:r>
              <m:r>
                <m:t>i</m:t>
              </m:r>
              <m:r>
                <m:t>c</m:t>
              </m:r>
              <m:sSub>
                <m:e>
                  <m:r>
                    <m:t>e</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r>
                  <m:t>P</m:t>
                </m:r>
                <m:r>
                  <m:t>o</m:t>
                </m:r>
                <m:r>
                  <m:t>l</m:t>
                </m:r>
                <m:r>
                  <m:t>i</m:t>
                </m:r>
                <m:r>
                  <m:t>c</m:t>
                </m:r>
                <m:sSub>
                  <m:e>
                    <m:r>
                      <m:t>e</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tc>
      </w:tr>
    </w:tbl>
    <w:bookmarkEnd w:id="71"/>
    <w:bookmarkStart w:id="72" w:name="bénéfices-discrétionnaires-futurs"/>
    <w:p>
      <w:pPr>
        <w:pStyle w:val="Heading5"/>
      </w:pPr>
      <w:r>
        <w:t xml:space="preserve">6.1.1.2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o</m:t>
              </m:r>
              <m:r>
                <m:t>l</m:t>
              </m:r>
              <m:r>
                <m:t>d</m:t>
              </m:r>
              <m:r>
                <m:t>e</m:t>
              </m:r>
              <m:r>
                <m:t>T</m:t>
              </m:r>
              <m:r>
                <m:rPr>
                  <m:sty m:val="p"/>
                </m:rPr>
                <m:t>+</m:t>
              </m:r>
              <m:r>
                <m:t>S</m:t>
              </m:r>
              <m:r>
                <m:t>o</m:t>
              </m:r>
              <m:r>
                <m:t>l</m:t>
              </m:r>
              <m:r>
                <m:t>d</m:t>
              </m:r>
              <m:r>
                <m:t>e</m:t>
              </m:r>
              <m:r>
                <m:t>F</m:t>
              </m:r>
            </m:e>
          </m:d>
          <m:r>
            <m:rPr>
              <m:sty m:val="p"/>
            </m:rPr>
            <m:t>×</m:t>
          </m:r>
          <m:sSub>
            <m:e>
              <m:r>
                <m:rPr>
                  <m:sty m:val="b"/>
                </m:rPr>
                <m:t>1</m:t>
              </m:r>
            </m:e>
            <m:sub>
              <m:d>
                <m:dPr>
                  <m:begChr m:val="("/>
                  <m:endChr m:val=")"/>
                  <m:sepChr m:val=""/>
                  <m:grow/>
                </m:dPr>
                <m:e>
                  <m:r>
                    <m:t>S</m:t>
                  </m:r>
                  <m:r>
                    <m:t>o</m:t>
                  </m:r>
                  <m:r>
                    <m:t>l</m:t>
                  </m:r>
                  <m:r>
                    <m:t>d</m:t>
                  </m:r>
                  <m:r>
                    <m:t>e</m:t>
                  </m:r>
                  <m:r>
                    <m:t>T</m:t>
                  </m:r>
                  <m:r>
                    <m:rPr>
                      <m:sty m:val="p"/>
                    </m:rPr>
                    <m:t>+</m:t>
                  </m:r>
                  <m:r>
                    <m:t>S</m:t>
                  </m:r>
                  <m:r>
                    <m:t>o</m:t>
                  </m:r>
                  <m:r>
                    <m:t>l</m:t>
                  </m:r>
                  <m:r>
                    <m:t>d</m:t>
                  </m:r>
                  <m:r>
                    <m:t>e</m:t>
                  </m:r>
                  <m:r>
                    <m:t>F</m:t>
                  </m:r>
                </m:e>
              </m:d>
              <m:r>
                <m:rPr>
                  <m:sty m:val="p"/>
                </m:rPr>
                <m:t>&gt;</m:t>
              </m:r>
              <m:r>
                <m:t>0</m:t>
              </m:r>
            </m:sub>
          </m:sSub>
        </m:oMath>
      </m:oMathPara>
    </w:p>
    <w:p>
      <w:pPr>
        <w:pStyle w:val="FirstParagraph"/>
      </w:pPr>
      <w:r>
        <w:t xml:space="preserve">Avec :</w:t>
      </w:r>
    </w:p>
    <w:p>
      <w:pPr>
        <w:numPr>
          <w:ilvl w:val="0"/>
          <w:numId w:val="1016"/>
        </w:numPr>
      </w:pPr>
      <m:oMath>
        <m:r>
          <m:t>P</m:t>
        </m:r>
        <m:r>
          <m:t>P</m:t>
        </m:r>
        <m:r>
          <m:t>B</m:t>
        </m:r>
      </m:oMath>
      <w:r>
        <w:t xml:space="preserve"> </w:t>
      </w:r>
      <w:r>
        <w:t xml:space="preserve">: Le montant de la provision pour participation aux bénéfices, évaluée à la valeur comptable;</w:t>
      </w:r>
    </w:p>
    <w:p>
      <w:pPr>
        <w:numPr>
          <w:ilvl w:val="0"/>
          <w:numId w:val="1016"/>
        </w:numPr>
      </w:pPr>
      <m:oMath>
        <m:r>
          <m:t>S</m:t>
        </m:r>
        <m:r>
          <m:t>o</m:t>
        </m:r>
        <m:r>
          <m:t>l</m:t>
        </m:r>
        <m:r>
          <m:t>d</m:t>
        </m:r>
        <m:r>
          <m:t>e</m:t>
        </m:r>
        <m:r>
          <m:t>T</m:t>
        </m:r>
      </m:oMath>
      <w:r>
        <w:t xml:space="preserve"> </w:t>
      </w:r>
      <w:r>
        <w:t xml:space="preserve">: Somme des soldes techniques.</w:t>
      </w:r>
    </w:p>
    <w:p>
      <w:pPr>
        <w:numPr>
          <w:ilvl w:val="0"/>
          <w:numId w:val="1016"/>
        </w:numPr>
      </w:pPr>
      <m:oMath>
        <m:r>
          <m:t>S</m:t>
        </m:r>
        <m:r>
          <m:t>o</m:t>
        </m:r>
        <m:r>
          <m:t>l</m:t>
        </m:r>
        <m:r>
          <m:t>d</m:t>
        </m:r>
        <m:r>
          <m:t>e</m:t>
        </m:r>
        <m:r>
          <m:t>F</m:t>
        </m:r>
      </m:oMath>
      <w:r>
        <w:t xml:space="preserve"> </w:t>
      </w:r>
      <w:r>
        <w:t xml:space="preserve">: Somme des soldes Financiers.</w:t>
      </w:r>
    </w:p>
    <w:p>
      <w:pPr>
        <w:numPr>
          <w:ilvl w:val="0"/>
          <w:numId w:val="1016"/>
        </w:numPr>
      </w:pPr>
      <m:oMath>
        <m:sSup>
          <m:e>
            <m:acc>
              <m:accPr>
                <m:chr m:val="‾"/>
              </m:accPr>
              <m:e>
                <m:r>
                  <m:t>r</m:t>
                </m:r>
              </m:e>
            </m:acc>
          </m:e>
          <m:sup>
            <m:r>
              <m:t>P</m:t>
            </m:r>
            <m:r>
              <m:t>B</m:t>
            </m:r>
          </m:sup>
        </m:sSup>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sSub>
                <m:e>
                  <m:r>
                    <m:t>t</m:t>
                  </m:r>
                </m:e>
                <m:sub>
                  <m:r>
                    <m:rPr>
                      <m:sty m:val="p"/>
                    </m:rPr>
                    <m:t>≥</m:t>
                  </m:r>
                  <m:r>
                    <m:rPr>
                      <m:nor/>
                      <m:sty m:val="p"/>
                    </m:rPr>
                    <m:t>3 exes clos</m:t>
                  </m:r>
                </m:sub>
              </m:sSub>
            </m:num>
            <m:den>
              <m:r>
                <m:t>R</m:t>
              </m:r>
              <m:r>
                <m:t>T</m:t>
              </m:r>
              <m:r>
                <m:rPr>
                  <m:sty m:val="p"/>
                </m:rPr>
                <m:t>+</m:t>
              </m:r>
              <m:r>
                <m:t>R</m:t>
              </m:r>
              <m:r>
                <m:t>F</m:t>
              </m:r>
            </m:den>
          </m:f>
        </m:oMath>
      </m:oMathPara>
    </w:p>
    <w:p>
      <w:pPr>
        <w:pStyle w:val="FirstParagraph"/>
      </w:pPr>
      <w:r>
        <w:t xml:space="preserve">Avec :</w:t>
      </w:r>
    </w:p>
    <w:p>
      <w:pPr>
        <w:numPr>
          <w:ilvl w:val="0"/>
          <w:numId w:val="1017"/>
        </w:numPr>
        <w:pStyle w:val="Compact"/>
      </w:pPr>
      <m:oMath>
        <m:r>
          <m:t>D</m:t>
        </m:r>
        <m:r>
          <m:t>o</m:t>
        </m:r>
        <m:sSub>
          <m:e>
            <m:r>
              <m:t>t</m:t>
            </m:r>
          </m:e>
          <m:sub>
            <m:r>
              <m:rPr>
                <m:sty m:val="p"/>
              </m:rPr>
              <m:t>≥</m:t>
            </m:r>
            <m:r>
              <m:rPr>
                <m:nor/>
                <m:sty m:val="p"/>
              </m:rPr>
              <m:t>3 exes clos</m:t>
            </m:r>
          </m:sub>
        </m:sSub>
      </m:oMath>
      <w:r>
        <w:t xml:space="preserve"> </w:t>
      </w:r>
      <w:r>
        <w:t xml:space="preserve">: somme des dotations au titre, des trois derniers exercices clos au moins.</w:t>
      </w:r>
    </w:p>
    <w:p>
      <w:pPr>
        <w:numPr>
          <w:ilvl w:val="0"/>
          <w:numId w:val="1017"/>
        </w:numPr>
        <w:pStyle w:val="Compact"/>
      </w:pPr>
      <m:oMath>
        <m:r>
          <m:t>R</m:t>
        </m:r>
        <m:r>
          <m:t>T</m:t>
        </m:r>
      </m:oMath>
      <w:r>
        <w:t xml:space="preserve"> </w:t>
      </w:r>
      <w:r>
        <w:t xml:space="preserve">:les résultats techniques.</w:t>
      </w:r>
    </w:p>
    <w:p>
      <w:pPr>
        <w:numPr>
          <w:ilvl w:val="0"/>
          <w:numId w:val="1017"/>
        </w:numPr>
        <w:pStyle w:val="Compact"/>
      </w:pPr>
      <m:oMath>
        <m:r>
          <m:t>R</m:t>
        </m:r>
        <m:r>
          <m:t>F</m:t>
        </m:r>
      </m:oMath>
      <w:r>
        <w:t xml:space="preserve"> </w:t>
      </w:r>
      <w:r>
        <w:t xml:space="preserve">:les résultats financiers.</w:t>
      </w:r>
    </w:p>
    <w:bookmarkEnd w:id="72"/>
    <w:bookmarkEnd w:id="73"/>
    <w:bookmarkStart w:id="74" w:name="X0dedfd34ddaeaf1baa3793d4b4da364b43b18e0"/>
    <w:p>
      <w:pPr>
        <w:pStyle w:val="Heading4"/>
      </w:pPr>
      <w:r>
        <w:t xml:space="preserve">6.1.2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r>
            <m:t>C</m:t>
          </m:r>
          <m:r>
            <m:t>o</m:t>
          </m:r>
          <m:r>
            <m:t>n</m:t>
          </m:r>
          <m:r>
            <m:t>t</m:t>
          </m:r>
          <m:r>
            <m:t>r</m:t>
          </m:r>
          <m:r>
            <m:t>a</m:t>
          </m:r>
          <m:sSub>
            <m:e>
              <m:r>
                <m:t>t</m:t>
              </m:r>
            </m:e>
            <m:sub>
              <m:r>
                <m:t>t</m:t>
              </m:r>
            </m:sub>
          </m:sSub>
          <m:r>
            <m:rPr>
              <m:sty m:val="p"/>
            </m:rPr>
            <m:t>×</m:t>
          </m:r>
          <m:sSubSup>
            <m:e>
              <m:acc>
                <m:accPr>
                  <m:chr m:val="‾"/>
                </m:accPr>
                <m:e>
                  <m:r>
                    <m:t>F</m:t>
                  </m:r>
                  <m:r>
                    <m:t>G</m:t>
                  </m:r>
                </m:e>
              </m:acc>
            </m:e>
            <m:sub>
              <m:r>
                <m:t>t</m:t>
              </m:r>
            </m:sub>
            <m:sup>
              <m:r>
                <m:t>u</m:t>
              </m:r>
              <m:r>
                <m:t>n</m:t>
              </m:r>
              <m:r>
                <m:t>i</m:t>
              </m:r>
              <m:r>
                <m:t>t</m:t>
              </m:r>
              <m:r>
                <m:t>a</m:t>
              </m:r>
              <m:r>
                <m:t>i</m:t>
              </m:r>
              <m:r>
                <m:t>r</m:t>
              </m:r>
              <m:r>
                <m:t>e</m:t>
              </m:r>
            </m:sup>
          </m:sSubSup>
        </m:oMath>
      </m:oMathPara>
    </w:p>
    <w:p>
      <w:pPr>
        <w:pStyle w:val="FirstParagraph"/>
      </w:pPr>
      <w:r>
        <w:t xml:space="preserve">Avec :</w:t>
      </w:r>
    </w:p>
    <w:p>
      <w:pPr>
        <w:numPr>
          <w:ilvl w:val="0"/>
          <w:numId w:val="1018"/>
        </w:numPr>
        <w:pStyle w:val="Compact"/>
      </w:pPr>
      <m:oMath>
        <m:sSubSup>
          <m:e>
            <m:acc>
              <m:accPr>
                <m:chr m:val="‾"/>
              </m:accPr>
              <m:e>
                <m:r>
                  <m:t>F</m:t>
                </m:r>
                <m:r>
                  <m:t>G</m:t>
                </m:r>
              </m:e>
            </m:acc>
          </m:e>
          <m:sub>
            <m:r>
              <m:t>t</m:t>
            </m:r>
          </m:sub>
          <m:sup>
            <m:r>
              <m:t>u</m:t>
            </m:r>
            <m:r>
              <m:t>n</m:t>
            </m:r>
            <m:r>
              <m:t>i</m:t>
            </m:r>
            <m:r>
              <m:t>t</m:t>
            </m:r>
            <m:r>
              <m:t>a</m:t>
            </m:r>
            <m:r>
              <m:t>i</m:t>
            </m:r>
            <m:r>
              <m:t>r</m:t>
            </m:r>
            <m:r>
              <m:t>e</m:t>
            </m:r>
          </m:sup>
        </m:sSubSup>
      </m:oMath>
      <w:r>
        <w:t xml:space="preserve"> </w:t>
      </w:r>
      <w:r>
        <w:t xml:space="preserve">: Le montant de frais de gestion unitaire moyen est estimé en considérant la moyenne sur les trois derniers exercices clos des montants de frais de gestion unitaires.</w:t>
      </w:r>
    </w:p>
    <w:p>
      <w:pPr>
        <w:numPr>
          <w:ilvl w:val="0"/>
          <w:numId w:val="1018"/>
        </w:numPr>
        <w:pStyle w:val="Compact"/>
      </w:pPr>
      <m:oMath>
        <m:r>
          <m:t>N</m:t>
        </m:r>
        <m:r>
          <m:t>b</m:t>
        </m:r>
        <m:r>
          <m:t>C</m:t>
        </m:r>
        <m:r>
          <m:t>o</m:t>
        </m:r>
        <m:r>
          <m:t>n</m:t>
        </m:r>
        <m:r>
          <m:t>t</m:t>
        </m:r>
        <m:r>
          <m:t>r</m:t>
        </m:r>
        <m:r>
          <m:t>a</m:t>
        </m:r>
        <m:sSub>
          <m:e>
            <m:r>
              <m:t>t</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8"/>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Sup>
            <m:e>
              <m:acc>
                <m:accPr>
                  <m:chr m:val="‾"/>
                </m:accPr>
                <m:e>
                  <m:r>
                    <m:t>F</m:t>
                  </m:r>
                  <m:r>
                    <m:t>G</m:t>
                  </m:r>
                </m:e>
              </m:acc>
            </m:e>
            <m:sub>
              <m:r>
                <m:t>t</m:t>
              </m:r>
            </m:sub>
            <m:sup>
              <m:r>
                <m:t>u</m:t>
              </m:r>
              <m:r>
                <m:t>n</m:t>
              </m:r>
              <m:r>
                <m:t>i</m:t>
              </m:r>
              <m:r>
                <m:t>t</m:t>
              </m:r>
              <m:r>
                <m:t>a</m:t>
              </m:r>
              <m:r>
                <m:t>i</m:t>
              </m:r>
              <m:r>
                <m:t>r</m:t>
              </m:r>
              <m:r>
                <m:t>e</m:t>
              </m:r>
            </m:sup>
          </m:sSubSup>
          <m:r>
            <m:rPr>
              <m:sty m:val="p"/>
            </m:rPr>
            <m:t>=</m:t>
          </m:r>
          <m:f>
            <m:fPr>
              <m:type m:val="bar"/>
            </m:fPr>
            <m:num>
              <m:limUpp>
                <m:e>
                  <m:groupChr>
                    <m:groupChrPr>
                      <m:chr m:val="⏞"/>
                      <m:pos m:val="top"/>
                      <m:vertJc m:val="bot"/>
                    </m:groupChrPr>
                    <m:e>
                      <m:f>
                        <m:fPr>
                          <m:type m:val="bar"/>
                        </m:fPr>
                        <m:num>
                          <m:r>
                            <m:t>F</m:t>
                          </m:r>
                          <m:sSub>
                            <m:e>
                              <m:r>
                                <m:t>G</m:t>
                              </m:r>
                            </m:e>
                            <m:sub>
                              <m:r>
                                <m:t>t</m:t>
                              </m:r>
                              <m:r>
                                <m:rPr>
                                  <m:sty m:val="p"/>
                                </m:rPr>
                                <m:t>−</m:t>
                              </m:r>
                              <m:r>
                                <m:t>1</m:t>
                              </m:r>
                            </m:sub>
                          </m:sSub>
                        </m:num>
                        <m:den>
                          <m:r>
                            <m:t>N</m:t>
                          </m:r>
                          <m:r>
                            <m:t>b</m:t>
                          </m:r>
                          <m:r>
                            <m:t>C</m:t>
                          </m:r>
                          <m:r>
                            <m:t>o</m:t>
                          </m:r>
                          <m:r>
                            <m:t>n</m:t>
                          </m:r>
                          <m:r>
                            <m:t>t</m:t>
                          </m:r>
                          <m:r>
                            <m:t>r</m:t>
                          </m:r>
                          <m:r>
                            <m:t>a</m:t>
                          </m:r>
                          <m:sSub>
                            <m:e>
                              <m:r>
                                <m:t>t</m:t>
                              </m:r>
                            </m:e>
                            <m:sub>
                              <m:r>
                                <m:t>t</m:t>
                              </m:r>
                              <m:r>
                                <m:rPr>
                                  <m:sty m:val="p"/>
                                </m:rPr>
                                <m:t>−</m:t>
                              </m:r>
                              <m:r>
                                <m:t>1</m:t>
                              </m:r>
                            </m:sub>
                          </m:sSub>
                        </m:den>
                      </m:f>
                    </m:e>
                  </m:groupChr>
                </m:e>
                <m:lim>
                  <m:r>
                    <m:rPr>
                      <m:nor/>
                      <m:sty m:val="p"/>
                    </m:rPr>
                    <m:t>Frais de gestion unitaire en t-1</m:t>
                  </m:r>
                </m:lim>
              </m:limUpp>
              <m:r>
                <m:rPr>
                  <m:sty m:val="p"/>
                </m:rPr>
                <m:t>+</m:t>
              </m:r>
              <m:f>
                <m:fPr>
                  <m:type m:val="bar"/>
                </m:fPr>
                <m:num>
                  <m:r>
                    <m:t>F</m:t>
                  </m:r>
                  <m:sSub>
                    <m:e>
                      <m:r>
                        <m:t>G</m:t>
                      </m:r>
                    </m:e>
                    <m:sub>
                      <m:r>
                        <m:t>t</m:t>
                      </m:r>
                      <m:r>
                        <m:rPr>
                          <m:sty m:val="p"/>
                        </m:rPr>
                        <m:t>−</m:t>
                      </m:r>
                      <m:r>
                        <m:t>2</m:t>
                      </m:r>
                    </m:sub>
                  </m:sSub>
                </m:num>
                <m:den>
                  <m:r>
                    <m:t>N</m:t>
                  </m:r>
                  <m:r>
                    <m:t>b</m:t>
                  </m:r>
                  <m:r>
                    <m:t>C</m:t>
                  </m:r>
                  <m:r>
                    <m:t>o</m:t>
                  </m:r>
                  <m:r>
                    <m:t>n</m:t>
                  </m:r>
                  <m:r>
                    <m:t>t</m:t>
                  </m:r>
                  <m:r>
                    <m:t>r</m:t>
                  </m:r>
                  <m:r>
                    <m:t>a</m:t>
                  </m:r>
                  <m:sSub>
                    <m:e>
                      <m:r>
                        <m:t>t</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r>
                    <m:t>C</m:t>
                  </m:r>
                  <m:r>
                    <m:t>o</m:t>
                  </m:r>
                  <m:r>
                    <m:t>n</m:t>
                  </m:r>
                  <m:r>
                    <m:t>t</m:t>
                  </m:r>
                  <m:r>
                    <m:t>r</m:t>
                  </m:r>
                  <m:r>
                    <m:t>a</m:t>
                  </m:r>
                  <m:sSub>
                    <m:e>
                      <m:r>
                        <m:t>t</m:t>
                      </m:r>
                    </m:e>
                    <m:sub>
                      <m:r>
                        <m:t>t</m:t>
                      </m:r>
                      <m:r>
                        <m:rPr>
                          <m:sty m:val="p"/>
                        </m:rPr>
                        <m:t>−</m:t>
                      </m:r>
                      <m:r>
                        <m:t>3</m:t>
                      </m:r>
                    </m:sub>
                  </m:sSub>
                </m:den>
              </m:f>
            </m:num>
            <m:den>
              <m:r>
                <m:t>3</m:t>
              </m:r>
            </m:den>
          </m:f>
        </m:oMath>
      </m:oMathPara>
    </w:p>
    <w:bookmarkEnd w:id="74"/>
    <w:bookmarkEnd w:id="75"/>
    <w:bookmarkStart w:id="76" w:name="rentes-découlants-des-opérations-non-vie"/>
    <w:p>
      <w:pPr>
        <w:pStyle w:val="Heading3"/>
      </w:pPr>
      <w:r>
        <w:t xml:space="preserve">6.2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r</m:t>
              </m:r>
              <m:r>
                <m:t>n</m:t>
              </m:r>
              <m:r>
                <m:t>v</m:t>
              </m:r>
            </m:sub>
          </m:sSub>
          <m:r>
            <m:rPr>
              <m:sty m:val="p"/>
            </m:rPr>
            <m:t>=</m:t>
          </m:r>
          <m:r>
            <m:t>B</m:t>
          </m:r>
          <m:sSubSup>
            <m:e>
              <m:r>
                <m:t>E</m:t>
              </m:r>
            </m:e>
            <m:sub>
              <m:r>
                <m:t>g</m:t>
              </m:r>
              <m:r>
                <m:t>a</m:t>
              </m:r>
              <m:r>
                <m:t>r</m:t>
              </m:r>
              <m:r>
                <m:t>a</m:t>
              </m:r>
              <m:r>
                <m:t>n</m:t>
              </m:r>
              <m:r>
                <m:t>t</m:t>
              </m:r>
              <m:r>
                <m:t>i</m:t>
              </m:r>
              <m:r>
                <m:t>e</m:t>
              </m:r>
            </m:sub>
            <m:sup>
              <m:r>
                <m:t>p</m:t>
              </m:r>
              <m:r>
                <m:t>r</m:t>
              </m:r>
              <m:r>
                <m:t>o</m:t>
              </m:r>
              <m:r>
                <m:t>b</m:t>
              </m:r>
            </m:sup>
          </m:sSubSup>
        </m:oMath>
      </m:oMathPara>
    </w:p>
    <w:p>
      <w:pPr>
        <w:pStyle w:val="FirstParagraph"/>
      </w:pPr>
      <w:r>
        <w:t xml:space="preserve">Avec :</w:t>
      </w:r>
    </w:p>
    <w:p>
      <w:pPr>
        <w:numPr>
          <w:ilvl w:val="0"/>
          <w:numId w:val="1019"/>
        </w:numPr>
        <w:pStyle w:val="Compact"/>
      </w:pPr>
      <m:oMath>
        <m:r>
          <m:t>B</m:t>
        </m:r>
        <m:sSub>
          <m:e>
            <m:r>
              <m:t>E</m:t>
            </m:r>
          </m:e>
          <m:sub>
            <m:r>
              <m:t>r</m:t>
            </m:r>
            <m:r>
              <m:t>n</m:t>
            </m:r>
            <m:r>
              <m:t>v</m:t>
            </m:r>
          </m:sub>
        </m:sSub>
      </m:oMath>
      <w:r>
        <w:t xml:space="preserve"> </w:t>
      </w:r>
      <w:r>
        <w:t xml:space="preserve">: la meilleure estimation rentes découlant des opérations d’assurance non vie.</w:t>
      </w:r>
    </w:p>
    <w:p>
      <w:pPr>
        <w:numPr>
          <w:ilvl w:val="0"/>
          <w:numId w:val="1019"/>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76"/>
    <w:bookmarkStart w:id="105" w:name="X95164bc6af2e862e4c417e49c6d46de2a1b5d80"/>
    <w:p>
      <w:pPr>
        <w:pStyle w:val="Heading3"/>
      </w:pPr>
      <w:r>
        <w:t xml:space="preserve">6.3 Opérations d’assurance non vie hors rentes:</w:t>
      </w:r>
    </w:p>
    <w:bookmarkStart w:id="103" w:name="la-meilleure-estimation-des-engagements"/>
    <w:p>
      <w:pPr>
        <w:pStyle w:val="Heading4"/>
      </w:pPr>
      <w:r>
        <w:t xml:space="preserve">6.3.1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sSub>
            <m:e>
              <m:r>
                <m:t>​</m:t>
              </m:r>
            </m:e>
            <m:sub>
              <m:r>
                <m:t>n</m:t>
              </m:r>
              <m:r>
                <m:t>v</m:t>
              </m:r>
              <m:r>
                <m:t>h</m:t>
              </m:r>
              <m:r>
                <m:t>r</m:t>
              </m:r>
            </m:sub>
          </m:sSub>
          <m:r>
            <m:t>B</m:t>
          </m:r>
          <m:sSub>
            <m:e>
              <m:r>
                <m:t>E</m:t>
              </m:r>
            </m:e>
            <m:sub>
              <m:r>
                <m:t>e</m:t>
              </m:r>
              <m:r>
                <m:t>n</m:t>
              </m:r>
              <m:r>
                <m:t>g</m:t>
              </m:r>
              <m:r>
                <m:t>a</m:t>
              </m:r>
              <m:r>
                <m:t>g</m:t>
              </m:r>
              <m:r>
                <m:t>e</m:t>
              </m:r>
              <m:r>
                <m:t>m</m:t>
              </m:r>
              <m:r>
                <m:t>e</m:t>
              </m:r>
              <m:r>
                <m:t>n</m:t>
              </m:r>
              <m:r>
                <m:t>t</m:t>
              </m:r>
            </m:sub>
          </m:sSub>
          <m:limLow>
            <m:e>
              <m:r>
                <m:rPr>
                  <m:sty m:val="p"/>
                </m:rPr>
                <m:t>=</m:t>
              </m:r>
            </m:e>
            <m:lim>
              <m:r>
                <m:t>n</m:t>
              </m:r>
              <m:r>
                <m:t>v</m:t>
              </m:r>
              <m:r>
                <m:t>h</m:t>
              </m:r>
              <m:r>
                <m:t>r</m:t>
              </m:r>
            </m:lim>
          </m:limLow>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oMath>
      </m:oMathPara>
    </w:p>
    <w:bookmarkStart w:id="77" w:name="X8689949a7862be15d42a3aec3dcec69638ae007"/>
    <w:p>
      <w:pPr>
        <w:pStyle w:val="Heading5"/>
      </w:pPr>
      <w:r>
        <w:t xml:space="preserve">6.3.1.1 La meilleure estimation des engagements pour primes(</w:t>
      </w:r>
      <m:oMath>
        <m:sSub>
          <m:e>
            <m:r>
              <m:t>​</m:t>
            </m:r>
          </m:e>
          <m:sub>
            <m:r>
              <m:t>n</m:t>
            </m:r>
            <m:r>
              <m:t>v</m:t>
            </m:r>
            <m:r>
              <m:t>h</m:t>
            </m:r>
            <m:r>
              <m:t>r</m:t>
            </m:r>
          </m:sub>
        </m:sSub>
        <m:r>
          <m:t>B</m:t>
        </m:r>
        <m:sSubSup>
          <m:e>
            <m:r>
              <m:t>E</m:t>
            </m:r>
          </m:e>
          <m:sub>
            <m:r>
              <m:t>p</m:t>
            </m:r>
            <m:r>
              <m:t>r</m:t>
            </m:r>
            <m:r>
              <m:t>i</m:t>
            </m:r>
            <m:r>
              <m:t>m</m:t>
            </m:r>
            <m:r>
              <m:t>e</m:t>
            </m:r>
            <m:r>
              <m:t>s</m:t>
            </m:r>
          </m:sub>
          <m:sup>
            <m:r>
              <m:t>e</m:t>
            </m:r>
            <m:r>
              <m:t>n</m:t>
            </m:r>
            <m:r>
              <m:t>g</m:t>
            </m:r>
          </m:sup>
        </m:sSubSup>
      </m:oMath>
      <w:r>
        <w:t xml:space="preserve">):</w:t>
      </w:r>
    </w:p>
    <w:p>
      <w:pPr>
        <w:pStyle w:val="FirstParagraph"/>
      </w:pPr>
      <w:r>
        <w:t xml:space="preserve">La meilleure estimation des engagements pour primes correspond à la différence entre :</w:t>
      </w:r>
    </w:p>
    <w:p>
      <w:pPr>
        <w:numPr>
          <w:ilvl w:val="0"/>
          <w:numId w:val="1020"/>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20"/>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sSub>
            <m:e>
              <m:r>
                <m:t>​</m:t>
              </m:r>
            </m:e>
            <m:sub>
              <m:r>
                <m:t>n</m:t>
              </m:r>
              <m:r>
                <m:t>v</m:t>
              </m:r>
              <m:r>
                <m:t>h</m:t>
              </m:r>
              <m:r>
                <m:t>r</m:t>
              </m:r>
            </m:sub>
          </m:sSub>
          <m:r>
            <m:t>B</m:t>
          </m:r>
          <m:sSubSup>
            <m:e>
              <m:r>
                <m:t>E</m:t>
              </m:r>
            </m:e>
            <m:sub>
              <m:r>
                <m:t>p</m:t>
              </m:r>
              <m:r>
                <m:t>r</m:t>
              </m:r>
              <m:r>
                <m:t>i</m:t>
              </m:r>
              <m:r>
                <m:t>m</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oMath>
      </m:oMathPara>
    </w:p>
    <w:p>
      <w:pPr>
        <w:pStyle w:val="FirstParagraph"/>
      </w:pPr>
      <w:r>
        <w:t xml:space="preserve">avec:</w:t>
      </w:r>
    </w:p>
    <w:p>
      <w:pPr>
        <w:numPr>
          <w:ilvl w:val="0"/>
          <w:numId w:val="1021"/>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21"/>
        </w:numPr>
        <w:pStyle w:val="Compact"/>
      </w:pPr>
      <m:oMath>
        <m:r>
          <m:t>P</m:t>
        </m:r>
        <m:r>
          <m:t>F</m:t>
        </m:r>
        <m:r>
          <m:t>P</m:t>
        </m:r>
      </m:oMath>
      <w:r>
        <w:t xml:space="preserve">: Le montant des primes futures probabilisé.</w:t>
      </w:r>
    </w:p>
    <w:p>
      <w:pPr>
        <w:numPr>
          <w:ilvl w:val="0"/>
          <w:numId w:val="1021"/>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sSub>
            <m:e>
              <m:r>
                <m:t>x</m:t>
              </m:r>
            </m:e>
            <m:sub>
              <m:r>
                <m:t>l</m:t>
              </m:r>
              <m:r>
                <m:t>i</m:t>
              </m:r>
              <m:r>
                <m:t>q</m:t>
              </m:r>
              <m:r>
                <m:t>u</m:t>
              </m:r>
              <m:r>
                <m:t>i</m:t>
              </m:r>
              <m:r>
                <m:t>d</m:t>
              </m:r>
              <m:r>
                <m:t>a</m:t>
              </m:r>
              <m:r>
                <m:t>t</m:t>
              </m:r>
              <m:r>
                <m:t>i</m:t>
              </m:r>
              <m:r>
                <m:t>o</m:t>
              </m:r>
              <m:r>
                <m:t>n</m:t>
              </m:r>
            </m:sub>
          </m:sSub>
          <m:r>
            <m:rPr>
              <m:sty m:val="p"/>
            </m:rPr>
            <m:t>*</m:t>
          </m:r>
          <m:r>
            <m:t>R</m:t>
          </m:r>
          <m:sSub>
            <m:e>
              <m:r>
                <m:t>S</m:t>
              </m:r>
            </m:e>
            <m:sub>
              <m:r>
                <m:t>m</m:t>
              </m:r>
              <m:r>
                <m:t>o</m:t>
              </m:r>
              <m:r>
                <m:t>y</m:t>
              </m:r>
              <m:r>
                <m:t>e</m:t>
              </m:r>
              <m:r>
                <m:t>n</m:t>
              </m:r>
            </m:sub>
          </m:sSub>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22"/>
        </w:numPr>
      </w:pPr>
      <m:oMath>
        <m:r>
          <m:t>T</m:t>
        </m:r>
        <m:sSub>
          <m:e>
            <m:r>
              <m:t>x</m:t>
            </m:r>
          </m:e>
          <m:sub>
            <m:r>
              <m:t>l</m:t>
            </m:r>
            <m:r>
              <m:t>i</m:t>
            </m:r>
            <m:r>
              <m:t>q</m:t>
            </m:r>
            <m:r>
              <m:t>u</m:t>
            </m:r>
            <m:r>
              <m:t>i</m:t>
            </m:r>
            <m:r>
              <m:t>d</m:t>
            </m:r>
            <m:r>
              <m:t>a</m:t>
            </m:r>
            <m:r>
              <m:t>t</m:t>
            </m:r>
            <m:r>
              <m:t>i</m:t>
            </m:r>
            <m:r>
              <m:t>o</m:t>
            </m:r>
            <m:r>
              <m:t>n</m:t>
            </m:r>
          </m:sub>
        </m:sSub>
      </m:oMath>
      <w:r>
        <w:t xml:space="preserve">: le taux de liquidation,il est estimé en fonction de la cadence de liquidation des engagements pour sinistres survenus.</w:t>
      </w:r>
    </w:p>
    <w:p>
      <w:pPr>
        <w:numPr>
          <w:ilvl w:val="0"/>
          <w:numId w:val="1022"/>
        </w:numPr>
      </w:pPr>
      <m:oMath>
        <m:r>
          <m:t>R</m:t>
        </m:r>
        <m:sSub>
          <m:e>
            <m:r>
              <m:t>S</m:t>
            </m:r>
          </m:e>
          <m:sub>
            <m:r>
              <m:t>m</m:t>
            </m:r>
            <m:r>
              <m:t>o</m:t>
            </m:r>
            <m:r>
              <m:t>y</m:t>
            </m:r>
            <m:r>
              <m:t>e</m:t>
            </m:r>
            <m:r>
              <m:t>n</m:t>
            </m:r>
          </m:sub>
        </m:sSub>
      </m:oMath>
      <w:r>
        <w:t xml:space="preserve">: le ratio de sinistralité moyen telle que:</w:t>
      </w:r>
    </w:p>
    <w:p>
      <w:pPr>
        <w:pStyle w:val="BodyText"/>
      </w:pPr>
      <m:oMathPara>
        <m:oMathParaPr>
          <m:jc m:val="center"/>
        </m:oMathParaPr>
        <m:oMath>
          <m:r>
            <m:t>R</m:t>
          </m:r>
          <m:sSub>
            <m:e>
              <m:r>
                <m:t>S</m:t>
              </m:r>
            </m:e>
            <m:sub>
              <m:r>
                <m:t>m</m:t>
              </m:r>
              <m:r>
                <m:t>o</m:t>
              </m:r>
              <m:r>
                <m:t>y</m:t>
              </m:r>
              <m:r>
                <m:t>e</m:t>
              </m:r>
              <m:sSub>
                <m:e>
                  <m:r>
                    <m:t>n</m:t>
                  </m:r>
                </m:e>
                <m:sub>
                  <m:r>
                    <m:t>t</m:t>
                  </m:r>
                </m:sub>
              </m:sSub>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22"/>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22"/>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r>
            <m:t>e</m:t>
          </m:r>
          <m:r>
            <m:t>g</m:t>
          </m:r>
          <m:r>
            <m:t>C</m:t>
          </m:r>
          <m:r>
            <m:t>u</m:t>
          </m:r>
          <m:r>
            <m:t>m</m:t>
          </m:r>
          <m:r>
            <m:t>u</m:t>
          </m:r>
          <m:r>
            <m:t>l</m:t>
          </m:r>
          <m:r>
            <m:t>e</m:t>
          </m:r>
          <m:sSub>
            <m:e>
              <m:r>
                <m:t>s</m:t>
              </m:r>
            </m:e>
            <m:sub>
              <m:r>
                <m:t>t</m:t>
              </m:r>
            </m:sub>
          </m:sSub>
          <m:r>
            <m:rPr>
              <m:sty m:val="p"/>
            </m:rPr>
            <m:t>+</m:t>
          </m:r>
          <m:r>
            <m:t>R</m:t>
          </m:r>
          <m:r>
            <m:t>e</m:t>
          </m:r>
          <m:r>
            <m:t>g</m:t>
          </m:r>
          <m:r>
            <m:t>F</m:t>
          </m:r>
          <m:r>
            <m:t>u</m:t>
          </m:r>
          <m:r>
            <m:t>t</m:t>
          </m:r>
          <m:r>
            <m:t>u</m:t>
          </m:r>
          <m:r>
            <m:t>r</m:t>
          </m:r>
          <m:r>
            <m:t>e</m:t>
          </m:r>
          <m:sSub>
            <m:e>
              <m:r>
                <m:t>s</m:t>
              </m:r>
            </m:e>
            <m:sub>
              <m:r>
                <m:t>t</m:t>
              </m:r>
            </m:sub>
          </m:sSub>
        </m:oMath>
      </m:oMathPara>
    </w:p>
    <w:p>
      <w:pPr>
        <w:numPr>
          <w:ilvl w:val="0"/>
          <w:numId w:val="1023"/>
        </w:numPr>
        <w:pStyle w:val="Compact"/>
      </w:pPr>
      <m:oMath>
        <m:r>
          <m:t>R</m:t>
        </m:r>
        <m:r>
          <m:t>e</m:t>
        </m:r>
        <m:r>
          <m:t>g</m:t>
        </m:r>
        <m:r>
          <m:t>C</m:t>
        </m:r>
        <m:r>
          <m:t>u</m:t>
        </m:r>
        <m:r>
          <m:t>m</m:t>
        </m:r>
        <m:r>
          <m:t>u</m:t>
        </m:r>
        <m:r>
          <m:t>l</m:t>
        </m:r>
        <m:r>
          <m:t>e</m:t>
        </m:r>
        <m:sSub>
          <m:e>
            <m:r>
              <m:t>s</m:t>
            </m:r>
          </m:e>
          <m:sub>
            <m:r>
              <m:t>t</m:t>
            </m:r>
          </m:sub>
        </m:sSub>
      </m:oMath>
      <w:r>
        <w:t xml:space="preserve"> </w:t>
      </w:r>
      <w:r>
        <w:t xml:space="preserve">: les règlements cumulés</w:t>
      </w:r>
    </w:p>
    <w:p>
      <w:pPr>
        <w:numPr>
          <w:ilvl w:val="0"/>
          <w:numId w:val="1023"/>
        </w:numPr>
        <w:pStyle w:val="Compact"/>
      </w:pPr>
      <m:oMath>
        <m:r>
          <m:t>R</m:t>
        </m:r>
        <m:r>
          <m:t>e</m:t>
        </m:r>
        <m:r>
          <m:t>g</m:t>
        </m:r>
        <m:r>
          <m:t>F</m:t>
        </m:r>
        <m:r>
          <m:t>u</m:t>
        </m:r>
        <m:r>
          <m:t>t</m:t>
        </m:r>
        <m:r>
          <m:t>u</m:t>
        </m:r>
        <m:r>
          <m:t>r</m:t>
        </m:r>
        <m:r>
          <m:t>e</m:t>
        </m:r>
        <m:sSub>
          <m:e>
            <m:r>
              <m:t>s</m:t>
            </m:r>
          </m:e>
          <m:sub>
            <m:r>
              <m:t>t</m:t>
            </m:r>
          </m:sub>
        </m:sSub>
      </m:oMath>
      <w:r>
        <w:t xml:space="preserve">: les règlements futurs</w:t>
      </w:r>
    </w:p>
    <w:p>
      <w:pPr>
        <w:numPr>
          <w:ilvl w:val="0"/>
          <w:numId w:val="1023"/>
        </w:numPr>
        <w:pStyle w:val="Compact"/>
      </w:pPr>
      <m:oMath>
        <m:r>
          <m:t>P</m:t>
        </m:r>
        <m:r>
          <m:t>P</m:t>
        </m:r>
        <m:r>
          <m:t>N</m:t>
        </m:r>
        <m:r>
          <m:t>A</m:t>
        </m:r>
      </m:oMath>
      <w:r>
        <w:t xml:space="preserve">: La provision pour primes non acquises.</w:t>
      </w:r>
    </w:p>
    <w:p>
      <w:pPr>
        <w:numPr>
          <w:ilvl w:val="0"/>
          <w:numId w:val="1023"/>
        </w:numPr>
        <w:pStyle w:val="Compact"/>
      </w:pPr>
      <m:oMath>
        <m:r>
          <m:t>P</m:t>
        </m:r>
        <m:r>
          <m:t>F</m:t>
        </m:r>
        <m:r>
          <m:t>P</m:t>
        </m:r>
      </m:oMath>
      <w:r>
        <w:t xml:space="preserve">: Le montant des primes futures probabilisé.</w:t>
      </w:r>
    </w:p>
    <w:bookmarkEnd w:id="77"/>
    <w:bookmarkStart w:id="78" w:name="X572d2bda42d1df1530f2f73f582d39347f6151e"/>
    <w:p>
      <w:pPr>
        <w:pStyle w:val="Heading5"/>
      </w:pPr>
      <w:r>
        <w:t xml:space="preserve">6.3.1.2 La meilleure estimation des engagements pour sinistres nets (</w:t>
      </w: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4"/>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w:t>
      </w:r>
      <w:r>
        <w:rPr>
          <w:iCs/>
          <w:i/>
        </w:rPr>
        <w:t xml:space="preserve">annexe N°5</w:t>
      </w:r>
      <w:r>
        <w:t xml:space="preserve"> </w:t>
      </w:r>
      <w:r>
        <w:t xml:space="preserve">de la circulaire de l’ACAPS.</w:t>
      </w:r>
    </w:p>
    <w:bookmarkEnd w:id="78"/>
    <w:bookmarkStart w:id="79" w:name="X574a46407ada84d5774a3057497baf873ebb70b"/>
    <w:p>
      <w:pPr>
        <w:pStyle w:val="Heading5"/>
      </w:pPr>
      <w:r>
        <w:t xml:space="preserve">6.3.1.3 Méthode de calcul des flux de réglements futurs probabilisés pour les opérations non-vie hors rentes</w:t>
      </w:r>
    </w:p>
    <w:bookmarkEnd w:id="79"/>
    <w:bookmarkStart w:id="95" w:name="méthode-des-cadences-chain-ladder"/>
    <w:p>
      <w:pPr>
        <w:pStyle w:val="Heading5"/>
      </w:pPr>
      <w:r>
        <w:t xml:space="preserve">6.3.1.4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C:\PROGRA~1\RStudio\RESOUR~1\app\bin\quarto\share\formats\docx\note.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C:\PROGRA~1\RStudio\RESOUR~1\app\bin\quarto\share\formats\docx\note.png" id="8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t> </m:t>
                </m:r>
                <m:r>
                  <m:rPr>
                    <m:nor/>
                    <m:sty m:val="p"/>
                  </m:rPr>
                  <m:t>pour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C:\PROGRA~1\RStudio\RESOUR~1\app\bin\quarto\share\formats\docx\note.png" id="86"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5"/>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6"/>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C:\PROGRA~1\RStudio\RESOUR~1\app\bin\quarto\share\formats\docx\note.png" id="88"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C:\PROGRA~1\RStudio\RESOUR~1\app\bin\quarto\share\formats\docx\note.png" id="90"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C:\PROGRA~1\RStudio\RESOUR~1\app\bin\quarto\share\formats\docx\note.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p</m:t>
                </m:r>
                <m:r>
                  <m:t>o</m:t>
                </m:r>
                <m:r>
                  <m:t>u</m:t>
                </m:r>
                <m:r>
                  <m:t>r</m:t>
                </m:r>
                <m:r>
                  <m:t> </m:t>
                </m:r>
                <m:r>
                  <m:t> </m:t>
                </m:r>
                <m:r>
                  <m:t>1</m:t>
                </m:r>
                <m:r>
                  <m:rPr>
                    <m:sty m:val="p"/>
                  </m:rPr>
                  <m:t>≤</m:t>
                </m:r>
                <m:r>
                  <m:t>i</m:t>
                </m:r>
                <m:r>
                  <m:rPr>
                    <m:sty m:val="p"/>
                  </m:rPr>
                  <m:t>,</m:t>
                </m:r>
                <m:r>
                  <m:t>j</m:t>
                </m:r>
                <m:r>
                  <m:rPr>
                    <m:sty m:val="p"/>
                  </m:rPr>
                  <m:t>≤</m:t>
                </m:r>
                <m:r>
                  <m:t>n</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C:\PROGRA~1\RStudio\RESOUR~1\app\bin\quarto\share\formats\docx\note.png" id="9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95"/>
    <w:bookmarkStart w:id="96" w:name="méthode-des-cadences-avec-inflation"/>
    <w:p>
      <w:pPr>
        <w:pStyle w:val="Heading5"/>
      </w:pPr>
      <w:r>
        <w:t xml:space="preserve">6.3.1.5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96"/>
    <w:bookmarkStart w:id="97" w:name="la-méthode-du-ratio-de-paiement"/>
    <w:p>
      <w:pPr>
        <w:pStyle w:val="Heading5"/>
      </w:pPr>
      <w:r>
        <w:t xml:space="preserve">6.3.1.6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97"/>
    <w:bookmarkStart w:id="102" w:name="la-méthode-du-ratio-de-paiement-1"/>
    <w:p>
      <w:pPr>
        <w:pStyle w:val="Heading5"/>
      </w:pPr>
      <w:r>
        <w:t xml:space="preserve">6.3.1.7 La méthode du ratio de paiement</w:t>
      </w:r>
    </w:p>
    <w:p>
      <w:pPr>
        <w:pStyle w:val="FirstParagraph"/>
      </w:pPr>
      <w:r>
        <w:t xml:space="preserve">La méthode de Bornhuetter-Ferguson</w:t>
      </w:r>
      <w:r>
        <w:rPr>
          <w:rStyle w:val="FootnoteReference"/>
        </w:rPr>
        <w:footnoteReference w:id="98"/>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99"/>
      </w:r>
      <w:r>
        <w:t xml:space="preserve"> </w:t>
      </w:r>
      <w:r>
        <w:t xml:space="preserve">Cette méthode se formule comme suit :</w:t>
      </w:r>
    </w:p>
    <w:p>
      <w:pPr>
        <w:pStyle w:val="BodyText"/>
      </w:pPr>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d>
            <m:dPr>
              <m:begChr m:val="("/>
              <m:endChr m:val=")"/>
              <m:sepChr m:val=""/>
              <m:grow/>
            </m:dPr>
            <m:e>
              <m:r>
                <m:t>1</m:t>
              </m:r>
              <m:r>
                <m:rPr>
                  <m:sty m:val="p"/>
                </m:rPr>
                <m:t>−</m:t>
              </m:r>
              <m:f>
                <m:fPr>
                  <m:type m:val="bar"/>
                </m:fPr>
                <m:num>
                  <m:r>
                    <m:t>1</m:t>
                  </m:r>
                </m:num>
                <m:den>
                  <m:r>
                    <m:t>L</m:t>
                  </m:r>
                  <m:r>
                    <m:t>D</m:t>
                  </m:r>
                  <m:r>
                    <m:t>F</m:t>
                  </m:r>
                </m:den>
              </m:f>
            </m:e>
          </m:d>
        </m:oMath>
      </m:oMathPara>
    </w:p>
    <w:p>
      <w:pPr>
        <w:pStyle w:val="FirstParagraph"/>
      </w:pPr>
      <w:r>
        <w:t xml:space="preserve">avec :</w:t>
      </w:r>
    </w:p>
    <w:p>
      <w:pPr>
        <w:numPr>
          <w:ilvl w:val="0"/>
          <w:numId w:val="1027"/>
        </w:numPr>
        <w:pStyle w:val="Compact"/>
      </w:pPr>
      <m:oMath>
        <m:r>
          <m:t>L</m:t>
        </m:r>
      </m:oMath>
      <w:r>
        <w:t xml:space="preserve"> </w:t>
      </w:r>
      <w:r>
        <w:t xml:space="preserve">: coût total estimé par cette méthode.</w:t>
      </w:r>
    </w:p>
    <w:p>
      <w:pPr>
        <w:numPr>
          <w:ilvl w:val="0"/>
          <w:numId w:val="1027"/>
        </w:numPr>
        <w:pStyle w:val="Compact"/>
      </w:pPr>
      <m:oMath>
        <m:r>
          <m:t>D</m:t>
        </m:r>
      </m:oMath>
      <w:r>
        <w:t xml:space="preserve"> </w:t>
      </w:r>
      <w:r>
        <w:t xml:space="preserve">: coût total estimé en fonction des sinistres connues.</w:t>
      </w:r>
    </w:p>
    <w:p>
      <w:pPr>
        <w:numPr>
          <w:ilvl w:val="0"/>
          <w:numId w:val="1027"/>
        </w:numPr>
        <w:pStyle w:val="Compact"/>
      </w:pPr>
      <m:oMath>
        <m:r>
          <m:t>A</m:t>
        </m:r>
      </m:oMath>
      <w:r>
        <w:t xml:space="preserve"> </w:t>
      </w:r>
      <w:r>
        <w:t xml:space="preserve">: coût total (connus + tardifs) attendu a priori.</w:t>
      </w:r>
    </w:p>
    <w:p>
      <w:pPr>
        <w:numPr>
          <w:ilvl w:val="0"/>
          <w:numId w:val="1027"/>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0" name="Picture"/>
                  <a:graphic>
                    <a:graphicData uri="http://schemas.openxmlformats.org/drawingml/2006/picture">
                      <pic:pic>
                        <pic:nvPicPr>
                          <pic:cNvPr descr="C:\PROGRA~1\RStudio\RESOUR~1\app\bin\quarto\share\formats\docx\tip.png" id="10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102"/>
    <w:bookmarkEnd w:id="103"/>
    <w:bookmarkStart w:id="104" w:name="X7e63ab4301a770f99d7cb8d654e83cd2564e4b4"/>
    <w:p>
      <w:pPr>
        <w:pStyle w:val="Heading4"/>
      </w:pPr>
      <w:r>
        <w:t xml:space="preserve">6.3.2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sSub>
            <m:e>
              <m:r>
                <m:t>​</m:t>
              </m:r>
            </m:e>
            <m:sub>
              <m:r>
                <m:t>n</m:t>
              </m:r>
              <m:r>
                <m:t>v</m:t>
              </m:r>
              <m:r>
                <m:t>h</m:t>
              </m:r>
              <m:r>
                <m:t>r</m:t>
              </m:r>
            </m:sub>
          </m:sSub>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8"/>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d>
            <m:dPr>
              <m:begChr m:val="("/>
              <m:endChr m:val=")"/>
              <m:sepChr m:val=""/>
              <m:grow/>
            </m:dPr>
            <m:e>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e>
          </m:d>
        </m:oMath>
      </m:oMathPara>
    </w:p>
    <w:p>
      <w:pPr>
        <w:pStyle w:val="FirstParagraph"/>
      </w:pPr>
      <w:r>
        <w:t xml:space="preserve">et:</w:t>
      </w:r>
    </w:p>
    <w:p>
      <w:pPr>
        <w:numPr>
          <w:ilvl w:val="0"/>
          <w:numId w:val="1029"/>
        </w:numPr>
        <w:pStyle w:val="Compact"/>
      </w:pPr>
      <m:oMath>
        <m:r>
          <m:t>T</m:t>
        </m:r>
        <m:sSub>
          <m:e>
            <m:r>
              <m:t>x</m:t>
            </m:r>
          </m:e>
          <m:sub>
            <m:r>
              <m:t>f</m:t>
            </m:r>
            <m:r>
              <m:t>r</m:t>
            </m:r>
            <m:r>
              <m:t>a</m:t>
            </m:r>
            <m:r>
              <m:t>i</m:t>
            </m:r>
            <m:r>
              <m:t>s</m:t>
            </m:r>
            <m:r>
              <m:t>g</m:t>
            </m:r>
            <m:r>
              <m:t>e</m:t>
            </m:r>
            <m:r>
              <m:t>s</m:t>
            </m:r>
            <m:r>
              <m:t>t</m:t>
            </m:r>
            <m:r>
              <m:t>i</m:t>
            </m:r>
            <m:r>
              <m:t>o</m:t>
            </m:r>
            <m:sSub>
              <m:e>
                <m:r>
                  <m:t>n</m:t>
                </m:r>
              </m:e>
              <m:sub>
                <m:r>
                  <m:t>m</m:t>
                </m:r>
                <m:r>
                  <m:t>o</m:t>
                </m:r>
                <m:r>
                  <m:t>y</m:t>
                </m:r>
              </m:sub>
            </m:sSub>
          </m:sub>
        </m:sSub>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sSub>
            <m:e>
              <m:r>
                <m:t>​</m:t>
              </m:r>
            </m:e>
            <m:sub>
              <m:r>
                <m:t>t</m:t>
              </m:r>
            </m:sub>
          </m:sSub>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f>
            <m:fPr>
              <m:type m:val="bar"/>
            </m:fPr>
            <m:num>
              <m:r>
                <m:t>T</m:t>
              </m:r>
              <m:sSub>
                <m:e>
                  <m:r>
                    <m:t>x</m:t>
                  </m:r>
                </m:e>
                <m:sub>
                  <m:r>
                    <m:t>f</m:t>
                  </m:r>
                  <m:r>
                    <m:t>r</m:t>
                  </m:r>
                  <m:r>
                    <m:t>a</m:t>
                  </m:r>
                  <m:r>
                    <m:t>i</m:t>
                  </m:r>
                  <m:r>
                    <m:t>s</m:t>
                  </m:r>
                  <m:r>
                    <m:t>G</m:t>
                  </m:r>
                  <m:r>
                    <m:t>e</m:t>
                  </m:r>
                  <m:r>
                    <m:t>s</m:t>
                  </m:r>
                  <m:r>
                    <m:t>t</m:t>
                  </m:r>
                  <m:r>
                    <m:t>i</m:t>
                  </m:r>
                  <m:r>
                    <m:t>o</m:t>
                  </m:r>
                  <m:sSub>
                    <m:e>
                      <m:r>
                        <m:t>n</m:t>
                      </m:r>
                    </m:e>
                    <m:sub>
                      <m:r>
                        <m:t>t</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1</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2</m:t>
                      </m:r>
                    </m:sub>
                  </m:sSub>
                </m:sub>
              </m:sSub>
            </m:num>
            <m:den>
              <m:r>
                <m:t>3</m:t>
              </m:r>
            </m:den>
          </m:f>
        </m:oMath>
      </m:oMathPara>
    </w:p>
    <w:p>
      <w:pPr>
        <w:pStyle w:val="FirstParagraph"/>
      </w:pPr>
      <w:r>
        <w:t xml:space="preserve">ainsi que :</w:t>
      </w:r>
    </w:p>
    <w:p>
      <w:pPr>
        <w:pStyle w:val="BodyText"/>
      </w:pPr>
      <m:oMathPara>
        <m:oMathParaPr>
          <m:jc m:val="center"/>
        </m:oMathParaPr>
        <m:oMath>
          <m:r>
            <m:t>T</m:t>
          </m:r>
          <m:sSub>
            <m:e>
              <m:r>
                <m:t>x</m:t>
              </m:r>
            </m:e>
            <m:sub>
              <m:r>
                <m:t>f</m:t>
              </m:r>
              <m:r>
                <m:t>r</m:t>
              </m:r>
              <m:r>
                <m:t>a</m:t>
              </m:r>
              <m:r>
                <m:t>i</m:t>
              </m:r>
              <m:r>
                <m:t>s</m:t>
              </m:r>
              <m:r>
                <m:t>g</m:t>
              </m:r>
              <m:r>
                <m:t>e</m:t>
              </m:r>
              <m:r>
                <m:t>s</m:t>
              </m:r>
              <m:r>
                <m:t>t</m:t>
              </m:r>
              <m:r>
                <m:t>i</m:t>
              </m:r>
              <m:r>
                <m:t>o</m:t>
              </m:r>
              <m:sSub>
                <m:e>
                  <m:r>
                    <m:t>n</m:t>
                  </m:r>
                </m:e>
                <m:sub>
                  <m:r>
                    <m:t>t</m:t>
                  </m:r>
                </m:sub>
              </m:sSub>
            </m:sub>
          </m:sSub>
          <m:r>
            <m:rPr>
              <m:sty m:val="p"/>
            </m:rPr>
            <m:t>=</m:t>
          </m:r>
          <m:f>
            <m:fPr>
              <m:type m:val="bar"/>
            </m:fPr>
            <m:num>
              <m:r>
                <m:t>F</m:t>
              </m:r>
              <m:r>
                <m:t>G</m:t>
              </m:r>
            </m:num>
            <m:den>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r>
                <m:t>R</m:t>
              </m:r>
              <m:r>
                <m:t>e</m:t>
              </m:r>
              <m:r>
                <m:t>g</m:t>
              </m:r>
              <m:r>
                <m:t>l</m:t>
              </m:r>
              <m:r>
                <m:t>e</m:t>
              </m:r>
              <m:r>
                <m:t>m</m:t>
              </m:r>
              <m:r>
                <m:t>e</m:t>
              </m:r>
              <m:r>
                <m:t>n</m:t>
              </m:r>
              <m:r>
                <m:t>t</m:t>
              </m:r>
              <m:sSub>
                <m:e>
                  <m:r>
                    <m:t>s</m:t>
                  </m:r>
                </m:e>
                <m:sub>
                  <m:r>
                    <m:t>C</m:t>
                  </m:r>
                  <m:r>
                    <m:t>l</m:t>
                  </m:r>
                  <m:r>
                    <m:t>o</m:t>
                  </m:r>
                  <m:r>
                    <m:t>s</m:t>
                  </m:r>
                </m:sub>
              </m:sSub>
            </m:den>
          </m:f>
        </m:oMath>
      </m:oMathPara>
    </w:p>
    <w:p>
      <w:pPr>
        <w:numPr>
          <w:ilvl w:val="0"/>
          <w:numId w:val="1030"/>
        </w:numPr>
        <w:pStyle w:val="Compact"/>
      </w:pPr>
      <m:oMath>
        <m:r>
          <m:t>F</m:t>
        </m:r>
        <m:r>
          <m:t>G</m:t>
        </m:r>
      </m:oMath>
      <w:r>
        <w:t xml:space="preserve">: le montant frais de gestion.</w:t>
      </w:r>
    </w:p>
    <w:p>
      <w:pPr>
        <w:numPr>
          <w:ilvl w:val="0"/>
          <w:numId w:val="1030"/>
        </w:numPr>
        <w:pStyle w:val="Compact"/>
      </w:pPr>
      <m:oMath>
        <m:r>
          <m:t>R</m:t>
        </m:r>
        <m:r>
          <m:t>e</m:t>
        </m:r>
        <m:r>
          <m:t>g</m:t>
        </m:r>
        <m:r>
          <m:t>l</m:t>
        </m:r>
        <m:r>
          <m:t>e</m:t>
        </m:r>
        <m:r>
          <m:t>m</m:t>
        </m:r>
        <m:r>
          <m:t>e</m:t>
        </m:r>
        <m:r>
          <m:t>n</m:t>
        </m:r>
        <m:r>
          <m:t>t</m:t>
        </m:r>
        <m:sSub>
          <m:e>
            <m:r>
              <m:t>s</m:t>
            </m:r>
          </m:e>
          <m:sub>
            <m:r>
              <m:t>C</m:t>
            </m:r>
            <m:r>
              <m:t>l</m:t>
            </m:r>
            <m:r>
              <m:t>o</m:t>
            </m:r>
            <m:r>
              <m:t>s</m:t>
            </m:r>
          </m:sub>
        </m:sSub>
      </m:oMath>
      <w:r>
        <w:t xml:space="preserve"> </w:t>
      </w:r>
      <w:r>
        <w:t xml:space="preserve">: les règlements au titre de l’exercice clos.</w:t>
      </w:r>
    </w:p>
    <w:bookmarkEnd w:id="104"/>
    <w:bookmarkEnd w:id="105"/>
    <w:bookmarkStart w:id="116" w:name="Xf3f8abd7a5710234231d4d992dd0ccf8ee2969b"/>
    <w:p>
      <w:pPr>
        <w:pStyle w:val="Heading3"/>
      </w:pPr>
      <w:r>
        <w:t xml:space="preserve">6.4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a</m:t>
          </m:r>
          <m:r>
            <m:t>r</m:t>
          </m:r>
          <m:sSub>
            <m:e>
              <m:r>
                <m:t>t</m:t>
              </m:r>
            </m:e>
            <m:sub>
              <m:r>
                <m:t>c</m:t>
              </m:r>
              <m:r>
                <m:t>e</m:t>
              </m:r>
              <m:r>
                <m:t>s</m:t>
              </m:r>
              <m:r>
                <m:t>s</m:t>
              </m:r>
            </m:sub>
          </m:sSub>
          <m:r>
            <m:rPr>
              <m:sty m:val="p"/>
            </m:rPr>
            <m:t>=</m:t>
          </m:r>
          <m:r>
            <m:t>B</m:t>
          </m:r>
          <m:sSubSup>
            <m:e>
              <m:r>
                <m:t>E</m:t>
              </m:r>
            </m:e>
            <m:sub>
              <m:r>
                <m:t>c</m:t>
              </m:r>
              <m:r>
                <m:t>e</m:t>
              </m:r>
              <m:r>
                <m:t>d</m:t>
              </m:r>
              <m:r>
                <m:t>e</m:t>
              </m:r>
              <m:r>
                <m:t>s</m:t>
              </m:r>
            </m:sub>
            <m:sup>
              <m:r>
                <m:t>e</m:t>
              </m:r>
              <m:r>
                <m:t>n</m:t>
              </m:r>
              <m:r>
                <m:t>g</m:t>
              </m:r>
            </m:sup>
          </m:sSubSup>
          <m:r>
            <m:rPr>
              <m:sty m:val="p"/>
            </m:rPr>
            <m:t>−</m:t>
          </m:r>
          <m:r>
            <m:t>A</m:t>
          </m:r>
          <m:r>
            <m:t>j</m:t>
          </m:r>
          <m:r>
            <m:t>u</m:t>
          </m:r>
          <m:r>
            <m:t>s</m:t>
          </m:r>
          <m:sSub>
            <m:e>
              <m:r>
                <m:t>t</m:t>
              </m:r>
            </m:e>
            <m:sub>
              <m:r>
                <m:t>D</m:t>
              </m:r>
              <m:r>
                <m:t>C</m:t>
              </m:r>
            </m:sub>
          </m:sSub>
        </m:oMath>
      </m:oMathPara>
    </w:p>
    <w:bookmarkStart w:id="108" w:name="X2a1b8cf2422c04aac5fbeb38e9044a51a42d991"/>
    <w:p>
      <w:pPr>
        <w:pStyle w:val="Heading4"/>
      </w:pPr>
      <w:r>
        <w:t xml:space="preserve">6.4.1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106"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w:t>
      </w:r>
      <w:r>
        <w:t xml:space="preserve"> </w:t>
      </w:r>
      <w:r>
        <w:t xml:space="preserve">engagements par le rapport entre d’une part, la part des cessionnaires dans les provisions</w:t>
      </w:r>
      <w:r>
        <w:t xml:space="preserve"> </w:t>
      </w:r>
      <w:r>
        <w:t xml:space="preserve">mathématiques et dans les provisions pour capitaux, rentes et rachats à payer et d’autre part, la</w:t>
      </w:r>
      <w:r>
        <w:t xml:space="preserve"> </w:t>
      </w:r>
      <w:r>
        <w:t xml:space="preserve">somme des provisions mathématiques , des provisions pour capitaux, rentes et rachats à payer bruts</w:t>
      </w:r>
      <w:r>
        <w:t xml:space="preserve"> </w:t>
      </w:r>
      <w:r>
        <w:t xml:space="preserve">de réassurance.</w:t>
      </w:r>
    </w:p>
    <w:p>
      <w:pPr>
        <w:pStyle w:val="BodyText"/>
      </w:pPr>
      <m:oMathPara>
        <m:oMathParaPr>
          <m:jc m:val="center"/>
        </m:oMathParaPr>
        <m:oMath>
          <m:sSub>
            <m:e>
              <m:r>
                <m:t>​</m:t>
              </m:r>
            </m:e>
            <m:sub>
              <m:r>
                <m:t>v</m:t>
              </m:r>
              <m:r>
                <m:t>i</m:t>
              </m:r>
              <m:r>
                <m:t>e</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c</m:t>
              </m:r>
            </m:sub>
          </m:sSub>
          <m:limLow>
            <m:e>
              <m:r>
                <m:rPr>
                  <m:sty m:val="p"/>
                </m:rPr>
                <m:t>×</m:t>
              </m:r>
            </m:e>
            <m:lim>
              <m:r>
                <m:t>v</m:t>
              </m:r>
              <m:r>
                <m:t>i</m:t>
              </m:r>
              <m:r>
                <m:t>e</m:t>
              </m:r>
            </m:lim>
          </m:limLow>
          <m:r>
            <m:t>B</m:t>
          </m:r>
          <m:sSup>
            <m:e>
              <m:r>
                <m:t>E</m:t>
              </m:r>
            </m:e>
            <m:sup>
              <m:r>
                <m:t>e</m:t>
              </m:r>
              <m:r>
                <m:t>n</m:t>
              </m:r>
              <m:r>
                <m:t>g</m:t>
              </m:r>
            </m:sup>
          </m:sSup>
        </m:oMath>
      </m:oMathPara>
    </w:p>
    <w:p>
      <w:pPr>
        <w:pStyle w:val="FirstParagraph"/>
      </w:pPr>
      <w:r>
        <w:t xml:space="preserve">Avec :</w:t>
      </w:r>
    </w:p>
    <w:p>
      <w:pPr>
        <w:numPr>
          <w:ilvl w:val="0"/>
          <w:numId w:val="1031"/>
        </w:numPr>
        <w:pStyle w:val="Compact"/>
      </w:pPr>
      <m:oMath>
        <m:r>
          <m:t>t</m:t>
        </m:r>
        <m:r>
          <m:t>a</m:t>
        </m:r>
        <m:r>
          <m:t>u</m:t>
        </m:r>
        <m:sSub>
          <m:e>
            <m:r>
              <m:t>x</m:t>
            </m:r>
          </m:e>
          <m:sub>
            <m:r>
              <m:t>c</m:t>
            </m:r>
          </m:sub>
        </m:sSub>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106"/>
    <w:bookmarkStart w:id="107"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sSub>
            <m:e>
              <m:r>
                <m:t>​</m:t>
              </m:r>
            </m:e>
            <m:sub>
              <m:r>
                <m:t>n</m:t>
              </m:r>
              <m:r>
                <m:t>v</m:t>
              </m:r>
              <m:r>
                <m:t>i</m:t>
              </m:r>
              <m:r>
                <m:t>e</m:t>
              </m:r>
            </m:sub>
          </m:sSub>
          <m:r>
            <m:t>B</m:t>
          </m:r>
          <m:sSubSup>
            <m:e>
              <m:r>
                <m:t>E</m:t>
              </m:r>
            </m:e>
            <m:sub>
              <m:r>
                <m:t>c</m:t>
              </m:r>
              <m:r>
                <m:t>e</m:t>
              </m:r>
              <m:r>
                <m:t>d</m:t>
              </m:r>
              <m:r>
                <m:t>e</m:t>
              </m:r>
              <m:r>
                <m:t>s</m:t>
              </m:r>
            </m:sub>
            <m:sup>
              <m:r>
                <m:t>e</m:t>
              </m:r>
              <m:r>
                <m:t>n</m:t>
              </m:r>
              <m:r>
                <m:t>g</m:t>
              </m:r>
            </m:sup>
          </m:sSubSup>
          <m:r>
            <m:rPr>
              <m:sty m:val="p"/>
            </m:rPr>
            <m:t>=</m:t>
          </m:r>
          <m:sSub>
            <m:e>
              <m:r>
                <m:t> </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sSub>
            <m:e>
              <m:r>
                <m:t> </m:t>
              </m:r>
            </m:e>
            <m:sub>
              <m:r>
                <m:t>p</m:t>
              </m:r>
              <m:r>
                <m:t>r</m:t>
              </m:r>
              <m:r>
                <m:t>i</m:t>
              </m:r>
              <m:r>
                <m:t>m</m:t>
              </m:r>
              <m:r>
                <m:t>e</m:t>
              </m:r>
              <m:r>
                <m:t>s</m:t>
              </m:r>
            </m:sub>
          </m:sSub>
          <m:r>
            <m:t>B</m:t>
          </m:r>
          <m:sSubSup>
            <m:e>
              <m:r>
                <m:t>E</m:t>
              </m:r>
            </m:e>
            <m:sub>
              <m:r>
                <m:t>c</m:t>
              </m:r>
              <m:r>
                <m:t>e</m:t>
              </m:r>
              <m:r>
                <m:t>d</m:t>
              </m:r>
              <m:r>
                <m:t>e</m:t>
              </m:r>
              <m:r>
                <m:t>s</m:t>
              </m:r>
            </m:sub>
            <m:sup>
              <m:r>
                <m:t>e</m:t>
              </m:r>
              <m:r>
                <m:t>n</m:t>
              </m:r>
              <m:r>
                <m:t>g</m:t>
              </m:r>
            </m:sup>
          </m:sSubSup>
        </m:oMath>
      </m:oMathPara>
    </w:p>
    <w:p>
      <w:pPr>
        <w:pStyle w:val="FirstParagraph"/>
      </w:pPr>
      <w:r>
        <w:t xml:space="preserve">Avec :</w:t>
      </w:r>
    </w:p>
    <w:p>
      <w:pPr>
        <w:pStyle w:val="BlockText"/>
      </w:pPr>
      <m:oMath>
        <m:sSub>
          <m:e>
            <m:r>
              <m:t>​</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s</m:t>
            </m:r>
          </m:sub>
        </m:sSub>
        <m:r>
          <m:rPr>
            <m:sty m:val="p"/>
          </m:rPr>
          <m:t>×</m:t>
        </m:r>
        <m:r>
          <m:t>B</m:t>
        </m:r>
        <m:sSubSup>
          <m:e>
            <m:r>
              <m:t>E</m:t>
            </m:r>
          </m:e>
          <m:sub>
            <m:r>
              <m:t>s</m:t>
            </m:r>
            <m:r>
              <m:t>i</m:t>
            </m:r>
            <m:r>
              <m:t>n</m:t>
            </m:r>
            <m:r>
              <m:t>s</m:t>
            </m:r>
            <m:r>
              <m:t>i</m:t>
            </m:r>
            <m:r>
              <m:t>t</m:t>
            </m:r>
            <m:r>
              <m:t>r</m:t>
            </m:r>
            <m:r>
              <m:t>e</m:t>
            </m:r>
            <m:r>
              <m:t>s</m:t>
            </m:r>
          </m:sub>
          <m:sup>
            <m:r>
              <m:t>e</m:t>
            </m:r>
            <m:r>
              <m:t>n</m:t>
            </m:r>
            <m:r>
              <m:t>g</m:t>
            </m:r>
          </m:sup>
        </m:sSubSup>
      </m:oMath>
      <w:r>
        <w:t xml:space="preserve"> </w:t>
      </w:r>
      <w:r>
        <w:t xml:space="preserve">: La meilleure estimation des engagements pour sinistres cédés visée à la spécification technique 33 ci- dessus est évaluée en multipliant la meilleure estimation des engagements pour sinistres nets de recours visée à par (</w:t>
      </w:r>
      <m:oMath>
        <m:r>
          <m:t>t</m:t>
        </m:r>
        <m:r>
          <m:t>a</m:t>
        </m:r>
        <m:r>
          <m:t>u</m:t>
        </m:r>
        <m:sSub>
          <m:e>
            <m:r>
              <m:t>x</m:t>
            </m:r>
          </m:e>
          <m:sub>
            <m:r>
              <m:t>s</m:t>
            </m:r>
          </m:sub>
        </m:sSub>
      </m:oMath>
      <w:r>
        <w:t xml:space="preserve">) le rapport entre la part des cessionnaires dans les provisions pour sinistres à payer et la provision pour sinistres à payer brute de réassurance.</w:t>
      </w:r>
    </w:p>
    <w:p>
      <w:pPr>
        <w:pStyle w:val="BlockText"/>
      </w:pPr>
      <m:oMath>
        <m:sSub>
          <m:e>
            <m:r>
              <m:t>​</m:t>
            </m:r>
          </m:e>
          <m:sub>
            <m:r>
              <m:t>p</m:t>
            </m:r>
            <m:r>
              <m:t>r</m:t>
            </m:r>
            <m:r>
              <m:t>i</m:t>
            </m:r>
            <m:r>
              <m:t>m</m:t>
            </m:r>
            <m:r>
              <m:t>e</m:t>
            </m:r>
            <m:r>
              <m:t>s</m:t>
            </m:r>
          </m:sub>
        </m:sSub>
        <m:r>
          <m:t>B</m:t>
        </m:r>
        <m:sSubSup>
          <m:e>
            <m:r>
              <m:t>E</m:t>
            </m:r>
          </m:e>
          <m:sub>
            <m:r>
              <m:t>c</m:t>
            </m:r>
            <m:r>
              <m:t>e</m:t>
            </m:r>
            <m:r>
              <m:t>d</m:t>
            </m:r>
            <m:r>
              <m:t>e</m:t>
            </m:r>
            <m:r>
              <m:t>s</m:t>
            </m:r>
          </m:sub>
          <m:sup>
            <m:r>
              <m:t>e</m:t>
            </m:r>
            <m:r>
              <m:t>n</m:t>
            </m:r>
            <m:r>
              <m:t>g</m:t>
            </m:r>
          </m:sup>
        </m:sSubSup>
        <m:r>
          <m:rPr>
            <m:sty m:val="p"/>
          </m:rPr>
          <m:t>=</m:t>
        </m:r>
        <m:sSubSup>
          <m:e>
            <m:r>
              <m:t>r</m:t>
            </m:r>
          </m:e>
          <m:sub>
            <m:r>
              <m:t>c</m:t>
            </m:r>
            <m:r>
              <m:t>e</m:t>
            </m:r>
            <m:r>
              <m:t>s</m:t>
            </m:r>
            <m:r>
              <m:t>s</m:t>
            </m:r>
            <m:r>
              <m:t>i</m:t>
            </m:r>
            <m:r>
              <m:t>o</m:t>
            </m:r>
            <m:r>
              <m:t>n</m:t>
            </m:r>
          </m:sub>
          <m:sup>
            <m:r>
              <m:t>p</m:t>
            </m:r>
            <m:r>
              <m:t>r</m:t>
            </m:r>
            <m:r>
              <m:t>i</m:t>
            </m:r>
            <m:r>
              <m:t>m</m:t>
            </m:r>
            <m:r>
              <m:t>e</m:t>
            </m:r>
            <m:r>
              <m:t>s</m:t>
            </m:r>
          </m:sup>
        </m:sSubSup>
        <m:r>
          <m:rPr>
            <m:sty m:val="p"/>
          </m:rPr>
          <m:t>×</m:t>
        </m:r>
        <m:r>
          <m:t>B</m:t>
        </m:r>
        <m:sSubSup>
          <m:e>
            <m:r>
              <m:t>E</m:t>
            </m:r>
          </m:e>
          <m:sub>
            <m:r>
              <m:t>p</m:t>
            </m:r>
            <m:r>
              <m:t>r</m:t>
            </m:r>
            <m:r>
              <m:t>i</m:t>
            </m:r>
            <m:r>
              <m:t>m</m:t>
            </m:r>
            <m:r>
              <m:t>e</m:t>
            </m:r>
            <m:r>
              <m:t>s</m:t>
            </m:r>
          </m:sub>
          <m:sup>
            <m:r>
              <m:t>e</m:t>
            </m:r>
            <m:r>
              <m:t>n</m:t>
            </m:r>
            <m:r>
              <m:t>g</m:t>
            </m:r>
          </m:sup>
        </m:sSubSup>
      </m:oMath>
      <w:r>
        <w:t xml:space="preserve"> </w:t>
      </w:r>
      <w:r>
        <w:t xml:space="preserve">: La meilleure estimation des engagements pour primes cédés visée est évaluée en multipliant la meilleure estimation des engagements pour primes visée par le taux de cession de primes. Le taux de cession (</w:t>
      </w:r>
      <m:oMath>
        <m:sSubSup>
          <m:e>
            <m:r>
              <m:t>r</m:t>
            </m:r>
          </m:e>
          <m:sub>
            <m:r>
              <m:t>c</m:t>
            </m:r>
            <m:r>
              <m:t>e</m:t>
            </m:r>
            <m:r>
              <m:t>s</m:t>
            </m:r>
            <m:r>
              <m:t>s</m:t>
            </m:r>
            <m:r>
              <m:t>i</m:t>
            </m:r>
            <m:r>
              <m:t>o</m:t>
            </m:r>
            <m:r>
              <m:t>n</m:t>
            </m:r>
          </m:sub>
          <m:sup>
            <m:r>
              <m:t>p</m:t>
            </m:r>
            <m:r>
              <m:t>r</m:t>
            </m:r>
            <m:r>
              <m:t>i</m:t>
            </m:r>
            <m:r>
              <m:t>m</m:t>
            </m:r>
            <m:r>
              <m:t>e</m:t>
            </m:r>
            <m:r>
              <m:t>s</m:t>
            </m:r>
          </m:sup>
        </m:sSubSup>
      </m:oMath>
      <w:r>
        <w:t xml:space="preserve">) de primes précité correspond au rapport entre les primes brutes non vie (cessions) et les primes émises de l’exercice.</w:t>
      </w:r>
    </w:p>
    <w:bookmarkEnd w:id="107"/>
    <w:bookmarkEnd w:id="108"/>
    <w:bookmarkStart w:id="115" w:name="lajustement-pour-défaut-de-contrepartie"/>
    <w:p>
      <w:pPr>
        <w:pStyle w:val="Heading4"/>
      </w:pPr>
      <w:r>
        <w:t xml:space="preserve">6.4.2 L’ajustement pour défaut de contrepartie:</w:t>
      </w:r>
    </w:p>
    <w:p>
      <w:pPr>
        <w:pStyle w:val="FirstParagraph"/>
      </w:pP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Les flux d’ajustement futurs sont déterminés conformément à la méthode, telle que décrite à</w:t>
      </w:r>
      <w:r>
        <w:t xml:space="preserve"> </w:t>
      </w:r>
      <w:r>
        <w:rPr>
          <w:bCs/>
          <w:b/>
        </w:rPr>
        <w:t xml:space="preserve">l’annexe N°6</w:t>
      </w:r>
      <w:r>
        <w:t xml:space="preserve"> </w:t>
      </w:r>
      <w:r>
        <w:t xml:space="preserve">de la circulaire de l’ACAPS que nous décrirons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C:\PROGRA~1\RStudio\RESOUR~1\app\bin\quarto\share\formats\docx\note.png" id="110"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oMath>
            <w:r>
              <w:t xml:space="preserve"> </w:t>
            </w:r>
            <w:r>
              <w:t xml:space="preserve">est calculée comme suit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sSub>
                      <m:e>
                        <m:r>
                          <m:t>E</m:t>
                        </m:r>
                      </m:e>
                      <m:sub>
                        <m:r>
                          <m:t>s</m:t>
                        </m:r>
                        <m:r>
                          <m:t>i</m:t>
                        </m:r>
                        <m:r>
                          <m:t>n</m:t>
                        </m:r>
                        <m:r>
                          <m:t>s</m:t>
                        </m:r>
                        <m:r>
                          <m:t>i</m:t>
                        </m:r>
                        <m:r>
                          <m:t>t</m:t>
                        </m:r>
                        <m:r>
                          <m:t>r</m:t>
                        </m:r>
                        <m:r>
                          <m:t>e</m:t>
                        </m:r>
                        <m:r>
                          <m:t>s</m:t>
                        </m:r>
                        <m:r>
                          <m:t> </m:t>
                        </m:r>
                        <m:r>
                          <m:t>i</m:t>
                        </m:r>
                      </m:sub>
                    </m:sSub>
                    <m:r>
                      <m:rPr>
                        <m:sty m:val="p"/>
                      </m:rPr>
                      <m:t>×</m:t>
                    </m:r>
                    <m:r>
                      <m:t>r</m:t>
                    </m:r>
                    <m:r>
                      <m:t>a</m:t>
                    </m:r>
                    <m:r>
                      <m:t>t</m:t>
                    </m:r>
                    <m:r>
                      <m:t>i</m:t>
                    </m:r>
                    <m:sSub>
                      <m:e>
                        <m:r>
                          <m:t>o</m:t>
                        </m:r>
                      </m:e>
                      <m:sub>
                        <m:r>
                          <m:t>s</m:t>
                        </m:r>
                        <m:r>
                          <m:t>i</m:t>
                        </m:r>
                        <m:r>
                          <m:t>n</m:t>
                        </m:r>
                        <m:r>
                          <m:t>i</m:t>
                        </m:r>
                        <m:r>
                          <m:t>s</m:t>
                        </m:r>
                        <m:r>
                          <m:t>t</m:t>
                        </m:r>
                        <m:r>
                          <m:t>r</m:t>
                        </m:r>
                        <m:r>
                          <m:t>e</m:t>
                        </m:r>
                        <m:r>
                          <m:t>s</m:t>
                        </m:r>
                        <m:r>
                          <m:t> </m:t>
                        </m:r>
                        <m:r>
                          <m:t>0</m:t>
                        </m:r>
                      </m:sub>
                    </m:sSub>
                    <m:r>
                      <m:rPr>
                        <m:sty m:val="p"/>
                      </m:rPr>
                      <m:t>+</m:t>
                    </m:r>
                    <m:r>
                      <m:t>M</m:t>
                    </m:r>
                    <m:sSub>
                      <m:e>
                        <m:r>
                          <m:t>E</m:t>
                        </m:r>
                      </m:e>
                      <m:sub>
                        <m:r>
                          <m:t>p</m:t>
                        </m:r>
                        <m:r>
                          <m:t>r</m:t>
                        </m:r>
                        <m:r>
                          <m:t>i</m:t>
                        </m:r>
                        <m:r>
                          <m:t>m</m:t>
                        </m:r>
                        <m:r>
                          <m:t>e</m:t>
                        </m:r>
                        <m:r>
                          <m:t>s</m:t>
                        </m:r>
                        <m:r>
                          <m:t> </m:t>
                        </m:r>
                        <m:r>
                          <m:t>i</m:t>
                        </m:r>
                      </m:sub>
                    </m:sSub>
                    <m:r>
                      <m:rPr>
                        <m:sty m:val="p"/>
                      </m:rPr>
                      <m:t>×</m:t>
                    </m:r>
                    <m:r>
                      <m:t>r</m:t>
                    </m:r>
                    <m:r>
                      <m:t>a</m:t>
                    </m:r>
                    <m:r>
                      <m:t>t</m:t>
                    </m:r>
                    <m:r>
                      <m:t>i</m:t>
                    </m:r>
                    <m:sSub>
                      <m:e>
                        <m:r>
                          <m:t>o</m:t>
                        </m:r>
                      </m:e>
                      <m:sub>
                        <m:r>
                          <m:t>p</m:t>
                        </m:r>
                        <m:r>
                          <m:t>r</m:t>
                        </m:r>
                        <m:r>
                          <m:t>i</m:t>
                        </m:r>
                        <m:r>
                          <m:t>m</m:t>
                        </m:r>
                        <m:r>
                          <m:t>e</m:t>
                        </m:r>
                        <m:r>
                          <m:t>s</m:t>
                        </m:r>
                        <m:r>
                          <m:t> </m:t>
                        </m:r>
                        <m:r>
                          <m:t>0</m:t>
                        </m:r>
                      </m:sub>
                    </m:sSub>
                  </m:e>
                </m:d>
              </m:oMath>
            </m:oMathPara>
          </w:p>
          <w:p>
            <w:pPr>
              <w:pStyle w:val="FirstParagraph"/>
            </w:pPr>
            <w:r>
              <w:t xml:space="preserve">Où:</w:t>
            </w:r>
          </w:p>
          <w:p>
            <w:pPr>
              <w:numPr>
                <w:ilvl w:val="0"/>
                <w:numId w:val="1032"/>
              </w:numPr>
              <w:pStyle w:val="Compact"/>
            </w:pPr>
            <m:oMath>
              <m:r>
                <m:t>M</m:t>
              </m:r>
              <m:sSub>
                <m:e>
                  <m:r>
                    <m:t>E</m:t>
                  </m:r>
                </m:e>
                <m:sub>
                  <m:r>
                    <m:t>s</m:t>
                  </m:r>
                  <m:r>
                    <m:t>i</m:t>
                  </m:r>
                  <m:r>
                    <m:t>n</m:t>
                  </m:r>
                  <m:r>
                    <m:t>s</m:t>
                  </m:r>
                  <m:r>
                    <m:t>i</m:t>
                  </m:r>
                  <m:r>
                    <m:t>t</m:t>
                  </m:r>
                  <m:r>
                    <m:t>r</m:t>
                  </m:r>
                  <m:r>
                    <m:t>e</m:t>
                  </m:r>
                  <m:r>
                    <m:t>s</m:t>
                  </m:r>
                  <m:r>
                    <m:t> </m:t>
                  </m:r>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32"/>
              </w:numPr>
              <w:pStyle w:val="Compact"/>
            </w:pPr>
            <m:oMath>
              <m:r>
                <m:t>M</m:t>
              </m:r>
              <m:sSub>
                <m:e>
                  <m:r>
                    <m:t>E</m:t>
                  </m:r>
                </m:e>
                <m:sub>
                  <m:r>
                    <m:t>p</m:t>
                  </m:r>
                  <m:r>
                    <m:t>r</m:t>
                  </m:r>
                  <m:r>
                    <m:t>i</m:t>
                  </m:r>
                  <m:r>
                    <m:t>m</m:t>
                  </m:r>
                  <m:r>
                    <m:t>e</m:t>
                  </m:r>
                  <m:r>
                    <m:t>s</m:t>
                  </m:r>
                  <m:r>
                    <m:t> </m:t>
                  </m:r>
                  <m:r>
                    <m:t>i</m:t>
                  </m:r>
                </m:sub>
              </m:sSub>
            </m:oMath>
            <w:r>
              <w:t xml:space="preserve">: correspond à la meilleure estimation des engagements pour primes projetée à la date i.</w:t>
            </w:r>
          </w:p>
          <w:p>
            <w:pPr>
              <w:numPr>
                <w:ilvl w:val="0"/>
                <w:numId w:val="1032"/>
              </w:numPr>
              <w:pStyle w:val="Compact"/>
            </w:pPr>
            <w:r>
              <w:t xml:space="preserve">Les termes</w:t>
            </w:r>
            <w:r>
              <w:t xml:space="preserve"> </w:t>
            </w:r>
            <m:oMath>
              <m:r>
                <m:t>r</m:t>
              </m:r>
              <m:r>
                <m:t>a</m:t>
              </m:r>
              <m:r>
                <m:t>t</m:t>
              </m:r>
              <m:r>
                <m:t>i</m:t>
              </m:r>
              <m:sSub>
                <m:e>
                  <m:r>
                    <m:t>o</m:t>
                  </m:r>
                </m:e>
                <m:sub>
                  <m:r>
                    <m:t>s</m:t>
                  </m:r>
                  <m:r>
                    <m:t>i</m:t>
                  </m:r>
                  <m:r>
                    <m:t>n</m:t>
                  </m:r>
                  <m:r>
                    <m:t>i</m:t>
                  </m:r>
                  <m:r>
                    <m:t>s</m:t>
                  </m:r>
                  <m:r>
                    <m:t>t</m:t>
                  </m:r>
                  <m:r>
                    <m:t>r</m:t>
                  </m:r>
                  <m:r>
                    <m:t>e</m:t>
                  </m:r>
                  <m:r>
                    <m:t>s</m:t>
                  </m:r>
                  <m:r>
                    <m:t> </m:t>
                  </m:r>
                  <m:r>
                    <m:t>0</m:t>
                  </m:r>
                </m:sub>
              </m:sSub>
            </m:oMath>
            <w:r>
              <w:t xml:space="preserve"> </w:t>
            </w:r>
            <w:r>
              <w:t xml:space="preserve">et</w:t>
            </w:r>
            <w:r>
              <w:t xml:space="preserve"> </w:t>
            </w:r>
            <m:oMath>
              <m:r>
                <m:t>r</m:t>
              </m:r>
              <m:r>
                <m:t>a</m:t>
              </m:r>
              <m:r>
                <m:t>t</m:t>
              </m:r>
              <m:r>
                <m:t>i</m:t>
              </m:r>
              <m:sSub>
                <m:e>
                  <m:r>
                    <m:t>o</m:t>
                  </m:r>
                </m:e>
                <m:sub>
                  <m:r>
                    <m:t>p</m:t>
                  </m:r>
                  <m:r>
                    <m:t>r</m:t>
                  </m:r>
                  <m:r>
                    <m:t>i</m:t>
                  </m:r>
                  <m:r>
                    <m:t>m</m:t>
                  </m:r>
                  <m:r>
                    <m:t>e</m:t>
                  </m:r>
                  <m:r>
                    <m:t>s</m:t>
                  </m:r>
                  <m:r>
                    <m:t> </m:t>
                  </m:r>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r>
                      <m:t>E</m:t>
                    </m:r>
                    <m:r>
                      <m:t>G</m:t>
                    </m:r>
                    <m:sSub>
                      <m:e>
                        <m:r>
                          <m:t>P</m:t>
                        </m:r>
                      </m:e>
                      <m:sub>
                        <m:r>
                          <m:t>i</m:t>
                        </m:r>
                      </m:sub>
                    </m:sSub>
                    <m:r>
                      <m:rPr>
                        <m:sty m:val="p"/>
                      </m:rPr>
                      <m:t>+</m:t>
                    </m:r>
                    <m:r>
                      <m:t>B</m:t>
                    </m:r>
                    <m:r>
                      <m:t>D</m:t>
                    </m:r>
                    <m:sSub>
                      <m:e>
                        <m:r>
                          <m:t>F</m:t>
                        </m:r>
                      </m:e>
                      <m:sub>
                        <m:r>
                          <m:t>i</m:t>
                        </m:r>
                      </m:sub>
                    </m:sSub>
                  </m:e>
                </m:d>
                <m:r>
                  <m:rPr>
                    <m:sty m:val="p"/>
                  </m:rPr>
                  <m:t>×</m:t>
                </m:r>
                <m:r>
                  <m:t>r</m:t>
                </m:r>
                <m:r>
                  <m:t>a</m:t>
                </m:r>
                <m:r>
                  <m:t>t</m:t>
                </m:r>
                <m:r>
                  <m:t>i</m:t>
                </m:r>
                <m:sSub>
                  <m:e>
                    <m:r>
                      <m:t>o</m:t>
                    </m:r>
                  </m:e>
                  <m:sub>
                    <m:r>
                      <m:t>0</m:t>
                    </m:r>
                  </m:sub>
                </m:sSub>
              </m:oMath>
            </m:oMathPara>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M</m:t>
                </m:r>
                <m:r>
                  <m:t>E</m:t>
                </m:r>
                <m:r>
                  <m:t>G</m:t>
                </m:r>
                <m:sSub>
                  <m:e>
                    <m:r>
                      <m:t>P</m:t>
                    </m:r>
                  </m:e>
                  <m:sub>
                    <m:r>
                      <m:t>i</m:t>
                    </m:r>
                  </m:sub>
                </m:sSub>
                <m:r>
                  <m:rPr>
                    <m:sty m:val="p"/>
                  </m:rPr>
                  <m:t>×</m:t>
                </m:r>
                <m:r>
                  <m:t>r</m:t>
                </m:r>
                <m:r>
                  <m:t>a</m:t>
                </m:r>
                <m:r>
                  <m:t>t</m:t>
                </m:r>
                <m:r>
                  <m:t>i</m:t>
                </m:r>
                <m:sSub>
                  <m:e>
                    <m:r>
                      <m:t>o</m:t>
                    </m:r>
                  </m:e>
                  <m:sub>
                    <m:r>
                      <m:t>0</m:t>
                    </m:r>
                  </m:sub>
                </m:sSub>
              </m:oMath>
            </m:oMathPara>
          </w:p>
          <w:p>
            <w:pPr>
              <w:pStyle w:val="FirstParagraph"/>
            </w:pPr>
            <w:pPr>
              <w:spacing w:after="16"/>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1" name="Picture"/>
                  <a:graphic>
                    <a:graphicData uri="http://schemas.openxmlformats.org/drawingml/2006/picture">
                      <pic:pic>
                        <pic:nvPicPr>
                          <pic:cNvPr descr="C:\PROGRA~1\RStudio\RESOUR~1\app\bin\quarto\share\formats\docx\note.png" id="11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w:pPr>
              <w:spacing w:after="16"/>
            </w:pPr>
          </w:p>
          <w:p>
            <w:pPr>
              <w:pStyle w:val="BodyText"/>
            </w:pPr>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d</m:t>
                    </m:r>
                    <m:r>
                      <m:t>é</m:t>
                    </m:r>
                    <m:r>
                      <m:t>p</m:t>
                    </m:r>
                    <m:r>
                      <m:t>ô</m:t>
                    </m:r>
                    <m:r>
                      <m:t>t</m:t>
                    </m:r>
                    <m:r>
                      <m:t> </m:t>
                    </m:r>
                    <m:r>
                      <m:t>e</m:t>
                    </m:r>
                    <m:r>
                      <m:t>n</m:t>
                    </m:r>
                    <m:r>
                      <m:t> </m:t>
                    </m:r>
                    <m:r>
                      <m:t>e</m:t>
                    </m:r>
                    <m:r>
                      <m:t>s</m:t>
                    </m:r>
                    <m:r>
                      <m:t>p</m:t>
                    </m:r>
                    <m:r>
                      <m:t>è</m:t>
                    </m:r>
                    <m:r>
                      <m:t>c</m:t>
                    </m:r>
                    <m:r>
                      <m:t>e</m:t>
                    </m:r>
                    <m:r>
                      <m:t>s</m:t>
                    </m:r>
                    <m:r>
                      <m:t> </m:t>
                    </m:r>
                    <m:r>
                      <m:t>e</m:t>
                    </m:r>
                    <m:r>
                      <m:t>t</m:t>
                    </m:r>
                    <m:r>
                      <m:t> </m:t>
                    </m:r>
                    <m:r>
                      <m:t>e</m:t>
                    </m:r>
                    <m:r>
                      <m:t>n</m:t>
                    </m:r>
                    <m:r>
                      <m:t> </m:t>
                    </m:r>
                    <m:r>
                      <m:t>v</m:t>
                    </m:r>
                    <m:r>
                      <m:t>a</m:t>
                    </m:r>
                    <m:r>
                      <m:t>l</m:t>
                    </m:r>
                    <m:r>
                      <m:t>e</m:t>
                    </m:r>
                    <m:r>
                      <m:t>u</m:t>
                    </m:r>
                    <m:r>
                      <m:t>r</m:t>
                    </m:r>
                    <m:sSub>
                      <m:e>
                        <m:r>
                          <m:t>s</m:t>
                        </m:r>
                      </m:e>
                      <m:sub>
                        <m:r>
                          <m:t>1</m:t>
                        </m:r>
                      </m:sub>
                    </m:sSub>
                    <m:r>
                      <m:rPr>
                        <m:sty m:val="p"/>
                      </m:rPr>
                      <m:t>+</m:t>
                    </m:r>
                    <m:r>
                      <m:t>s</m:t>
                    </m:r>
                    <m:r>
                      <m:t>o</m:t>
                    </m:r>
                    <m:r>
                      <m:t>l</m:t>
                    </m:r>
                    <m:r>
                      <m:t>d</m:t>
                    </m:r>
                    <m:r>
                      <m:t>e</m:t>
                    </m:r>
                    <m:r>
                      <m:t> </m:t>
                    </m:r>
                    <m:r>
                      <m:t>d</m:t>
                    </m:r>
                    <m:r>
                      <m:t>e</m:t>
                    </m:r>
                    <m:r>
                      <m:t> </m:t>
                    </m:r>
                    <m:r>
                      <m:t>r</m:t>
                    </m:r>
                    <m:r>
                      <m:t>é</m:t>
                    </m:r>
                    <m:r>
                      <m:t>a</m:t>
                    </m:r>
                    <m:r>
                      <m:t>s</m:t>
                    </m:r>
                    <m:r>
                      <m:t>s</m:t>
                    </m:r>
                    <m:r>
                      <m:t>u</m:t>
                    </m:r>
                    <m:r>
                      <m:t>r</m:t>
                    </m:r>
                    <m:r>
                      <m:t>a</m:t>
                    </m:r>
                    <m:r>
                      <m:t>n</m:t>
                    </m:r>
                    <m:r>
                      <m:t>c</m:t>
                    </m:r>
                    <m:sSub>
                      <m:e>
                        <m:r>
                          <m:t>e</m:t>
                        </m:r>
                      </m:e>
                      <m:sub>
                        <m:r>
                          <m:t>1</m:t>
                        </m:r>
                      </m:sub>
                    </m:sSub>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oMath>
            </m:oMathPara>
          </w:p>
          <w:p>
            <w:pPr>
              <w:pStyle w:val="FirstParagraph"/>
            </w:pPr>
            <w:r>
              <w:t xml:space="preserve">La probabilité de défaut annuelle</w:t>
            </w:r>
            <w:r>
              <w:t xml:space="preserve"> </w:t>
            </w:r>
            <w:r>
              <w:t xml:space="preserve">“</w:t>
            </w:r>
            <w:r>
              <w:t xml:space="preserve">PD</w:t>
            </w:r>
            <w:r>
              <w:t xml:space="preserve">”</w:t>
            </w:r>
            <w:r>
              <w:t xml:space="preserve"> </w:t>
            </w:r>
            <w:r>
              <w:t xml:space="preserve">du cessionnaire est établie conformément au tableau prévu au 2) de l’annexe n°12 de la circulaire qui correspond au premier Annexe de ce rapport.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C:\PROGRA~1\RStudio\RESOUR~1\app\bin\quarto\share\formats\docx\note.png" id="11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t>A</m:t>
                </m:r>
                <m:r>
                  <m:t>j</m:t>
                </m:r>
                <m:r>
                  <m:t>u</m:t>
                </m:r>
                <m:r>
                  <m:t>s</m:t>
                </m:r>
                <m:r>
                  <m:t>t</m:t>
                </m:r>
                <m:r>
                  <m:t>e</m:t>
                </m:r>
                <m:r>
                  <m:t>m</m:t>
                </m:r>
                <m:r>
                  <m:t>e</m:t>
                </m:r>
                <m:r>
                  <m:t>n</m:t>
                </m:r>
                <m:sSub>
                  <m:e>
                    <m:r>
                      <m:t>t</m:t>
                    </m:r>
                  </m:e>
                  <m:sub>
                    <m:r>
                      <m:t>d</m:t>
                    </m:r>
                    <m:r>
                      <m:t>e</m:t>
                    </m:r>
                    <m:r>
                      <m:t>f</m:t>
                    </m:r>
                    <m:r>
                      <m:t>a</m:t>
                    </m:r>
                    <m:r>
                      <m:t>u</m:t>
                    </m:r>
                    <m:r>
                      <m:t>t</m:t>
                    </m:r>
                  </m:sub>
                </m:sSub>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15"/>
    <w:bookmarkEnd w:id="116"/>
    <w:bookmarkEnd w:id="117"/>
    <w:bookmarkStart w:id="145" w:name="capital-de-solvabilité-requis"/>
    <w:p>
      <w:pPr>
        <w:pStyle w:val="Heading2"/>
      </w:pPr>
      <w:r>
        <w:t xml:space="preserve">7 Capital de Solvabilité Requis :</w:t>
      </w:r>
    </w:p>
    <w:p>
      <w:pPr>
        <w:pStyle w:val="FirstParagraph"/>
      </w:pPr>
      <w:r>
        <w:t xml:space="preserve">Le Capital de Solvabilité Requis (CSR) est une notion très importante dans les domaines d’assurance et de réassurance, il permet la garantie de tous les risques quantifiables auxquels les entreprises de ces domaines sont</w:t>
      </w:r>
      <w:r>
        <w:t xml:space="preserve"> </w:t>
      </w:r>
      <w:r>
        <w:t xml:space="preserve">exposés. Le CSR correspond au capital dont a besoin une entreprise d’assurance ou de réassurance pour faire face à tous les risques qui peuvent survenir dans le futur et limiter la probabilité de ruine à 0,5%, c’est-à-dire à une seule occurrence tous les 200 ans.</w:t>
      </w:r>
    </w:p>
    <w:p>
      <w:pPr>
        <w:pStyle w:val="BodyText"/>
      </w:pPr>
      <w:r>
        <w:t xml:space="preserve">Commençons d’abord par la définition des différents risques dans les secteurs d’assurance et de réassurance :</w:t>
      </w:r>
    </w:p>
    <w:p>
      <w:pPr>
        <w:numPr>
          <w:ilvl w:val="0"/>
          <w:numId w:val="1033"/>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33"/>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33"/>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33"/>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33"/>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33"/>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34"/>
        </w:numPr>
      </w:pPr>
      <w:r>
        <w:t xml:space="preserve">Le capital de solvabilité requis de base.</w:t>
      </w:r>
    </w:p>
    <w:p>
      <w:pPr>
        <w:numPr>
          <w:ilvl w:val="0"/>
          <w:numId w:val="1034"/>
        </w:numPr>
      </w:pPr>
      <w:r>
        <w:t xml:space="preserve">L’exigence de capital relative au risque opérationnel.</w:t>
      </w:r>
    </w:p>
    <w:p>
      <w:pPr>
        <w:numPr>
          <w:ilvl w:val="0"/>
          <w:numId w:val="1034"/>
        </w:numPr>
      </w:pPr>
      <w:r>
        <w:t xml:space="preserve">L’ajustement visant à tenir compte de la capacité d’absorption des pertes par les assurés.</w:t>
      </w:r>
    </w:p>
    <w:p>
      <w:pPr>
        <w:numPr>
          <w:ilvl w:val="0"/>
          <w:numId w:val="1034"/>
        </w:numPr>
      </w:pPr>
      <w:r>
        <w:t xml:space="preserve">L’ajustement visant à tenir compte de la capacité d’absorption des pertes par les impôts différés.</w:t>
      </w:r>
    </w:p>
    <w:p>
      <w:pPr>
        <w:pStyle w:val="FirstParagraph"/>
      </w:pPr>
      <m:oMathPara>
        <m:oMathParaPr>
          <m:jc m:val="center"/>
        </m:oMathParaPr>
        <m:oMath>
          <m:r>
            <m:t>C</m:t>
          </m:r>
          <m:r>
            <m:t>S</m:t>
          </m:r>
          <m:r>
            <m:t>R</m:t>
          </m:r>
          <m:r>
            <m:rPr>
              <m:sty m:val="p"/>
            </m:rPr>
            <m:t>=</m:t>
          </m:r>
          <m:r>
            <m:t>C</m:t>
          </m:r>
          <m:r>
            <m:t>S</m:t>
          </m:r>
          <m:sSub>
            <m:e>
              <m:r>
                <m:t>R</m:t>
              </m:r>
            </m:e>
            <m:sub>
              <m:r>
                <m:t>b</m:t>
              </m:r>
              <m:r>
                <m:t>a</m:t>
              </m:r>
              <m:r>
                <m:t>s</m:t>
              </m:r>
              <m:r>
                <m:t>e</m:t>
              </m:r>
            </m:sub>
          </m:sSub>
          <m:r>
            <m:rPr>
              <m:sty m:val="p"/>
            </m:rPr>
            <m:t>+</m:t>
          </m:r>
          <m:r>
            <m:t>C</m:t>
          </m:r>
          <m:r>
            <m:t>S</m:t>
          </m:r>
          <m:sSub>
            <m:e>
              <m:r>
                <m:t>R</m:t>
              </m:r>
            </m:e>
            <m:sub>
              <m:r>
                <m:t>o</m:t>
              </m:r>
              <m:r>
                <m:t>p</m:t>
              </m:r>
              <m:r>
                <m:t>é</m:t>
              </m:r>
              <m:r>
                <m:t>r</m:t>
              </m:r>
              <m:r>
                <m:t>a</m:t>
              </m:r>
              <m:r>
                <m:t>t</m:t>
              </m:r>
              <m:r>
                <m:t>i</m:t>
              </m:r>
              <m:r>
                <m:t>o</m:t>
              </m:r>
              <m:r>
                <m:t>n</m:t>
              </m:r>
              <m:r>
                <m:t>n</m:t>
              </m:r>
              <m:r>
                <m:t>e</m:t>
              </m:r>
              <m:r>
                <m:t>l</m:t>
              </m:r>
            </m:sub>
          </m:sSub>
          <m:r>
            <m:rPr>
              <m:sty m:val="p"/>
            </m:rPr>
            <m:t>+</m:t>
          </m:r>
          <m:r>
            <m:t>A</m:t>
          </m:r>
          <m:r>
            <m:t>d</m:t>
          </m:r>
          <m:r>
            <m:t>j</m:t>
          </m:r>
        </m:oMath>
      </m:oMathPara>
    </w:p>
    <w:bookmarkStart w:id="138" w:name="X8b89129f00e23abf7e0dc64742a1933841bd13f"/>
    <w:p>
      <w:pPr>
        <w:pStyle w:val="Heading3"/>
      </w:pPr>
      <w:r>
        <w:t xml:space="preserve">7.1 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bCs/>
          <w:b/>
        </w:rPr>
        <w:t xml:space="preserve">marché</w:t>
      </w:r>
      <w:r>
        <w:t xml:space="preserve">, de</w:t>
      </w:r>
      <w:r>
        <w:t xml:space="preserve"> </w:t>
      </w:r>
      <w:r>
        <w:rPr>
          <w:bCs/>
          <w:b/>
        </w:rPr>
        <w:t xml:space="preserve">concentration</w:t>
      </w:r>
      <w:r>
        <w:t xml:space="preserve">, de</w:t>
      </w:r>
      <w:r>
        <w:t xml:space="preserve"> </w:t>
      </w:r>
      <w:r>
        <w:rPr>
          <w:bCs/>
          <w:b/>
        </w:rPr>
        <w:t xml:space="preserve">contrepartie</w:t>
      </w:r>
      <w:r>
        <w:t xml:space="preserve">, de</w:t>
      </w:r>
      <w:r>
        <w:t xml:space="preserve"> </w:t>
      </w:r>
      <w:r>
        <w:rPr>
          <w:bCs/>
          <w:b/>
        </w:rPr>
        <w:t xml:space="preserve">souscription vie</w:t>
      </w:r>
      <w:r>
        <w:t xml:space="preserve"> </w:t>
      </w:r>
      <w:r>
        <w:t xml:space="preserve">et de</w:t>
      </w:r>
      <w:r>
        <w:t xml:space="preserve"> </w:t>
      </w:r>
      <w:r>
        <w:rPr>
          <w:bCs/>
          <w:b/>
        </w:rPr>
        <w:t xml:space="preserve">souscription non-vie</w:t>
      </w:r>
      <w:r>
        <w:t xml:space="preserve"> </w:t>
      </w:r>
      <w:r>
        <w:t xml:space="preserve">et ce, après application des coefficients de corrélations.</w:t>
      </w:r>
    </w:p>
    <w:p>
      <w:pPr>
        <w:pStyle w:val="BodyText"/>
      </w:pPr>
      <w:r>
        <w:t xml:space="preserve">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d’évaluer de manière précise les montants de capitaux nécessaires pour couvrir leurs risques spécifiques et d’assurer une solvabilité adéquate.</w:t>
      </w:r>
    </w:p>
    <w:p>
      <w:pPr>
        <w:pStyle w:val="BodyText"/>
      </w:pPr>
      <w:r>
        <w:t xml:space="preserve">Le capital de solvabilité requis de base peut être écrit mathématiquement comme suit:</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5"/>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35"/>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123" w:name="X7d0de4e6ff3ca13baeb836adc8c41f16eaa6dfb"/>
    <w:p>
      <w:pPr>
        <w:pStyle w:val="Heading4"/>
      </w:pPr>
      <w:r>
        <w:t xml:space="preserve">7.1.1 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pPr>
        <w:pStyle w:val="BodyText"/>
      </w:pPr>
      <w:r>
        <w:t xml:space="preserve">Mathématiquement l’exigence de capital relative au risque de marché peut être représentée comme suit</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6"/>
        </w:numPr>
      </w:pPr>
      <w:r>
        <w:t xml:space="preserve">RM</w:t>
      </w:r>
      <w:r>
        <w:t xml:space="preserve"> </w:t>
      </w:r>
      <m:oMath>
        <m:r>
          <m:rPr>
            <m:sty m:val="p"/>
          </m:rPr>
          <m:t>∈</m:t>
        </m:r>
      </m:oMath>
      <w:r>
        <w:t xml:space="preserve"> </w:t>
      </w:r>
      <w:r>
        <w:t xml:space="preserve">{action, taux, immobilier, écart de taux et change}</w:t>
      </w:r>
    </w:p>
    <w:p>
      <w:pPr>
        <w:numPr>
          <w:ilvl w:val="0"/>
          <w:numId w:val="1036"/>
        </w:numPr>
      </w:pPr>
      <m:oMath>
        <m:r>
          <m:t>ρ</m:t>
        </m:r>
      </m:oMath>
      <w:r>
        <w:t xml:space="preserve"> </w:t>
      </w:r>
      <w:r>
        <w:t xml:space="preserve">: Coefficients de corrélations.</w:t>
      </w:r>
    </w:p>
    <w:bookmarkStart w:id="118" w:name="X3cf8c7738901705451aeaf1bf62340f8a8e3146"/>
    <w:p>
      <w:pPr>
        <w:pStyle w:val="Heading5"/>
      </w:pPr>
      <w:r>
        <w:t xml:space="preserve">7.1.1.1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118"/>
    <w:bookmarkStart w:id="119" w:name="X4731aa5458fe1c45bdb9bc7a63d0b9bdcef0af7"/>
    <w:p>
      <w:pPr>
        <w:pStyle w:val="Heading5"/>
      </w:pPr>
      <w:r>
        <w:t xml:space="preserve">7.1.1.2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représente le montant estimé de la perte maximale en fonds propres subir en raison de variations à la baisse ou à la hausse des taux d’intérêt appliquées à l’ensemble de ses actifs et passifs.</w:t>
      </w:r>
    </w:p>
    <w:p>
      <w:pPr>
        <w:pStyle w:val="BodyText"/>
      </w:pPr>
      <w:r>
        <w:t xml:space="preserve">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pPr>
        <w:pStyle w:val="BodyText"/>
      </w:pPr>
      <w:r>
        <w:t xml:space="preserve">La formule mathématique peut s’écrire comme suit:</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119"/>
    <w:bookmarkStart w:id="120" w:name="X40fb47ea19ba513da95205d89bb9da70a68e95c"/>
    <w:p>
      <w:pPr>
        <w:pStyle w:val="Heading5"/>
      </w:pPr>
      <w:r>
        <w:t xml:space="preserve">7.1.1.3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w:r>
        <w:t xml:space="preserve">Cette exigence est établie pour évaluer les réserves financières nécessaires face à une potentielle baisse de valeur des biens immobiliers pour minimiser les risques.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120"/>
    <w:bookmarkStart w:id="121" w:name="Xcb1801a4512c3e12cd67f1e61cb85f876d23434"/>
    <w:p>
      <w:pPr>
        <w:pStyle w:val="Heading5"/>
      </w:pPr>
      <w:r>
        <w:t xml:space="preserve">7.1.1.4 L’exigence de capital relative au risque d’écart (</w:t>
      </w:r>
      <m:oMath>
        <m:r>
          <m:t>C</m:t>
        </m:r>
        <m:r>
          <m:t>S</m:t>
        </m:r>
        <m:sSub>
          <m:e>
            <m:r>
              <m:t>R</m:t>
            </m:r>
          </m:e>
          <m:sub>
            <m:r>
              <m:t>E</m:t>
            </m:r>
            <m:r>
              <m:t>c</m:t>
            </m:r>
            <m:r>
              <m:t>a</m:t>
            </m:r>
            <m:r>
              <m:t>r</m:t>
            </m:r>
            <m:r>
              <m:t>t</m:t>
            </m:r>
            <m:r>
              <m:t> </m:t>
            </m:r>
            <m:r>
              <m:t>t</m:t>
            </m:r>
            <m:r>
              <m:t>a</m:t>
            </m:r>
            <m:r>
              <m:t>u</m:t>
            </m:r>
            <m:r>
              <m:t>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121"/>
    <w:bookmarkStart w:id="122" w:name="X0b86f92798bd2d75800a724a913850a71127576"/>
    <w:p>
      <w:pPr>
        <w:pStyle w:val="Heading5"/>
      </w:pPr>
      <w:r>
        <w:t xml:space="preserve">7.1.1.5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37"/>
        </w:numPr>
        <w:pStyle w:val="Compact"/>
      </w:pPr>
      <w:r>
        <w:t xml:space="preserve">l’exigence de capital pour risque d’augmentation de la valeur de la devise étrangère par rapport au dirham.</w:t>
      </w:r>
    </w:p>
    <w:p>
      <w:pPr>
        <w:numPr>
          <w:ilvl w:val="0"/>
          <w:numId w:val="1037"/>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122"/>
    <w:bookmarkEnd w:id="123"/>
    <w:bookmarkStart w:id="126" w:name="X9c0184a5ab36aa780ba8e9d38716205766fa364"/>
    <w:p>
      <w:pPr>
        <w:pStyle w:val="Heading4"/>
      </w:pPr>
      <w:r>
        <w:t xml:space="preserve">7.1.2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24" w:name="X303ad4190ba297cc4664f228835544b0eb3361f"/>
    <w:p>
      <w:pPr>
        <w:pStyle w:val="Heading5"/>
      </w:pPr>
      <w:r>
        <w:t xml:space="preserve">7.1.2.1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38"/>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39"/>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39"/>
        </w:numPr>
      </w:pPr>
      <m:oMath>
        <m:r>
          <m:t>L</m:t>
        </m:r>
        <m:r>
          <m:t>G</m:t>
        </m:r>
        <m:sSub>
          <m:e>
            <m:r>
              <m:t>D</m:t>
            </m:r>
          </m:e>
          <m:sub>
            <m:r>
              <m:t>i</m:t>
            </m:r>
          </m:sub>
        </m:sSub>
      </m:oMath>
      <w:r>
        <w:t xml:space="preserve"> </w:t>
      </w:r>
      <w:r>
        <w:t xml:space="preserve">: la perte en cas de défaut du cessionnaire i ;</w:t>
      </w:r>
    </w:p>
    <w:p>
      <w:pPr>
        <w:numPr>
          <w:ilvl w:val="0"/>
          <w:numId w:val="1039"/>
        </w:numPr>
      </w:pPr>
      <m:oMath>
        <m:r>
          <m:rPr>
            <m:nor/>
            <m:sty m:val="p"/>
          </m:rPr>
          <m:t>Depot en espèces ou en valeur</m:t>
        </m:r>
      </m:oMath>
      <w:r>
        <w:t xml:space="preserve"> </w:t>
      </w:r>
      <w:r>
        <w:t xml:space="preserve">: le montant des dépôts en espèces ou en valeurs du cessionnaire i ;</w:t>
      </w:r>
    </w:p>
    <w:p>
      <w:pPr>
        <w:numPr>
          <w:ilvl w:val="0"/>
          <w:numId w:val="1039"/>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39"/>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39"/>
        </w:numPr>
      </w:pPr>
      <m:oMath>
        <m:r>
          <m:t>L</m:t>
        </m:r>
        <m:r>
          <m:t>G</m:t>
        </m:r>
        <m:sSub>
          <m:e>
            <m:r>
              <m:t>D</m:t>
            </m:r>
          </m:e>
          <m:sub>
            <m:r>
              <m:t>i</m:t>
            </m:r>
          </m:sub>
        </m:sSub>
      </m:oMath>
      <w:r>
        <w:t xml:space="preserve">: la perte en cas de défaut de la cédante i ;</w:t>
      </w:r>
    </w:p>
    <w:p>
      <w:pPr>
        <w:numPr>
          <w:ilvl w:val="0"/>
          <w:numId w:val="1039"/>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39"/>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39"/>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40"/>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40"/>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40"/>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24"/>
    <w:bookmarkStart w:id="125" w:name="Xde70ab66fad04d143ab07d5ec8525e6812bbe93"/>
    <w:p>
      <w:pPr>
        <w:pStyle w:val="Heading5"/>
      </w:pPr>
      <w:r>
        <w:t xml:space="preserve">7.1.2.2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41"/>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41"/>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41"/>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25"/>
    <w:bookmarkEnd w:id="126"/>
    <w:bookmarkStart w:id="127" w:name="Xac2a78756e1947e45e0b443464340ca4e07c6ed"/>
    <w:p>
      <w:pPr>
        <w:pStyle w:val="Heading4"/>
      </w:pPr>
      <w:r>
        <w:t xml:space="preserve">7.1.3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w:t>
      </w:r>
    </w:p>
    <w:p>
      <w:pPr>
        <w:pStyle w:val="BodyText"/>
      </w:pPr>
      <w:r>
        <w:t xml:space="preserve">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pPr>
        <w:pStyle w:val="BodyText"/>
      </w:pPr>
      <w:r>
        <w:t xml:space="preserve">Mathématiquement l’exigence de capital relative au risque de concentration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27"/>
    <w:bookmarkStart w:id="133" w:name="X8bdc5d6c520394ae1ab3fd8ff0e20bf39ae18c3"/>
    <w:p>
      <w:pPr>
        <w:pStyle w:val="Heading4"/>
      </w:pPr>
      <w:r>
        <w:t xml:space="preserve">7.1.4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w:r>
        <w:t xml:space="preserve">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pPr>
        <w:pStyle w:val="BodyText"/>
      </w:pPr>
      <w:r>
        <w:t xml:space="preserve">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28" w:name="X70ec578e7130a57a8c8842c95b63e70e295ba28"/>
    <w:p>
      <w:pPr>
        <w:pStyle w:val="Heading5"/>
      </w:pPr>
      <w:r>
        <w:t xml:space="preserve">7.1.4.1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28"/>
    <w:bookmarkStart w:id="129" w:name="X92ef2d5d6d1f309ee4dc38a892eea4151c6a010"/>
    <w:p>
      <w:pPr>
        <w:pStyle w:val="Heading5"/>
      </w:pPr>
      <w:r>
        <w:t xml:space="preserve">7.1.4.2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29"/>
    <w:bookmarkStart w:id="130" w:name="Xe142ffdc5761a23c812b30051e7ff3529769432"/>
    <w:p>
      <w:pPr>
        <w:pStyle w:val="Heading5"/>
      </w:pPr>
      <w:r>
        <w:t xml:space="preserve">7.1.4.3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Commençons d’abord par la définition de quoi un rachaten assurance vie?</w:t>
      </w:r>
    </w:p>
    <w:p>
      <w:pPr>
        <w:pStyle w:val="BodyText"/>
      </w:pPr>
      <w:r>
        <w:t xml:space="preserve">un rachat en assurance vie est un retrait. L’épargne placée sur ce contrat est disponible : les fonds ne sont pas bloqués et les assures peuvent les récupérer intégralement, ou en partie, à tout moment. On distingue :</w:t>
      </w:r>
    </w:p>
    <w:p>
      <w:pPr>
        <w:pStyle w:val="BodyText"/>
      </w:pPr>
      <w:r>
        <w:t xml:space="preserve">•</w:t>
      </w:r>
      <w:r>
        <w:t xml:space="preserve"> </w:t>
      </w:r>
      <w:r>
        <w:rPr>
          <w:bCs/>
          <w:b/>
        </w:rPr>
        <w:t xml:space="preserve">Le rachat partiel</w:t>
      </w:r>
      <w:r>
        <w:t xml:space="preserve"> </w:t>
      </w:r>
      <w:r>
        <w:t xml:space="preserve">: les assures peuvent récupérer une fraction de la valeur du contrat – qui sera constituée d’une part de capital et d’une part d’intérêts capitalisés – s’ils ont par exemple besoin de liquidités pour un projet précis. Le rachat partiel permet de ne pas mettre un terme au contrat et de ne pas perdre l’antériorité fiscale.</w:t>
      </w:r>
    </w:p>
    <w:p>
      <w:pPr>
        <w:pStyle w:val="BodyText"/>
      </w:pPr>
      <w:r>
        <w:t xml:space="preserve">•</w:t>
      </w:r>
      <w:r>
        <w:t xml:space="preserve"> </w:t>
      </w:r>
      <w:r>
        <w:rPr>
          <w:bCs/>
          <w:b/>
        </w:rPr>
        <w:t xml:space="preserve">Le rachat total</w:t>
      </w:r>
      <w:r>
        <w:t xml:space="preserve"> </w:t>
      </w:r>
      <w:r>
        <w:t xml:space="preserve">: les assures peuvent récupérer l’intégralité de la valeur de rachat de leur assurance vie, et leur contrat prend fin, entrainant la perte de l’antériorité fiscale.</w:t>
      </w:r>
    </w:p>
    <w:p>
      <w:pPr>
        <w:pStyle w:val="BodyText"/>
      </w:pPr>
      <w:r>
        <w:t xml:space="preserve">L’exigence de capital pour risque de rachat est correspond au maximun entre les exigences de capitaux suivantes:</w:t>
      </w:r>
    </w:p>
    <w:p>
      <w:pPr>
        <w:numPr>
          <w:ilvl w:val="0"/>
          <w:numId w:val="1042"/>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43"/>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130"/>
    <w:bookmarkStart w:id="131" w:name="X2ad39c1112d69d7cc07addd7e09c4a1062144f3"/>
    <w:p>
      <w:pPr>
        <w:pStyle w:val="Heading5"/>
      </w:pPr>
      <w:r>
        <w:t xml:space="preserve">7.1.4.4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44"/>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44"/>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131"/>
    <w:bookmarkStart w:id="132" w:name="X7a733b5774bbec975e5e71b96ffb3b71cffef89"/>
    <w:p>
      <w:pPr>
        <w:pStyle w:val="Heading5"/>
      </w:pPr>
      <w:r>
        <w:t xml:space="preserve">7.1.4.5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32"/>
    <w:bookmarkEnd w:id="133"/>
    <w:bookmarkStart w:id="137" w:name="X1b6aa8fc00d4f5599dfcf10f97be846d7f67a01"/>
    <w:p>
      <w:pPr>
        <w:pStyle w:val="Heading4"/>
      </w:pPr>
      <w:r>
        <w:t xml:space="preserve">7.1.5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34" w:name="Xaf5135c38b35f3935e7fbb38292cb902ba10fce"/>
    <w:p>
      <w:pPr>
        <w:pStyle w:val="Heading5"/>
      </w:pPr>
      <w:r>
        <w:t xml:space="preserve">7.1.5.1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34"/>
    <w:bookmarkStart w:id="135" w:name="X97c27c4f6aaa2dc3a04acf8f040871c5ebd6f65"/>
    <w:p>
      <w:pPr>
        <w:pStyle w:val="Heading5"/>
      </w:pPr>
      <w:r>
        <w:t xml:space="preserve">7.1.5.2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provisions par sous-categorie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35"/>
    <w:bookmarkStart w:id="136" w:name="X2d899550002a89faf70685e2ededa357230b7ec"/>
    <w:p>
      <w:pPr>
        <w:pStyle w:val="Heading5"/>
      </w:pPr>
      <w:r>
        <w:t xml:space="preserve">7.1.5.3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45"/>
        </w:numPr>
        <w:pStyle w:val="Compact"/>
      </w:pPr>
      <w:r>
        <w:t xml:space="preserve">Individuelles accidents et Invalidité ;</w:t>
      </w:r>
    </w:p>
    <w:p>
      <w:pPr>
        <w:numPr>
          <w:ilvl w:val="0"/>
          <w:numId w:val="1045"/>
        </w:numPr>
        <w:pStyle w:val="Compact"/>
      </w:pPr>
      <w:r>
        <w:t xml:space="preserve">Maladie;</w:t>
      </w:r>
    </w:p>
    <w:p>
      <w:pPr>
        <w:numPr>
          <w:ilvl w:val="0"/>
          <w:numId w:val="1045"/>
        </w:numPr>
        <w:pStyle w:val="Compact"/>
      </w:pPr>
      <w:r>
        <w:t xml:space="preserve">Accidents du travail et maladies professionnelles ;</w:t>
      </w:r>
    </w:p>
    <w:p>
      <w:pPr>
        <w:numPr>
          <w:ilvl w:val="0"/>
          <w:numId w:val="1045"/>
        </w:numPr>
        <w:pStyle w:val="Compact"/>
      </w:pPr>
      <w:r>
        <w:t xml:space="preserve">Responsabilité civile automobile des véhicules terrestres à moteur;</w:t>
      </w:r>
    </w:p>
    <w:p>
      <w:pPr>
        <w:numPr>
          <w:ilvl w:val="0"/>
          <w:numId w:val="1045"/>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45"/>
        </w:numPr>
        <w:pStyle w:val="Compact"/>
      </w:pPr>
      <w:r>
        <w:t xml:space="preserve">Incendie ;</w:t>
      </w:r>
    </w:p>
    <w:p>
      <w:pPr>
        <w:numPr>
          <w:ilvl w:val="0"/>
          <w:numId w:val="1045"/>
        </w:numPr>
        <w:pStyle w:val="Compact"/>
      </w:pPr>
      <w:r>
        <w:t xml:space="preserve">Maritime corps, facultés et responsabilité civile résultant de l’emploi de véhicules fluviaux et maritimes ;</w:t>
      </w:r>
    </w:p>
    <w:p>
      <w:pPr>
        <w:numPr>
          <w:ilvl w:val="0"/>
          <w:numId w:val="1045"/>
        </w:numPr>
        <w:pStyle w:val="Compact"/>
      </w:pPr>
      <w:r>
        <w:t xml:space="preserve">Aviation corps et responsabilité civile résultant de l’emploi des aéronefs ;</w:t>
      </w:r>
    </w:p>
    <w:p>
      <w:pPr>
        <w:numPr>
          <w:ilvl w:val="0"/>
          <w:numId w:val="1045"/>
        </w:numPr>
        <w:pStyle w:val="Compact"/>
      </w:pPr>
      <w:r>
        <w:t xml:space="preserve">Marchandises transportées par voie terrestre ;</w:t>
      </w:r>
    </w:p>
    <w:p>
      <w:pPr>
        <w:numPr>
          <w:ilvl w:val="0"/>
          <w:numId w:val="1045"/>
        </w:numPr>
        <w:pStyle w:val="Compact"/>
      </w:pPr>
      <w:r>
        <w:t xml:space="preserve">Assurance récolte, grêle ou gelée et éléments naturels ;</w:t>
      </w:r>
    </w:p>
    <w:p>
      <w:pPr>
        <w:numPr>
          <w:ilvl w:val="0"/>
          <w:numId w:val="1045"/>
        </w:numPr>
        <w:pStyle w:val="Compact"/>
      </w:pPr>
      <w:r>
        <w:t xml:space="preserve">Crédit et caution</w:t>
      </w:r>
    </w:p>
    <w:bookmarkEnd w:id="136"/>
    <w:bookmarkEnd w:id="137"/>
    <w:bookmarkEnd w:id="138"/>
    <w:bookmarkStart w:id="139" w:name="X784839fd8516b8df5730ae0da267f1818a874be"/>
    <w:p>
      <w:pPr>
        <w:pStyle w:val="Heading3"/>
      </w:pPr>
      <w:r>
        <w:t xml:space="preserve">7.2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139"/>
    <w:bookmarkStart w:id="144" w:name="X384c0c3c983e0c0cecb046cfdf19f3cf5bf77b3"/>
    <w:p>
      <w:pPr>
        <w:pStyle w:val="Heading3"/>
      </w:pPr>
      <w:r>
        <w:t xml:space="preserve">7.3 Ajustement du capital de solvabilité requis</w:t>
      </w:r>
    </w:p>
    <w:bookmarkStart w:id="140" w:name="X60f7df077bb6b37af80367e8ec055588dd69751"/>
    <w:p>
      <w:pPr>
        <w:pStyle w:val="Heading4"/>
      </w:pPr>
      <w:r>
        <w:t xml:space="preserve">7.3.1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140"/>
    <w:bookmarkStart w:id="143" w:name="Xbd336be1e04da1ede3fc1224bb2eedd17c6bfce"/>
    <w:p>
      <w:pPr>
        <w:pStyle w:val="Heading4"/>
      </w:pPr>
      <w:r>
        <w:t xml:space="preserve">7.3.2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41" name="Picture"/>
                  <a:graphic>
                    <a:graphicData uri="http://schemas.openxmlformats.org/drawingml/2006/picture">
                      <pic:pic>
                        <pic:nvPicPr>
                          <pic:cNvPr descr="C:\PROGRA~1\RStudio\RESOUR~1\app\bin\quarto\share\formats\docx\tip.png" id="142"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143"/>
    <w:bookmarkEnd w:id="144"/>
    <w:bookmarkEnd w:id="145"/>
    <w:bookmarkStart w:id="148" w:name="Xec1a8240f33c78c61c9bf625a7d43ebee855295"/>
    <w:p>
      <w:pPr>
        <w:pStyle w:val="Heading2"/>
      </w:pPr>
      <w:r>
        <w:t xml:space="preserve">ANNEXE : Correspondance CORRESPONDANCE ENTRE ECHELLE DE NOTATION ET PROBABILITE DE DEFAUT</w:t>
      </w:r>
    </w:p>
    <w:bookmarkStart w:id="146" w:name="echelles-de-notation"/>
    <w:p>
      <w:pPr>
        <w:pStyle w:val="Heading3"/>
      </w:pPr>
      <w:r>
        <w:t xml:space="preserve">Echelles de notation</w:t>
      </w:r>
    </w:p>
    <w:p>
      <w:pPr>
        <w:numPr>
          <w:ilvl w:val="0"/>
          <w:numId w:val="1046"/>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47"/>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146"/>
    <w:bookmarkStart w:id="147"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https://www.acaps.ma/fr/l-acaps/missions</w:t>
      </w:r>
    </w:p>
  </w:footnote>
  <w:footnote w:id="23">
    <w:p>
      <w:pPr>
        <w:pStyle w:val="FootnoteText"/>
      </w:pPr>
      <w:r>
        <w:rPr>
          <w:rStyle w:val="FootnoteReference"/>
        </w:rPr>
        <w:footnoteRef/>
      </w:r>
      <w:r>
        <w:t xml:space="preserve"> </w:t>
      </w:r>
      <w:r>
        <w:t xml:space="preserve">https://www.atlas-mag.net/article/marche-africain-de-l-assurance-en-2019-chiffre-d-affaires-des-principaux-pays</w:t>
      </w:r>
    </w:p>
  </w:footnote>
  <w:footnote w:id="25">
    <w:p>
      <w:pPr>
        <w:pStyle w:val="FootnoteText"/>
      </w:pPr>
      <w:r>
        <w:rPr>
          <w:rStyle w:val="FootnoteReference"/>
        </w:rPr>
        <w:footnoteRef/>
      </w:r>
      <w:r>
        <w:t xml:space="preserve"> </w:t>
      </w:r>
      <w:r>
        <w:t xml:space="preserve">solvabilité basée sur les risques assurances maroc Acaps</w:t>
      </w:r>
    </w:p>
  </w:footnote>
  <w:footnote w:id="26">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7">
    <w:p>
      <w:pPr>
        <w:pStyle w:val="FootnoteText"/>
      </w:pPr>
      <w:r>
        <w:rPr>
          <w:rStyle w:val="FootnoteReference"/>
        </w:rPr>
        <w:footnoteRef/>
      </w:r>
      <w:r>
        <w:t xml:space="preserve"> </w:t>
      </w:r>
      <w:r>
        <w:t xml:space="preserve">ORSA Own Risk and Solvency Assessment</w:t>
      </w:r>
    </w:p>
  </w:footnote>
  <w:footnote w:id="31">
    <w:p>
      <w:pPr>
        <w:pStyle w:val="FootnoteText"/>
      </w:pPr>
      <w:r>
        <w:rPr>
          <w:rStyle w:val="FootnoteReference"/>
        </w:rPr>
        <w:footnoteRef/>
      </w:r>
      <w:r>
        <w:t xml:space="preserve"> </w:t>
      </w:r>
      <w:hyperlink r:id="rId32">
        <w:r>
          <w:rPr>
            <w:rStyle w:val="Hyperlink"/>
          </w:rPr>
          <w:t xml:space="preserve">Ciculaire en préparation concernant le second pilier relatif à la gouvernance</w:t>
        </w:r>
      </w:hyperlink>
    </w:p>
  </w:footnote>
  <w:footnote w:id="38">
    <w:p>
      <w:pPr>
        <w:pStyle w:val="FootnoteText"/>
      </w:pPr>
      <w:r>
        <w:rPr>
          <w:rStyle w:val="FootnoteReference"/>
        </w:rPr>
        <w:footnoteRef/>
      </w:r>
      <w:r>
        <w:t xml:space="preserve"> </w:t>
      </w:r>
      <w:r>
        <w:t xml:space="preserve">La métrique de risque n’est pas encore défini</w:t>
      </w:r>
      <w:r>
        <w:t xml:space="preserve"> </w:t>
      </w:r>
      <w:r>
        <w:t xml:space="preserve">dans le projet marocain</w:t>
      </w:r>
      <w:r>
        <w:t xml:space="preserve"> </w:t>
      </w:r>
      <m:oMath>
        <m:r>
          <m:t>S</m:t>
        </m:r>
        <m:r>
          <m:t>B</m:t>
        </m:r>
        <m:r>
          <m:t>R</m:t>
        </m:r>
      </m:oMath>
    </w:p>
  </w:footnote>
  <w:footnote w:id="44">
    <w:p>
      <w:pPr>
        <w:pStyle w:val="FootnoteText"/>
      </w:pPr>
      <w:r>
        <w:rPr>
          <w:rStyle w:val="FootnoteReference"/>
        </w:rPr>
        <w:footnoteRef/>
      </w:r>
      <w:r>
        <w:t xml:space="preserve"> </w:t>
      </w:r>
      <w:r>
        <w:t xml:space="preserve">Alonso Peña, Ph.D, C++ For Quantitative Finance</w:t>
      </w:r>
    </w:p>
  </w:footnote>
  <w:footnote w:id="70">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98">
    <w:p>
      <w:pPr>
        <w:pStyle w:val="FootnoteText"/>
      </w:pPr>
      <w:r>
        <w:rPr>
          <w:rStyle w:val="FootnoteReference"/>
        </w:rPr>
        <w:footnoteRef/>
      </w:r>
      <w:r>
        <w:t xml:space="preserve"> </w:t>
      </w:r>
      <w:r>
        <w:t xml:space="preserve">The Actuary and IBNR publié en 1972</w:t>
      </w:r>
    </w:p>
  </w:footnote>
  <w:footnote w:id="99">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28" Target="media/rId28.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hyperlink" Id="rId32" Target="https://fnh.ma/article/actualite-financiere-maroc/assurances-sbr-un-projet-de-circulaire-en-preparation" TargetMode="External"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56"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32" Target="https://fnh.ma/article/actualite-financiere-maroc/assurances-sbr-un-projet-de-circulaire-en-preparation" TargetMode="External"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56"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2023-05-22T17:02:21Z</dcterms:created>
  <dcterms:modified xsi:type="dcterms:W3CDTF">2023-05-22T17:02:21Z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