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30.png" ContentType="image/png"/>
  <Override PartName="/word/media/rId52.png" ContentType="image/png"/>
  <Override PartName="/word/media/rId41.png" ContentType="image/png"/>
  <Override PartName="/word/media/rId60.png" ContentType="image/png"/>
  <Override PartName="/word/media/rId66.png" ContentType="image/png"/>
  <Override PartName="/word/media/rId134.png" ContentType="image/png"/>
  <Override PartName="/word/media/rId5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organisme-dacueil"/>
    <w:p>
      <w:pPr>
        <w:pStyle w:val="Heading2"/>
      </w:pPr>
      <w:r>
        <w:t xml:space="preserve">1 Organisme d’acueil :</w:t>
      </w:r>
    </w:p>
    <w:p>
      <w:pPr>
        <w:pStyle w:val="FirstParagraph"/>
      </w:pPr>
      <w:r>
        <w:t xml:space="preserve">Créée en 1996,</w:t>
      </w:r>
      <w:r>
        <w:t xml:space="preserve"> </w:t>
      </w:r>
      <w:r>
        <w:rPr>
          <w:bCs/>
          <w:b/>
        </w:rPr>
        <w:t xml:space="preserve">A.R.M CONSULTANTS</w:t>
      </w:r>
      <w:r>
        <w:t xml:space="preserve"> </w:t>
      </w:r>
      <w:r>
        <w:t xml:space="preserve">est le premier cabinet d’actuaires conseils indépendants au Maroc, en Afrique francophone et dans la région MENA, spécialisé dans l’Actuariat, la gestion des risques et l’ingénierie des assurances. Son capital est détenu à 100% par ses associés, ce qui assure au Cabinet une complète indépendance de tout organisme assureur. La présence d’A.R.M CONSULTANTS, qui regroupe des actuaires consultants de haut niveau, disposant d’une formation supérieure pluridisciplinaires et ayant une longue expérience dans les différents domaines du Risk-Management, de l’assurance et de la prévoyance sociale tant en France qu’au Maroc, présente une réelle opportunité pour :</w:t>
      </w:r>
    </w:p>
    <w:p>
      <w:pPr>
        <w:numPr>
          <w:ilvl w:val="0"/>
          <w:numId w:val="1001"/>
        </w:numPr>
        <w:pStyle w:val="Compact"/>
      </w:pPr>
      <w:r>
        <w:t xml:space="preserve">Les institutions financières qui souhaitent innover et maitriser leurs risques, pour devenir leaders dans les domaines de l’assurance, de la bancassurance, de la réassurance, de la prévoyance sociale, de la retraite ou du crédit bancaire.</w:t>
      </w:r>
    </w:p>
    <w:p>
      <w:pPr>
        <w:numPr>
          <w:ilvl w:val="0"/>
          <w:numId w:val="1001"/>
        </w:numPr>
        <w:pStyle w:val="Compact"/>
      </w:pPr>
      <w:r>
        <w:t xml:space="preserve">Les entreprises et les établissements publics, qui souhaitent optimiser leurs performances en matière de gestion de leurs risques, de leurs assurances et de leurs engagements sociaux.</w:t>
      </w:r>
    </w:p>
    <w:p>
      <w:pPr>
        <w:numPr>
          <w:ilvl w:val="0"/>
          <w:numId w:val="1001"/>
        </w:numPr>
        <w:pStyle w:val="Compact"/>
      </w:pPr>
      <w:r>
        <w:t xml:space="preserve">Les administrations qui cherchent à élaborer des études actuarielles pour améliorer les systèmes existants de couvertures sociales ou mettre en place de nouveaux régimes de prévoyance sociale.</w:t>
      </w:r>
    </w:p>
    <w:p>
      <w:pPr>
        <w:pStyle w:val="FirstParagraph"/>
      </w:pPr>
      <w:r>
        <w:rPr>
          <w:bCs/>
          <w:b/>
        </w:rPr>
        <w:t xml:space="preserve">A.R.M CONSULTANTS</w:t>
      </w:r>
      <w:r>
        <w:t xml:space="preserve"> </w:t>
      </w:r>
      <w:r>
        <w:t xml:space="preserve">s’est dotée d’équipes soudées et complémentaires, organisées autour de deux pôles distincts (Institutionnels et Corporat) qui lui permet de couvrir l’ensemble des spécificités actuarielles. Cette richesse, diversité et complémentarité des métiers permet à A.R.M CONSULTANTS de suivre en permanence l’ensemble des évolutions actuarielles et réglementaires. A.R.M CONSULTANTS a su développer et affirmer son savoir faire et son expertise grâce aux compétences et expériences de ses consultants, à sa spécialisation dans les domaines pointus de l’actuariat et du Risk-Management, et à son approche originale parfaitement adaptée au contexte Marocain et régional, basée sur un conseil extérieur qui est :</w:t>
      </w:r>
    </w:p>
    <w:p>
      <w:pPr>
        <w:numPr>
          <w:ilvl w:val="0"/>
          <w:numId w:val="1002"/>
        </w:numPr>
        <w:pStyle w:val="Compact"/>
      </w:pPr>
      <w:r>
        <w:t xml:space="preserve">Innovateur.</w:t>
      </w:r>
    </w:p>
    <w:p>
      <w:pPr>
        <w:numPr>
          <w:ilvl w:val="0"/>
          <w:numId w:val="1002"/>
        </w:numPr>
        <w:pStyle w:val="Compact"/>
      </w:pPr>
      <w:r>
        <w:t xml:space="preserve">Indépendant.</w:t>
      </w:r>
    </w:p>
    <w:p>
      <w:pPr>
        <w:numPr>
          <w:ilvl w:val="0"/>
          <w:numId w:val="1002"/>
        </w:numPr>
        <w:pStyle w:val="Compact"/>
      </w:pPr>
      <w:r>
        <w:t xml:space="preserve">International, par le biais de son partenariat avec des sociétés similaires de renommée internationale.</w:t>
      </w:r>
    </w:p>
    <w:bookmarkEnd w:id="20"/>
    <w:bookmarkStart w:id="21" w:name="liste-des-abréviations"/>
    <w:p>
      <w:pPr>
        <w:pStyle w:val="Heading2"/>
      </w:pPr>
      <w:r>
        <w:t xml:space="preserve">2 Liste des abréviations: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Abréviation</w:t>
            </w:r>
          </w:p>
        </w:tc>
        <w:tc>
          <w:tcPr/>
          <w:p>
            <w:pPr>
              <w:pStyle w:val="Compact"/>
              <w:jc w:val="left"/>
            </w:pPr>
            <w:r>
              <w:t xml:space="preserve">Désignation</w:t>
            </w:r>
          </w:p>
        </w:tc>
      </w:tr>
      <w:tr>
        <w:tc>
          <w:tcPr/>
          <w:p>
            <w:pPr>
              <w:pStyle w:val="Compact"/>
              <w:jc w:val="left"/>
            </w:pPr>
            <w:r>
              <w:t xml:space="preserve">SBR</w:t>
            </w:r>
          </w:p>
        </w:tc>
        <w:tc>
          <w:tcPr/>
          <w:p>
            <w:pPr>
              <w:pStyle w:val="Compact"/>
              <w:jc w:val="left"/>
            </w:pPr>
            <w:r>
              <w:t xml:space="preserve">Solvabilité Basée sur les risques</w:t>
            </w:r>
          </w:p>
        </w:tc>
      </w:tr>
      <w:tr>
        <w:tc>
          <w:tcPr/>
          <w:p>
            <w:pPr>
              <w:pStyle w:val="Compact"/>
              <w:jc w:val="left"/>
            </w:pPr>
            <w:r>
              <w:t xml:space="preserve">ACAPS</w:t>
            </w:r>
          </w:p>
        </w:tc>
        <w:tc>
          <w:tcPr/>
          <w:p>
            <w:pPr>
              <w:pStyle w:val="Compact"/>
              <w:jc w:val="left"/>
            </w:pPr>
            <w:r>
              <w:t xml:space="preserve">Autorité de contrôle des Assurances et de la Prévoyance Sociale</w:t>
            </w:r>
          </w:p>
        </w:tc>
      </w:tr>
      <w:tr>
        <w:tc>
          <w:tcPr/>
          <w:p>
            <w:pPr>
              <w:pStyle w:val="Compact"/>
              <w:jc w:val="left"/>
            </w:pPr>
            <w:r>
              <w:t xml:space="preserve">AT</w:t>
            </w:r>
          </w:p>
        </w:tc>
        <w:tc>
          <w:tcPr/>
          <w:p>
            <w:pPr>
              <w:pStyle w:val="Compact"/>
              <w:jc w:val="left"/>
            </w:pPr>
            <w:r>
              <w:t xml:space="preserve">Accident de travail</w:t>
            </w:r>
          </w:p>
        </w:tc>
      </w:tr>
      <w:tr>
        <w:tc>
          <w:tcPr/>
          <w:p>
            <w:pPr>
              <w:pStyle w:val="Compact"/>
              <w:jc w:val="left"/>
            </w:pPr>
            <w:r>
              <w:t xml:space="preserve">RNN</w:t>
            </w:r>
          </w:p>
        </w:tc>
        <w:tc>
          <w:tcPr/>
          <w:p>
            <w:pPr>
              <w:pStyle w:val="Compact"/>
              <w:jc w:val="left"/>
            </w:pPr>
            <w:r>
              <w:t xml:space="preserve">Réseaux de neurones récurrents</w:t>
            </w:r>
          </w:p>
        </w:tc>
      </w:tr>
      <w:tr>
        <w:tc>
          <w:tcPr/>
          <w:p>
            <w:pPr>
              <w:pStyle w:val="Compact"/>
              <w:jc w:val="left"/>
            </w:pPr>
            <w:r>
              <w:t xml:space="preserve">LSTM</w:t>
            </w:r>
          </w:p>
        </w:tc>
        <w:tc>
          <w:tcPr/>
          <w:p>
            <w:pPr>
              <w:pStyle w:val="Compact"/>
              <w:jc w:val="left"/>
            </w:pPr>
            <w:r>
              <w:t xml:space="preserve">Long short-term memory</w:t>
            </w:r>
          </w:p>
        </w:tc>
      </w:tr>
      <w:tr>
        <w:tc>
          <w:tcPr/>
          <w:p>
            <w:pPr>
              <w:pStyle w:val="Compact"/>
              <w:jc w:val="left"/>
            </w:pPr>
            <w:r>
              <w:t xml:space="preserve">MASI</w:t>
            </w:r>
          </w:p>
        </w:tc>
        <w:tc>
          <w:tcPr/>
          <w:p>
            <w:pPr>
              <w:pStyle w:val="Compact"/>
              <w:jc w:val="left"/>
            </w:pPr>
            <w:r>
              <w:t xml:space="preserve">Moroccan All Shares index</w:t>
            </w:r>
          </w:p>
        </w:tc>
      </w:tr>
      <w:tr>
        <w:tc>
          <w:tcPr/>
          <w:p>
            <w:pPr>
              <w:pStyle w:val="Compact"/>
              <w:jc w:val="left"/>
            </w:pPr>
            <w:r>
              <w:t xml:space="preserve">CSR</w:t>
            </w:r>
          </w:p>
        </w:tc>
        <w:tc>
          <w:tcPr/>
          <w:p>
            <w:pPr>
              <w:pStyle w:val="Compact"/>
              <w:jc w:val="left"/>
            </w:pPr>
            <w:r>
              <w:t xml:space="preserve">Capital de Solvabilité Requis</w:t>
            </w:r>
          </w:p>
        </w:tc>
      </w:tr>
      <w:tr>
        <w:tc>
          <w:tcPr/>
          <w:p>
            <w:pPr>
              <w:pStyle w:val="Compact"/>
              <w:jc w:val="left"/>
            </w:pPr>
            <w:r>
              <w:t xml:space="preserve">BE</w:t>
            </w:r>
          </w:p>
        </w:tc>
        <w:tc>
          <w:tcPr/>
          <w:p>
            <w:pPr>
              <w:pStyle w:val="Compact"/>
              <w:jc w:val="left"/>
            </w:pPr>
            <w:r>
              <w:t xml:space="preserve">Best Estimate</w:t>
            </w:r>
          </w:p>
        </w:tc>
      </w:tr>
      <w:tr>
        <w:tc>
          <w:tcPr/>
          <w:p>
            <w:pPr>
              <w:pStyle w:val="Compact"/>
              <w:jc w:val="left"/>
            </w:pPr>
            <w:r>
              <w:t xml:space="preserve">PPNA</w:t>
            </w:r>
          </w:p>
        </w:tc>
        <w:tc>
          <w:tcPr/>
          <w:p>
            <w:pPr>
              <w:pStyle w:val="Compact"/>
              <w:jc w:val="left"/>
            </w:pPr>
            <w:r>
              <w:t xml:space="preserve">Provision pour primes non Acquises</w:t>
            </w:r>
          </w:p>
        </w:tc>
      </w:tr>
      <w:tr>
        <w:tc>
          <w:tcPr/>
          <w:p>
            <w:pPr>
              <w:pStyle w:val="Compact"/>
              <w:jc w:val="left"/>
            </w:pPr>
            <w:r>
              <w:t xml:space="preserve">PSAP</w:t>
            </w:r>
          </w:p>
        </w:tc>
        <w:tc>
          <w:tcPr/>
          <w:p>
            <w:pPr>
              <w:pStyle w:val="Compact"/>
              <w:jc w:val="left"/>
            </w:pPr>
            <w:r>
              <w:t xml:space="preserve">Provision pour Sinistre à Payer</w:t>
            </w:r>
          </w:p>
        </w:tc>
      </w:tr>
      <w:tr>
        <w:tc>
          <w:tcPr/>
          <w:p>
            <w:pPr>
              <w:pStyle w:val="Compact"/>
              <w:jc w:val="left"/>
            </w:pPr>
            <w:r>
              <w:t xml:space="preserve">BAM</w:t>
            </w:r>
          </w:p>
        </w:tc>
        <w:tc>
          <w:tcPr/>
          <w:p>
            <w:pPr>
              <w:pStyle w:val="Compact"/>
              <w:jc w:val="left"/>
            </w:pPr>
            <w:r>
              <w:t xml:space="preserve">Bank Al Maghrib</w:t>
            </w:r>
          </w:p>
        </w:tc>
      </w:tr>
      <w:tr>
        <w:tc>
          <w:tcPr/>
          <w:p>
            <w:pPr>
              <w:pStyle w:val="Compact"/>
              <w:jc w:val="left"/>
            </w:pPr>
            <w:r>
              <w:t xml:space="preserve">CSRB</w:t>
            </w:r>
          </w:p>
        </w:tc>
        <w:tc>
          <w:tcPr/>
          <w:p>
            <w:pPr>
              <w:pStyle w:val="Compact"/>
              <w:jc w:val="left"/>
            </w:pPr>
            <w:r>
              <w:t xml:space="preserve">Capital de solvabilité requis de base</w:t>
            </w:r>
          </w:p>
        </w:tc>
      </w:tr>
      <w:tr>
        <w:tc>
          <w:tcPr/>
          <w:p>
            <w:pPr>
              <w:pStyle w:val="Compact"/>
              <w:jc w:val="left"/>
            </w:pPr>
            <w:r>
              <w:t xml:space="preserve">CSRO</w:t>
            </w:r>
          </w:p>
        </w:tc>
        <w:tc>
          <w:tcPr/>
          <w:p>
            <w:pPr>
              <w:pStyle w:val="Compact"/>
              <w:jc w:val="left"/>
            </w:pPr>
            <w:r>
              <w:t xml:space="preserve">Capital de solvabilité requis relative au risque Opérationnel</w:t>
            </w:r>
          </w:p>
        </w:tc>
      </w:tr>
      <w:tr>
        <w:tc>
          <w:tcPr/>
          <w:p>
            <w:pPr>
              <w:pStyle w:val="Compact"/>
              <w:jc w:val="left"/>
            </w:pPr>
            <w:r>
              <w:t xml:space="preserve">MR</w:t>
            </w:r>
          </w:p>
        </w:tc>
        <w:tc>
          <w:tcPr/>
          <w:p>
            <w:pPr>
              <w:pStyle w:val="Compact"/>
              <w:jc w:val="left"/>
            </w:pPr>
            <w:r>
              <w:t xml:space="preserve">Marge de Risque</w:t>
            </w:r>
          </w:p>
        </w:tc>
      </w:tr>
      <w:tr>
        <w:tc>
          <w:tcPr/>
          <w:p>
            <w:pPr>
              <w:pStyle w:val="Compact"/>
              <w:jc w:val="left"/>
            </w:pPr>
            <w:r>
              <w:t xml:space="preserve">EDS</w:t>
            </w:r>
          </w:p>
        </w:tc>
        <w:tc>
          <w:tcPr/>
          <w:p>
            <w:pPr>
              <w:pStyle w:val="Compact"/>
              <w:jc w:val="left"/>
            </w:pPr>
            <w:r>
              <w:t xml:space="preserve">Equation Différentielle Stochastique</w:t>
            </w:r>
          </w:p>
        </w:tc>
      </w:tr>
      <w:tr>
        <w:tc>
          <w:tcPr/>
          <w:p>
            <w:pPr>
              <w:pStyle w:val="Compact"/>
              <w:jc w:val="left"/>
            </w:pPr>
            <w:r>
              <w:t xml:space="preserve">GBM</w:t>
            </w:r>
          </w:p>
        </w:tc>
        <w:tc>
          <w:tcPr/>
          <w:p>
            <w:pPr>
              <w:pStyle w:val="Compact"/>
              <w:jc w:val="left"/>
            </w:pPr>
            <w:r>
              <w:t xml:space="preserve">Geometric Brownian Motion</w:t>
            </w:r>
          </w:p>
        </w:tc>
      </w:tr>
      <w:tr>
        <w:tc>
          <w:tcPr/>
          <w:p>
            <w:pPr>
              <w:pStyle w:val="Compact"/>
              <w:jc w:val="left"/>
            </w:pPr>
            <w:r>
              <w:t xml:space="preserve">OPCVM</w:t>
            </w:r>
          </w:p>
        </w:tc>
        <w:tc>
          <w:tcPr/>
          <w:p>
            <w:pPr>
              <w:pStyle w:val="Compact"/>
              <w:jc w:val="left"/>
            </w:pPr>
            <w:r>
              <w:t xml:space="preserve">Organisme de Placement Collectif en Valeurs Mobilières</w:t>
            </w:r>
          </w:p>
        </w:tc>
      </w:tr>
      <w:tr>
        <w:tc>
          <w:tcPr/>
          <w:p>
            <w:pPr>
              <w:pStyle w:val="Compact"/>
              <w:jc w:val="left"/>
            </w:pPr>
            <w:r>
              <w:t xml:space="preserve">OPCI</w:t>
            </w:r>
          </w:p>
        </w:tc>
        <w:tc>
          <w:tcPr/>
          <w:p>
            <w:pPr>
              <w:pStyle w:val="Compact"/>
              <w:jc w:val="left"/>
            </w:pPr>
            <w:r>
              <w:t xml:space="preserve">Organisme de Placement Collectif Immobilier</w:t>
            </w:r>
          </w:p>
        </w:tc>
      </w:tr>
      <w:tr>
        <w:tc>
          <w:tcPr/>
          <w:p>
            <w:pPr>
              <w:pStyle w:val="Compact"/>
              <w:jc w:val="left"/>
            </w:pPr>
            <w:r>
              <w:t xml:space="preserve">OPCC</w:t>
            </w:r>
          </w:p>
        </w:tc>
        <w:tc>
          <w:tcPr/>
          <w:p>
            <w:pPr>
              <w:pStyle w:val="Compact"/>
              <w:jc w:val="left"/>
            </w:pPr>
            <w:r>
              <w:t xml:space="preserve">Organismes de Placement Collectif en Capital</w:t>
            </w:r>
          </w:p>
        </w:tc>
      </w:tr>
      <w:tr>
        <w:tc>
          <w:tcPr/>
          <w:p>
            <w:pPr>
              <w:pStyle w:val="Compact"/>
              <w:jc w:val="left"/>
            </w:pPr>
            <w:r>
              <w:t xml:space="preserve">FPCT</w:t>
            </w:r>
          </w:p>
        </w:tc>
        <w:tc>
          <w:tcPr/>
          <w:p>
            <w:pPr>
              <w:pStyle w:val="Compact"/>
              <w:jc w:val="left"/>
            </w:pPr>
            <w:r>
              <w:t xml:space="preserve">Fonds de Placement Collectifs en Titrisation</w:t>
            </w:r>
          </w:p>
        </w:tc>
      </w:tr>
    </w:tbl>
    <w:bookmarkEnd w:id="21"/>
    <w:bookmarkStart w:id="23" w:name="introduction"/>
    <w:p>
      <w:pPr>
        <w:pStyle w:val="Heading2"/>
      </w:pPr>
      <w:r>
        <w:t xml:space="preserve">3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2"/>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3"/>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3"/>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3"/>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3"/>
    <w:bookmarkStart w:id="39" w:name="cadre-réglementaire-marocain"/>
    <w:p>
      <w:pPr>
        <w:pStyle w:val="Heading2"/>
      </w:pPr>
      <w:r>
        <w:t xml:space="preserve">4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4">
        <w:r>
          <w:rPr>
            <w:rStyle w:val="Hyperlink"/>
          </w:rPr>
          <w:t xml:space="preserve">Atlas Mag</w:t>
        </w:r>
      </w:hyperlink>
      <w:r>
        <w:rPr>
          <w:rStyle w:val="FootnoteReference"/>
        </w:rPr>
        <w:footnoteReference w:id="25"/>
      </w:r>
      <w:r>
        <w:t xml:space="preserve">, le Maroc est classé</w:t>
      </w:r>
      <w:r>
        <w:t xml:space="preserve"> </w:t>
      </w:r>
      <w:r>
        <w:rPr>
          <w:bCs/>
          <w:b/>
        </w:rPr>
        <w:t xml:space="preserve">2ème</w:t>
      </w:r>
      <w:r>
        <w:t xml:space="preserve"> </w:t>
      </w:r>
      <w:r>
        <w:t xml:space="preserve">en Afrique et</w:t>
      </w:r>
      <w:r>
        <w:t xml:space="preserve"> </w:t>
      </w:r>
      <w:r>
        <w:rPr>
          <w:bCs/>
          <w:b/>
        </w:rPr>
        <w:t xml:space="preserve">49ème</w:t>
      </w:r>
      <w:r>
        <w:t xml:space="preserve"> </w:t>
      </w:r>
      <w:r>
        <w:t xml:space="preserve">mondial avec un</w:t>
      </w:r>
      <w:r>
        <w:t xml:space="preserve"> </w:t>
      </w:r>
      <w:r>
        <w:rPr>
          <w:bCs/>
          <w:b/>
        </w:rPr>
        <w:t xml:space="preserve">chiffre d’affaire de 5 343 millions USD</w:t>
      </w:r>
      <w:r>
        <w:t xml:space="preserve"> </w:t>
      </w:r>
      <w:r>
        <w:t xml:space="preserve">en 2021.</w:t>
      </w:r>
    </w:p>
    <w:bookmarkStart w:id="26"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6"/>
    <w:p>
      <w:pPr>
        <w:pStyle w:val="BodyText"/>
      </w:pPr>
      <w:r>
        <w:t xml:space="preserve">Le Royaume doit se succès à la rigueur de son dispositif prudentiel qui se consolide de plus en plus.</w:t>
      </w:r>
      <w:r>
        <w:t xml:space="preserve"> </w:t>
      </w:r>
      <w:r>
        <w:t xml:space="preserve">La SBR (Solvabilité basée sur les risques) est une réforme prudentielle qui vient en ce sens renforcer cette dynamique. elle vise à consolider la résilience des compagnies d’assurances face aux différents risques qu’elles encourent. Elle repose sur trois piliers : le pilier quantitatif, le pilier qualitatif et le pilier informatif</w:t>
      </w:r>
      <w:r>
        <w:rPr>
          <w:rStyle w:val="FootnoteReference"/>
        </w:rPr>
        <w:footnoteReference w:id="27"/>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8"/>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9"/>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3"/>
      </w:r>
      <w:r>
        <w:t xml:space="preserve">.</w:t>
      </w:r>
    </w:p>
    <w:tbl>
      <w:tblPr>
        <w:tblStyle w:val="Table"/>
        <w:tblW w:type="pct" w:w="5000"/>
        <w:tblLook w:firstRow="0" w:lastRow="0" w:firstColumn="0" w:lastColumn="0" w:noHBand="0" w:noVBand="0" w:val="0000"/>
      </w:tblPr>
      <w:tblGrid>
        <w:gridCol w:w="7920"/>
      </w:tblGrid>
      <w:tr>
        <w:tc>
          <w:tcPr/>
          <w:bookmarkStart w:id="38" w:name="fig-piliers"/>
          <w:p>
            <w:pPr>
              <w:pStyle w:val="Figure"/>
              <w:jc w:val="center"/>
            </w:pPr>
            <w:r>
              <w:drawing>
                <wp:inline>
                  <wp:extent cx="5334000" cy="3000375"/>
                  <wp:effectExtent b="0" l="0" r="0" t="0"/>
                  <wp:docPr descr="" title="" id="36" name="Picture"/>
                  <a:graphic>
                    <a:graphicData uri="http://schemas.openxmlformats.org/drawingml/2006/picture">
                      <pic:pic>
                        <pic:nvPicPr>
                          <pic:cNvPr descr="Rapport-PFE_files/figure-html/piliers.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8"/>
        </w:tc>
      </w:tr>
    </w:tbl>
    <w:bookmarkEnd w:id="39"/>
    <w:bookmarkStart w:id="45" w:name="piliers-1-exigences-quantitatives"/>
    <w:p>
      <w:pPr>
        <w:pStyle w:val="Heading2"/>
      </w:pPr>
      <w:r>
        <w:t xml:space="preserve">5 Piliers 1: Exigences quantitatives</w:t>
      </w:r>
    </w:p>
    <w:p>
      <w:pPr>
        <w:pStyle w:val="FirstParagraph"/>
      </w:pPr>
      <w:r>
        <w:t xml:space="preserve">Sur les trois piliers de la normes SBR, notre rapport de stage se concentre essentiellement sur le pilier 1. Ce dernier spécifie toutes les dispositions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40"/>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4"/>
        </w:numPr>
      </w:pPr>
      <w:r>
        <w:t xml:space="preserve">Le Best Estimate, qui n’est rien d’autre que la valeur actualisée des flux futurs attendus liés aux contrats en cours. L’actualisation se fait en utilisant une courbe de taux sans risque de référence, qui reflète les conditions du marché.</w:t>
      </w:r>
    </w:p>
    <w:p>
      <w:pPr>
        <w:numPr>
          <w:ilvl w:val="0"/>
          <w:numId w:val="1004"/>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à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4" w:name="fig-bilan"/>
          <w:p>
            <w:pPr>
              <w:pStyle w:val="Figure"/>
              <w:jc w:val="center"/>
            </w:pPr>
            <w:r>
              <w:drawing>
                <wp:inline>
                  <wp:extent cx="5334000" cy="2993010"/>
                  <wp:effectExtent b="0" l="0" r="0" t="0"/>
                  <wp:docPr descr="" title="" id="42" name="Picture"/>
                  <a:graphic>
                    <a:graphicData uri="http://schemas.openxmlformats.org/drawingml/2006/picture">
                      <pic:pic>
                        <pic:nvPicPr>
                          <pic:cNvPr descr="Rapport-PFE_files/figure-html/Bilan.png" id="43" name="Picture"/>
                          <pic:cNvPicPr>
                            <a:picLocks noChangeArrowheads="1" noChangeAspect="1"/>
                          </pic:cNvPicPr>
                        </pic:nvPicPr>
                        <pic:blipFill>
                          <a:blip r:embed="rId41"/>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4"/>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5"/>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5"/>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capaciter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6"/>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6"/>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6"/>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6"/>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6"/>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6"/>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6"/>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évaluation repose sur un certain nombre de principes parmi lesquels nous pouvons citer :</w:t>
      </w:r>
    </w:p>
    <w:p>
      <w:pPr>
        <w:numPr>
          <w:ilvl w:val="0"/>
          <w:numId w:val="1007"/>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7"/>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7"/>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7"/>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7"/>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L’évaluation par un test de recouvrabilité et la capacité d’absorption des pertes par les impôts différés. L’objectif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8"/>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8"/>
        </w:numPr>
      </w:pPr>
      <w:r>
        <w:t xml:space="preserve">Le modèle interne, qui est une méthode propre à l’assureur, qui prend en compte les spécificités de son profil de risque, et qui utilise ses propres paramètres. Le modèle interne doit être validé par le régulateur.</w:t>
      </w:r>
    </w:p>
    <w:bookmarkEnd w:id="45"/>
    <w:bookmarkStart w:id="71" w:name="valorisation-de-lactif"/>
    <w:p>
      <w:pPr>
        <w:pStyle w:val="Heading2"/>
      </w:pPr>
      <w:r>
        <w:t xml:space="preserve">6 Valorisation de l’actif:</w:t>
      </w:r>
    </w:p>
    <w:p>
      <w:pPr>
        <w:pStyle w:val="FirstParagraph"/>
      </w:pPr>
      <w:r>
        <w:t xml:space="preserve">Selon les directions de l’autorité de contrôle des Assurances et de la Prévoyance Sociale, les actifs doivent être évaluer comme suit :</w:t>
      </w:r>
    </w:p>
    <w:p>
      <w:pPr>
        <w:numPr>
          <w:ilvl w:val="0"/>
          <w:numId w:val="1009"/>
        </w:numPr>
        <w:pStyle w:val="Compact"/>
      </w:pPr>
      <w:r>
        <w:t xml:space="preserve">Titres OPCVM et OPCI : Dernière valeur liquidative.</w:t>
      </w:r>
    </w:p>
    <w:p>
      <w:pPr>
        <w:numPr>
          <w:ilvl w:val="0"/>
          <w:numId w:val="1009"/>
        </w:numPr>
        <w:pStyle w:val="Compact"/>
      </w:pPr>
      <w:r>
        <w:t xml:space="preserve">Titres OPCC et FPCT : Dernière valeur connue.</w:t>
      </w:r>
    </w:p>
    <w:p>
      <w:pPr>
        <w:numPr>
          <w:ilvl w:val="0"/>
          <w:numId w:val="1009"/>
        </w:numPr>
        <w:pStyle w:val="Compact"/>
      </w:pPr>
      <w:r>
        <w:t xml:space="preserve">Titres de créances négociables, obligations et bons : Valeur de marché.</w:t>
      </w:r>
    </w:p>
    <w:p>
      <w:pPr>
        <w:numPr>
          <w:ilvl w:val="0"/>
          <w:numId w:val="1009"/>
        </w:numPr>
        <w:pStyle w:val="Compact"/>
      </w:pPr>
      <w:r>
        <w:t xml:space="preserve">Immobilisations corporelles : Valeur comptable.</w:t>
      </w:r>
    </w:p>
    <w:p>
      <w:pPr>
        <w:numPr>
          <w:ilvl w:val="0"/>
          <w:numId w:val="1009"/>
        </w:numPr>
        <w:pStyle w:val="Compact"/>
      </w:pPr>
      <w:r>
        <w:t xml:space="preserve">Autres créances : Valeur comptable.</w:t>
      </w:r>
    </w:p>
    <w:p>
      <w:pPr>
        <w:numPr>
          <w:ilvl w:val="0"/>
          <w:numId w:val="1009"/>
        </w:numPr>
        <w:pStyle w:val="Compact"/>
      </w:pPr>
      <w:r>
        <w:t xml:space="preserve">Immobilisations en non-valeur : Valeur nulle.</w:t>
      </w:r>
    </w:p>
    <w:p>
      <w:pPr>
        <w:numPr>
          <w:ilvl w:val="0"/>
          <w:numId w:val="1009"/>
        </w:numPr>
        <w:pStyle w:val="Compact"/>
      </w:pPr>
      <w:r>
        <w:t xml:space="preserve">Immobilisations incorporelles : Valeur nulle.</w:t>
      </w:r>
    </w:p>
    <w:p>
      <w:pPr>
        <w:numPr>
          <w:ilvl w:val="0"/>
          <w:numId w:val="1009"/>
        </w:numPr>
        <w:pStyle w:val="Compact"/>
      </w:pPr>
      <w:r>
        <w:t xml:space="preserve">Actifs immobiliers hors OPCI : Valeur de transaction (sinon valeur comptable).</w:t>
      </w:r>
    </w:p>
    <w:p>
      <w:pPr>
        <w:numPr>
          <w:ilvl w:val="0"/>
          <w:numId w:val="1009"/>
        </w:numPr>
        <w:pStyle w:val="Compact"/>
      </w:pPr>
      <w:r>
        <w:t xml:space="preserve">Autres actifs : Valeur d’expert (sinon valeur comptable)</w:t>
      </w:r>
    </w:p>
    <w:p>
      <w:pPr>
        <w:pStyle w:val="FirstParagraph"/>
      </w:pPr>
      <w:r>
        <w:t xml:space="preserve">Pour les actions cotées à la bourse de Casablanca, ils sont valorisées à leur dernier cours coté avant la date d’inventaire, ou le moyenne des cours côtés des trois derniers mois précédant la date d’inventaire, si le volume ou la quantité journaliers moyens des transactions sur les 3 derniers mois précédant la date d’inventaire sont inférieurs aux seuils fixés par L’ACAPS.</w:t>
      </w:r>
    </w:p>
    <w:bookmarkStart w:id="46" w:name="modélisation-du-prix-des-actions"/>
    <w:p>
      <w:pPr>
        <w:pStyle w:val="Heading4"/>
      </w:pPr>
      <w:r>
        <w:t xml:space="preserve">Modélisation du prix des actions :</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End w:id="46"/>
    <w:bookmarkStart w:id="55" w:name="modèle-de-black-scholes"/>
    <w:p>
      <w:pPr>
        <w:pStyle w:val="Heading4"/>
      </w:pPr>
      <w:r>
        <w:t xml:space="preserve">6.0.1 Modèle de Black-Scholes :</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fonction de son type et du prix de l’actif sous-jacent. Le modèle repose sur plusieurs hypothèses dont l’une d’entre elle est que le cours de l’actif sous-jacent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7"/>
      </w:r>
    </w:p>
    <w:p>
      <w:pPr>
        <w:pStyle w:val="BodyText"/>
      </w:pPr>
      <w:bookmarkStart w:id="48"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rPr>
              <m:sty m:val="p"/>
            </m:rPr>
            <m:t>,</m:t>
          </m:r>
          <m:r>
            <m:t>  </m:t>
          </m:r>
          <m:d>
            <m:dPr>
              <m:begChr m:val="("/>
              <m:endChr m:val=")"/>
              <m:sepChr m:val=""/>
              <m:grow/>
            </m:dPr>
            <m:e>
              <m:r>
                <m:t>1</m:t>
              </m:r>
            </m:e>
          </m:d>
        </m:oMath>
      </m:oMathPara>
      <w:bookmarkEnd w:id="48"/>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9"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9"/>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50"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50"/>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 :</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r>
            <m:t> </m:t>
          </m:r>
          <m:r>
            <m:rPr>
              <m:sty m:val="p"/>
            </m:rPr>
            <m:t>,</m:t>
          </m:r>
        </m:oMath>
      </m:oMathPara>
    </w:p>
    <w:p>
      <w:pPr>
        <w:pStyle w:val="FirstParagraph"/>
      </w:pPr>
      <w:r>
        <w:t xml:space="preserve">soit, en utilsant</w:t>
      </w:r>
      <w:r>
        <w:t xml:space="preserve"> </w:t>
      </w:r>
      <w:hyperlink w:anchor="eq-gbmp">
        <w:r>
          <w:rPr>
            <w:rStyle w:val="Hyperlink"/>
          </w:rPr>
          <w:t xml:space="preserve">Equation 1</w:t>
        </w:r>
      </w:hyperlink>
      <w:r>
        <w:t xml:space="preserve"> </w:t>
      </w:r>
      <w:r>
        <w:t xml:space="preserve">:</w:t>
      </w:r>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r>
            <m:t> </m:t>
          </m:r>
          <m:r>
            <m:rPr>
              <m:sty m:val="p"/>
            </m:rPr>
            <m:t>,</m:t>
          </m:r>
        </m:oMath>
      </m:oMathPara>
    </w:p>
    <w:p>
      <w:pPr>
        <w:pStyle w:val="FirstParagraph"/>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r>
            <m:t> </m:t>
          </m:r>
          <m:r>
            <m:rPr>
              <m:sty m:val="p"/>
            </m:rPr>
            <m:t>,</m:t>
          </m:r>
        </m:oMath>
      </m:oMathPara>
    </w:p>
    <w:p>
      <w:pPr>
        <w:pStyle w:val="FirstParagraph"/>
      </w:pPr>
      <w:r>
        <w:t xml:space="preserve">ainsi :</w:t>
      </w:r>
    </w:p>
    <w:p>
      <w:pPr>
        <w:pStyle w:val="BodyText"/>
      </w:pPr>
      <w:bookmarkStart w:id="51"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r>
            <m:rPr>
              <m:sty m:val="p"/>
            </m:rPr>
            <m:t>,</m:t>
          </m:r>
          <m:r>
            <m:t>  </m:t>
          </m:r>
          <m:d>
            <m:dPr>
              <m:begChr m:val="("/>
              <m:endChr m:val=")"/>
              <m:sepChr m:val=""/>
              <m:grow/>
            </m:dPr>
            <m:e>
              <m:r>
                <m:t>4</m:t>
              </m:r>
            </m:e>
          </m:d>
        </m:oMath>
      </m:oMathPara>
      <w:bookmarkEnd w:id="51"/>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3" name="Picture"/>
                  <a:graphic>
                    <a:graphicData uri="http://schemas.openxmlformats.org/drawingml/2006/picture">
                      <pic:pic>
                        <pic:nvPicPr>
                          <pic:cNvPr descr="Rapport-PFE_files/figure-docx/unnamed-chunk-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utilisant le modèle de Black and Scholes</w:t>
            </w:r>
          </w:p>
        </w:tc>
      </w:tr>
    </w:tbl>
    <w:bookmarkEnd w:id="55"/>
    <w:bookmarkStart w:id="70" w:name="réseaux-de-neurones-récurrents"/>
    <w:p>
      <w:pPr>
        <w:pStyle w:val="Heading4"/>
      </w:pPr>
      <w:r>
        <w:t xml:space="preserve">6.0.2 Réseaux de neurones récurrents:</w:t>
      </w:r>
    </w:p>
    <w:p>
      <w:pPr>
        <w:pStyle w:val="FirstParagraph"/>
      </w:pPr>
      <w:r>
        <w:t xml:space="preserve">Dans cette partie on va s’intéressé à l’entrainement d’un modèle de réseaux de neurones récurrents, spécifiquement le modèle LSTM (Long short-term memory) avec des données historiques de l’indice MASI (Moroccan All Shares index) afin prédire les cours journaliers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w:t>
      </w:r>
      <m:oMath>
        <m:r>
          <m:rPr>
            <m:sty m:val="p"/>
          </m:rPr>
          <m:t>…</m:t>
        </m:r>
      </m:oMath>
    </w:p>
    <w:p>
      <w:pPr>
        <w:pStyle w:val="BodyText"/>
      </w:pPr>
      <w:r>
        <w:t xml:space="preserve">Les réseaux de neurones récurrents utilisent des données de formation pour apprendre. Ils se distinguent par leur mémoire 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(des réseaux de neurones artificiels qui traitent les informations dans une seule direction)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tblPr>
      <w:tblGrid>
        <w:gridCol w:w="7920"/>
      </w:tblGrid>
      <w:tr>
        <w:tc>
          <w:tcPr/>
          <w:bookmarkStart w:id="59" w:name="fig-piliers"/>
          <w:p>
            <w:pPr>
              <w:pStyle w:val="Figure"/>
              <w:jc w:val="center"/>
            </w:pPr>
            <w:r>
              <w:drawing>
                <wp:inline>
                  <wp:extent cx="5334000" cy="2051050"/>
                  <wp:effectExtent b="0" l="0" r="0" t="0"/>
                  <wp:docPr descr="" title="" id="57" name="Picture"/>
                  <a:graphic>
                    <a:graphicData uri="http://schemas.openxmlformats.org/drawingml/2006/picture">
                      <pic:pic>
                        <pic:nvPicPr>
                          <pic:cNvPr descr="Rapport-PFE_files/figure-html/Shema_RNN.png" id="58" name="Picture"/>
                          <pic:cNvPicPr>
                            <a:picLocks noChangeArrowheads="1" noChangeAspect="1"/>
                          </pic:cNvPicPr>
                        </pic:nvPicPr>
                        <pic:blipFill>
                          <a:blip r:embed="rId56"/>
                          <a:stretch>
                            <a:fillRect/>
                          </a:stretch>
                        </pic:blipFill>
                        <pic:spPr bwMode="auto">
                          <a:xfrm>
                            <a:off x="0" y="0"/>
                            <a:ext cx="5334000" cy="205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59"/>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nous sommes focalisés sur l’application de modèle LSTM sur les données de l’indice MASI. Notre échantillon contenu 5000 observations journalière du cours d’ouverture, cours Dernier, le cours le plus bas, le cours plus haut et la variation du cours entre deux dates successives.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right"/>
            </w:pPr>
            <w:r>
              <w:t xml:space="preserve">Dernier</w:t>
            </w:r>
          </w:p>
        </w:tc>
        <w:tc>
          <w:tcPr/>
          <w:p>
            <w:pPr>
              <w:pStyle w:val="Compact"/>
              <w:jc w:val="right"/>
            </w:pPr>
            <w:r>
              <w:t xml:space="preserve">Ouverture</w:t>
            </w:r>
          </w:p>
        </w:tc>
        <w:tc>
          <w:tcPr/>
          <w:p>
            <w:pPr>
              <w:pStyle w:val="Compact"/>
              <w:jc w:val="right"/>
            </w:pPr>
            <w:r>
              <w:t xml:space="preserve">PlusHaut</w:t>
            </w:r>
          </w:p>
        </w:tc>
        <w:tc>
          <w:tcPr/>
          <w:p>
            <w:pPr>
              <w:pStyle w:val="Compact"/>
              <w:jc w:val="right"/>
            </w:pPr>
            <w:r>
              <w:t xml:space="preserve">PlusBas</w:t>
            </w:r>
          </w:p>
        </w:tc>
        <w:tc>
          <w:tcPr/>
          <w:p>
            <w:pPr>
              <w:pStyle w:val="Compact"/>
              <w:jc w:val="right"/>
            </w:pPr>
            <w:r>
              <w:t xml:space="preserve">variation</w:t>
            </w:r>
          </w:p>
        </w:tc>
      </w:tr>
      <w:tr>
        <w:tc>
          <w:tcPr/>
          <w:p>
            <w:pPr>
              <w:pStyle w:val="Compact"/>
              <w:jc w:val="left"/>
            </w:pPr>
            <w:r>
              <w:t xml:space="preserve">2022-01-24</w:t>
            </w:r>
          </w:p>
        </w:tc>
        <w:tc>
          <w:tcPr/>
          <w:p>
            <w:pPr>
              <w:pStyle w:val="Compact"/>
              <w:jc w:val="right"/>
            </w:pPr>
            <w:r>
              <w:t xml:space="preserve">13753.50</w:t>
            </w:r>
          </w:p>
        </w:tc>
        <w:tc>
          <w:tcPr/>
          <w:p>
            <w:pPr>
              <w:pStyle w:val="Compact"/>
              <w:jc w:val="right"/>
            </w:pPr>
            <w:r>
              <w:t xml:space="preserve">13783.81</w:t>
            </w:r>
          </w:p>
        </w:tc>
        <w:tc>
          <w:tcPr/>
          <w:p>
            <w:pPr>
              <w:pStyle w:val="Compact"/>
              <w:jc w:val="right"/>
            </w:pPr>
            <w:r>
              <w:t xml:space="preserve">13815.59</w:t>
            </w:r>
          </w:p>
        </w:tc>
        <w:tc>
          <w:tcPr/>
          <w:p>
            <w:pPr>
              <w:pStyle w:val="Compact"/>
              <w:jc w:val="right"/>
            </w:pPr>
            <w:r>
              <w:t xml:space="preserve">13753.05</w:t>
            </w:r>
          </w:p>
        </w:tc>
        <w:tc>
          <w:tcPr/>
          <w:p>
            <w:pPr>
              <w:pStyle w:val="Compact"/>
              <w:jc w:val="right"/>
            </w:pPr>
            <w:r>
              <w:t xml:space="preserve">-0.0022</w:t>
            </w:r>
          </w:p>
        </w:tc>
      </w:tr>
      <w:tr>
        <w:tc>
          <w:tcPr/>
          <w:p>
            <w:pPr>
              <w:pStyle w:val="Compact"/>
              <w:jc w:val="left"/>
            </w:pPr>
            <w:r>
              <w:t xml:space="preserve">2022-01-21</w:t>
            </w:r>
          </w:p>
        </w:tc>
        <w:tc>
          <w:tcPr/>
          <w:p>
            <w:pPr>
              <w:pStyle w:val="Compact"/>
              <w:jc w:val="right"/>
            </w:pPr>
            <w:r>
              <w:t xml:space="preserve">13783.81</w:t>
            </w:r>
          </w:p>
        </w:tc>
        <w:tc>
          <w:tcPr/>
          <w:p>
            <w:pPr>
              <w:pStyle w:val="Compact"/>
              <w:jc w:val="right"/>
            </w:pPr>
            <w:r>
              <w:t xml:space="preserve">13777.59</w:t>
            </w:r>
          </w:p>
        </w:tc>
        <w:tc>
          <w:tcPr/>
          <w:p>
            <w:pPr>
              <w:pStyle w:val="Compact"/>
              <w:jc w:val="right"/>
            </w:pPr>
            <w:r>
              <w:t xml:space="preserve">13812.43</w:t>
            </w:r>
          </w:p>
        </w:tc>
        <w:tc>
          <w:tcPr/>
          <w:p>
            <w:pPr>
              <w:pStyle w:val="Compact"/>
              <w:jc w:val="right"/>
            </w:pPr>
            <w:r>
              <w:t xml:space="preserve">13769.84</w:t>
            </w:r>
          </w:p>
        </w:tc>
        <w:tc>
          <w:tcPr/>
          <w:p>
            <w:pPr>
              <w:pStyle w:val="Compact"/>
              <w:jc w:val="right"/>
            </w:pPr>
            <w:r>
              <w:t xml:space="preserve">0.0005</w:t>
            </w:r>
          </w:p>
        </w:tc>
      </w:tr>
      <w:tr>
        <w:tc>
          <w:tcPr/>
          <w:p>
            <w:pPr>
              <w:pStyle w:val="Compact"/>
              <w:jc w:val="left"/>
            </w:pPr>
            <w:r>
              <w:t xml:space="preserve">2022-01-20</w:t>
            </w:r>
          </w:p>
        </w:tc>
        <w:tc>
          <w:tcPr/>
          <w:p>
            <w:pPr>
              <w:pStyle w:val="Compact"/>
              <w:jc w:val="right"/>
            </w:pPr>
            <w:r>
              <w:t xml:space="preserve">13777.59</w:t>
            </w:r>
          </w:p>
        </w:tc>
        <w:tc>
          <w:tcPr/>
          <w:p>
            <w:pPr>
              <w:pStyle w:val="Compact"/>
              <w:jc w:val="right"/>
            </w:pPr>
            <w:r>
              <w:t xml:space="preserve">13737.71</w:t>
            </w:r>
          </w:p>
        </w:tc>
        <w:tc>
          <w:tcPr/>
          <w:p>
            <w:pPr>
              <w:pStyle w:val="Compact"/>
              <w:jc w:val="right"/>
            </w:pPr>
            <w:r>
              <w:t xml:space="preserve">13814.82</w:t>
            </w:r>
          </w:p>
        </w:tc>
        <w:tc>
          <w:tcPr/>
          <w:p>
            <w:pPr>
              <w:pStyle w:val="Compact"/>
              <w:jc w:val="right"/>
            </w:pPr>
            <w:r>
              <w:t xml:space="preserve">13734.73</w:t>
            </w:r>
          </w:p>
        </w:tc>
        <w:tc>
          <w:tcPr/>
          <w:p>
            <w:pPr>
              <w:pStyle w:val="Compact"/>
              <w:jc w:val="right"/>
            </w:pPr>
            <w:r>
              <w:t xml:space="preserve">0.0029</w:t>
            </w:r>
          </w:p>
        </w:tc>
      </w:tr>
      <w:tr>
        <w:tc>
          <w:tcPr/>
          <w:p>
            <w:pPr>
              <w:pStyle w:val="Compact"/>
              <w:jc w:val="left"/>
            </w:pPr>
            <w:r>
              <w:t xml:space="preserve">2022-01-19</w:t>
            </w:r>
          </w:p>
        </w:tc>
        <w:tc>
          <w:tcPr/>
          <w:p>
            <w:pPr>
              <w:pStyle w:val="Compact"/>
              <w:jc w:val="right"/>
            </w:pPr>
            <w:r>
              <w:t xml:space="preserve">13737.71</w:t>
            </w:r>
          </w:p>
        </w:tc>
        <w:tc>
          <w:tcPr/>
          <w:p>
            <w:pPr>
              <w:pStyle w:val="Compact"/>
              <w:jc w:val="right"/>
            </w:pPr>
            <w:r>
              <w:t xml:space="preserve">13768.05</w:t>
            </w:r>
          </w:p>
        </w:tc>
        <w:tc>
          <w:tcPr/>
          <w:p>
            <w:pPr>
              <w:pStyle w:val="Compact"/>
              <w:jc w:val="right"/>
            </w:pPr>
            <w:r>
              <w:t xml:space="preserve">13817.94</w:t>
            </w:r>
          </w:p>
        </w:tc>
        <w:tc>
          <w:tcPr/>
          <w:p>
            <w:pPr>
              <w:pStyle w:val="Compact"/>
              <w:jc w:val="right"/>
            </w:pPr>
            <w:r>
              <w:t xml:space="preserve">13734.76</w:t>
            </w:r>
          </w:p>
        </w:tc>
        <w:tc>
          <w:tcPr/>
          <w:p>
            <w:pPr>
              <w:pStyle w:val="Compact"/>
              <w:jc w:val="right"/>
            </w:pPr>
            <w:r>
              <w:t xml:space="preserve">-0.0022</w:t>
            </w:r>
          </w:p>
        </w:tc>
      </w:tr>
      <w:tr>
        <w:tc>
          <w:tcPr/>
          <w:p>
            <w:pPr>
              <w:pStyle w:val="Compact"/>
              <w:jc w:val="left"/>
            </w:pPr>
            <w:r>
              <w:t xml:space="preserve">2022-01-18</w:t>
            </w:r>
          </w:p>
        </w:tc>
        <w:tc>
          <w:tcPr/>
          <w:p>
            <w:pPr>
              <w:pStyle w:val="Compact"/>
              <w:jc w:val="right"/>
            </w:pPr>
            <w:r>
              <w:t xml:space="preserve">13768.05</w:t>
            </w:r>
          </w:p>
        </w:tc>
        <w:tc>
          <w:tcPr/>
          <w:p>
            <w:pPr>
              <w:pStyle w:val="Compact"/>
              <w:jc w:val="right"/>
            </w:pPr>
            <w:r>
              <w:t xml:space="preserve">13770.78</w:t>
            </w:r>
          </w:p>
        </w:tc>
        <w:tc>
          <w:tcPr/>
          <w:p>
            <w:pPr>
              <w:pStyle w:val="Compact"/>
              <w:jc w:val="right"/>
            </w:pPr>
            <w:r>
              <w:t xml:space="preserve">13815.37</w:t>
            </w:r>
          </w:p>
        </w:tc>
        <w:tc>
          <w:tcPr/>
          <w:p>
            <w:pPr>
              <w:pStyle w:val="Compact"/>
              <w:jc w:val="right"/>
            </w:pPr>
            <w:r>
              <w:t xml:space="preserve">13767.98</w:t>
            </w:r>
          </w:p>
        </w:tc>
        <w:tc>
          <w:tcPr/>
          <w:p>
            <w:pPr>
              <w:pStyle w:val="Compact"/>
              <w:jc w:val="right"/>
            </w:pPr>
            <w:r>
              <w:t xml:space="preserve">-0.0002</w:t>
            </w:r>
          </w:p>
        </w:tc>
      </w:tr>
      <w:tr>
        <w:tc>
          <w:tcPr/>
          <w:p>
            <w:pPr>
              <w:pStyle w:val="Compact"/>
              <w:jc w:val="left"/>
            </w:pPr>
            <w:r>
              <w:t xml:space="preserve">2022-01-17</w:t>
            </w:r>
          </w:p>
        </w:tc>
        <w:tc>
          <w:tcPr/>
          <w:p>
            <w:pPr>
              <w:pStyle w:val="Compact"/>
              <w:jc w:val="right"/>
            </w:pPr>
            <w:r>
              <w:t xml:space="preserve">13770.78</w:t>
            </w:r>
          </w:p>
        </w:tc>
        <w:tc>
          <w:tcPr/>
          <w:p>
            <w:pPr>
              <w:pStyle w:val="Compact"/>
              <w:jc w:val="right"/>
            </w:pPr>
            <w:r>
              <w:t xml:space="preserve">13784.31</w:t>
            </w:r>
          </w:p>
        </w:tc>
        <w:tc>
          <w:tcPr/>
          <w:p>
            <w:pPr>
              <w:pStyle w:val="Compact"/>
              <w:jc w:val="right"/>
            </w:pPr>
            <w:r>
              <w:t xml:space="preserve">13784.31</w:t>
            </w:r>
          </w:p>
        </w:tc>
        <w:tc>
          <w:tcPr/>
          <w:p>
            <w:pPr>
              <w:pStyle w:val="Compact"/>
              <w:jc w:val="right"/>
            </w:pPr>
            <w:r>
              <w:t xml:space="preserve">13748.24</w:t>
            </w:r>
          </w:p>
        </w:tc>
        <w:tc>
          <w:tcPr/>
          <w:p>
            <w:pPr>
              <w:pStyle w:val="Compact"/>
              <w:jc w:val="right"/>
            </w:pPr>
            <w:r>
              <w:t xml:space="preserve">-0.0010</w:t>
            </w:r>
          </w:p>
        </w:tc>
      </w:tr>
      <w:tr>
        <w:tc>
          <w:tcPr/>
          <w:p>
            <w:pPr>
              <w:pStyle w:val="Compact"/>
              <w:jc w:val="left"/>
            </w:pPr>
            <w:r>
              <w:t xml:space="preserve">2022-01-14</w:t>
            </w:r>
          </w:p>
        </w:tc>
        <w:tc>
          <w:tcPr/>
          <w:p>
            <w:pPr>
              <w:pStyle w:val="Compact"/>
              <w:jc w:val="right"/>
            </w:pPr>
            <w:r>
              <w:t xml:space="preserve">13784.31</w:t>
            </w:r>
          </w:p>
        </w:tc>
        <w:tc>
          <w:tcPr/>
          <w:p>
            <w:pPr>
              <w:pStyle w:val="Compact"/>
              <w:jc w:val="right"/>
            </w:pPr>
            <w:r>
              <w:t xml:space="preserve">13588.24</w:t>
            </w:r>
          </w:p>
        </w:tc>
        <w:tc>
          <w:tcPr/>
          <w:p>
            <w:pPr>
              <w:pStyle w:val="Compact"/>
              <w:jc w:val="right"/>
            </w:pPr>
            <w:r>
              <w:t xml:space="preserve">13784.72</w:t>
            </w:r>
          </w:p>
        </w:tc>
        <w:tc>
          <w:tcPr/>
          <w:p>
            <w:pPr>
              <w:pStyle w:val="Compact"/>
              <w:jc w:val="right"/>
            </w:pPr>
            <w:r>
              <w:t xml:space="preserve">13551.04</w:t>
            </w:r>
          </w:p>
        </w:tc>
        <w:tc>
          <w:tcPr/>
          <w:p>
            <w:pPr>
              <w:pStyle w:val="Compact"/>
              <w:jc w:val="right"/>
            </w:pPr>
            <w:r>
              <w:t xml:space="preserve">0.0144</w:t>
            </w:r>
          </w:p>
        </w:tc>
      </w:tr>
      <w:tr>
        <w:tc>
          <w:tcPr/>
          <w:p>
            <w:pPr>
              <w:pStyle w:val="Compact"/>
              <w:jc w:val="left"/>
            </w:pPr>
            <w:r>
              <w:t xml:space="preserve">2022-01-13</w:t>
            </w:r>
          </w:p>
        </w:tc>
        <w:tc>
          <w:tcPr/>
          <w:p>
            <w:pPr>
              <w:pStyle w:val="Compact"/>
              <w:jc w:val="right"/>
            </w:pPr>
            <w:r>
              <w:t xml:space="preserve">13588.24</w:t>
            </w:r>
          </w:p>
        </w:tc>
        <w:tc>
          <w:tcPr/>
          <w:p>
            <w:pPr>
              <w:pStyle w:val="Compact"/>
              <w:jc w:val="right"/>
            </w:pPr>
            <w:r>
              <w:t xml:space="preserve">13531.26</w:t>
            </w:r>
          </w:p>
        </w:tc>
        <w:tc>
          <w:tcPr/>
          <w:p>
            <w:pPr>
              <w:pStyle w:val="Compact"/>
              <w:jc w:val="right"/>
            </w:pPr>
            <w:r>
              <w:t xml:space="preserve">13588.24</w:t>
            </w:r>
          </w:p>
        </w:tc>
        <w:tc>
          <w:tcPr/>
          <w:p>
            <w:pPr>
              <w:pStyle w:val="Compact"/>
              <w:jc w:val="right"/>
            </w:pPr>
            <w:r>
              <w:t xml:space="preserve">13506.23</w:t>
            </w:r>
          </w:p>
        </w:tc>
        <w:tc>
          <w:tcPr/>
          <w:p>
            <w:pPr>
              <w:pStyle w:val="Compact"/>
              <w:jc w:val="right"/>
            </w:pPr>
            <w:r>
              <w:t xml:space="preserve">0.0042</w:t>
            </w:r>
          </w:p>
        </w:tc>
      </w:tr>
      <w:tr>
        <w:tc>
          <w:tcPr/>
          <w:p>
            <w:pPr>
              <w:pStyle w:val="Compact"/>
              <w:jc w:val="left"/>
            </w:pPr>
            <w:r>
              <w:t xml:space="preserve">2022-01-12</w:t>
            </w:r>
          </w:p>
        </w:tc>
        <w:tc>
          <w:tcPr/>
          <w:p>
            <w:pPr>
              <w:pStyle w:val="Compact"/>
              <w:jc w:val="right"/>
            </w:pPr>
            <w:r>
              <w:t xml:space="preserve">13531.26</w:t>
            </w:r>
          </w:p>
        </w:tc>
        <w:tc>
          <w:tcPr/>
          <w:p>
            <w:pPr>
              <w:pStyle w:val="Compact"/>
              <w:jc w:val="right"/>
            </w:pPr>
            <w:r>
              <w:t xml:space="preserve">13486.31</w:t>
            </w:r>
          </w:p>
        </w:tc>
        <w:tc>
          <w:tcPr/>
          <w:p>
            <w:pPr>
              <w:pStyle w:val="Compact"/>
              <w:jc w:val="right"/>
            </w:pPr>
            <w:r>
              <w:t xml:space="preserve">13532.13</w:t>
            </w:r>
          </w:p>
        </w:tc>
        <w:tc>
          <w:tcPr/>
          <w:p>
            <w:pPr>
              <w:pStyle w:val="Compact"/>
              <w:jc w:val="right"/>
            </w:pPr>
            <w:r>
              <w:t xml:space="preserve">13481.22</w:t>
            </w:r>
          </w:p>
        </w:tc>
        <w:tc>
          <w:tcPr/>
          <w:p>
            <w:pPr>
              <w:pStyle w:val="Compact"/>
              <w:jc w:val="right"/>
            </w:pPr>
            <w:r>
              <w:t xml:space="preserve">0.0033</w:t>
            </w:r>
          </w:p>
        </w:tc>
      </w:tr>
      <w:tr>
        <w:tc>
          <w:tcPr/>
          <w:p>
            <w:pPr>
              <w:pStyle w:val="Compact"/>
              <w:jc w:val="left"/>
            </w:pPr>
            <w:r>
              <w:t xml:space="preserve">2022-01-10</w:t>
            </w:r>
          </w:p>
        </w:tc>
        <w:tc>
          <w:tcPr/>
          <w:p>
            <w:pPr>
              <w:pStyle w:val="Compact"/>
              <w:jc w:val="right"/>
            </w:pPr>
            <w:r>
              <w:t xml:space="preserve">13486.31</w:t>
            </w:r>
          </w:p>
        </w:tc>
        <w:tc>
          <w:tcPr/>
          <w:p>
            <w:pPr>
              <w:pStyle w:val="Compact"/>
              <w:jc w:val="right"/>
            </w:pPr>
            <w:r>
              <w:t xml:space="preserve">13477.25</w:t>
            </w:r>
          </w:p>
        </w:tc>
        <w:tc>
          <w:tcPr/>
          <w:p>
            <w:pPr>
              <w:pStyle w:val="Compact"/>
              <w:jc w:val="right"/>
            </w:pPr>
            <w:r>
              <w:t xml:space="preserve">13503.15</w:t>
            </w:r>
          </w:p>
        </w:tc>
        <w:tc>
          <w:tcPr/>
          <w:p>
            <w:pPr>
              <w:pStyle w:val="Compact"/>
              <w:jc w:val="right"/>
            </w:pPr>
            <w:r>
              <w:t xml:space="preserve">13441.78</w:t>
            </w:r>
          </w:p>
        </w:tc>
        <w:tc>
          <w:tcPr/>
          <w:p>
            <w:pPr>
              <w:pStyle w:val="Compact"/>
              <w:jc w:val="right"/>
            </w:pPr>
            <w:r>
              <w:t xml:space="preserve">0.0007</w:t>
            </w:r>
          </w:p>
        </w:tc>
      </w:tr>
      <w:tr>
        <w:tc>
          <w:tcPr/>
          <w:p>
            <w:pPr>
              <w:pStyle w:val="Compact"/>
              <w:jc w:val="left"/>
            </w:pPr>
            <w:r>
              <w:t xml:space="preserve">2022-01-07</w:t>
            </w:r>
          </w:p>
        </w:tc>
        <w:tc>
          <w:tcPr/>
          <w:p>
            <w:pPr>
              <w:pStyle w:val="Compact"/>
              <w:jc w:val="right"/>
            </w:pPr>
            <w:r>
              <w:t xml:space="preserve">13477.25</w:t>
            </w:r>
          </w:p>
        </w:tc>
        <w:tc>
          <w:tcPr/>
          <w:p>
            <w:pPr>
              <w:pStyle w:val="Compact"/>
              <w:jc w:val="right"/>
            </w:pPr>
            <w:r>
              <w:t xml:space="preserve">13368.77</w:t>
            </w:r>
          </w:p>
        </w:tc>
        <w:tc>
          <w:tcPr/>
          <w:p>
            <w:pPr>
              <w:pStyle w:val="Compact"/>
              <w:jc w:val="right"/>
            </w:pPr>
            <w:r>
              <w:t xml:space="preserve">13477.25</w:t>
            </w:r>
          </w:p>
        </w:tc>
        <w:tc>
          <w:tcPr/>
          <w:p>
            <w:pPr>
              <w:pStyle w:val="Compact"/>
              <w:jc w:val="right"/>
            </w:pPr>
            <w:r>
              <w:t xml:space="preserve">13335.97</w:t>
            </w:r>
          </w:p>
        </w:tc>
        <w:tc>
          <w:tcPr/>
          <w:p>
            <w:pPr>
              <w:pStyle w:val="Compact"/>
              <w:jc w:val="right"/>
            </w:pPr>
            <w:r>
              <w:t xml:space="preserve">0.0081</w:t>
            </w:r>
          </w:p>
        </w:tc>
      </w:tr>
      <w:tr>
        <w:tc>
          <w:tcPr/>
          <w:p>
            <w:pPr>
              <w:pStyle w:val="Compact"/>
              <w:jc w:val="left"/>
            </w:pPr>
            <w:r>
              <w:t xml:space="preserve">2022-01-06</w:t>
            </w:r>
          </w:p>
        </w:tc>
        <w:tc>
          <w:tcPr/>
          <w:p>
            <w:pPr>
              <w:pStyle w:val="Compact"/>
              <w:jc w:val="right"/>
            </w:pPr>
            <w:r>
              <w:t xml:space="preserve">13368.77</w:t>
            </w:r>
          </w:p>
        </w:tc>
        <w:tc>
          <w:tcPr/>
          <w:p>
            <w:pPr>
              <w:pStyle w:val="Compact"/>
              <w:jc w:val="right"/>
            </w:pPr>
            <w:r>
              <w:t xml:space="preserve">13290.62</w:t>
            </w:r>
          </w:p>
        </w:tc>
        <w:tc>
          <w:tcPr/>
          <w:p>
            <w:pPr>
              <w:pStyle w:val="Compact"/>
              <w:jc w:val="right"/>
            </w:pPr>
            <w:r>
              <w:t xml:space="preserve">13369.02</w:t>
            </w:r>
          </w:p>
        </w:tc>
        <w:tc>
          <w:tcPr/>
          <w:p>
            <w:pPr>
              <w:pStyle w:val="Compact"/>
              <w:jc w:val="right"/>
            </w:pPr>
            <w:r>
              <w:t xml:space="preserve">13290.62</w:t>
            </w:r>
          </w:p>
        </w:tc>
        <w:tc>
          <w:tcPr/>
          <w:p>
            <w:pPr>
              <w:pStyle w:val="Compact"/>
              <w:jc w:val="right"/>
            </w:pPr>
            <w:r>
              <w:t xml:space="preserve">0.0059</w:t>
            </w:r>
          </w:p>
        </w:tc>
      </w:tr>
      <w:tr>
        <w:tc>
          <w:tcPr/>
          <w:p>
            <w:pPr>
              <w:pStyle w:val="Compact"/>
              <w:jc w:val="left"/>
            </w:pPr>
            <w:r>
              <w:t xml:space="preserve">2022-01-05</w:t>
            </w:r>
          </w:p>
        </w:tc>
        <w:tc>
          <w:tcPr/>
          <w:p>
            <w:pPr>
              <w:pStyle w:val="Compact"/>
              <w:jc w:val="right"/>
            </w:pPr>
            <w:r>
              <w:t xml:space="preserve">13290.62</w:t>
            </w:r>
          </w:p>
        </w:tc>
        <w:tc>
          <w:tcPr/>
          <w:p>
            <w:pPr>
              <w:pStyle w:val="Compact"/>
              <w:jc w:val="right"/>
            </w:pPr>
            <w:r>
              <w:t xml:space="preserve">13278.48</w:t>
            </w:r>
          </w:p>
        </w:tc>
        <w:tc>
          <w:tcPr/>
          <w:p>
            <w:pPr>
              <w:pStyle w:val="Compact"/>
              <w:jc w:val="right"/>
            </w:pPr>
            <w:r>
              <w:t xml:space="preserve">13306.00</w:t>
            </w:r>
          </w:p>
        </w:tc>
        <w:tc>
          <w:tcPr/>
          <w:p>
            <w:pPr>
              <w:pStyle w:val="Compact"/>
              <w:jc w:val="right"/>
            </w:pPr>
            <w:r>
              <w:t xml:space="preserve">13269.36</w:t>
            </w:r>
          </w:p>
        </w:tc>
        <w:tc>
          <w:tcPr/>
          <w:p>
            <w:pPr>
              <w:pStyle w:val="Compact"/>
              <w:jc w:val="right"/>
            </w:pPr>
            <w:r>
              <w:t xml:space="preserve">0.0009</w:t>
            </w:r>
          </w:p>
        </w:tc>
      </w:tr>
      <w:tr>
        <w:tc>
          <w:tcPr/>
          <w:p>
            <w:pPr>
              <w:pStyle w:val="Compact"/>
              <w:jc w:val="left"/>
            </w:pPr>
            <w:r>
              <w:t xml:space="preserve">2022-01-04</w:t>
            </w:r>
          </w:p>
        </w:tc>
        <w:tc>
          <w:tcPr/>
          <w:p>
            <w:pPr>
              <w:pStyle w:val="Compact"/>
              <w:jc w:val="right"/>
            </w:pPr>
            <w:r>
              <w:t xml:space="preserve">13278.48</w:t>
            </w:r>
          </w:p>
        </w:tc>
        <w:tc>
          <w:tcPr/>
          <w:p>
            <w:pPr>
              <w:pStyle w:val="Compact"/>
              <w:jc w:val="right"/>
            </w:pPr>
            <w:r>
              <w:t xml:space="preserve">13296.29</w:t>
            </w:r>
          </w:p>
        </w:tc>
        <w:tc>
          <w:tcPr/>
          <w:p>
            <w:pPr>
              <w:pStyle w:val="Compact"/>
              <w:jc w:val="right"/>
            </w:pPr>
            <w:r>
              <w:t xml:space="preserve">13328.50</w:t>
            </w:r>
          </w:p>
        </w:tc>
        <w:tc>
          <w:tcPr/>
          <w:p>
            <w:pPr>
              <w:pStyle w:val="Compact"/>
              <w:jc w:val="right"/>
            </w:pPr>
            <w:r>
              <w:t xml:space="preserve">13278.48</w:t>
            </w:r>
          </w:p>
        </w:tc>
        <w:tc>
          <w:tcPr/>
          <w:p>
            <w:pPr>
              <w:pStyle w:val="Compact"/>
              <w:jc w:val="right"/>
            </w:pPr>
            <w:r>
              <w:t xml:space="preserve">-0.0013</w:t>
            </w:r>
          </w:p>
        </w:tc>
      </w:tr>
      <w:tr>
        <w:tc>
          <w:tcPr/>
          <w:p>
            <w:pPr>
              <w:pStyle w:val="Compact"/>
              <w:jc w:val="left"/>
            </w:pPr>
            <w:r>
              <w:t xml:space="preserve">2022-01-03</w:t>
            </w:r>
          </w:p>
        </w:tc>
        <w:tc>
          <w:tcPr/>
          <w:p>
            <w:pPr>
              <w:pStyle w:val="Compact"/>
              <w:jc w:val="right"/>
            </w:pPr>
            <w:r>
              <w:t xml:space="preserve">13296.29</w:t>
            </w:r>
          </w:p>
        </w:tc>
        <w:tc>
          <w:tcPr/>
          <w:p>
            <w:pPr>
              <w:pStyle w:val="Compact"/>
              <w:jc w:val="right"/>
            </w:pPr>
            <w:r>
              <w:t xml:space="preserve">13358.32</w:t>
            </w:r>
          </w:p>
        </w:tc>
        <w:tc>
          <w:tcPr/>
          <w:p>
            <w:pPr>
              <w:pStyle w:val="Compact"/>
              <w:jc w:val="right"/>
            </w:pPr>
            <w:r>
              <w:t xml:space="preserve">13363.06</w:t>
            </w:r>
          </w:p>
        </w:tc>
        <w:tc>
          <w:tcPr/>
          <w:p>
            <w:pPr>
              <w:pStyle w:val="Compact"/>
              <w:jc w:val="right"/>
            </w:pPr>
            <w:r>
              <w:t xml:space="preserve">13277.80</w:t>
            </w:r>
          </w:p>
        </w:tc>
        <w:tc>
          <w:tcPr/>
          <w:p>
            <w:pPr>
              <w:pStyle w:val="Compact"/>
              <w:jc w:val="right"/>
            </w:pPr>
            <w:r>
              <w:t xml:space="preserve">-0.0046</w:t>
            </w:r>
          </w:p>
        </w:tc>
      </w:tr>
    </w:tbl>
    <w:p>
      <w:pPr>
        <w:pStyle w:val="BodyText"/>
      </w:pPr>
      <w:r>
        <w:t xml:space="preserve">La figure suivante donne un aperçu de Dernier cours de cet indice entre les années 2002 et 2022.</w:t>
      </w:r>
    </w:p>
    <w:tbl>
      <w:tblPr>
        <w:tblStyle w:val="Table"/>
        <w:tblW w:type="pct" w:w="5000"/>
        <w:tblLook w:firstRow="0" w:lastRow="0" w:firstColumn="0" w:lastColumn="0" w:noHBand="0" w:noVBand="0" w:val="0000"/>
      </w:tblPr>
      <w:tblGrid>
        <w:gridCol w:w="7920"/>
      </w:tblGrid>
      <w:tr>
        <w:tc>
          <w:tcPr/>
          <w:bookmarkStart w:id="63" w:name="fig-piliers"/>
          <w:p>
            <w:pPr>
              <w:pStyle w:val="Figure"/>
              <w:jc w:val="center"/>
            </w:pPr>
            <w:r>
              <w:drawing>
                <wp:inline>
                  <wp:extent cx="5334000" cy="3627782"/>
                  <wp:effectExtent b="0" l="0" r="0" t="0"/>
                  <wp:docPr descr="" title="" id="61" name="Picture"/>
                  <a:graphic>
                    <a:graphicData uri="http://schemas.openxmlformats.org/drawingml/2006/picture">
                      <pic:pic>
                        <pic:nvPicPr>
                          <pic:cNvPr descr="Rapport-PFE_files/figure-html/Derniere.png" id="62" name="Picture"/>
                          <pic:cNvPicPr>
                            <a:picLocks noChangeArrowheads="1" noChangeAspect="1"/>
                          </pic:cNvPicPr>
                        </pic:nvPicPr>
                        <pic:blipFill>
                          <a:blip r:embed="rId60"/>
                          <a:stretch>
                            <a:fillRect/>
                          </a:stretch>
                        </pic:blipFill>
                        <pic:spPr bwMode="auto">
                          <a:xfrm>
                            <a:off x="0" y="0"/>
                            <a:ext cx="5334000" cy="3627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 cours Historiques de Clôture pour l’indice MASI</w:t>
            </w:r>
          </w:p>
          <w:bookmarkEnd w:id="63"/>
        </w:tc>
      </w:tr>
    </w:tbl>
    <w:p>
      <w:pPr>
        <w:pStyle w:val="BodyText"/>
      </w:pPr>
      <w:r>
        <w:t xml:space="preserve">Les réseaux de neurones récurrents sont réputés être plus performants comparer aux autres méthodes. Ainsi, il est tout naturelle de s’attendre à un excellent score lord d’une application du modèle LSTM, nous allons voir plus de détails sur la méthode de ce modèle sur le langage python la section Application</w:t>
      </w:r>
      <w:r>
        <w:rPr>
          <w:rStyle w:val="FootnoteReference"/>
        </w:rPr>
        <w:footnoteReference w:id="64"/>
      </w:r>
      <w:r>
        <w:t xml:space="preserve">.</w:t>
      </w:r>
    </w:p>
    <w:p>
      <w:pPr>
        <w:pStyle w:val="BodyText"/>
      </w:pPr>
      <w:r>
        <w:t xml:space="preserve">Le graphique suivant est une représentation conjointe du dernier cours observe (en bleu) et le cours prédit (en orange) sur la même période.</w:t>
      </w:r>
    </w:p>
    <w:tbl>
      <w:tblPr>
        <w:tblStyle w:val="Table"/>
        <w:tblW w:type="pct" w:w="5000"/>
        <w:tblLook w:firstRow="0" w:lastRow="0" w:firstColumn="0" w:lastColumn="0" w:noHBand="0" w:noVBand="0" w:val="0000"/>
      </w:tblPr>
      <w:tblGrid>
        <w:gridCol w:w="7920"/>
      </w:tblGrid>
      <w:tr>
        <w:tc>
          <w:tcPr/>
          <w:bookmarkStart w:id="69" w:name="fig-piliers"/>
          <w:p>
            <w:pPr>
              <w:pStyle w:val="Figure"/>
              <w:jc w:val="center"/>
            </w:pPr>
            <w:r>
              <w:drawing>
                <wp:inline>
                  <wp:extent cx="5334000" cy="3765683"/>
                  <wp:effectExtent b="0" l="0" r="0" t="0"/>
                  <wp:docPr descr="" title="" id="67" name="Picture"/>
                  <a:graphic>
                    <a:graphicData uri="http://schemas.openxmlformats.org/drawingml/2006/picture">
                      <pic:pic>
                        <pic:nvPicPr>
                          <pic:cNvPr descr="Rapport-PFE_files/figure-html/Prediction.png" id="68" name="Picture"/>
                          <pic:cNvPicPr>
                            <a:picLocks noChangeArrowheads="1" noChangeAspect="1"/>
                          </pic:cNvPicPr>
                        </pic:nvPicPr>
                        <pic:blipFill>
                          <a:blip r:embed="rId66"/>
                          <a:stretch>
                            <a:fillRect/>
                          </a:stretch>
                        </pic:blipFill>
                        <pic:spPr bwMode="auto">
                          <a:xfrm>
                            <a:off x="0" y="0"/>
                            <a:ext cx="5334000" cy="3765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Courbe de cours prédit et de cours observé</w:t>
            </w:r>
          </w:p>
          <w:bookmarkEnd w:id="69"/>
        </w:tc>
      </w:tr>
    </w:tbl>
    <w:p>
      <w:pPr>
        <w:pStyle w:val="BodyText"/>
      </w:pPr>
      <w:r>
        <w:t xml:space="preserve">Une remarque flagrante est que les deux courbes sont presque confondus, ce constat s’explique par la faiblesse de la valeur de RMSE qui veut 29,44.</w:t>
      </w:r>
    </w:p>
    <w:p>
      <w:pPr>
        <w:pStyle w:val="BodyText"/>
      </w:pPr>
      <w:r>
        <w:t xml:space="preserve">La racine de l’erreur quadratique moyenne (en anglais, root-mean-square error ou RMSE) est une mesure de l’écart type des résidus, ça veut dire il mesure la différence entre les valeurs prédites par le modèle et les valeurs observées.</w:t>
      </w:r>
      <w:r>
        <w:t xml:space="preserve"> </w:t>
      </w:r>
      <w:r>
        <w:t xml:space="preserve">Tous ces raisons, prouve l’efficacité du modèle LSTM comparé à celui de Black&amp;sholes.</w:t>
      </w:r>
    </w:p>
    <w:bookmarkEnd w:id="70"/>
    <w:bookmarkEnd w:id="71"/>
    <w:bookmarkStart w:id="81" w:name="X07868ea8b9ac752e9889fc2a9eede4b2fc4d338"/>
    <w:p>
      <w:pPr>
        <w:pStyle w:val="Heading2"/>
      </w:pPr>
      <w:r>
        <w:t xml:space="preserve">7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72">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73"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13/01/2023</w:t>
            </w:r>
          </w:p>
        </w:tc>
        <w:tc>
          <w:tcPr/>
          <w:p>
            <w:pPr>
              <w:pStyle w:val="Compact"/>
              <w:jc w:val="left"/>
            </w:pPr>
            <w:r>
              <w:t xml:space="preserve">322,40</w:t>
            </w:r>
          </w:p>
        </w:tc>
        <w:tc>
          <w:tcPr/>
          <w:p>
            <w:pPr>
              <w:pStyle w:val="Compact"/>
              <w:jc w:val="right"/>
            </w:pPr>
            <w:r>
              <w:t xml:space="preserve">0.02948</w:t>
            </w:r>
          </w:p>
        </w:tc>
        <w:tc>
          <w:tcPr/>
          <w:p>
            <w:pPr>
              <w:pStyle w:val="Compact"/>
              <w:jc w:val="left"/>
            </w:pPr>
            <w:r>
              <w:t xml:space="preserve">2,948 %</w:t>
            </w:r>
          </w:p>
        </w:tc>
        <w:tc>
          <w:tcPr/>
          <w:p>
            <w:pPr>
              <w:pStyle w:val="Compact"/>
              <w:jc w:val="left"/>
            </w:pPr>
            <w:r>
              <w:t xml:space="preserve">30/12/2022</w:t>
            </w:r>
          </w:p>
        </w:tc>
        <w:tc>
          <w:tcPr/>
          <w:p>
            <w:pPr>
              <w:pStyle w:val="Compact"/>
              <w:jc w:val="right"/>
            </w:pPr>
            <w:r>
              <w:t xml:space="preserve">0.039</w:t>
            </w:r>
          </w:p>
        </w:tc>
      </w:tr>
      <w:tr>
        <w:tc>
          <w:tcPr/>
          <w:p>
            <w:pPr>
              <w:pStyle w:val="Compact"/>
              <w:jc w:val="left"/>
            </w:pPr>
            <w:r>
              <w:t xml:space="preserve">23/01/2023</w:t>
            </w:r>
          </w:p>
        </w:tc>
        <w:tc>
          <w:tcPr/>
          <w:p>
            <w:pPr>
              <w:pStyle w:val="Compact"/>
              <w:jc w:val="left"/>
            </w:pPr>
            <w:r>
              <w:t xml:space="preserve">120,47</w:t>
            </w:r>
          </w:p>
        </w:tc>
        <w:tc>
          <w:tcPr/>
          <w:p>
            <w:pPr>
              <w:pStyle w:val="Compact"/>
              <w:jc w:val="right"/>
            </w:pPr>
            <w:r>
              <w:t xml:space="preserve">0.02930</w:t>
            </w:r>
          </w:p>
        </w:tc>
        <w:tc>
          <w:tcPr/>
          <w:p>
            <w:pPr>
              <w:pStyle w:val="Compact"/>
              <w:jc w:val="left"/>
            </w:pPr>
            <w:r>
              <w:t xml:space="preserve">2,930 %</w:t>
            </w:r>
          </w:p>
        </w:tc>
        <w:tc>
          <w:tcPr/>
          <w:p>
            <w:pPr>
              <w:pStyle w:val="Compact"/>
              <w:jc w:val="left"/>
            </w:pPr>
            <w:r>
              <w:t xml:space="preserve">30/12/2022</w:t>
            </w:r>
          </w:p>
        </w:tc>
        <w:tc>
          <w:tcPr/>
          <w:p>
            <w:pPr>
              <w:pStyle w:val="Compact"/>
              <w:jc w:val="right"/>
            </w:pPr>
            <w:r>
              <w:t xml:space="preserve">0.067</w:t>
            </w:r>
          </w:p>
        </w:tc>
      </w:tr>
      <w:tr>
        <w:tc>
          <w:tcPr/>
          <w:p>
            <w:pPr>
              <w:pStyle w:val="Compact"/>
              <w:jc w:val="left"/>
            </w:pPr>
            <w:r>
              <w:t xml:space="preserve">06/03/2023</w:t>
            </w:r>
          </w:p>
        </w:tc>
        <w:tc>
          <w:tcPr/>
          <w:p>
            <w:pPr>
              <w:pStyle w:val="Compact"/>
              <w:jc w:val="left"/>
            </w:pPr>
            <w:r>
              <w:t xml:space="preserve">30,15</w:t>
            </w:r>
          </w:p>
        </w:tc>
        <w:tc>
          <w:tcPr/>
          <w:p>
            <w:pPr>
              <w:pStyle w:val="Compact"/>
              <w:jc w:val="right"/>
            </w:pPr>
            <w:r>
              <w:t xml:space="preserve">0.02942</w:t>
            </w:r>
          </w:p>
        </w:tc>
        <w:tc>
          <w:tcPr/>
          <w:p>
            <w:pPr>
              <w:pStyle w:val="Compact"/>
              <w:jc w:val="left"/>
            </w:pPr>
            <w:r>
              <w:t xml:space="preserve">2,942 %</w:t>
            </w:r>
          </w:p>
        </w:tc>
        <w:tc>
          <w:tcPr/>
          <w:p>
            <w:pPr>
              <w:pStyle w:val="Compact"/>
              <w:jc w:val="left"/>
            </w:pPr>
            <w:r>
              <w:t xml:space="preserve">30/12/2022</w:t>
            </w:r>
          </w:p>
        </w:tc>
        <w:tc>
          <w:tcPr/>
          <w:p>
            <w:pPr>
              <w:pStyle w:val="Compact"/>
              <w:jc w:val="right"/>
            </w:pPr>
            <w:r>
              <w:t xml:space="preserve">0.183</w:t>
            </w:r>
          </w:p>
        </w:tc>
      </w:tr>
      <w:tr>
        <w:tc>
          <w:tcPr/>
          <w:p>
            <w:pPr>
              <w:pStyle w:val="Compact"/>
              <w:jc w:val="left"/>
            </w:pPr>
            <w:r>
              <w:t xml:space="preserve">22/05/2023</w:t>
            </w:r>
          </w:p>
        </w:tc>
        <w:tc>
          <w:tcPr/>
          <w:p>
            <w:pPr>
              <w:pStyle w:val="Compact"/>
              <w:jc w:val="left"/>
            </w:pPr>
            <w:r>
              <w:t xml:space="preserve">168,01</w:t>
            </w:r>
          </w:p>
        </w:tc>
        <w:tc>
          <w:tcPr/>
          <w:p>
            <w:pPr>
              <w:pStyle w:val="Compact"/>
              <w:jc w:val="right"/>
            </w:pPr>
            <w:r>
              <w:t xml:space="preserve">0.03172</w:t>
            </w:r>
          </w:p>
        </w:tc>
        <w:tc>
          <w:tcPr/>
          <w:p>
            <w:pPr>
              <w:pStyle w:val="Compact"/>
              <w:jc w:val="left"/>
            </w:pPr>
            <w:r>
              <w:t xml:space="preserve">3,172 %</w:t>
            </w:r>
          </w:p>
        </w:tc>
        <w:tc>
          <w:tcPr/>
          <w:p>
            <w:pPr>
              <w:pStyle w:val="Compact"/>
              <w:jc w:val="left"/>
            </w:pPr>
            <w:r>
              <w:t xml:space="preserve">30/12/2022</w:t>
            </w:r>
          </w:p>
        </w:tc>
        <w:tc>
          <w:tcPr/>
          <w:p>
            <w:pPr>
              <w:pStyle w:val="Compact"/>
              <w:jc w:val="right"/>
            </w:pPr>
            <w:r>
              <w:t xml:space="preserve">0.397</w:t>
            </w:r>
          </w:p>
        </w:tc>
      </w:tr>
      <w:tr>
        <w:tc>
          <w:tcPr/>
          <w:p>
            <w:pPr>
              <w:pStyle w:val="Compact"/>
              <w:jc w:val="left"/>
            </w:pPr>
            <w:r>
              <w:t xml:space="preserve">19/06/2023</w:t>
            </w:r>
          </w:p>
        </w:tc>
        <w:tc>
          <w:tcPr/>
          <w:p>
            <w:pPr>
              <w:pStyle w:val="Compact"/>
              <w:jc w:val="left"/>
            </w:pPr>
            <w:r>
              <w:t xml:space="preserve">829,46</w:t>
            </w:r>
          </w:p>
        </w:tc>
        <w:tc>
          <w:tcPr/>
          <w:p>
            <w:pPr>
              <w:pStyle w:val="Compact"/>
              <w:jc w:val="right"/>
            </w:pPr>
            <w:r>
              <w:t xml:space="preserve">0.03008</w:t>
            </w:r>
          </w:p>
        </w:tc>
        <w:tc>
          <w:tcPr/>
          <w:p>
            <w:pPr>
              <w:pStyle w:val="Compact"/>
              <w:jc w:val="left"/>
            </w:pPr>
            <w:r>
              <w:t xml:space="preserve">3,008 %</w:t>
            </w:r>
          </w:p>
        </w:tc>
        <w:tc>
          <w:tcPr/>
          <w:p>
            <w:pPr>
              <w:pStyle w:val="Compact"/>
              <w:jc w:val="left"/>
            </w:pPr>
            <w:r>
              <w:t xml:space="preserve">30/12/2022</w:t>
            </w:r>
          </w:p>
        </w:tc>
        <w:tc>
          <w:tcPr/>
          <w:p>
            <w:pPr>
              <w:pStyle w:val="Compact"/>
              <w:jc w:val="right"/>
            </w:pPr>
            <w:r>
              <w:t xml:space="preserve">0.475</w:t>
            </w:r>
          </w:p>
        </w:tc>
      </w:tr>
      <w:tr>
        <w:tc>
          <w:tcPr/>
          <w:p>
            <w:pPr>
              <w:pStyle w:val="Compact"/>
              <w:jc w:val="left"/>
            </w:pPr>
            <w:r>
              <w:t xml:space="preserve">17/07/2023</w:t>
            </w:r>
          </w:p>
        </w:tc>
        <w:tc>
          <w:tcPr/>
          <w:p>
            <w:pPr>
              <w:pStyle w:val="Compact"/>
              <w:jc w:val="left"/>
            </w:pPr>
            <w:r>
              <w:t xml:space="preserve">210,28</w:t>
            </w:r>
          </w:p>
        </w:tc>
        <w:tc>
          <w:tcPr/>
          <w:p>
            <w:pPr>
              <w:pStyle w:val="Compact"/>
              <w:jc w:val="right"/>
            </w:pPr>
            <w:r>
              <w:t xml:space="preserve">0.03002</w:t>
            </w:r>
          </w:p>
        </w:tc>
        <w:tc>
          <w:tcPr/>
          <w:p>
            <w:pPr>
              <w:pStyle w:val="Compact"/>
              <w:jc w:val="left"/>
            </w:pPr>
            <w:r>
              <w:t xml:space="preserve">3,002 %</w:t>
            </w:r>
          </w:p>
        </w:tc>
        <w:tc>
          <w:tcPr/>
          <w:p>
            <w:pPr>
              <w:pStyle w:val="Compact"/>
              <w:jc w:val="left"/>
            </w:pPr>
            <w:r>
              <w:t xml:space="preserve">30/12/2022</w:t>
            </w:r>
          </w:p>
        </w:tc>
        <w:tc>
          <w:tcPr/>
          <w:p>
            <w:pPr>
              <w:pStyle w:val="Compact"/>
              <w:jc w:val="right"/>
            </w:pPr>
            <w:r>
              <w:t xml:space="preserve">0.553</w:t>
            </w:r>
          </w:p>
        </w:tc>
      </w:tr>
      <w:tr>
        <w:tc>
          <w:tcPr/>
          <w:p>
            <w:pPr>
              <w:pStyle w:val="Compact"/>
              <w:jc w:val="left"/>
            </w:pPr>
            <w:r>
              <w:t xml:space="preserve">05/08/2023</w:t>
            </w:r>
          </w:p>
        </w:tc>
        <w:tc>
          <w:tcPr/>
          <w:p>
            <w:pPr>
              <w:pStyle w:val="Compact"/>
              <w:jc w:val="left"/>
            </w:pPr>
            <w:r>
              <w:t xml:space="preserve">116,18</w:t>
            </w:r>
          </w:p>
        </w:tc>
        <w:tc>
          <w:tcPr/>
          <w:p>
            <w:pPr>
              <w:pStyle w:val="Compact"/>
              <w:jc w:val="right"/>
            </w:pPr>
            <w:r>
              <w:t xml:space="preserve">0.03016</w:t>
            </w:r>
          </w:p>
        </w:tc>
        <w:tc>
          <w:tcPr/>
          <w:p>
            <w:pPr>
              <w:pStyle w:val="Compact"/>
              <w:jc w:val="left"/>
            </w:pPr>
            <w:r>
              <w:t xml:space="preserve">3,016 %</w:t>
            </w:r>
          </w:p>
        </w:tc>
        <w:tc>
          <w:tcPr/>
          <w:p>
            <w:pPr>
              <w:pStyle w:val="Compact"/>
              <w:jc w:val="left"/>
            </w:pPr>
            <w:r>
              <w:t xml:space="preserve">30/12/2022</w:t>
            </w:r>
          </w:p>
        </w:tc>
        <w:tc>
          <w:tcPr/>
          <w:p>
            <w:pPr>
              <w:pStyle w:val="Compact"/>
              <w:jc w:val="right"/>
            </w:pPr>
            <w:r>
              <w:t xml:space="preserve">0.606</w:t>
            </w:r>
          </w:p>
        </w:tc>
      </w:tr>
      <w:tr>
        <w:tc>
          <w:tcPr/>
          <w:p>
            <w:pPr>
              <w:pStyle w:val="Compact"/>
              <w:jc w:val="left"/>
            </w:pPr>
            <w:r>
              <w:t xml:space="preserve">11/09/2023</w:t>
            </w:r>
          </w:p>
        </w:tc>
        <w:tc>
          <w:tcPr/>
          <w:p>
            <w:pPr>
              <w:pStyle w:val="Compact"/>
              <w:jc w:val="left"/>
            </w:pPr>
            <w:r>
              <w:t xml:space="preserve">349,31</w:t>
            </w:r>
          </w:p>
        </w:tc>
        <w:tc>
          <w:tcPr/>
          <w:p>
            <w:pPr>
              <w:pStyle w:val="Compact"/>
              <w:jc w:val="right"/>
            </w:pPr>
            <w:r>
              <w:t xml:space="preserve">0.03045</w:t>
            </w:r>
          </w:p>
        </w:tc>
        <w:tc>
          <w:tcPr/>
          <w:p>
            <w:pPr>
              <w:pStyle w:val="Compact"/>
              <w:jc w:val="left"/>
            </w:pPr>
            <w:r>
              <w:t xml:space="preserve">3,045 %</w:t>
            </w:r>
          </w:p>
        </w:tc>
        <w:tc>
          <w:tcPr/>
          <w:p>
            <w:pPr>
              <w:pStyle w:val="Compact"/>
              <w:jc w:val="left"/>
            </w:pPr>
            <w:r>
              <w:t xml:space="preserve">30/12/2022</w:t>
            </w:r>
          </w:p>
        </w:tc>
        <w:tc>
          <w:tcPr/>
          <w:p>
            <w:pPr>
              <w:pStyle w:val="Compact"/>
              <w:jc w:val="right"/>
            </w:pPr>
            <w:r>
              <w:t xml:space="preserve">0.708</w:t>
            </w:r>
          </w:p>
        </w:tc>
      </w:tr>
      <w:tr>
        <w:tc>
          <w:tcPr/>
          <w:p>
            <w:pPr>
              <w:pStyle w:val="Compact"/>
              <w:jc w:val="left"/>
            </w:pPr>
            <w:r>
              <w:t xml:space="preserve">16/10/2023</w:t>
            </w:r>
          </w:p>
        </w:tc>
        <w:tc>
          <w:tcPr/>
          <w:p>
            <w:pPr>
              <w:pStyle w:val="Compact"/>
              <w:jc w:val="left"/>
            </w:pPr>
            <w:r>
              <w:t xml:space="preserve">57,86</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30/12/2022</w:t>
            </w:r>
          </w:p>
        </w:tc>
        <w:tc>
          <w:tcPr/>
          <w:p>
            <w:pPr>
              <w:pStyle w:val="Compact"/>
              <w:jc w:val="right"/>
            </w:pPr>
            <w:r>
              <w:t xml:space="preserve">0.806</w:t>
            </w:r>
          </w:p>
        </w:tc>
      </w:tr>
      <w:tr>
        <w:tc>
          <w:tcPr/>
          <w:p>
            <w:pPr>
              <w:pStyle w:val="Compact"/>
              <w:jc w:val="left"/>
            </w:pPr>
            <w:r>
              <w:t xml:space="preserve">15/01/2024</w:t>
            </w:r>
          </w:p>
        </w:tc>
        <w:tc>
          <w:tcPr/>
          <w:p>
            <w:pPr>
              <w:pStyle w:val="Compact"/>
              <w:jc w:val="left"/>
            </w:pPr>
            <w:r>
              <w:t xml:space="preserve">62,41</w:t>
            </w:r>
          </w:p>
        </w:tc>
        <w:tc>
          <w:tcPr/>
          <w:p>
            <w:pPr>
              <w:pStyle w:val="Compact"/>
              <w:jc w:val="right"/>
            </w:pPr>
            <w:r>
              <w:t xml:space="preserve">0.02967</w:t>
            </w:r>
          </w:p>
        </w:tc>
        <w:tc>
          <w:tcPr/>
          <w:p>
            <w:pPr>
              <w:pStyle w:val="Compact"/>
              <w:jc w:val="left"/>
            </w:pPr>
            <w:r>
              <w:t xml:space="preserve">2,967 %</w:t>
            </w:r>
          </w:p>
        </w:tc>
        <w:tc>
          <w:tcPr/>
          <w:p>
            <w:pPr>
              <w:pStyle w:val="Compact"/>
              <w:jc w:val="left"/>
            </w:pPr>
            <w:r>
              <w:t xml:space="preserve">30/12/2022</w:t>
            </w:r>
          </w:p>
        </w:tc>
        <w:tc>
          <w:tcPr/>
          <w:p>
            <w:pPr>
              <w:pStyle w:val="Compact"/>
              <w:jc w:val="right"/>
            </w:pPr>
            <w:r>
              <w:t xml:space="preserve">1.058</w:t>
            </w:r>
          </w:p>
        </w:tc>
      </w:tr>
    </w:tbl>
    <w:bookmarkEnd w:id="73"/>
    <w:p>
      <w:pPr>
        <w:pStyle w:val="BodyText"/>
      </w:pPr>
      <w:r>
        <w:t xml:space="preserve">Pour cette raison on va suivre les étapes suivantes pour la construction de la courbe des taux zéro-coupon :</w:t>
      </w:r>
    </w:p>
    <w:p>
      <w:pPr>
        <w:numPr>
          <w:ilvl w:val="0"/>
          <w:numId w:val="1010"/>
        </w:numPr>
        <w:pStyle w:val="Compact"/>
      </w:pPr>
      <w:r>
        <w:t xml:space="preserve">1-ère étape : Transformation des taux monétaires en taux actuariels.</w:t>
      </w:r>
    </w:p>
    <w:p>
      <w:pPr>
        <w:numPr>
          <w:ilvl w:val="0"/>
          <w:numId w:val="1010"/>
        </w:numPr>
        <w:pStyle w:val="Compact"/>
      </w:pPr>
      <w:r>
        <w:t xml:space="preserve">2-ème étape : Interpolation linéaire afin d’obtenir des taux actuariels pour des maturités pleines.</w:t>
      </w:r>
    </w:p>
    <w:p>
      <w:pPr>
        <w:numPr>
          <w:ilvl w:val="0"/>
          <w:numId w:val="1010"/>
        </w:numPr>
        <w:pStyle w:val="Compact"/>
      </w:pPr>
      <w:r>
        <w:t xml:space="preserve">3-ème étape : Calcule des taux zéro coupons à partir des taux actuariels des maturités pleines par la Méthode du Bootstrap.</w:t>
      </w:r>
    </w:p>
    <w:p>
      <w:pPr>
        <w:numPr>
          <w:ilvl w:val="0"/>
          <w:numId w:val="1010"/>
        </w:numPr>
        <w:pStyle w:val="Compact"/>
      </w:pPr>
      <w:r>
        <w:t xml:space="preserve">4-ème étape : Extrapolation de la courbe des taux zéro-coupon pour des maturités non observées lointaines par la méthode de Smith-Wilson.</w:t>
      </w:r>
    </w:p>
    <w:bookmarkStart w:id="75" w:name="Xcbe522a13d0cf3ed962fdea859902dd7c035635"/>
    <w:p>
      <w:pPr>
        <w:pStyle w:val="Heading3"/>
      </w:pPr>
      <w:r>
        <w:t xml:space="preserve">7.1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r>
            <m:rPr>
              <m:sty m:val="p"/>
            </m:rPr>
            <m:t>,</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74"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0.039</w:t>
            </w:r>
          </w:p>
        </w:tc>
        <w:tc>
          <w:tcPr/>
          <w:p>
            <w:pPr>
              <w:pStyle w:val="Compact"/>
              <w:jc w:val="right"/>
            </w:pPr>
            <w:r>
              <w:t xml:space="preserve">0.03032</w:t>
            </w:r>
          </w:p>
        </w:tc>
        <w:tc>
          <w:tcPr/>
          <w:p>
            <w:pPr>
              <w:pStyle w:val="Compact"/>
              <w:jc w:val="left"/>
            </w:pPr>
            <w:r>
              <w:t xml:space="preserve">3,032%</w:t>
            </w:r>
          </w:p>
        </w:tc>
      </w:tr>
      <w:tr>
        <w:tc>
          <w:tcPr/>
          <w:p>
            <w:pPr>
              <w:pStyle w:val="Compact"/>
              <w:jc w:val="right"/>
            </w:pPr>
            <w:r>
              <w:t xml:space="preserve">0.067</w:t>
            </w:r>
          </w:p>
        </w:tc>
        <w:tc>
          <w:tcPr/>
          <w:p>
            <w:pPr>
              <w:pStyle w:val="Compact"/>
              <w:jc w:val="right"/>
            </w:pPr>
            <w:r>
              <w:t xml:space="preserve">0.03012</w:t>
            </w:r>
          </w:p>
        </w:tc>
        <w:tc>
          <w:tcPr/>
          <w:p>
            <w:pPr>
              <w:pStyle w:val="Compact"/>
              <w:jc w:val="left"/>
            </w:pPr>
            <w:r>
              <w:t xml:space="preserve">3,012%</w:t>
            </w:r>
          </w:p>
        </w:tc>
      </w:tr>
      <w:tr>
        <w:tc>
          <w:tcPr/>
          <w:p>
            <w:pPr>
              <w:pStyle w:val="Compact"/>
              <w:jc w:val="right"/>
            </w:pPr>
            <w:r>
              <w:t xml:space="preserve">0.183</w:t>
            </w:r>
          </w:p>
        </w:tc>
        <w:tc>
          <w:tcPr/>
          <w:p>
            <w:pPr>
              <w:pStyle w:val="Compact"/>
              <w:jc w:val="right"/>
            </w:pPr>
            <w:r>
              <w:t xml:space="preserve">0.03020</w:t>
            </w:r>
          </w:p>
        </w:tc>
        <w:tc>
          <w:tcPr/>
          <w:p>
            <w:pPr>
              <w:pStyle w:val="Compact"/>
              <w:jc w:val="left"/>
            </w:pPr>
            <w:r>
              <w:t xml:space="preserve">3,02%</w:t>
            </w:r>
          </w:p>
        </w:tc>
      </w:tr>
      <w:tr>
        <w:tc>
          <w:tcPr/>
          <w:p>
            <w:pPr>
              <w:pStyle w:val="Compact"/>
              <w:jc w:val="right"/>
            </w:pPr>
            <w:r>
              <w:t xml:space="preserve">0.397</w:t>
            </w:r>
          </w:p>
        </w:tc>
        <w:tc>
          <w:tcPr/>
          <w:p>
            <w:pPr>
              <w:pStyle w:val="Compact"/>
              <w:jc w:val="right"/>
            </w:pPr>
            <w:r>
              <w:t xml:space="preserve">0.03248</w:t>
            </w:r>
          </w:p>
        </w:tc>
        <w:tc>
          <w:tcPr/>
          <w:p>
            <w:pPr>
              <w:pStyle w:val="Compact"/>
              <w:jc w:val="left"/>
            </w:pPr>
            <w:r>
              <w:t xml:space="preserve">3,248%</w:t>
            </w:r>
          </w:p>
        </w:tc>
      </w:tr>
      <w:tr>
        <w:tc>
          <w:tcPr/>
          <w:p>
            <w:pPr>
              <w:pStyle w:val="Compact"/>
              <w:jc w:val="right"/>
            </w:pPr>
            <w:r>
              <w:t xml:space="preserve">0.475</w:t>
            </w:r>
          </w:p>
        </w:tc>
        <w:tc>
          <w:tcPr/>
          <w:p>
            <w:pPr>
              <w:pStyle w:val="Compact"/>
              <w:jc w:val="right"/>
            </w:pPr>
            <w:r>
              <w:t xml:space="preserve">0.03075</w:t>
            </w:r>
          </w:p>
        </w:tc>
        <w:tc>
          <w:tcPr/>
          <w:p>
            <w:pPr>
              <w:pStyle w:val="Compact"/>
              <w:jc w:val="left"/>
            </w:pPr>
            <w:r>
              <w:t xml:space="preserve">3,075%</w:t>
            </w:r>
          </w:p>
        </w:tc>
      </w:tr>
      <w:tr>
        <w:tc>
          <w:tcPr/>
          <w:p>
            <w:pPr>
              <w:pStyle w:val="Compact"/>
              <w:jc w:val="right"/>
            </w:pPr>
            <w:r>
              <w:t xml:space="preserve">0.553</w:t>
            </w:r>
          </w:p>
        </w:tc>
        <w:tc>
          <w:tcPr/>
          <w:p>
            <w:pPr>
              <w:pStyle w:val="Compact"/>
              <w:jc w:val="right"/>
            </w:pPr>
            <w:r>
              <w:t xml:space="preserve">0.03065</w:t>
            </w:r>
          </w:p>
        </w:tc>
        <w:tc>
          <w:tcPr/>
          <w:p>
            <w:pPr>
              <w:pStyle w:val="Compact"/>
              <w:jc w:val="left"/>
            </w:pPr>
            <w:r>
              <w:t xml:space="preserve">3,065%</w:t>
            </w:r>
          </w:p>
        </w:tc>
      </w:tr>
      <w:tr>
        <w:tc>
          <w:tcPr/>
          <w:p>
            <w:pPr>
              <w:pStyle w:val="Compact"/>
              <w:jc w:val="right"/>
            </w:pPr>
            <w:r>
              <w:t xml:space="preserve">0.606</w:t>
            </w:r>
          </w:p>
        </w:tc>
        <w:tc>
          <w:tcPr/>
          <w:p>
            <w:pPr>
              <w:pStyle w:val="Compact"/>
              <w:jc w:val="right"/>
            </w:pPr>
            <w:r>
              <w:t xml:space="preserve">0.03077</w:t>
            </w:r>
          </w:p>
        </w:tc>
        <w:tc>
          <w:tcPr/>
          <w:p>
            <w:pPr>
              <w:pStyle w:val="Compact"/>
              <w:jc w:val="left"/>
            </w:pPr>
            <w:r>
              <w:t xml:space="preserve">3,077%</w:t>
            </w:r>
          </w:p>
        </w:tc>
      </w:tr>
      <w:tr>
        <w:tc>
          <w:tcPr/>
          <w:p>
            <w:pPr>
              <w:pStyle w:val="Compact"/>
              <w:jc w:val="right"/>
            </w:pPr>
            <w:r>
              <w:t xml:space="preserve">0.708</w:t>
            </w:r>
          </w:p>
        </w:tc>
        <w:tc>
          <w:tcPr/>
          <w:p>
            <w:pPr>
              <w:pStyle w:val="Compact"/>
              <w:jc w:val="right"/>
            </w:pPr>
            <w:r>
              <w:t xml:space="preserve">0.03102</w:t>
            </w:r>
          </w:p>
        </w:tc>
        <w:tc>
          <w:tcPr/>
          <w:p>
            <w:pPr>
              <w:pStyle w:val="Compact"/>
              <w:jc w:val="left"/>
            </w:pPr>
            <w:r>
              <w:t xml:space="preserve">3,102%</w:t>
            </w:r>
          </w:p>
        </w:tc>
      </w:tr>
      <w:tr>
        <w:tc>
          <w:tcPr/>
          <w:p>
            <w:pPr>
              <w:pStyle w:val="Compact"/>
              <w:jc w:val="right"/>
            </w:pPr>
            <w:r>
              <w:t xml:space="preserve">0.806</w:t>
            </w:r>
          </w:p>
        </w:tc>
        <w:tc>
          <w:tcPr/>
          <w:p>
            <w:pPr>
              <w:pStyle w:val="Compact"/>
              <w:jc w:val="right"/>
            </w:pPr>
            <w:r>
              <w:t xml:space="preserve">0.03184</w:t>
            </w:r>
          </w:p>
        </w:tc>
        <w:tc>
          <w:tcPr/>
          <w:p>
            <w:pPr>
              <w:pStyle w:val="Compact"/>
              <w:jc w:val="left"/>
            </w:pPr>
            <w:r>
              <w:t xml:space="preserve">3,184%</w:t>
            </w:r>
          </w:p>
        </w:tc>
      </w:tr>
      <w:tr>
        <w:tc>
          <w:tcPr/>
          <w:p>
            <w:pPr>
              <w:pStyle w:val="Compact"/>
              <w:jc w:val="right"/>
            </w:pPr>
            <w:r>
              <w:t xml:space="preserve">1.058</w:t>
            </w:r>
          </w:p>
        </w:tc>
        <w:tc>
          <w:tcPr/>
          <w:p>
            <w:pPr>
              <w:pStyle w:val="Compact"/>
              <w:jc w:val="right"/>
            </w:pPr>
            <w:r>
              <w:t xml:space="preserve">0.02967</w:t>
            </w:r>
          </w:p>
        </w:tc>
        <w:tc>
          <w:tcPr/>
          <w:p>
            <w:pPr>
              <w:pStyle w:val="Compact"/>
              <w:jc w:val="left"/>
            </w:pPr>
            <w:r>
              <w:t xml:space="preserve">2,967%</w:t>
            </w:r>
          </w:p>
        </w:tc>
      </w:tr>
    </w:tbl>
    <w:bookmarkEnd w:id="74"/>
    <w:bookmarkEnd w:id="75"/>
    <w:bookmarkStart w:id="77" w:name="X96b896b92b42645ba88a707007c4252bf9e5cd7"/>
    <w:p>
      <w:pPr>
        <w:pStyle w:val="Heading3"/>
      </w:pPr>
      <w:r>
        <w:t xml:space="preserve">7.2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r>
            <m:rPr>
              <m:sty m:val="p"/>
            </m:rPr>
            <m:t>,</m:t>
          </m:r>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76"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0.02968</w:t>
            </w:r>
          </w:p>
        </w:tc>
        <w:tc>
          <w:tcPr/>
          <w:p>
            <w:pPr>
              <w:pStyle w:val="Compact"/>
              <w:jc w:val="left"/>
            </w:pPr>
            <w:r>
              <w:t xml:space="preserve">2,968%</w:t>
            </w:r>
          </w:p>
        </w:tc>
      </w:tr>
      <w:tr>
        <w:tc>
          <w:tcPr/>
          <w:p>
            <w:pPr>
              <w:pStyle w:val="Compact"/>
              <w:jc w:val="right"/>
            </w:pPr>
            <w:r>
              <w:t xml:space="preserve">4</w:t>
            </w:r>
          </w:p>
        </w:tc>
        <w:tc>
          <w:tcPr/>
          <w:p>
            <w:pPr>
              <w:pStyle w:val="Compact"/>
              <w:jc w:val="right"/>
            </w:pPr>
            <w:r>
              <w:t xml:space="preserve">0.02954</w:t>
            </w:r>
          </w:p>
        </w:tc>
        <w:tc>
          <w:tcPr/>
          <w:p>
            <w:pPr>
              <w:pStyle w:val="Compact"/>
              <w:jc w:val="left"/>
            </w:pPr>
            <w:r>
              <w:t xml:space="preserve">2,954%</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0.02995</w:t>
            </w:r>
          </w:p>
        </w:tc>
        <w:tc>
          <w:tcPr/>
          <w:p>
            <w:pPr>
              <w:pStyle w:val="Compact"/>
              <w:jc w:val="left"/>
            </w:pPr>
            <w:r>
              <w:t xml:space="preserve">2,995%</w:t>
            </w:r>
          </w:p>
        </w:tc>
      </w:tr>
      <w:tr>
        <w:tc>
          <w:tcPr/>
          <w:p>
            <w:pPr>
              <w:pStyle w:val="Compact"/>
              <w:jc w:val="right"/>
            </w:pPr>
            <w:r>
              <w:t xml:space="preserve">7</w:t>
            </w:r>
          </w:p>
        </w:tc>
        <w:tc>
          <w:tcPr/>
          <w:p>
            <w:pPr>
              <w:pStyle w:val="Compact"/>
              <w:jc w:val="right"/>
            </w:pPr>
            <w:r>
              <w:t xml:space="preserve">0.03036</w:t>
            </w:r>
          </w:p>
        </w:tc>
        <w:tc>
          <w:tcPr/>
          <w:p>
            <w:pPr>
              <w:pStyle w:val="Compact"/>
              <w:jc w:val="left"/>
            </w:pPr>
            <w:r>
              <w:t xml:space="preserve">3,036%</w:t>
            </w:r>
          </w:p>
        </w:tc>
      </w:tr>
      <w:tr>
        <w:tc>
          <w:tcPr/>
          <w:p>
            <w:pPr>
              <w:pStyle w:val="Compact"/>
              <w:jc w:val="right"/>
            </w:pPr>
            <w:r>
              <w:t xml:space="preserve">8</w:t>
            </w:r>
          </w:p>
        </w:tc>
        <w:tc>
          <w:tcPr/>
          <w:p>
            <w:pPr>
              <w:pStyle w:val="Compact"/>
              <w:jc w:val="right"/>
            </w:pPr>
            <w:r>
              <w:t xml:space="preserve">0.03093</w:t>
            </w:r>
          </w:p>
        </w:tc>
        <w:tc>
          <w:tcPr/>
          <w:p>
            <w:pPr>
              <w:pStyle w:val="Compact"/>
              <w:jc w:val="left"/>
            </w:pPr>
            <w:r>
              <w:t xml:space="preserve">3,093%</w:t>
            </w:r>
          </w:p>
        </w:tc>
      </w:tr>
      <w:tr>
        <w:tc>
          <w:tcPr/>
          <w:p>
            <w:pPr>
              <w:pStyle w:val="Compact"/>
              <w:jc w:val="right"/>
            </w:pPr>
            <w:r>
              <w:t xml:space="preserve">9</w:t>
            </w:r>
          </w:p>
        </w:tc>
        <w:tc>
          <w:tcPr/>
          <w:p>
            <w:pPr>
              <w:pStyle w:val="Compact"/>
              <w:jc w:val="right"/>
            </w:pPr>
            <w:r>
              <w:t xml:space="preserve">0.03143</w:t>
            </w:r>
          </w:p>
        </w:tc>
        <w:tc>
          <w:tcPr/>
          <w:p>
            <w:pPr>
              <w:pStyle w:val="Compact"/>
              <w:jc w:val="left"/>
            </w:pPr>
            <w:r>
              <w:t xml:space="preserve">3,143%</w:t>
            </w:r>
          </w:p>
        </w:tc>
      </w:tr>
      <w:tr>
        <w:tc>
          <w:tcPr/>
          <w:p>
            <w:pPr>
              <w:pStyle w:val="Compact"/>
              <w:jc w:val="right"/>
            </w:pPr>
            <w:r>
              <w:t xml:space="preserve">10</w:t>
            </w:r>
          </w:p>
        </w:tc>
        <w:tc>
          <w:tcPr/>
          <w:p>
            <w:pPr>
              <w:pStyle w:val="Compact"/>
              <w:jc w:val="right"/>
            </w:pPr>
            <w:r>
              <w:t xml:space="preserve">0.03183</w:t>
            </w:r>
          </w:p>
        </w:tc>
        <w:tc>
          <w:tcPr/>
          <w:p>
            <w:pPr>
              <w:pStyle w:val="Compact"/>
              <w:jc w:val="left"/>
            </w:pPr>
            <w:r>
              <w:t xml:space="preserve">3,183%</w:t>
            </w:r>
          </w:p>
        </w:tc>
      </w:tr>
    </w:tbl>
    <w:bookmarkEnd w:id="76"/>
    <w:bookmarkEnd w:id="77"/>
    <w:bookmarkStart w:id="79" w:name="la-méthode-de-bootstrap"/>
    <w:p>
      <w:pPr>
        <w:pStyle w:val="Heading3"/>
      </w:pPr>
      <w:r>
        <w:t xml:space="preserve">7.3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11"/>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2"/>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r>
            <m:t> </m:t>
          </m:r>
          <m:r>
            <m:rPr>
              <m:sty m:val="p"/>
            </m:rPr>
            <m:t>,</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r>
            <m:rPr>
              <m:sty m:val="p"/>
            </m:rPr>
            <m:t>,</m:t>
          </m:r>
        </m:oMath>
      </m:oMathPara>
    </w:p>
    <w:p>
      <w:pPr>
        <w:pStyle w:val="FirstParagraph"/>
      </w:pPr>
      <w:r>
        <w:t xml:space="preserve">avec :</w:t>
      </w:r>
    </w:p>
    <w:p>
      <w:pPr>
        <w:pStyle w:val="BodyText"/>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78" w:name="tbl-taux_zc"/>
    <w:p>
      <w:pPr>
        <w:pStyle w:val="TableCaption"/>
      </w:pPr>
      <w:r>
        <w:t xml:space="preserve">Table 5: Transformation du taux actuariel en taux ZC avec la méthode Bootstrap</w:t>
      </w:r>
    </w:p>
    <w:tbl>
      <w:tblPr>
        <w:tblStyle w:val="Table"/>
        <w:tblW w:type="auto" w:w="0"/>
        <w:tblLook w:firstRow="1" w:lastRow="0" w:firstColumn="0" w:lastColumn="0" w:noHBand="0" w:noVBand="0" w:val="0020"/>
        <w:tblCaption w:val="Table 5: Transformation du taux actuariel en taux ZC avec la méthode Boot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0.02966</w:t>
            </w:r>
          </w:p>
        </w:tc>
        <w:tc>
          <w:tcPr/>
          <w:p>
            <w:pPr>
              <w:pStyle w:val="Compact"/>
              <w:jc w:val="left"/>
            </w:pPr>
            <w:r>
              <w:t xml:space="preserve">2,966%</w:t>
            </w:r>
          </w:p>
        </w:tc>
      </w:tr>
      <w:tr>
        <w:tc>
          <w:tcPr/>
          <w:p>
            <w:pPr>
              <w:pStyle w:val="Compact"/>
              <w:jc w:val="right"/>
            </w:pPr>
            <w:r>
              <w:t xml:space="preserve">4</w:t>
            </w:r>
          </w:p>
        </w:tc>
        <w:tc>
          <w:tcPr/>
          <w:p>
            <w:pPr>
              <w:pStyle w:val="Compact"/>
              <w:jc w:val="right"/>
            </w:pPr>
            <w:r>
              <w:t xml:space="preserve">0.02952</w:t>
            </w:r>
          </w:p>
        </w:tc>
        <w:tc>
          <w:tcPr/>
          <w:p>
            <w:pPr>
              <w:pStyle w:val="Compact"/>
              <w:jc w:val="left"/>
            </w:pPr>
            <w:r>
              <w:t xml:space="preserve">2,952%</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0.02996</w:t>
            </w:r>
          </w:p>
        </w:tc>
        <w:tc>
          <w:tcPr/>
          <w:p>
            <w:pPr>
              <w:pStyle w:val="Compact"/>
              <w:jc w:val="left"/>
            </w:pPr>
            <w:r>
              <w:t xml:space="preserve">2,996%</w:t>
            </w:r>
          </w:p>
        </w:tc>
      </w:tr>
      <w:tr>
        <w:tc>
          <w:tcPr/>
          <w:p>
            <w:pPr>
              <w:pStyle w:val="Compact"/>
              <w:jc w:val="right"/>
            </w:pPr>
            <w:r>
              <w:t xml:space="preserve">7</w:t>
            </w:r>
          </w:p>
        </w:tc>
        <w:tc>
          <w:tcPr/>
          <w:p>
            <w:pPr>
              <w:pStyle w:val="Compact"/>
              <w:jc w:val="right"/>
            </w:pPr>
            <w:r>
              <w:t xml:space="preserve">0.03041</w:t>
            </w:r>
          </w:p>
        </w:tc>
        <w:tc>
          <w:tcPr/>
          <w:p>
            <w:pPr>
              <w:pStyle w:val="Compact"/>
              <w:jc w:val="left"/>
            </w:pPr>
            <w:r>
              <w:t xml:space="preserve">3,041%</w:t>
            </w:r>
          </w:p>
        </w:tc>
      </w:tr>
      <w:tr>
        <w:tc>
          <w:tcPr/>
          <w:p>
            <w:pPr>
              <w:pStyle w:val="Compact"/>
              <w:jc w:val="right"/>
            </w:pPr>
            <w:r>
              <w:t xml:space="preserve">8</w:t>
            </w:r>
          </w:p>
        </w:tc>
        <w:tc>
          <w:tcPr/>
          <w:p>
            <w:pPr>
              <w:pStyle w:val="Compact"/>
              <w:jc w:val="right"/>
            </w:pPr>
            <w:r>
              <w:t xml:space="preserve">0.03104</w:t>
            </w:r>
          </w:p>
        </w:tc>
        <w:tc>
          <w:tcPr/>
          <w:p>
            <w:pPr>
              <w:pStyle w:val="Compact"/>
              <w:jc w:val="left"/>
            </w:pPr>
            <w:r>
              <w:t xml:space="preserve">3,104%</w:t>
            </w:r>
          </w:p>
        </w:tc>
      </w:tr>
      <w:tr>
        <w:tc>
          <w:tcPr/>
          <w:p>
            <w:pPr>
              <w:pStyle w:val="Compact"/>
              <w:jc w:val="right"/>
            </w:pPr>
            <w:r>
              <w:t xml:space="preserve">9</w:t>
            </w:r>
          </w:p>
        </w:tc>
        <w:tc>
          <w:tcPr/>
          <w:p>
            <w:pPr>
              <w:pStyle w:val="Compact"/>
              <w:jc w:val="right"/>
            </w:pPr>
            <w:r>
              <w:t xml:space="preserve">0.03160</w:t>
            </w:r>
          </w:p>
        </w:tc>
        <w:tc>
          <w:tcPr/>
          <w:p>
            <w:pPr>
              <w:pStyle w:val="Compact"/>
              <w:jc w:val="left"/>
            </w:pPr>
            <w:r>
              <w:t xml:space="preserve">3,16%</w:t>
            </w:r>
          </w:p>
        </w:tc>
      </w:tr>
      <w:tr>
        <w:tc>
          <w:tcPr/>
          <w:p>
            <w:pPr>
              <w:pStyle w:val="Compact"/>
              <w:jc w:val="right"/>
            </w:pPr>
            <w:r>
              <w:t xml:space="preserve">10</w:t>
            </w:r>
          </w:p>
        </w:tc>
        <w:tc>
          <w:tcPr/>
          <w:p>
            <w:pPr>
              <w:pStyle w:val="Compact"/>
              <w:jc w:val="right"/>
            </w:pPr>
            <w:r>
              <w:t xml:space="preserve">0.03205</w:t>
            </w:r>
          </w:p>
        </w:tc>
        <w:tc>
          <w:tcPr/>
          <w:p>
            <w:pPr>
              <w:pStyle w:val="Compact"/>
              <w:jc w:val="left"/>
            </w:pPr>
            <w:r>
              <w:t xml:space="preserve">3,205%</w:t>
            </w:r>
          </w:p>
        </w:tc>
      </w:tr>
    </w:tbl>
    <w:bookmarkEnd w:id="78"/>
    <w:bookmarkEnd w:id="79"/>
    <w:bookmarkStart w:id="80" w:name="X336f36db0687334b747abecf8d379445810500d"/>
    <w:p>
      <w:pPr>
        <w:pStyle w:val="Heading3"/>
      </w:pPr>
      <w:r>
        <w:t xml:space="preserve">7.4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3"/>
        </w:numPr>
        <w:pStyle w:val="Compact"/>
      </w:pPr>
      <w:r>
        <w:t xml:space="preserve">le UFR (Ultimate Forward Rate)</w:t>
      </w:r>
    </w:p>
    <w:p>
      <w:pPr>
        <w:numPr>
          <w:ilvl w:val="0"/>
          <w:numId w:val="1013"/>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r>
            <m:t> </m:t>
          </m:r>
          <m:r>
            <m:rPr>
              <m:sty m:val="p"/>
            </m:rPr>
            <m:t>,</m:t>
          </m:r>
        </m:oMath>
      </m:oMathPara>
    </w:p>
    <w:p>
      <w:pPr>
        <w:pStyle w:val="FirstParagraph"/>
      </w:pPr>
      <w:r>
        <w:t xml:space="preserve">avec :</w:t>
      </w:r>
    </w:p>
    <w:p>
      <w:pPr>
        <w:numPr>
          <w:ilvl w:val="0"/>
          <w:numId w:val="1014"/>
        </w:numPr>
        <w:pStyle w:val="Compact"/>
      </w:pPr>
      <m:oMath>
        <m:r>
          <m:t>W</m:t>
        </m:r>
      </m:oMath>
      <w:r>
        <w:t xml:space="preserve"> </w:t>
      </w:r>
      <w:r>
        <w:t xml:space="preserve">représente un ensemble de fonctions à noyau pour chaque prix d’obligation observable d’entrée.</w:t>
      </w:r>
    </w:p>
    <w:p>
      <w:pPr>
        <w:numPr>
          <w:ilvl w:val="0"/>
          <w:numId w:val="1014"/>
        </w:numPr>
        <w:pStyle w:val="Compact"/>
      </w:pPr>
      <m:oMath>
        <m:r>
          <m:t>α</m:t>
        </m:r>
      </m:oMath>
      <w:r>
        <w:t xml:space="preserve"> </w:t>
      </w:r>
      <w:r>
        <w:t xml:space="preserve">: la vitesse de convergence vers le UFR.</w:t>
      </w:r>
    </w:p>
    <w:p>
      <w:pPr>
        <w:numPr>
          <w:ilvl w:val="0"/>
          <w:numId w:val="1014"/>
        </w:numPr>
        <w:pStyle w:val="Compact"/>
      </w:pPr>
      <m:oMath>
        <m:r>
          <m:t>N</m:t>
        </m:r>
      </m:oMath>
      <w:r>
        <w:t xml:space="preserve">: le nombre d’obligations ZC dont le prix est observésur le marché.</w:t>
      </w:r>
    </w:p>
    <w:p>
      <w:pPr>
        <w:numPr>
          <w:ilvl w:val="0"/>
          <w:numId w:val="1014"/>
        </w:numPr>
        <w:pStyle w:val="Compact"/>
      </w:pPr>
      <m:oMath>
        <m:sSub>
          <m:e>
            <m:r>
              <m:t>u</m:t>
            </m:r>
          </m:e>
          <m:sub>
            <m:r>
              <m:t>j</m:t>
            </m:r>
          </m:sub>
        </m:sSub>
      </m:oMath>
      <w:r>
        <w:t xml:space="preserve">: la j-ème maturité disponible. .</w:t>
      </w:r>
    </w:p>
    <w:p>
      <w:pPr>
        <w:numPr>
          <w:ilvl w:val="0"/>
          <w:numId w:val="1014"/>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r>
            <m:rPr>
              <m:sty m:val="p"/>
            </m:rPr>
            <m:t>,</m:t>
          </m:r>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w:r>
        <w:t xml:space="preserve">$$</w:t>
      </w:r>
    </w:p>
    <w:p>
      <w:pPr>
        <w:pStyle w:val="BodyText"/>
      </w:pPr>
      <m:oMathPara>
        <m:oMathParaPr>
          <m:jc m:val="center"/>
        </m:oMathParaPr>
        <m:oMath>
          <m:r>
            <m:t>W</m:t>
          </m:r>
          <m:r>
            <m:t>i</m:t>
          </m:r>
          <m:r>
            <m:t>j</m:t>
          </m:r>
          <m:r>
            <m:rPr>
              <m:sty m:val="p"/>
            </m:rPr>
            <m:t>=</m:t>
          </m:r>
          <m:r>
            <m:t>W</m:t>
          </m:r>
          <m:d>
            <m:dPr>
              <m:begChr m:val="("/>
              <m:endChr m:val=")"/>
              <m:sepChr m:val=""/>
              <m:grow/>
            </m:dPr>
            <m:e>
              <m:sSub>
                <m:e>
                  <m:r>
                    <m:t>u</m:t>
                  </m:r>
                </m:e>
                <m:sub>
                  <m:r>
                    <m:t>i</m:t>
                  </m:r>
                </m:sub>
              </m:sSub>
              <m:r>
                <m:rPr>
                  <m:sty m:val="p"/>
                </m:rPr>
                <m:t>,</m:t>
              </m:r>
              <m:sSub>
                <m:e>
                  <m:r>
                    <m:t>u</m:t>
                  </m:r>
                </m:e>
                <m:sub>
                  <m:r>
                    <m:t>j</m:t>
                  </m:r>
                </m:sub>
              </m:sSub>
            </m:e>
          </m:d>
          <m:r>
            <m:t>  </m:t>
          </m:r>
          <m:r>
            <m:t>i</m:t>
          </m:r>
          <m:r>
            <m:rPr>
              <m:sty m:val="p"/>
            </m:rPr>
            <m:t>,</m:t>
          </m:r>
          <m:r>
            <m:t>j</m:t>
          </m:r>
          <m:r>
            <m:rPr>
              <m:sty m:val="p"/>
            </m:rPr>
            <m:t>=</m:t>
          </m:r>
          <m:r>
            <m:t>1</m:t>
          </m:r>
          <m:r>
            <m:rPr>
              <m:sty m:val="p"/>
            </m:rPr>
            <m:t>,</m:t>
          </m:r>
          <m:r>
            <m:rPr>
              <m:sty m:val="p"/>
            </m:rPr>
            <m:t>…</m:t>
          </m:r>
          <m:r>
            <m:rPr>
              <m:sty m:val="p"/>
            </m:rPr>
            <m:t>,</m:t>
          </m:r>
          <m:r>
            <m:t>N</m:t>
          </m:r>
          <m:r>
            <m:t> </m:t>
          </m:r>
          <m:r>
            <m:t> </m:t>
          </m:r>
        </m:oMath>
      </m:oMathPara>
    </w:p>
    <w:p>
      <w:pPr>
        <w:pStyle w:val="FirstParagraph"/>
      </w:pPr>
      <w:r>
        <w:t xml:space="preserve">Après la détermination des inconnus, on passe au calcul des prix zéro-coupon correspondants aux maturités pleines, et finalement déduire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80"/>
    <w:bookmarkEnd w:id="81"/>
    <w:bookmarkStart w:id="133" w:name="X3c86a714d03aed139a19db084b97b445aa0c8e4"/>
    <w:p>
      <w:pPr>
        <w:pStyle w:val="Heading2"/>
      </w:pPr>
      <w:r>
        <w:t xml:space="preserve">8 Valorisation des provisions techniques prudentielles :</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sub>
          </m:sSub>
          <m:r>
            <m:rPr>
              <m:sty m:val="p"/>
            </m:rPr>
            <m:t>+</m:t>
          </m:r>
          <m:r>
            <m:t>B</m:t>
          </m:r>
          <m:r>
            <m:t>E</m:t>
          </m:r>
          <m:r>
            <m:t>F</m:t>
          </m:r>
          <m:r>
            <m:t>G</m:t>
          </m:r>
          <m:r>
            <m:rPr>
              <m:sty m:val="p"/>
            </m:rPr>
            <m:t>+</m:t>
          </m:r>
          <m:r>
            <m:t>M</m:t>
          </m:r>
          <m:r>
            <m:t>R</m:t>
          </m:r>
          <m:r>
            <m:rPr>
              <m:sty m:val="p"/>
            </m:rPr>
            <m:t>,</m:t>
          </m:r>
        </m:oMath>
      </m:oMathPara>
    </w:p>
    <w:p>
      <w:pPr>
        <w:pStyle w:val="FirstParagraph"/>
      </w:pPr>
      <w:r>
        <w:t xml:space="preserve">avec :</w:t>
      </w:r>
    </w:p>
    <w:p>
      <w:pPr>
        <w:numPr>
          <w:ilvl w:val="0"/>
          <w:numId w:val="1015"/>
        </w:numPr>
      </w:pPr>
      <m:oMath>
        <m:r>
          <m:t>P</m:t>
        </m:r>
        <m:r>
          <m:t>T</m:t>
        </m:r>
      </m:oMath>
      <w:r>
        <w:t xml:space="preserve"> </w:t>
      </w:r>
      <w:r>
        <w:t xml:space="preserve">: la provision technique.</w:t>
      </w:r>
    </w:p>
    <w:p>
      <w:pPr>
        <w:numPr>
          <w:ilvl w:val="0"/>
          <w:numId w:val="1015"/>
        </w:numPr>
      </w:pPr>
      <m:oMath>
        <m:r>
          <m:t>B</m:t>
        </m:r>
        <m:sSub>
          <m:e>
            <m:r>
              <m:t>E</m:t>
            </m:r>
          </m:e>
          <m:sub>
            <m:r>
              <m:t>e</m:t>
            </m:r>
            <m:r>
              <m:t>n</m:t>
            </m:r>
            <m:r>
              <m:t>g</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5"/>
        </w:numPr>
      </w:pPr>
      <m:oMath>
        <m:r>
          <m:t>B</m:t>
        </m:r>
        <m:r>
          <m:t>E</m:t>
        </m:r>
        <m:r>
          <m:t>F</m:t>
        </m:r>
        <m:r>
          <m:t>G</m:t>
        </m:r>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5"/>
        </w:numPr>
      </w:pPr>
      <m:oMath>
        <m:r>
          <m:t>M</m:t>
        </m:r>
        <m:r>
          <m:t>R</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91" w:name="X32462c7e3a0a11848884f7548d4747bc280232c"/>
    <w:p>
      <w:pPr>
        <w:pStyle w:val="Heading3"/>
      </w:pPr>
      <w:r>
        <w:t xml:space="preserve">8.1 Opérations d’assurance vie, décès ou capitalisation :</w:t>
      </w:r>
    </w:p>
    <w:p>
      <w:pPr>
        <w:pStyle w:val="FirstParagraph"/>
      </w:pPr>
      <w:r>
        <w:t xml:space="preserve">L’assurance vie est un instrument financier largement utilisé qui offre une protection et des avantages financiers à long terme. Il s’agit d’un contrat entre un assuré et un assureur, dans lequel l’assuré paie régulièrement des primes en échange d’une garantie de versement d’un capital ou d’une rente à un bénéficiaire désigné en cas de décès de l’assuré. Cependant, l’assurance vie ne se limite pas uniquement à la protection en cas de décès, elle peut également offrir des avantages supplémentaires tels que l’accumulation d’épargne, la constitution d’un capital pour la retraite ou des possibilités de planification successorale.</w:t>
      </w:r>
    </w:p>
    <w:p>
      <w:pPr>
        <w:pStyle w:val="BodyText"/>
      </w:pPr>
      <w:r>
        <w:t xml:space="preserve">L’assurance vie fonctionne sur le principe de la mutualisation des risques. Les primes payées par les assurés sont regroupées pour former un fonds commun, à partir duquel les prestations sont versées aux bénéficiaires advenant le décès de l’assuré. Ce mécanisme permet de protéger financièrement les proches et de garantir une sécurité financière dans des moments difficiles.</w:t>
      </w:r>
    </w:p>
    <w:p>
      <w:pPr>
        <w:pStyle w:val="BodyText"/>
      </w:pPr>
      <w:r>
        <w:t xml:space="preserve">L’une des caractéristiques clés de l’assurance vie est sa nature flexible. Les polices d’assurance vie peuvent être adaptées aux besoins spécifiques de chaque individu, en termes de durée, de montant de la prime et de type de couverture. Il existe différents types d’assurance vie, tels que l’assurance vie temporaire (ou temporaire renouvelable), l’assurance vie entière, l’assurance vie universelle et l’assurance vie variable, offrant ainsi une gamme d’options pour répondre aux objectifs financiers et aux préférences de chacun.</w:t>
      </w:r>
    </w:p>
    <w:bookmarkStart w:id="89" w:name="Xeb1f9d92a4c5859eacf38eb19f2fdc8a983fcd5"/>
    <w:p>
      <w:pPr>
        <w:pStyle w:val="Heading4"/>
      </w:pPr>
      <w:r>
        <w:t xml:space="preserve">8.1.1 Meilleure estimations des engagements (</w:t>
      </w:r>
      <m:oMath>
        <m:r>
          <m:t>B</m:t>
        </m:r>
        <m:sSub>
          <m:e>
            <m:r>
              <m:t>E</m:t>
            </m:r>
          </m:e>
          <m:sub>
            <m:r>
              <m:t>e</m:t>
            </m:r>
            <m:r>
              <m:t>n</m:t>
            </m:r>
            <m:r>
              <m:t>g</m:t>
            </m:r>
          </m:sub>
        </m:sSub>
      </m:oMath>
      <w:r>
        <w:t xml:space="preserve">) :</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r>
            <m:t>B</m:t>
          </m:r>
          <m:sSub>
            <m:e>
              <m:r>
                <m:t>E</m:t>
              </m:r>
            </m:e>
            <m:sub>
              <m:r>
                <m:t>e</m:t>
              </m:r>
              <m:r>
                <m:t>n</m:t>
              </m:r>
              <m:r>
                <m:t>g</m:t>
              </m:r>
            </m:sub>
          </m:sSub>
          <m:r>
            <m:rPr>
              <m:sty m:val="p"/>
            </m:rPr>
            <m:t>=</m:t>
          </m:r>
          <m:r>
            <m:t>B</m:t>
          </m:r>
          <m:r>
            <m:t>E</m:t>
          </m:r>
          <m:r>
            <m:t>G</m:t>
          </m:r>
          <m:r>
            <m:t>P</m:t>
          </m:r>
          <m:r>
            <m:rPr>
              <m:sty m:val="p"/>
            </m:rPr>
            <m:t>+</m:t>
          </m:r>
          <m:r>
            <m:t>B</m:t>
          </m:r>
          <m:r>
            <m:t>D</m:t>
          </m:r>
          <m:r>
            <m:t>F</m:t>
          </m:r>
          <m:r>
            <m:t> </m:t>
          </m:r>
          <m:r>
            <m:rPr>
              <m:sty m:val="p"/>
            </m:rPr>
            <m:t>,</m:t>
          </m:r>
        </m:oMath>
      </m:oMathPara>
    </w:p>
    <w:p>
      <w:pPr>
        <w:pStyle w:val="FirstParagraph"/>
      </w:pPr>
      <w:r>
        <w:t xml:space="preserve">avec :</w:t>
      </w:r>
    </w:p>
    <w:p>
      <w:pPr>
        <w:numPr>
          <w:ilvl w:val="0"/>
          <w:numId w:val="1016"/>
        </w:numPr>
        <w:pStyle w:val="Compact"/>
      </w:pPr>
      <m:oMath>
        <m:r>
          <m:t>B</m:t>
        </m:r>
        <m:r>
          <m:t>E</m:t>
        </m:r>
        <m:r>
          <m:t>G</m:t>
        </m:r>
        <m:r>
          <m:t>P</m:t>
        </m:r>
      </m:oMath>
      <w:r>
        <w:t xml:space="preserve">: la meilleure estimation des garanties probabilisées.</w:t>
      </w:r>
    </w:p>
    <w:p>
      <w:pPr>
        <w:numPr>
          <w:ilvl w:val="0"/>
          <w:numId w:val="1016"/>
        </w:numPr>
        <w:pStyle w:val="Compact"/>
      </w:pPr>
      <m:oMath>
        <m:r>
          <m:t>B</m:t>
        </m:r>
        <m:r>
          <m:t>D</m:t>
        </m:r>
        <m:r>
          <m:t>F</m:t>
        </m:r>
      </m:oMath>
      <w:r>
        <w:t xml:space="preserve">: les bénéfices discrétionnaires futurs.</w:t>
      </w:r>
    </w:p>
    <w:bookmarkStart w:id="87" w:name="sec-MEGP"/>
    <w:p>
      <w:pPr>
        <w:pStyle w:val="Heading5"/>
      </w:pPr>
      <w:r>
        <w:t xml:space="preserve">8.1.1.1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r>
            <m:t>E</m:t>
          </m:r>
          <m:r>
            <m:t>G</m:t>
          </m:r>
          <m:r>
            <m:t>P</m:t>
          </m:r>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D</m:t>
                      </m:r>
                      <m:r>
                        <m:t>e</m:t>
                      </m:r>
                      <m:sSub>
                        <m:e>
                          <m:r>
                            <m:t>c</m:t>
                          </m:r>
                        </m:e>
                        <m:sub>
                          <m:r>
                            <m:t>t</m:t>
                          </m:r>
                        </m:sub>
                      </m:sSub>
                      <m:r>
                        <m:rPr>
                          <m:sty m:val="p"/>
                        </m:rPr>
                        <m:t>−</m:t>
                      </m:r>
                      <m:r>
                        <m:t>E</m:t>
                      </m:r>
                      <m:r>
                        <m:t>n</m:t>
                      </m:r>
                      <m:sSub>
                        <m:e>
                          <m:r>
                            <m:t>c</m:t>
                          </m:r>
                        </m:e>
                        <m:sub>
                          <m:r>
                            <m:t>t</m:t>
                          </m:r>
                        </m:sub>
                      </m:sSub>
                    </m:e>
                  </m:d>
                </m:num>
                <m:den>
                  <m:sSup>
                    <m:e>
                      <m:d>
                        <m:dPr>
                          <m:begChr m:val="("/>
                          <m:endChr m:val=")"/>
                          <m:sepChr m:val=""/>
                          <m:grow/>
                        </m:dPr>
                        <m:e>
                          <m:r>
                            <m:t>1</m:t>
                          </m:r>
                          <m:r>
                            <m:rPr>
                              <m:sty m:val="p"/>
                            </m:rPr>
                            <m:t>+</m:t>
                          </m:r>
                          <m:sSub>
                            <m:e>
                              <m:r>
                                <m:t>r</m:t>
                              </m:r>
                            </m:e>
                            <m:sub>
                              <m:r>
                                <m:t>t</m:t>
                              </m:r>
                            </m:sub>
                          </m:sSub>
                        </m:e>
                      </m:d>
                    </m:e>
                    <m:sup>
                      <m:r>
                        <m:t>t</m:t>
                      </m:r>
                    </m:sup>
                  </m:sSup>
                </m:den>
              </m:f>
            </m:e>
          </m:nary>
          <m:r>
            <m:t> </m:t>
          </m:r>
          <m:r>
            <m:rPr>
              <m:sty m:val="p"/>
            </m:rPr>
            <m:t>,</m:t>
          </m:r>
        </m:oMath>
      </m:oMathPara>
    </w:p>
    <w:p>
      <w:pPr>
        <w:pStyle w:val="FirstParagraph"/>
      </w:pPr>
      <w:r>
        <w:t xml:space="preserve">avec :</w:t>
      </w:r>
    </w:p>
    <w:p>
      <w:pPr>
        <w:numPr>
          <w:ilvl w:val="0"/>
          <w:numId w:val="1017"/>
        </w:numPr>
      </w:pPr>
      <m:oMath>
        <m:r>
          <m:t>E</m:t>
        </m:r>
        <m:r>
          <m:t>n</m:t>
        </m:r>
        <m:sSub>
          <m:e>
            <m:r>
              <m:t>c</m:t>
            </m:r>
          </m:e>
          <m:sub>
            <m:r>
              <m:t>t</m:t>
            </m:r>
          </m:sub>
        </m:sSub>
      </m:oMath>
      <w:r>
        <w:t xml:space="preserve">: Les encaissements à la date</w:t>
      </w:r>
      <w:r>
        <w:t xml:space="preserve"> </w:t>
      </w:r>
      <m:oMath>
        <m:r>
          <m:t>t</m:t>
        </m:r>
      </m:oMath>
      <w:r>
        <w:t xml:space="preserve"> </w:t>
      </w:r>
      <w:r>
        <w:t xml:space="preserve">qui correspondent aux engagements des assurés.</w:t>
      </w:r>
    </w:p>
    <w:p>
      <w:pPr>
        <w:numPr>
          <w:ilvl w:val="0"/>
          <w:numId w:val="1017"/>
        </w:numPr>
      </w:pPr>
      <m:oMath>
        <m:r>
          <m:t>D</m:t>
        </m:r>
        <m:r>
          <m:t>e</m:t>
        </m:r>
        <m:sSub>
          <m:e>
            <m:r>
              <m:t>c</m:t>
            </m:r>
          </m:e>
          <m:sub>
            <m:r>
              <m:t>t</m:t>
            </m:r>
          </m:sub>
        </m:sSub>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7"/>
        </w:numPr>
      </w:pPr>
      <w:r>
        <w:rPr>
          <w:bCs/>
          <w:b/>
        </w:rPr>
        <w:t xml:space="preserve">La table de mortalité</w:t>
      </w:r>
      <w:r>
        <w:t xml:space="preserve">: La table de mortalité TV 88-90 pour les assurances en cas de vie ou la table de mortalité TD 88-90 pour les assurances en cas de décès (</w:t>
      </w:r>
      <w:r>
        <w:rPr>
          <w:bCs/>
          <w:b/>
        </w:rPr>
        <w:t xml:space="preserve">prévues à l’annexe</w:t>
      </w:r>
      <w:r>
        <w:t xml:space="preserve">), auxquelles l’entreprise d’assurances et de réassurance peut substituer une table de mortalité d’expérience, matérialisant la mortalité propre à la population de ses assurés et ce, après accord de l’Autorité ;</w:t>
      </w:r>
    </w:p>
    <w:p>
      <w:pPr>
        <w:numPr>
          <w:ilvl w:val="0"/>
          <w:numId w:val="1017"/>
        </w:numPr>
      </w:pPr>
      <w:r>
        <w:rPr>
          <w:bCs/>
          <w:b/>
        </w:rPr>
        <w:t xml:space="preserve">La table de rachat en montant</w:t>
      </w:r>
      <w:r>
        <w:t xml:space="preserve">.</w:t>
      </w:r>
    </w:p>
    <w:p>
      <w:pPr>
        <w:numPr>
          <w:ilvl w:val="0"/>
          <w:numId w:val="1017"/>
        </w:numPr>
      </w:pPr>
      <w:r>
        <w:rPr>
          <w:bCs/>
          <w:b/>
        </w:rPr>
        <w:t xml:space="preserve">La table de résiliation</w:t>
      </w:r>
      <w:r>
        <w:t xml:space="preserve">.</w:t>
      </w:r>
    </w:p>
    <w:p>
      <w:pPr>
        <w:numPr>
          <w:ilvl w:val="0"/>
          <w:numId w:val="1017"/>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C:\PROGRA~1\RStudio\RESOUR~1\app\bin\quarto\share\formats\docx\tip.png" id="8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1\RStudio\RESOUR~1\app\bin\quarto\share\formats\docx\tip.png" id="8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86"/>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sSub>
                <m:e>
                  <m:r>
                    <m:t>P</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r>
                  <m:t>D</m:t>
                </m:r>
                <m:r>
                  <m:t>e</m:t>
                </m:r>
                <m:sSub>
                  <m:e>
                    <m:r>
                      <m:t>c</m:t>
                    </m:r>
                  </m:e>
                  <m:sub>
                    <m:r>
                      <m:t>t</m:t>
                    </m:r>
                  </m:sub>
                </m:sSub>
                <m:r>
                  <m:rPr>
                    <m:sty m:val="p"/>
                  </m:rPr>
                  <m:t>=</m:t>
                </m:r>
                <m:r>
                  <m:t>K</m:t>
                </m:r>
                <m:r>
                  <m:rPr>
                    <m:sty m:val="p"/>
                  </m:rPr>
                  <m:t>×</m:t>
                </m:r>
                <m:r>
                  <m:t>N</m:t>
                </m:r>
                <m:r>
                  <m:t>b</m:t>
                </m:r>
                <m:sSub>
                  <m:e>
                    <m:r>
                      <m:t>P</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r>
                  <m:t> </m:t>
                </m:r>
                <m:r>
                  <m:rPr>
                    <m:sty m:val="p"/>
                  </m:rPr>
                  <m:t>,</m:t>
                </m:r>
              </m:oMath>
            </m:oMathPara>
          </w:p>
        </w:tc>
      </w:tr>
    </w:tbl>
    <w:bookmarkEnd w:id="87"/>
    <w:bookmarkStart w:id="88" w:name="bénéfices-discrétionnaires-futurs"/>
    <w:p>
      <w:pPr>
        <w:pStyle w:val="Heading5"/>
      </w:pPr>
      <w:r>
        <w:t xml:space="preserve">8.1.1.2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bar>
            <m:barPr>
              <m:pos m:val="top"/>
            </m:barPr>
            <m:e>
              <m:r>
                <m:t>T</m:t>
              </m:r>
              <m:r>
                <m:t>P</m:t>
              </m:r>
              <m:r>
                <m:t>B</m:t>
              </m:r>
            </m:e>
          </m:bar>
          <m:r>
            <m:rPr>
              <m:sty m:val="p"/>
            </m:rPr>
            <m:t>×</m:t>
          </m:r>
          <m:d>
            <m:dPr>
              <m:begChr m:val="("/>
              <m:endChr m:val=")"/>
              <m:sepChr m:val=""/>
              <m:grow/>
            </m:dPr>
            <m:e>
              <m:r>
                <m:t>S</m:t>
              </m:r>
              <m:r>
                <m:t>T</m:t>
              </m:r>
              <m:r>
                <m:rPr>
                  <m:sty m:val="p"/>
                </m:rPr>
                <m:t>+</m:t>
              </m:r>
              <m:r>
                <m:t>S</m:t>
              </m:r>
              <m:r>
                <m:t>F</m:t>
              </m:r>
            </m:e>
          </m:d>
          <m:r>
            <m:rPr>
              <m:sty m:val="p"/>
            </m:rPr>
            <m:t>×</m:t>
          </m:r>
          <m:sSub>
            <m:e>
              <m:r>
                <m:rPr>
                  <m:sty m:val="b"/>
                </m:rPr>
                <m:t>1</m:t>
              </m:r>
            </m:e>
            <m:sub>
              <m:d>
                <m:dPr>
                  <m:begChr m:val="("/>
                  <m:endChr m:val=")"/>
                  <m:sepChr m:val=""/>
                  <m:grow/>
                </m:dPr>
                <m:e>
                  <m:r>
                    <m:t>S</m:t>
                  </m:r>
                  <m:r>
                    <m:t>T</m:t>
                  </m:r>
                  <m:r>
                    <m:rPr>
                      <m:sty m:val="p"/>
                    </m:rPr>
                    <m:t>+</m:t>
                  </m:r>
                  <m:r>
                    <m:t>S</m:t>
                  </m:r>
                  <m:r>
                    <m:t>F</m:t>
                  </m:r>
                </m:e>
              </m:d>
              <m:r>
                <m:rPr>
                  <m:sty m:val="p"/>
                </m:rPr>
                <m:t>&gt;</m:t>
              </m:r>
              <m:r>
                <m:t>0</m:t>
              </m:r>
            </m:sub>
          </m:sSub>
          <m:r>
            <m:rPr>
              <m:sty m:val="p"/>
            </m:rPr>
            <m:t>,</m:t>
          </m:r>
        </m:oMath>
      </m:oMathPara>
    </w:p>
    <w:p>
      <w:pPr>
        <w:pStyle w:val="FirstParagraph"/>
      </w:pPr>
      <w:r>
        <w:t xml:space="preserve">avec :</w:t>
      </w:r>
    </w:p>
    <w:p>
      <w:pPr>
        <w:numPr>
          <w:ilvl w:val="0"/>
          <w:numId w:val="1018"/>
        </w:numPr>
      </w:pPr>
      <m:oMath>
        <m:r>
          <m:t>P</m:t>
        </m:r>
        <m:r>
          <m:t>P</m:t>
        </m:r>
        <m:r>
          <m:t>B</m:t>
        </m:r>
      </m:oMath>
      <w:r>
        <w:t xml:space="preserve"> </w:t>
      </w:r>
      <w:r>
        <w:t xml:space="preserve">: Le montant de la provision pour participation aux bénéfices, évaluée à la valeur comptable.</w:t>
      </w:r>
    </w:p>
    <w:p>
      <w:pPr>
        <w:numPr>
          <w:ilvl w:val="0"/>
          <w:numId w:val="1018"/>
        </w:numPr>
      </w:pPr>
      <m:oMath>
        <m:r>
          <m:t>S</m:t>
        </m:r>
        <m:r>
          <m:t>T</m:t>
        </m:r>
      </m:oMath>
      <w:r>
        <w:t xml:space="preserve"> </w:t>
      </w:r>
      <w:r>
        <w:t xml:space="preserve">: Somme des soldes techniques.</w:t>
      </w:r>
    </w:p>
    <w:p>
      <w:pPr>
        <w:numPr>
          <w:ilvl w:val="0"/>
          <w:numId w:val="1018"/>
        </w:numPr>
      </w:pPr>
      <m:oMath>
        <m:bar>
          <m:barPr>
            <m:pos m:val="top"/>
          </m:barPr>
          <m:e>
            <m:r>
              <m:t>T</m:t>
            </m:r>
            <m:r>
              <m:t>P</m:t>
            </m:r>
            <m:r>
              <m:t>B</m:t>
            </m:r>
          </m:e>
        </m:bar>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bar>
            <m:barPr>
              <m:pos m:val="top"/>
            </m:barPr>
            <m:e>
              <m:r>
                <m:t>T</m:t>
              </m:r>
              <m:r>
                <m:t>P</m:t>
              </m:r>
              <m:r>
                <m:t>B</m:t>
              </m:r>
            </m:e>
          </m:bar>
          <m:r>
            <m:rPr>
              <m:sty m:val="p"/>
            </m:rPr>
            <m:t>=</m:t>
          </m:r>
          <m:f>
            <m:fPr>
              <m:type m:val="bar"/>
            </m:fPr>
            <m:num>
              <m:r>
                <m:t>D</m:t>
              </m:r>
              <m:r>
                <m:t>o</m:t>
              </m:r>
              <m:r>
                <m:t>t</m:t>
              </m:r>
            </m:num>
            <m:den>
              <m:r>
                <m:t>R</m:t>
              </m:r>
              <m:r>
                <m:t>T</m:t>
              </m:r>
              <m:r>
                <m:rPr>
                  <m:sty m:val="p"/>
                </m:rPr>
                <m:t>+</m:t>
              </m:r>
              <m:r>
                <m:t>R</m:t>
              </m:r>
              <m:r>
                <m:t>F</m:t>
              </m:r>
            </m:den>
          </m:f>
          <m:r>
            <m:rPr>
              <m:sty m:val="p"/>
            </m:rPr>
            <m:t>,</m:t>
          </m:r>
        </m:oMath>
      </m:oMathPara>
    </w:p>
    <w:p>
      <w:pPr>
        <w:pStyle w:val="FirstParagraph"/>
      </w:pPr>
      <w:r>
        <w:t xml:space="preserve">avec :</w:t>
      </w:r>
    </w:p>
    <w:p>
      <w:pPr>
        <w:numPr>
          <w:ilvl w:val="0"/>
          <w:numId w:val="1019"/>
        </w:numPr>
        <w:pStyle w:val="Compact"/>
      </w:pPr>
      <m:oMath>
        <m:r>
          <m:t>D</m:t>
        </m:r>
        <m:r>
          <m:t>o</m:t>
        </m:r>
        <m:r>
          <m:t>t</m:t>
        </m:r>
      </m:oMath>
      <w:r>
        <w:t xml:space="preserve"> </w:t>
      </w:r>
      <w:r>
        <w:t xml:space="preserve">: somme des dotations au titre, des trois derniers exercices clos au moins.</w:t>
      </w:r>
    </w:p>
    <w:p>
      <w:pPr>
        <w:numPr>
          <w:ilvl w:val="0"/>
          <w:numId w:val="1019"/>
        </w:numPr>
        <w:pStyle w:val="Compact"/>
      </w:pPr>
      <m:oMath>
        <m:r>
          <m:t>R</m:t>
        </m:r>
        <m:r>
          <m:t>T</m:t>
        </m:r>
      </m:oMath>
      <w:r>
        <w:t xml:space="preserve"> </w:t>
      </w:r>
      <w:r>
        <w:t xml:space="preserve">:les résultats techniques.</w:t>
      </w:r>
    </w:p>
    <w:p>
      <w:pPr>
        <w:numPr>
          <w:ilvl w:val="0"/>
          <w:numId w:val="1019"/>
        </w:numPr>
        <w:pStyle w:val="Compact"/>
      </w:pPr>
      <m:oMath>
        <m:r>
          <m:t>R</m:t>
        </m:r>
        <m:r>
          <m:t>F</m:t>
        </m:r>
      </m:oMath>
      <w:r>
        <w:t xml:space="preserve"> </w:t>
      </w:r>
      <w:r>
        <w:t xml:space="preserve">:les résultats financiers.</w:t>
      </w:r>
    </w:p>
    <w:bookmarkEnd w:id="88"/>
    <w:bookmarkEnd w:id="89"/>
    <w:bookmarkStart w:id="90" w:name="Xb36307078f8a6b20714aed4cb695975c0bea969"/>
    <w:p>
      <w:pPr>
        <w:pStyle w:val="Heading4"/>
      </w:pPr>
      <w:r>
        <w:t xml:space="preserve">8.1.2 Meilleure estimation des frais de gestions (</w:t>
      </w:r>
      <m:oMath>
        <m:r>
          <m:t>B</m:t>
        </m:r>
        <m:r>
          <m:t>E</m:t>
        </m:r>
        <m:r>
          <m:t>F</m:t>
        </m:r>
        <m:r>
          <m:t>G</m:t>
        </m:r>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r>
            <m:t>E</m:t>
          </m:r>
          <m:r>
            <m:t>F</m:t>
          </m:r>
          <m:r>
            <m:t>G</m:t>
          </m:r>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sSub>
            <m:e>
              <m:r>
                <m:t>C</m:t>
              </m:r>
            </m:e>
            <m:sub>
              <m:r>
                <m:t>t</m:t>
              </m:r>
            </m:sub>
          </m:sSub>
          <m:r>
            <m:rPr>
              <m:sty m:val="p"/>
            </m:rPr>
            <m:t>×</m:t>
          </m:r>
          <m:bar>
            <m:barPr>
              <m:pos m:val="top"/>
            </m:barPr>
            <m:e>
              <m:r>
                <m:t>F</m:t>
              </m:r>
              <m:r>
                <m:t>G</m:t>
              </m:r>
              <m:sSub>
                <m:e>
                  <m:r>
                    <m:t>U</m:t>
                  </m:r>
                </m:e>
                <m:sub>
                  <m:r>
                    <m:t>t</m:t>
                  </m:r>
                </m:sub>
              </m:sSub>
            </m:e>
          </m:bar>
          <m:r>
            <m:t> </m:t>
          </m:r>
          <m:r>
            <m:rPr>
              <m:sty m:val="p"/>
            </m:rPr>
            <m:t>,</m:t>
          </m:r>
        </m:oMath>
      </m:oMathPara>
    </w:p>
    <w:p>
      <w:pPr>
        <w:pStyle w:val="FirstParagraph"/>
      </w:pPr>
      <w:r>
        <w:t xml:space="preserve">avec :</w:t>
      </w:r>
    </w:p>
    <w:p>
      <w:pPr>
        <w:numPr>
          <w:ilvl w:val="0"/>
          <w:numId w:val="1020"/>
        </w:numPr>
        <w:pStyle w:val="Compact"/>
      </w:pPr>
      <m:oMath>
        <m:sSub>
          <m:e>
            <m:acc>
              <m:accPr>
                <m:chr m:val="‾"/>
              </m:accPr>
              <m:e>
                <m:r>
                  <m:t>F</m:t>
                </m:r>
                <m:r>
                  <m:t>G</m:t>
                </m:r>
                <m:r>
                  <m:t>U</m:t>
                </m:r>
              </m:e>
            </m:acc>
          </m:e>
          <m:sub>
            <m:r>
              <m:t>t</m:t>
            </m:r>
          </m:sub>
        </m:sSub>
      </m:oMath>
      <w:r>
        <w:t xml:space="preserve"> </w:t>
      </w:r>
      <w:r>
        <w:t xml:space="preserve">: Le montant de frais de gestion unitaire moyen est estimé en considérant la moyenne sur les trois derniers exercices clos des montants de frais de gestion unitaires.</w:t>
      </w:r>
    </w:p>
    <w:p>
      <w:pPr>
        <w:numPr>
          <w:ilvl w:val="0"/>
          <w:numId w:val="1020"/>
        </w:numPr>
        <w:pStyle w:val="Compact"/>
      </w:pPr>
      <m:oMath>
        <m:r>
          <m:t>N</m:t>
        </m:r>
        <m:r>
          <m:t>b</m:t>
        </m:r>
        <m:sSub>
          <m:e>
            <m:r>
              <m:t>C</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20"/>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bar>
            <m:barPr>
              <m:pos m:val="top"/>
            </m:barPr>
            <m:e>
              <m:r>
                <m:t>F</m:t>
              </m:r>
              <m:r>
                <m:t>G</m:t>
              </m:r>
              <m:sSub>
                <m:e>
                  <m:r>
                    <m:t>U</m:t>
                  </m:r>
                </m:e>
                <m:sub>
                  <m:r>
                    <m:t>t</m:t>
                  </m:r>
                </m:sub>
              </m:sSub>
            </m:e>
          </m:bar>
          <m:r>
            <m:rPr>
              <m:sty m:val="p"/>
            </m:rPr>
            <m:t>=</m:t>
          </m:r>
          <m:f>
            <m:fPr>
              <m:type m:val="bar"/>
            </m:fPr>
            <m:num>
              <m:r>
                <m:t>1</m:t>
              </m:r>
            </m:num>
            <m:den>
              <m:r>
                <m:t>3</m:t>
              </m:r>
            </m:den>
          </m:f>
          <m:r>
            <m:rPr>
              <m:sty m:val="p"/>
            </m:rPr>
            <m:t>×</m:t>
          </m:r>
          <m:d>
            <m:dPr>
              <m:begChr m:val="("/>
              <m:endChr m:val=")"/>
              <m:sepChr m:val=""/>
              <m:grow/>
            </m:dPr>
            <m:e>
              <m:f>
                <m:fPr>
                  <m:type m:val="bar"/>
                </m:fPr>
                <m:num>
                  <m:r>
                    <m:t>F</m:t>
                  </m:r>
                  <m:sSub>
                    <m:e>
                      <m:r>
                        <m:t>G</m:t>
                      </m:r>
                    </m:e>
                    <m:sub>
                      <m:r>
                        <m:t>t</m:t>
                      </m:r>
                      <m:r>
                        <m:rPr>
                          <m:sty m:val="p"/>
                        </m:rPr>
                        <m:t>−</m:t>
                      </m:r>
                      <m:r>
                        <m:t>1</m:t>
                      </m:r>
                    </m:sub>
                  </m:sSub>
                </m:num>
                <m:den>
                  <m:r>
                    <m:t>N</m:t>
                  </m:r>
                  <m:r>
                    <m:t>b</m:t>
                  </m:r>
                  <m:sSub>
                    <m:e>
                      <m:r>
                        <m:t>C</m:t>
                      </m:r>
                    </m:e>
                    <m:sub>
                      <m:r>
                        <m:t>t</m:t>
                      </m:r>
                      <m:r>
                        <m:rPr>
                          <m:sty m:val="p"/>
                        </m:rPr>
                        <m:t>−</m:t>
                      </m:r>
                      <m:r>
                        <m:t>1</m:t>
                      </m:r>
                    </m:sub>
                  </m:sSub>
                </m:den>
              </m:f>
              <m:r>
                <m:rPr>
                  <m:sty m:val="p"/>
                </m:rPr>
                <m:t>+</m:t>
              </m:r>
              <m:f>
                <m:fPr>
                  <m:type m:val="bar"/>
                </m:fPr>
                <m:num>
                  <m:r>
                    <m:t>F</m:t>
                  </m:r>
                  <m:sSub>
                    <m:e>
                      <m:r>
                        <m:t>G</m:t>
                      </m:r>
                    </m:e>
                    <m:sub>
                      <m:r>
                        <m:t>t</m:t>
                      </m:r>
                      <m:r>
                        <m:rPr>
                          <m:sty m:val="p"/>
                        </m:rPr>
                        <m:t>−</m:t>
                      </m:r>
                      <m:r>
                        <m:t>2</m:t>
                      </m:r>
                    </m:sub>
                  </m:sSub>
                </m:num>
                <m:den>
                  <m:r>
                    <m:t>N</m:t>
                  </m:r>
                  <m:r>
                    <m:t>b</m:t>
                  </m:r>
                  <m:sSub>
                    <m:e>
                      <m:r>
                        <m:t>C</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sSub>
                    <m:e>
                      <m:r>
                        <m:t>C</m:t>
                      </m:r>
                    </m:e>
                    <m:sub>
                      <m:r>
                        <m:t>t</m:t>
                      </m:r>
                      <m:r>
                        <m:rPr>
                          <m:sty m:val="p"/>
                        </m:rPr>
                        <m:t>−</m:t>
                      </m:r>
                      <m:r>
                        <m:t>3</m:t>
                      </m:r>
                    </m:sub>
                  </m:sSub>
                </m:den>
              </m:f>
            </m:e>
          </m:d>
        </m:oMath>
      </m:oMathPara>
    </w:p>
    <w:bookmarkEnd w:id="90"/>
    <w:bookmarkEnd w:id="91"/>
    <w:bookmarkStart w:id="92" w:name="rentes-découlants-des-opérations-non-vie"/>
    <w:p>
      <w:pPr>
        <w:pStyle w:val="Heading3"/>
      </w:pPr>
      <w:r>
        <w:t xml:space="preserve">8.2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e</m:t>
              </m:r>
              <m:r>
                <m:t>n</m:t>
              </m:r>
              <m:r>
                <m:t>g</m:t>
              </m:r>
            </m:sub>
          </m:sSub>
          <m:r>
            <m:rPr>
              <m:sty m:val="p"/>
            </m:rPr>
            <m:t>=</m:t>
          </m:r>
          <m:r>
            <m:t>B</m:t>
          </m:r>
          <m:r>
            <m:t>E</m:t>
          </m:r>
          <m:r>
            <m:t>G</m:t>
          </m:r>
          <m:r>
            <m:t>P</m:t>
          </m:r>
          <m:r>
            <m:t> </m:t>
          </m:r>
          <m:r>
            <m:rPr>
              <m:sty m:val="p"/>
            </m:rPr>
            <m:t>,</m:t>
          </m:r>
        </m:oMath>
      </m:oMathPara>
    </w:p>
    <w:p>
      <w:pPr>
        <w:pStyle w:val="FirstParagraph"/>
      </w:pPr>
      <w:r>
        <w:t xml:space="preserve">avec :</w:t>
      </w:r>
    </w:p>
    <w:p>
      <w:pPr>
        <w:numPr>
          <w:ilvl w:val="0"/>
          <w:numId w:val="1021"/>
        </w:numPr>
        <w:pStyle w:val="Compact"/>
      </w:pPr>
      <m:oMath>
        <m:r>
          <m:t>B</m:t>
        </m:r>
        <m:sSub>
          <m:e>
            <m:r>
              <m:t>E</m:t>
            </m:r>
          </m:e>
          <m:sub>
            <m:r>
              <m:t>e</m:t>
            </m:r>
            <m:r>
              <m:t>n</m:t>
            </m:r>
            <m:r>
              <m:t>g</m:t>
            </m:r>
          </m:sub>
        </m:sSub>
      </m:oMath>
      <w:r>
        <w:t xml:space="preserve"> </w:t>
      </w:r>
      <w:r>
        <w:t xml:space="preserve">: la meilleure estimation rentes découlant des opérations d’assurance non vie.</w:t>
      </w:r>
    </w:p>
    <w:p>
      <w:pPr>
        <w:numPr>
          <w:ilvl w:val="0"/>
          <w:numId w:val="1021"/>
        </w:numPr>
        <w:pStyle w:val="Compact"/>
      </w:pPr>
      <m:oMath>
        <m:r>
          <m:t>B</m:t>
        </m:r>
        <m:r>
          <m:t>E</m:t>
        </m:r>
        <m:r>
          <m:t>G</m:t>
        </m:r>
        <m:r>
          <m:t>P</m:t>
        </m:r>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92"/>
    <w:bookmarkStart w:id="121" w:name="X95164bc6af2e862e4c417e49c6d46de2a1b5d80"/>
    <w:p>
      <w:pPr>
        <w:pStyle w:val="Heading3"/>
      </w:pPr>
      <w:r>
        <w:t xml:space="preserve">8.3 Opérations d’assurance non vie hors rentes:</w:t>
      </w:r>
    </w:p>
    <w:p>
      <w:pPr>
        <w:pStyle w:val="FirstParagraph"/>
      </w:pPr>
      <w:r>
        <w:t xml:space="preserve">L’assurance non-vie, également connue sous le nom d’assurance dommages, est un secteur d’assurance qui vise à protéger les biens et les responsabilités des individus et des entreprises contre divers risques. Et il couvre une vaste gamme de domaines, tels que les accidents, les catastrophes naturelles, les dommages matériels, la responsabilité civile, les pertes financières, les vols et bien d’autres encore,</w:t>
      </w:r>
      <m:oMath>
        <m:r>
          <m:rPr>
            <m:sty m:val="p"/>
          </m:rPr>
          <m:t>…</m:t>
        </m:r>
      </m:oMath>
    </w:p>
    <w:p>
      <w:pPr>
        <w:pStyle w:val="BodyText"/>
      </w:pPr>
      <w:r>
        <w:t xml:space="preserve">Aussi l’assurance non vie repose sur le principe de la mutualisation des risques, telle que Les assurés paient des primes périodiques à une compagnie d’assurance en échange d’une garantie de recevoir une indemnisation en cas de sinistre. L’assureur collecte les primes de nombreux assurés et utilise ces fonds pour couvrir les pertes subies par ceux qui ont subi des dommages assurés. Ainsi, l’assurance non-vie permet de répartir les risques et de fournir une protection financière contre les événements imprévus qui pourraient causer des pertes matérielles ou des responsabilités juridiques.</w:t>
      </w:r>
    </w:p>
    <w:p>
      <w:pPr>
        <w:pStyle w:val="BodyText"/>
      </w:pPr>
      <w:r>
        <w:t xml:space="preserve">L’assurance non-vie offre une grande variété de produits et de polices adaptés à différents besoins. Parmi les exemples courants d’assurances non-vie, on trouve l’assurance automobile, l’assurance habitation, l’assurance responsabilité civile, l’assurance santé, l’assurance voyage et l’assurance entreprise. Chacune de ces polices est conçue pour offrir une protection spécifique contre les risques liés à ces domaines.</w:t>
      </w:r>
    </w:p>
    <w:bookmarkStart w:id="119" w:name="la-meilleure-estimation-des-engagements"/>
    <w:p>
      <w:pPr>
        <w:pStyle w:val="Heading4"/>
      </w:pPr>
      <w:r>
        <w:t xml:space="preserve">8.3.1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r>
            <m:t>B</m:t>
          </m:r>
          <m:sSub>
            <m:e>
              <m:r>
                <m:t>E</m:t>
              </m:r>
            </m:e>
            <m:sub>
              <m:r>
                <m:t>e</m:t>
              </m:r>
              <m:r>
                <m:t>n</m:t>
              </m:r>
              <m:r>
                <m:t>g</m:t>
              </m:r>
            </m:sub>
          </m:sSub>
          <m:r>
            <m:rPr>
              <m:sty m:val="p"/>
            </m:rPr>
            <m:t>=</m:t>
          </m:r>
          <m:r>
            <m:t>B</m:t>
          </m:r>
          <m:r>
            <m:t>E</m:t>
          </m:r>
          <m:r>
            <m:t>S</m:t>
          </m:r>
          <m:r>
            <m:rPr>
              <m:sty m:val="p"/>
            </m:rPr>
            <m:t>+</m:t>
          </m:r>
          <m:r>
            <m:t>B</m:t>
          </m:r>
          <m:r>
            <m:t>E</m:t>
          </m:r>
          <m:r>
            <m:t>P</m:t>
          </m:r>
        </m:oMath>
      </m:oMathPara>
    </w:p>
    <w:bookmarkStart w:id="93" w:name="X9db0096445a49d940cc69c0286ca1bcb6499e49"/>
    <w:p>
      <w:pPr>
        <w:pStyle w:val="Heading5"/>
      </w:pPr>
      <w:r>
        <w:t xml:space="preserve">8.3.1.1 La meilleure estimation des engagements pour primes(</w:t>
      </w:r>
      <m:oMath>
        <m:r>
          <m:t>B</m:t>
        </m:r>
        <m:r>
          <m:t>E</m:t>
        </m:r>
        <m:r>
          <m:t>P</m:t>
        </m:r>
      </m:oMath>
      <w:r>
        <w:t xml:space="preserve">):</w:t>
      </w:r>
    </w:p>
    <w:p>
      <w:pPr>
        <w:pStyle w:val="FirstParagraph"/>
      </w:pPr>
      <w:r>
        <w:t xml:space="preserve">La meilleure estimation des engagements pour primes correspond à la différence entre :</w:t>
      </w:r>
    </w:p>
    <w:p>
      <w:pPr>
        <w:numPr>
          <w:ilvl w:val="0"/>
          <w:numId w:val="1022"/>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2"/>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r>
            <m:t>B</m:t>
          </m:r>
          <m:r>
            <m:t>E</m:t>
          </m:r>
          <m:r>
            <m:t>P</m:t>
          </m:r>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r>
            <m:t> </m:t>
          </m:r>
          <m:r>
            <m:rPr>
              <m:sty m:val="p"/>
            </m:rPr>
            <m:t>,</m:t>
          </m:r>
        </m:oMath>
      </m:oMathPara>
    </w:p>
    <w:p>
      <w:pPr>
        <w:pStyle w:val="FirstParagraph"/>
      </w:pPr>
      <w:r>
        <w:t xml:space="preserve">avec:</w:t>
      </w:r>
    </w:p>
    <w:p>
      <w:pPr>
        <w:numPr>
          <w:ilvl w:val="0"/>
          <w:numId w:val="1023"/>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3"/>
        </w:numPr>
        <w:pStyle w:val="Compact"/>
      </w:pPr>
      <m:oMath>
        <m:r>
          <m:t>P</m:t>
        </m:r>
        <m:r>
          <m:t>F</m:t>
        </m:r>
        <m:r>
          <m:t>P</m:t>
        </m:r>
      </m:oMath>
      <w:r>
        <w:t xml:space="preserve">: Le montant des primes futures probabilisé.</w:t>
      </w:r>
    </w:p>
    <w:p>
      <w:pPr>
        <w:numPr>
          <w:ilvl w:val="0"/>
          <w:numId w:val="1023"/>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r>
            <m:t>L</m:t>
          </m:r>
          <m:r>
            <m:rPr>
              <m:sty m:val="p"/>
            </m:rPr>
            <m:t>*</m:t>
          </m:r>
          <m:bar>
            <m:barPr>
              <m:pos m:val="top"/>
            </m:barPr>
            <m:e>
              <m:r>
                <m:t>R</m:t>
              </m:r>
              <m:r>
                <m:t>S</m:t>
              </m:r>
            </m:e>
          </m:bar>
          <m:r>
            <m:rPr>
              <m:sty m:val="p"/>
            </m:rPr>
            <m:t>*</m:t>
          </m:r>
          <m:d>
            <m:dPr>
              <m:begChr m:val="("/>
              <m:endChr m:val=")"/>
              <m:sepChr m:val=""/>
              <m:grow/>
            </m:dPr>
            <m:e>
              <m:r>
                <m:t>P</m:t>
              </m:r>
              <m:r>
                <m:t>P</m:t>
              </m:r>
              <m:r>
                <m:t>N</m:t>
              </m:r>
              <m:r>
                <m:t>A</m:t>
              </m:r>
              <m:r>
                <m:rPr>
                  <m:sty m:val="p"/>
                </m:rPr>
                <m:t>+</m:t>
              </m:r>
              <m:r>
                <m:t>P</m:t>
              </m:r>
              <m:r>
                <m:t>F</m:t>
              </m:r>
              <m:r>
                <m:t>P</m:t>
              </m:r>
            </m:e>
          </m:d>
          <m:r>
            <m:rPr>
              <m:sty m:val="p"/>
            </m:rPr>
            <m:t>,</m:t>
          </m:r>
        </m:oMath>
      </m:oMathPara>
    </w:p>
    <w:p>
      <w:pPr>
        <w:pStyle w:val="FirstParagraph"/>
      </w:pPr>
      <w:r>
        <w:t xml:space="preserve">où:</w:t>
      </w:r>
    </w:p>
    <w:p>
      <w:pPr>
        <w:numPr>
          <w:ilvl w:val="0"/>
          <w:numId w:val="1024"/>
        </w:numPr>
        <w:pStyle w:val="Compact"/>
      </w:pPr>
      <m:oMath>
        <m:r>
          <m:t>T</m:t>
        </m:r>
        <m:r>
          <m:t>L</m:t>
        </m:r>
      </m:oMath>
      <w:r>
        <w:t xml:space="preserve">: le taux de liquidation, il est estimé en fonction de la cadence de liquidation des engagements pour sinistres survenus.</w:t>
      </w:r>
    </w:p>
    <w:p>
      <w:pPr>
        <w:numPr>
          <w:ilvl w:val="0"/>
          <w:numId w:val="1024"/>
        </w:numPr>
        <w:pStyle w:val="Compact"/>
      </w:pPr>
      <m:oMath>
        <m:bar>
          <m:barPr>
            <m:pos m:val="top"/>
          </m:barPr>
          <m:e>
            <m:r>
              <m:t>R</m:t>
            </m:r>
            <m:r>
              <m:t>S</m:t>
            </m:r>
          </m:e>
        </m:bar>
      </m:oMath>
      <w:r>
        <w:t xml:space="preserve">: le ratio de sinistralité moyen telle que:</w:t>
      </w:r>
    </w:p>
    <w:p>
      <w:pPr>
        <w:pStyle w:val="Compact"/>
      </w:pPr>
      <m:oMathPara>
        <m:oMathParaPr>
          <m:jc m:val="center"/>
        </m:oMathParaPr>
        <m:oMath>
          <m:sSub>
            <m:e>
              <m:bar>
                <m:barPr>
                  <m:pos m:val="top"/>
                </m:barPr>
                <m:e>
                  <m:r>
                    <m:t>R</m:t>
                  </m:r>
                  <m:r>
                    <m:t>S</m:t>
                  </m:r>
                </m:e>
              </m:bar>
            </m:e>
            <m:sub>
              <m:r>
                <m:t>t</m:t>
              </m:r>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r>
            <m:rPr>
              <m:sty m:val="p"/>
            </m:rPr>
            <m:t>,</m:t>
          </m:r>
        </m:oMath>
      </m:oMathPara>
    </w:p>
    <w:p>
      <w:pPr>
        <w:pStyle w:val="FirstParagraph"/>
      </w:pPr>
      <w:r>
        <w:t xml:space="preserve">avec :</w:t>
      </w:r>
    </w:p>
    <w:p>
      <w:pPr>
        <w:numPr>
          <w:ilvl w:val="0"/>
          <w:numId w:val="1025"/>
        </w:numPr>
        <w:pStyle w:val="Compact"/>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5"/>
        </w:numPr>
        <w:pStyle w:val="Compact"/>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è</m:t>
          </m:r>
          <m:r>
            <m:t>g</m:t>
          </m:r>
          <m:sSub>
            <m:e>
              <m:r>
                <m:t>C</m:t>
              </m:r>
            </m:e>
            <m:sub>
              <m:r>
                <m:t>t</m:t>
              </m:r>
            </m:sub>
          </m:sSub>
          <m:r>
            <m:rPr>
              <m:sty m:val="p"/>
            </m:rPr>
            <m:t>+</m:t>
          </m:r>
          <m:r>
            <m:t>R</m:t>
          </m:r>
          <m:r>
            <m:t>è</m:t>
          </m:r>
          <m:r>
            <m:t>g</m:t>
          </m:r>
          <m:sSub>
            <m:e>
              <m:r>
                <m:t>F</m:t>
              </m:r>
            </m:e>
            <m:sub>
              <m:r>
                <m:t>t</m:t>
              </m:r>
            </m:sub>
          </m:sSub>
          <m:r>
            <m:t> </m:t>
          </m:r>
          <m:r>
            <m:rPr>
              <m:sty m:val="p"/>
            </m:rPr>
            <m:t>,</m:t>
          </m:r>
        </m:oMath>
      </m:oMathPara>
    </w:p>
    <w:p>
      <w:pPr>
        <w:pStyle w:val="FirstParagraph"/>
      </w:pPr>
      <w:r>
        <w:t xml:space="preserve">avec :</w:t>
      </w:r>
    </w:p>
    <w:p>
      <w:pPr>
        <w:numPr>
          <w:ilvl w:val="0"/>
          <w:numId w:val="1026"/>
        </w:numPr>
        <w:pStyle w:val="Compact"/>
      </w:pPr>
      <m:oMath>
        <m:r>
          <m:t>R</m:t>
        </m:r>
        <m:r>
          <m:t>è</m:t>
        </m:r>
        <m:r>
          <m:t>g</m:t>
        </m:r>
        <m:sSub>
          <m:e>
            <m:r>
              <m:t>C</m:t>
            </m:r>
          </m:e>
          <m:sub>
            <m:r>
              <m:t>t</m:t>
            </m:r>
          </m:sub>
        </m:sSub>
      </m:oMath>
      <w:r>
        <w:t xml:space="preserve"> </w:t>
      </w:r>
      <w:r>
        <w:t xml:space="preserve">: les règlements cumulés.</w:t>
      </w:r>
    </w:p>
    <w:p>
      <w:pPr>
        <w:numPr>
          <w:ilvl w:val="0"/>
          <w:numId w:val="1026"/>
        </w:numPr>
        <w:pStyle w:val="Compact"/>
      </w:pPr>
      <m:oMath>
        <m:r>
          <m:t>R</m:t>
        </m:r>
        <m:r>
          <m:t>è</m:t>
        </m:r>
        <m:r>
          <m:t>g</m:t>
        </m:r>
        <m:sSub>
          <m:e>
            <m:r>
              <m:t>F</m:t>
            </m:r>
          </m:e>
          <m:sub>
            <m:r>
              <m:t>t</m:t>
            </m:r>
          </m:sub>
        </m:sSub>
      </m:oMath>
      <w:r>
        <w:t xml:space="preserve">: les règlements futurs.</w:t>
      </w:r>
    </w:p>
    <w:p>
      <w:pPr>
        <w:numPr>
          <w:ilvl w:val="0"/>
          <w:numId w:val="1026"/>
        </w:numPr>
        <w:pStyle w:val="Compact"/>
      </w:pPr>
      <m:oMath>
        <m:r>
          <m:t>P</m:t>
        </m:r>
        <m:r>
          <m:t>P</m:t>
        </m:r>
        <m:r>
          <m:t>N</m:t>
        </m:r>
        <m:r>
          <m:t>A</m:t>
        </m:r>
      </m:oMath>
      <w:r>
        <w:t xml:space="preserve">: La provision pour primes non acquises.</w:t>
      </w:r>
    </w:p>
    <w:p>
      <w:pPr>
        <w:numPr>
          <w:ilvl w:val="0"/>
          <w:numId w:val="1026"/>
        </w:numPr>
        <w:pStyle w:val="Compact"/>
      </w:pPr>
      <m:oMath>
        <m:r>
          <m:t>P</m:t>
        </m:r>
        <m:r>
          <m:t>F</m:t>
        </m:r>
        <m:r>
          <m:t>P</m:t>
        </m:r>
      </m:oMath>
      <w:r>
        <w:t xml:space="preserve">: Le montant des primes futures probabilisé.</w:t>
      </w:r>
    </w:p>
    <w:bookmarkEnd w:id="93"/>
    <w:bookmarkStart w:id="94" w:name="Xb466634c561e035f1de049d287c041259c7ccc5"/>
    <w:p>
      <w:pPr>
        <w:pStyle w:val="Heading5"/>
      </w:pPr>
      <w:r>
        <w:t xml:space="preserve">8.3.1.2 La meilleure estimation des engagements pour sinistres nets (</w:t>
      </w:r>
      <m:oMath>
        <m:r>
          <m:t>B</m:t>
        </m:r>
        <m:r>
          <m:t>E</m:t>
        </m:r>
        <m:r>
          <m:t>S</m:t>
        </m:r>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r>
            <m:t>B</m:t>
          </m:r>
          <m:r>
            <m:t>E</m:t>
          </m:r>
          <m:r>
            <m:t>S</m:t>
          </m:r>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oMath>
      </m:oMathPara>
    </w:p>
    <w:p>
      <w:pPr>
        <w:pStyle w:val="FirstParagraph"/>
      </w:pPr>
      <w:r>
        <w:t xml:space="preserve">avec:</w:t>
      </w:r>
    </w:p>
    <w:p>
      <w:pPr>
        <w:numPr>
          <w:ilvl w:val="0"/>
          <w:numId w:val="1027"/>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exigée parl’ACAPS.</w:t>
      </w:r>
    </w:p>
    <w:bookmarkEnd w:id="94"/>
    <w:bookmarkStart w:id="95" w:name="X574a46407ada84d5774a3057497baf873ebb70b"/>
    <w:p>
      <w:pPr>
        <w:pStyle w:val="Heading5"/>
      </w:pPr>
      <w:r>
        <w:t xml:space="preserve">8.3.1.3 Méthode de calcul des flux de réglements futurs probabilisés pour les opérations non-vie hors rentes:</w:t>
      </w:r>
    </w:p>
    <w:bookmarkEnd w:id="95"/>
    <w:bookmarkStart w:id="111" w:name="méthode-des-cadences-chain-ladder"/>
    <w:p>
      <w:pPr>
        <w:pStyle w:val="Heading5"/>
      </w:pPr>
      <w:r>
        <w:t xml:space="preserve">8.3.1.4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C:\PROGRA~1\RStudio\RESOUR~1\app\bin\quarto\share\formats\docx\note.png" id="98"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C:\PROGRA~1\RStudio\RESOUR~1\app\bin\quarto\share\formats\docx\note.png" id="10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rPr>
                    <m:sty m:val="p"/>
                  </m:rPr>
                  <m:t>,</m:t>
                </m:r>
                <m:r>
                  <m:t>  </m:t>
                </m:r>
                <m:r>
                  <m:rPr>
                    <m:nor/>
                    <m:sty m:val="p"/>
                  </m:rPr>
                  <m:t>pour</m:t>
                </m:r>
                <m:r>
                  <m:t>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PROGRA~1\RStudio\RESOUR~1\app\bin\quarto\share\formats\docx\note.png" id="102"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8"/>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9"/>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3" name="Picture"/>
                  <a:graphic>
                    <a:graphicData uri="http://schemas.openxmlformats.org/drawingml/2006/picture">
                      <pic:pic>
                        <pic:nvPicPr>
                          <pic:cNvPr descr="C:\PROGRA~1\RStudio\RESOUR~1\app\bin\quarto\share\formats\docx\note.png" id="104"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r>
                  <m:t> </m:t>
                </m:r>
                <m:r>
                  <m:rPr>
                    <m:sty m:val="p"/>
                  </m:rPr>
                  <m:t>,</m:t>
                </m:r>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C:\PROGRA~1\RStudio\RESOUR~1\app\bin\quarto\share\formats\docx\note.png" id="106"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r>
                  <m:t> </m:t>
                </m:r>
                <m:r>
                  <m:rPr>
                    <m:sty m:val="p"/>
                  </m:rPr>
                  <m:t>,</m:t>
                </m:r>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C:\PROGRA~1\RStudio\RESOUR~1\app\bin\quarto\share\formats\docx\note.png" id="108"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 </m:t>
                </m:r>
                <m:r>
                  <m:t>p</m:t>
                </m:r>
                <m:r>
                  <m:t>o</m:t>
                </m:r>
                <m:r>
                  <m:t>u</m:t>
                </m:r>
                <m:r>
                  <m:t>r</m:t>
                </m:r>
                <m:r>
                  <m:t> </m:t>
                </m:r>
                <m:r>
                  <m:t> </m:t>
                </m:r>
                <m:r>
                  <m:t>1</m:t>
                </m:r>
                <m:r>
                  <m:rPr>
                    <m:sty m:val="p"/>
                  </m:rPr>
                  <m:t>≤</m:t>
                </m:r>
                <m:r>
                  <m:t>i</m:t>
                </m:r>
                <m:r>
                  <m:rPr>
                    <m:sty m:val="p"/>
                  </m:rPr>
                  <m:t>,</m:t>
                </m:r>
                <m:r>
                  <m:t>j</m:t>
                </m:r>
                <m:r>
                  <m:rPr>
                    <m:sty m:val="p"/>
                  </m:rPr>
                  <m:t>≤</m:t>
                </m:r>
                <m:r>
                  <m:t>n</m:t>
                </m:r>
                <m:r>
                  <m:t> </m:t>
                </m:r>
                <m:r>
                  <m:rPr>
                    <m:sty m:val="p"/>
                  </m:rPr>
                  <m:t>,</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1\RStudio\RESOUR~1\app\bin\quarto\share\formats\docx\note.png" id="11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11"/>
    <w:bookmarkStart w:id="112" w:name="méthode-des-cadences-avec-inflation"/>
    <w:p>
      <w:pPr>
        <w:pStyle w:val="Heading5"/>
      </w:pPr>
      <w:r>
        <w:t xml:space="preserve">8.3.1.5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12"/>
    <w:bookmarkStart w:id="113" w:name="la-méthode-du-ratio-de-paiement"/>
    <w:p>
      <w:pPr>
        <w:pStyle w:val="Heading5"/>
      </w:pPr>
      <w:r>
        <w:t xml:space="preserve">8.3.1.6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113"/>
    <w:bookmarkStart w:id="118" w:name="la-méthode-du-ratio-de-paiement-1"/>
    <w:p>
      <w:pPr>
        <w:pStyle w:val="Heading5"/>
      </w:pPr>
      <w:r>
        <w:t xml:space="preserve">8.3.1.7 La méthode du ratio de paiement:</w:t>
      </w:r>
    </w:p>
    <w:p>
      <w:pPr>
        <w:pStyle w:val="FirstParagraph"/>
      </w:pPr>
      <w:r>
        <w:t xml:space="preserve">La méthode de Bornhuetter-Ferguson</w:t>
      </w:r>
      <w:r>
        <w:rPr>
          <w:rStyle w:val="FootnoteReference"/>
        </w:rPr>
        <w:footnoteReference w:id="114"/>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15"/>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r>
            <m:rPr>
              <m:sty m:val="p"/>
            </m:rPr>
            <m:t>×</m:t>
          </m:r>
          <m:d>
            <m:dPr>
              <m:begChr m:val="("/>
              <m:endChr m:val=")"/>
              <m:sepChr m:val=""/>
              <m:grow/>
            </m:dPr>
            <m:e>
              <m:r>
                <m:t>1</m:t>
              </m:r>
              <m:r>
                <m:rPr>
                  <m:sty m:val="p"/>
                </m:rPr>
                <m:t>−</m:t>
              </m:r>
              <m:f>
                <m:fPr>
                  <m:type m:val="bar"/>
                </m:fPr>
                <m:num>
                  <m:r>
                    <m:t>1</m:t>
                  </m:r>
                </m:num>
                <m:den>
                  <m:r>
                    <m:t>L</m:t>
                  </m:r>
                  <m:r>
                    <m:t>D</m:t>
                  </m:r>
                  <m:r>
                    <m:t>F</m:t>
                  </m:r>
                </m:den>
              </m:f>
            </m:e>
          </m:d>
          <m:r>
            <m:t> </m:t>
          </m:r>
          <m:r>
            <m:rPr>
              <m:sty m:val="p"/>
            </m:rPr>
            <m:t>,</m:t>
          </m:r>
        </m:oMath>
      </m:oMathPara>
    </w:p>
    <w:p>
      <w:pPr>
        <w:pStyle w:val="FirstParagraph"/>
      </w:pPr>
      <w:r>
        <w:t xml:space="preserve">avec :</w:t>
      </w:r>
    </w:p>
    <w:p>
      <w:pPr>
        <w:numPr>
          <w:ilvl w:val="0"/>
          <w:numId w:val="1030"/>
        </w:numPr>
        <w:pStyle w:val="Compact"/>
      </w:pPr>
      <m:oMath>
        <m:r>
          <m:t>L</m:t>
        </m:r>
      </m:oMath>
      <w:r>
        <w:t xml:space="preserve"> </w:t>
      </w:r>
      <w:r>
        <w:t xml:space="preserve">: coût total estimé par cette méthode.</w:t>
      </w:r>
    </w:p>
    <w:p>
      <w:pPr>
        <w:numPr>
          <w:ilvl w:val="0"/>
          <w:numId w:val="1030"/>
        </w:numPr>
        <w:pStyle w:val="Compact"/>
      </w:pPr>
      <m:oMath>
        <m:r>
          <m:t>D</m:t>
        </m:r>
      </m:oMath>
      <w:r>
        <w:t xml:space="preserve"> </w:t>
      </w:r>
      <w:r>
        <w:t xml:space="preserve">: coût total estimé en fonction des sinistres connues.</w:t>
      </w:r>
    </w:p>
    <w:p>
      <w:pPr>
        <w:numPr>
          <w:ilvl w:val="0"/>
          <w:numId w:val="1030"/>
        </w:numPr>
        <w:pStyle w:val="Compact"/>
      </w:pPr>
      <m:oMath>
        <m:r>
          <m:t>A</m:t>
        </m:r>
      </m:oMath>
      <w:r>
        <w:t xml:space="preserve"> </w:t>
      </w:r>
      <w:r>
        <w:t xml:space="preserve">: coût total (connus + tardifs) attendu a priori.</w:t>
      </w:r>
    </w:p>
    <w:p>
      <w:pPr>
        <w:numPr>
          <w:ilvl w:val="0"/>
          <w:numId w:val="1030"/>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6" name="Picture"/>
                  <a:graphic>
                    <a:graphicData uri="http://schemas.openxmlformats.org/drawingml/2006/picture">
                      <pic:pic>
                        <pic:nvPicPr>
                          <pic:cNvPr descr="C:\PROGRA~1\RStudio\RESOUR~1\app\bin\quarto\share\formats\docx\tip.png" id="11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18"/>
    <w:bookmarkEnd w:id="119"/>
    <w:bookmarkStart w:id="120" w:name="X7e63ab4301a770f99d7cb8d654e83cd2564e4b4"/>
    <w:p>
      <w:pPr>
        <w:pStyle w:val="Heading4"/>
      </w:pPr>
      <w:r>
        <w:t xml:space="preserve">8.3.2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r>
            <m:t>B</m:t>
          </m:r>
          <m:r>
            <m:t>E</m:t>
          </m:r>
          <m:r>
            <m:t>F</m:t>
          </m:r>
          <m:r>
            <m:t>G</m:t>
          </m:r>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oMath>
      </m:oMathPara>
    </w:p>
    <w:p>
      <w:pPr>
        <w:pStyle w:val="FirstParagraph"/>
      </w:pPr>
      <w:r>
        <w:t xml:space="preserve">avec:</w:t>
      </w:r>
    </w:p>
    <w:p>
      <w:pPr>
        <w:numPr>
          <w:ilvl w:val="0"/>
          <w:numId w:val="1031"/>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bar>
            <m:barPr>
              <m:pos m:val="top"/>
            </m:barPr>
            <m:e>
              <m:r>
                <m:t>T</m:t>
              </m:r>
              <m:r>
                <m:t>F</m:t>
              </m:r>
              <m:r>
                <m:t>G</m:t>
              </m:r>
            </m:e>
          </m:bar>
          <m:r>
            <m:rPr>
              <m:sty m:val="p"/>
            </m:rPr>
            <m:t>×</m:t>
          </m:r>
          <m:d>
            <m:dPr>
              <m:begChr m:val="("/>
              <m:endChr m:val=")"/>
              <m:sepChr m:val=""/>
              <m:grow/>
            </m:dPr>
            <m:e>
              <m:r>
                <m:t>B</m:t>
              </m:r>
              <m:r>
                <m:t>E</m:t>
              </m:r>
              <m:r>
                <m:t>S</m:t>
              </m:r>
              <m:r>
                <m:rPr>
                  <m:sty m:val="p"/>
                </m:rPr>
                <m:t>+</m:t>
              </m:r>
              <m:r>
                <m:t>B</m:t>
              </m:r>
              <m:r>
                <m:t>E</m:t>
              </m:r>
              <m:r>
                <m:t>P</m:t>
              </m:r>
            </m:e>
          </m:d>
          <m:r>
            <m:t> </m:t>
          </m:r>
          <m:r>
            <m:rPr>
              <m:sty m:val="p"/>
            </m:rPr>
            <m:t>,</m:t>
          </m:r>
        </m:oMath>
      </m:oMathPara>
    </w:p>
    <w:p>
      <w:pPr>
        <w:pStyle w:val="FirstParagraph"/>
      </w:pPr>
      <w:r>
        <w:t xml:space="preserve">et:</w:t>
      </w:r>
    </w:p>
    <w:p>
      <w:pPr>
        <w:numPr>
          <w:ilvl w:val="0"/>
          <w:numId w:val="1032"/>
        </w:numPr>
        <w:pStyle w:val="Compact"/>
      </w:pPr>
      <m:oMath>
        <m:r>
          <m:t>T</m:t>
        </m:r>
        <m:r>
          <m:t>F</m:t>
        </m:r>
        <m:r>
          <m:t>G</m:t>
        </m:r>
        <m:r>
          <m:t>M</m:t>
        </m:r>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bar>
            <m:barPr>
              <m:pos m:val="top"/>
            </m:barPr>
            <m:e>
              <m:r>
                <m:t>T</m:t>
              </m:r>
              <m:r>
                <m:t>F</m:t>
              </m:r>
              <m:r>
                <m:t>G</m:t>
              </m:r>
            </m:e>
          </m:bar>
          <m:r>
            <m:rPr>
              <m:sty m:val="p"/>
            </m:rPr>
            <m:t>=</m:t>
          </m:r>
          <m:f>
            <m:fPr>
              <m:type m:val="bar"/>
            </m:fPr>
            <m:num>
              <m:r>
                <m:t>T</m:t>
              </m:r>
              <m:r>
                <m:t>F</m:t>
              </m:r>
              <m:sSub>
                <m:e>
                  <m:r>
                    <m:t>G</m:t>
                  </m:r>
                </m:e>
                <m:sub>
                  <m:r>
                    <m:t>t</m:t>
                  </m:r>
                </m:sub>
              </m:sSub>
              <m:r>
                <m:rPr>
                  <m:sty m:val="p"/>
                </m:rPr>
                <m:t>+</m:t>
              </m:r>
              <m:r>
                <m:t>T</m:t>
              </m:r>
              <m:r>
                <m:t>F</m:t>
              </m:r>
              <m:sSub>
                <m:e>
                  <m:r>
                    <m:t>G</m:t>
                  </m:r>
                </m:e>
                <m:sub>
                  <m:r>
                    <m:t>t</m:t>
                  </m:r>
                  <m:r>
                    <m:rPr>
                      <m:sty m:val="p"/>
                    </m:rPr>
                    <m:t>−</m:t>
                  </m:r>
                  <m:r>
                    <m:t>1</m:t>
                  </m:r>
                </m:sub>
              </m:sSub>
              <m:r>
                <m:rPr>
                  <m:sty m:val="p"/>
                </m:rPr>
                <m:t>+</m:t>
              </m:r>
              <m:r>
                <m:t>T</m:t>
              </m:r>
              <m:r>
                <m:t>F</m:t>
              </m:r>
              <m:sSub>
                <m:e>
                  <m:r>
                    <m:t>G</m:t>
                  </m:r>
                </m:e>
                <m:sub>
                  <m:r>
                    <m:t>t</m:t>
                  </m:r>
                  <m:r>
                    <m:rPr>
                      <m:sty m:val="p"/>
                    </m:rPr>
                    <m:t>−</m:t>
                  </m:r>
                  <m:r>
                    <m:t>2</m:t>
                  </m:r>
                </m:sub>
              </m:sSub>
            </m:num>
            <m:den>
              <m:r>
                <m:t>3</m:t>
              </m:r>
            </m:den>
          </m:f>
        </m:oMath>
      </m:oMathPara>
    </w:p>
    <w:p>
      <w:pPr>
        <w:pStyle w:val="FirstParagraph"/>
      </w:pPr>
      <w:r>
        <w:t xml:space="preserve">Ainsi que :</w:t>
      </w:r>
    </w:p>
    <w:p>
      <w:pPr>
        <w:pStyle w:val="BodyText"/>
      </w:pPr>
      <m:oMathPara>
        <m:oMathParaPr>
          <m:jc m:val="center"/>
        </m:oMathParaPr>
        <m:oMath>
          <m:r>
            <m:t>T</m:t>
          </m:r>
          <m:r>
            <m:t>F</m:t>
          </m:r>
          <m:sSub>
            <m:e>
              <m:r>
                <m:t>G</m:t>
              </m:r>
            </m:e>
            <m:sub>
              <m:r>
                <m:t>t</m:t>
              </m:r>
            </m:sub>
          </m:sSub>
          <m:r>
            <m:rPr>
              <m:sty m:val="p"/>
            </m:rPr>
            <m:t>=</m:t>
          </m:r>
          <m:f>
            <m:fPr>
              <m:type m:val="bar"/>
            </m:fPr>
            <m:num>
              <m:r>
                <m:t>F</m:t>
              </m:r>
              <m:r>
                <m:t>G</m:t>
              </m:r>
            </m:num>
            <m:den>
              <m:r>
                <m:t>B</m:t>
              </m:r>
              <m:r>
                <m:t>E</m:t>
              </m:r>
              <m:r>
                <m:t>S</m:t>
              </m:r>
              <m:r>
                <m:rPr>
                  <m:sty m:val="p"/>
                </m:rPr>
                <m:t>+</m:t>
              </m:r>
              <m:r>
                <m:t>R</m:t>
              </m:r>
              <m:r>
                <m:t>E</m:t>
              </m:r>
              <m:r>
                <m:t>C</m:t>
              </m:r>
            </m:den>
          </m:f>
          <m:r>
            <m:t> </m:t>
          </m:r>
          <m:r>
            <m:rPr>
              <m:sty m:val="p"/>
            </m:rPr>
            <m:t>,</m:t>
          </m:r>
        </m:oMath>
      </m:oMathPara>
    </w:p>
    <w:p>
      <w:pPr>
        <w:pStyle w:val="FirstParagraph"/>
      </w:pPr>
      <w:r>
        <w:t xml:space="preserve">avec :</w:t>
      </w:r>
    </w:p>
    <w:p>
      <w:pPr>
        <w:numPr>
          <w:ilvl w:val="0"/>
          <w:numId w:val="1033"/>
        </w:numPr>
        <w:pStyle w:val="Compact"/>
      </w:pPr>
      <m:oMath>
        <m:r>
          <m:t>F</m:t>
        </m:r>
        <m:r>
          <m:t>G</m:t>
        </m:r>
      </m:oMath>
      <w:r>
        <w:t xml:space="preserve">: le montant frais de gestion.</w:t>
      </w:r>
    </w:p>
    <w:p>
      <w:pPr>
        <w:numPr>
          <w:ilvl w:val="0"/>
          <w:numId w:val="1033"/>
        </w:numPr>
        <w:pStyle w:val="Compact"/>
      </w:pPr>
      <m:oMath>
        <m:r>
          <m:t>R</m:t>
        </m:r>
        <m:r>
          <m:t>E</m:t>
        </m:r>
        <m:r>
          <m:t>C</m:t>
        </m:r>
      </m:oMath>
      <w:r>
        <w:t xml:space="preserve"> </w:t>
      </w:r>
      <w:r>
        <w:t xml:space="preserve">: les règlements au titre de l’exercice clos.</w:t>
      </w:r>
    </w:p>
    <w:bookmarkEnd w:id="120"/>
    <w:bookmarkEnd w:id="121"/>
    <w:bookmarkStart w:id="132" w:name="Xf3f8abd7a5710234231d4d992dd0ccf8ee2969b"/>
    <w:p>
      <w:pPr>
        <w:pStyle w:val="Heading3"/>
      </w:pPr>
      <w:r>
        <w:t xml:space="preserve">8.4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C</m:t>
          </m:r>
          <m:r>
            <m:rPr>
              <m:sty m:val="p"/>
            </m:rPr>
            <m:t>=</m:t>
          </m:r>
          <m:r>
            <m:t>B</m:t>
          </m:r>
          <m:r>
            <m:t>E</m:t>
          </m:r>
          <m:sSub>
            <m:e>
              <m:r>
                <m:t>C</m:t>
              </m:r>
            </m:e>
            <m:sub>
              <m:r>
                <m:t>e</m:t>
              </m:r>
              <m:r>
                <m:t>n</m:t>
              </m:r>
              <m:r>
                <m:t>g</m:t>
              </m:r>
            </m:sub>
          </m:sSub>
          <m:r>
            <m:rPr>
              <m:sty m:val="p"/>
            </m:rPr>
            <m:t>−</m:t>
          </m:r>
          <m:r>
            <m:t>A</m:t>
          </m:r>
          <m:r>
            <m:t>d</m:t>
          </m:r>
          <m:r>
            <m:t>j</m:t>
          </m:r>
        </m:oMath>
      </m:oMathPara>
    </w:p>
    <w:bookmarkStart w:id="124" w:name="Xa95ba47c318081750f82f16389a34a7647ac1fa"/>
    <w:p>
      <w:pPr>
        <w:pStyle w:val="Heading4"/>
      </w:pPr>
      <w:r>
        <w:t xml:space="preserve">8.4.1 La meilleure estimation des engagements cédés (</w:t>
      </w:r>
      <m:oMath>
        <m:r>
          <m:t>B</m:t>
        </m:r>
        <m:r>
          <m:t>E</m:t>
        </m:r>
        <m:r>
          <m:t>C</m:t>
        </m:r>
      </m:oMath>
      <w:r>
        <w:t xml:space="preserve">) :</w:t>
      </w:r>
    </w:p>
    <w:bookmarkStart w:id="122" w:name="X0f00ae71319169104bfd1725b5f02737fc4d35e"/>
    <w:p>
      <w:pPr>
        <w:pStyle w:val="Heading5"/>
      </w:pPr>
      <w:r>
        <w:t xml:space="preserve">Les opérations d’assurance vie, décès ou de capitalisation :</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m:oMathPara>
        <m:oMathParaPr>
          <m:jc m:val="center"/>
        </m:oMathParaPr>
        <m:oMath>
          <m:r>
            <m:t>B</m:t>
          </m:r>
          <m:r>
            <m:t>E</m:t>
          </m:r>
          <m:sSub>
            <m:e>
              <m:r>
                <m:t>C</m:t>
              </m:r>
            </m:e>
            <m:sub>
              <m:r>
                <m:t>e</m:t>
              </m:r>
              <m:r>
                <m:t>n</m:t>
              </m:r>
              <m:r>
                <m:t>g</m:t>
              </m:r>
            </m:sub>
          </m:sSub>
          <m:r>
            <m:rPr>
              <m:sty m:val="p"/>
            </m:rPr>
            <m:t>=</m:t>
          </m:r>
          <m:r>
            <m:t>T</m:t>
          </m:r>
          <m:r>
            <m:t>C</m:t>
          </m:r>
          <m:r>
            <m:rPr>
              <m:sty m:val="p"/>
            </m:rPr>
            <m:t>×</m:t>
          </m:r>
          <m:r>
            <m:t>B</m:t>
          </m:r>
          <m:sSub>
            <m:e>
              <m:r>
                <m:t>E</m:t>
              </m:r>
            </m:e>
            <m:sub>
              <m:r>
                <m:t>e</m:t>
              </m:r>
              <m:r>
                <m:t>n</m:t>
              </m:r>
              <m:r>
                <m:t>g</m:t>
              </m:r>
            </m:sub>
          </m:sSub>
          <m:r>
            <m:t> </m:t>
          </m:r>
          <m:r>
            <m:rPr>
              <m:sty m:val="p"/>
            </m:rPr>
            <m:t>,</m:t>
          </m:r>
        </m:oMath>
      </m:oMathPara>
    </w:p>
    <w:p>
      <w:pPr>
        <w:pStyle w:val="FirstParagraph"/>
      </w:pPr>
      <w:r>
        <w:t xml:space="preserve">avec :</w:t>
      </w:r>
    </w:p>
    <w:p>
      <w:pPr>
        <w:numPr>
          <w:ilvl w:val="0"/>
          <w:numId w:val="1034"/>
        </w:numPr>
        <w:pStyle w:val="Compact"/>
      </w:pPr>
      <m:oMath>
        <m:r>
          <m:t>T</m:t>
        </m:r>
        <m:r>
          <m:t>C</m:t>
        </m:r>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22"/>
    <w:bookmarkStart w:id="123"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r>
            <m:t>B</m:t>
          </m:r>
          <m:r>
            <m:t>E</m:t>
          </m:r>
          <m:r>
            <m:t>C</m:t>
          </m:r>
          <m:r>
            <m:rPr>
              <m:sty m:val="p"/>
            </m:rPr>
            <m:t>=</m:t>
          </m:r>
          <m:r>
            <m:t> </m:t>
          </m:r>
          <m:r>
            <m:t>B</m:t>
          </m:r>
          <m:r>
            <m:t>E</m:t>
          </m:r>
          <m:r>
            <m:t>S</m:t>
          </m:r>
          <m:r>
            <m:t>C</m:t>
          </m:r>
          <m:r>
            <m:rPr>
              <m:sty m:val="p"/>
            </m:rPr>
            <m:t>+</m:t>
          </m:r>
          <m:r>
            <m:t> </m:t>
          </m:r>
          <m:r>
            <m:t>B</m:t>
          </m:r>
          <m:r>
            <m:t>E</m:t>
          </m:r>
          <m:r>
            <m:t>P</m:t>
          </m:r>
          <m:r>
            <m:t>C</m:t>
          </m:r>
          <m:r>
            <m:t> </m:t>
          </m:r>
          <m:r>
            <m:rPr>
              <m:sty m:val="p"/>
            </m:rPr>
            <m:t>,</m:t>
          </m:r>
        </m:oMath>
      </m:oMathPara>
    </w:p>
    <w:p>
      <w:pPr>
        <w:pStyle w:val="FirstParagraph"/>
      </w:pPr>
      <w:r>
        <w:t xml:space="preserve">avec :</w:t>
      </w:r>
    </w:p>
    <w:p>
      <w:pPr>
        <w:numPr>
          <w:ilvl w:val="0"/>
          <w:numId w:val="1035"/>
        </w:numPr>
      </w:pPr>
      <m:oMath>
        <m:r>
          <m:t>B</m:t>
        </m:r>
        <m:r>
          <m:t>E</m:t>
        </m:r>
        <m:r>
          <m:t>S</m:t>
        </m:r>
        <m:r>
          <m:t>C</m:t>
        </m:r>
        <m:r>
          <m:rPr>
            <m:sty m:val="p"/>
          </m:rPr>
          <m:t>=</m:t>
        </m:r>
        <m:r>
          <m:t>T</m:t>
        </m:r>
        <m:r>
          <m:t>C</m:t>
        </m:r>
        <m:r>
          <m:t>S</m:t>
        </m:r>
        <m:r>
          <m:rPr>
            <m:sty m:val="p"/>
          </m:rPr>
          <m:t>×</m:t>
        </m:r>
        <m:r>
          <m:t>B</m:t>
        </m:r>
        <m:r>
          <m:t>E</m:t>
        </m:r>
        <m:r>
          <m:t>S</m:t>
        </m:r>
      </m:oMath>
      <w:r>
        <w:t xml:space="preserve"> </w:t>
      </w:r>
      <w:r>
        <w:t xml:space="preserve">: La meilleure estimation des engagements pour sinistres cédés est évaluée en multipliant la meilleure estimation des engagements pour sinistres nets de recours par (</w:t>
      </w:r>
      <w:r>
        <w:t xml:space="preserve">$TCS}$</w:t>
      </w:r>
      <w:r>
        <w:t xml:space="preserve">), le rapport entre la part des cessionnaires dans les provisions pour sinistres à payer et la provision pour sinistres à payer brute de réassurance.</w:t>
      </w:r>
    </w:p>
    <w:p>
      <w:pPr>
        <w:numPr>
          <w:ilvl w:val="0"/>
          <w:numId w:val="1035"/>
        </w:numPr>
      </w:pPr>
      <m:oMath>
        <m:r>
          <m:t>B</m:t>
        </m:r>
        <m:r>
          <m:t>E</m:t>
        </m:r>
        <m:r>
          <m:t>P</m:t>
        </m:r>
        <m:r>
          <m:t>C</m:t>
        </m:r>
        <m:r>
          <m:rPr>
            <m:sty m:val="p"/>
          </m:rPr>
          <m:t>=</m:t>
        </m:r>
        <m:r>
          <m:t>T</m:t>
        </m:r>
        <m:r>
          <m:t>C</m:t>
        </m:r>
        <m:r>
          <m:t>P</m:t>
        </m:r>
        <m:r>
          <m:rPr>
            <m:sty m:val="p"/>
          </m:rPr>
          <m:t>×</m:t>
        </m:r>
        <m:r>
          <m:t>B</m:t>
        </m:r>
        <m:r>
          <m:t>E</m:t>
        </m:r>
        <m:r>
          <m:t>P</m:t>
        </m:r>
      </m:oMath>
      <w:r>
        <w:t xml:space="preserve"> </w:t>
      </w:r>
      <w:r>
        <w:t xml:space="preserve">: La meilleure estimation des engagements pour primes cédés est évaluée en multipliant la meilleure estimation des engagements pour primes par le taux de cession de primes. Le taux de cession (</w:t>
      </w:r>
      <m:oMath>
        <m:r>
          <m:t>T</m:t>
        </m:r>
        <m:r>
          <m:t>C</m:t>
        </m:r>
        <m:r>
          <m:t>P</m:t>
        </m:r>
      </m:oMath>
      <w:r>
        <w:t xml:space="preserve">) de primes précité correspond au rapport entre les primes brutes non vie (cessions) et les primes émises de l’exercice.</w:t>
      </w:r>
    </w:p>
    <w:bookmarkEnd w:id="123"/>
    <w:bookmarkEnd w:id="124"/>
    <w:bookmarkStart w:id="131" w:name="lajustement-pour-défaut-de-contrepartie"/>
    <w:p>
      <w:pPr>
        <w:pStyle w:val="Heading4"/>
      </w:pPr>
      <w:r>
        <w:t xml:space="preserve">8.4.2 L’ajustement pour défaut de contrepartie:</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C:\PROGRA~1\RStudio\RESOUR~1\app\bin\quarto\share\formats\docx\note.png" id="126"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B</m:t>
              </m:r>
              <m:r>
                <m:t>E</m:t>
              </m:r>
              <m:sSub>
                <m:e>
                  <m:r>
                    <m:t>C</m:t>
                  </m:r>
                </m:e>
                <m:sub>
                  <m:r>
                    <m:t>i</m:t>
                  </m:r>
                </m:sub>
              </m:sSub>
            </m:oMath>
            <w:r>
              <w:t xml:space="preserve"> </w:t>
            </w:r>
            <w:r>
              <w:t xml:space="preserve">est calculée comme suit :</w:t>
            </w:r>
          </w:p>
          <w:p>
            <w:pPr>
              <w:pStyle w:val="BodyText"/>
            </w:pPr>
            <m:oMathPara>
              <m:oMathParaPr>
                <m:jc m:val="center"/>
              </m:oMathParaPr>
              <m:oMath>
                <m:r>
                  <m:t>B</m:t>
                </m:r>
                <m:r>
                  <m:t>E</m:t>
                </m:r>
                <m:sSub>
                  <m:e>
                    <m:r>
                      <m:t>C</m:t>
                    </m:r>
                  </m:e>
                  <m:sub>
                    <m:r>
                      <m:t>i</m:t>
                    </m:r>
                  </m:sub>
                </m:sSub>
                <m:r>
                  <m:rPr>
                    <m:sty m:val="p"/>
                  </m:rPr>
                  <m:t>=</m:t>
                </m:r>
                <m:d>
                  <m:dPr>
                    <m:begChr m:val="("/>
                    <m:endChr m:val=")"/>
                    <m:sepChr m:val=""/>
                    <m:grow/>
                  </m:dPr>
                  <m:e>
                    <m:r>
                      <m:t>B</m:t>
                    </m:r>
                    <m:r>
                      <m:t>E</m:t>
                    </m:r>
                    <m:sSub>
                      <m:e>
                        <m:r>
                          <m:t>S</m:t>
                        </m:r>
                      </m:e>
                      <m:sub>
                        <m:r>
                          <m:t>i</m:t>
                        </m:r>
                      </m:sub>
                    </m:sSub>
                    <m:r>
                      <m:rPr>
                        <m:sty m:val="p"/>
                      </m:rPr>
                      <m:t>×</m:t>
                    </m:r>
                    <m:r>
                      <m:t>R</m:t>
                    </m:r>
                    <m:sSub>
                      <m:e>
                        <m:r>
                          <m:t>S</m:t>
                        </m:r>
                      </m:e>
                      <m:sub>
                        <m:r>
                          <m:t>0</m:t>
                        </m:r>
                      </m:sub>
                    </m:sSub>
                    <m:r>
                      <m:rPr>
                        <m:sty m:val="p"/>
                      </m:rPr>
                      <m:t>+</m:t>
                    </m:r>
                    <m:r>
                      <m:t>B</m:t>
                    </m:r>
                    <m:r>
                      <m:t>E</m:t>
                    </m:r>
                    <m:sSub>
                      <m:e>
                        <m:r>
                          <m:t>P</m:t>
                        </m:r>
                      </m:e>
                      <m:sub>
                        <m:r>
                          <m:t>i</m:t>
                        </m:r>
                      </m:sub>
                    </m:sSub>
                    <m:r>
                      <m:rPr>
                        <m:sty m:val="p"/>
                      </m:rPr>
                      <m:t>×</m:t>
                    </m:r>
                    <m:r>
                      <m:t>R</m:t>
                    </m:r>
                    <m:sSub>
                      <m:e>
                        <m:r>
                          <m:t>P</m:t>
                        </m:r>
                      </m:e>
                      <m:sub>
                        <m:r>
                          <m:t>0</m:t>
                        </m:r>
                      </m:sub>
                    </m:sSub>
                  </m:e>
                </m:d>
                <m:r>
                  <m:rPr>
                    <m:sty m:val="p"/>
                  </m:rPr>
                  <m:t>,</m:t>
                </m:r>
              </m:oMath>
            </m:oMathPara>
          </w:p>
          <w:p>
            <w:pPr>
              <w:pStyle w:val="FirstParagraph"/>
            </w:pPr>
            <w:r>
              <w:t xml:space="preserve">où:</w:t>
            </w:r>
          </w:p>
          <w:p>
            <w:pPr>
              <w:numPr>
                <w:ilvl w:val="0"/>
                <w:numId w:val="1036"/>
              </w:numPr>
              <w:pStyle w:val="Compact"/>
            </w:pPr>
            <m:oMath>
              <m:r>
                <m:t>B</m:t>
              </m:r>
              <m:r>
                <m:t>E</m:t>
              </m:r>
              <m:sSub>
                <m:e>
                  <m:r>
                    <m:t>S</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6"/>
              </w:numPr>
              <w:pStyle w:val="Compact"/>
            </w:pPr>
            <m:oMath>
              <m:r>
                <m:t>B</m:t>
              </m:r>
              <m:r>
                <m:t>E</m:t>
              </m:r>
              <m:sSub>
                <m:e>
                  <m:r>
                    <m:t>P</m:t>
                  </m:r>
                </m:e>
                <m:sub>
                  <m:r>
                    <m:t>i</m:t>
                  </m:r>
                </m:sub>
              </m:sSub>
            </m:oMath>
            <w:r>
              <w:t xml:space="preserve">: correspond à la meilleure estimation des engagements pour primes projetée à la date i.</w:t>
            </w:r>
          </w:p>
          <w:p>
            <w:pPr>
              <w:numPr>
                <w:ilvl w:val="0"/>
                <w:numId w:val="1036"/>
              </w:numPr>
              <w:pStyle w:val="Compact"/>
            </w:pPr>
            <w:r>
              <w:t xml:space="preserve">Les termes</w:t>
            </w:r>
            <w:r>
              <w:t xml:space="preserve"> </w:t>
            </w:r>
            <m:oMath>
              <m:r>
                <m:t>R</m:t>
              </m:r>
              <m:sSub>
                <m:e>
                  <m:r>
                    <m:t>S</m:t>
                  </m:r>
                </m:e>
                <m:sub>
                  <m:r>
                    <m:t>0</m:t>
                  </m:r>
                </m:sub>
              </m:sSub>
            </m:oMath>
            <w:r>
              <w:t xml:space="preserve"> </w:t>
            </w:r>
            <w:r>
              <w:t xml:space="preserve">et</w:t>
            </w:r>
            <w:r>
              <w:t xml:space="preserve"> </w:t>
            </w:r>
            <m:oMath>
              <m:r>
                <m:t>R</m:t>
              </m:r>
              <m:sSub>
                <m:e>
                  <m:r>
                    <m:t>P</m:t>
                  </m:r>
                </m:e>
                <m:sub>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B</m:t>
                </m:r>
                <m:r>
                  <m:t>E</m:t>
                </m:r>
                <m:sSub>
                  <m:e>
                    <m:r>
                      <m:t>C</m:t>
                    </m:r>
                  </m:e>
                  <m:sub>
                    <m:r>
                      <m:t>i</m:t>
                    </m:r>
                  </m:sub>
                </m:sSub>
                <m:r>
                  <m:rPr>
                    <m:sty m:val="p"/>
                  </m:rPr>
                  <m:t>=</m:t>
                </m:r>
                <m:d>
                  <m:dPr>
                    <m:begChr m:val="("/>
                    <m:endChr m:val=")"/>
                    <m:sepChr m:val=""/>
                    <m:grow/>
                  </m:dPr>
                  <m:e>
                    <m:r>
                      <m:t>B</m:t>
                    </m:r>
                    <m:r>
                      <m:t>E</m:t>
                    </m:r>
                    <m:r>
                      <m:t>G</m:t>
                    </m:r>
                    <m:sSub>
                      <m:e>
                        <m:r>
                          <m:t>P</m:t>
                        </m:r>
                      </m:e>
                      <m:sub>
                        <m:r>
                          <m:t>i</m:t>
                        </m:r>
                      </m:sub>
                    </m:sSub>
                    <m:r>
                      <m:rPr>
                        <m:sty m:val="p"/>
                      </m:rPr>
                      <m:t>+</m:t>
                    </m:r>
                    <m:r>
                      <m:t>B</m:t>
                    </m:r>
                    <m:r>
                      <m:t>D</m:t>
                    </m:r>
                    <m:sSub>
                      <m:e>
                        <m:r>
                          <m:t>F</m:t>
                        </m:r>
                      </m:e>
                      <m:sub>
                        <m:r>
                          <m:t>i</m:t>
                        </m:r>
                      </m:sub>
                    </m:sSub>
                  </m:e>
                </m:d>
                <m:r>
                  <m:rPr>
                    <m:sty m:val="p"/>
                  </m:rPr>
                  <m:t>×</m:t>
                </m:r>
                <m:sSub>
                  <m:e>
                    <m:r>
                      <m:t>R</m:t>
                    </m:r>
                  </m:e>
                  <m:sub>
                    <m:r>
                      <m:t>0</m:t>
                    </m:r>
                  </m:sub>
                </m:sSub>
                <m:r>
                  <m:t> </m:t>
                </m:r>
                <m:r>
                  <m:rPr>
                    <m:sty m:val="p"/>
                  </m:rPr>
                  <m:t>,</m:t>
                </m:r>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B</m:t>
                </m:r>
                <m:r>
                  <m:t>E</m:t>
                </m:r>
                <m:r>
                  <m:t>C</m:t>
                </m:r>
                <m:r>
                  <m:rPr>
                    <m:sty m:val="p"/>
                  </m:rPr>
                  <m:t>=</m:t>
                </m:r>
                <m:r>
                  <m:t>B</m:t>
                </m:r>
                <m:r>
                  <m:t>E</m:t>
                </m:r>
                <m:r>
                  <m:t>G</m:t>
                </m:r>
                <m:sSub>
                  <m:e>
                    <m:r>
                      <m:t>P</m:t>
                    </m:r>
                  </m:e>
                  <m:sub>
                    <m:r>
                      <m:t>i</m:t>
                    </m:r>
                  </m:sub>
                </m:sSub>
                <m:r>
                  <m:rPr>
                    <m:sty m:val="p"/>
                  </m:rPr>
                  <m:t>×</m:t>
                </m:r>
                <m:sSub>
                  <m:e>
                    <m:r>
                      <m:t>R</m:t>
                    </m:r>
                  </m:e>
                  <m:sub>
                    <m:r>
                      <m:t>0</m:t>
                    </m:r>
                  </m:sub>
                </m:sSub>
                <m:r>
                  <m:t> </m:t>
                </m:r>
                <m:r>
                  <m:rPr>
                    <m:sty m:val="p"/>
                  </m:rPr>
                  <m:t>,</m:t>
                </m:r>
              </m:oMath>
            </m:oMathPara>
          </w:p>
          <w:p>
            <w:pPr>
              <w:pStyle w:val="FirstParagraph"/>
            </w:pPr>
            <w:r>
              <w:t xml:space="preserve">où :</w:t>
            </w:r>
          </w:p>
          <w:p>
            <w:pPr>
              <w:numPr>
                <w:ilvl w:val="0"/>
                <w:numId w:val="1037"/>
              </w:numPr>
            </w:pP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p>
          <w:p>
            <w:pPr>
              <w:numPr>
                <w:ilvl w:val="0"/>
                <w:numId w:val="1037"/>
              </w:numPr>
            </w:pPr>
            <w:r>
              <w:t xml:space="preserve">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C:\PROGRA~1\RStudio\RESOUR~1\app\bin\quarto\share\formats\docx\note.png" id="128"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B</m:t>
                    </m:r>
                    <m:r>
                      <m:t>E</m:t>
                    </m:r>
                    <m:r>
                      <m:t>C</m:t>
                    </m:r>
                    <m:r>
                      <m:rPr>
                        <m:sty m:val="p"/>
                      </m:rPr>
                      <m:t>−</m:t>
                    </m:r>
                    <m:r>
                      <m:t>D</m:t>
                    </m:r>
                    <m:r>
                      <m:t>E</m:t>
                    </m:r>
                    <m:r>
                      <m:t>V</m:t>
                    </m:r>
                    <m:r>
                      <m:rPr>
                        <m:sty m:val="p"/>
                      </m:rPr>
                      <m:t>+</m:t>
                    </m:r>
                    <m:r>
                      <m:t>S</m:t>
                    </m:r>
                    <m:r>
                      <m:t>D</m:t>
                    </m:r>
                    <m:r>
                      <m:t>R</m:t>
                    </m:r>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r>
                  <m:t> </m:t>
                </m:r>
                <m:r>
                  <m:rPr>
                    <m:sty m:val="p"/>
                  </m:rPr>
                  <m:t>,</m:t>
                </m:r>
              </m:oMath>
            </m:oMathPara>
          </w:p>
          <w:p>
            <w:pPr>
              <w:pStyle w:val="FirstParagraph"/>
            </w:pPr>
            <w:r>
              <w:t xml:space="preserve">avec:</w:t>
            </w:r>
          </w:p>
          <w:p>
            <w:pPr>
              <w:numPr>
                <w:ilvl w:val="0"/>
                <w:numId w:val="1038"/>
              </w:numPr>
              <w:pStyle w:val="Compact"/>
            </w:pPr>
            <m:oMath>
              <m:r>
                <m:t>D</m:t>
              </m:r>
              <m:r>
                <m:t>E</m:t>
              </m:r>
              <m:r>
                <m:t>V</m:t>
              </m:r>
            </m:oMath>
            <w:r>
              <w:t xml:space="preserve"> </w:t>
            </w:r>
            <w:r>
              <w:t xml:space="preserve">:dépôtven espèces et en valeurs.</w:t>
            </w:r>
          </w:p>
          <w:p>
            <w:pPr>
              <w:numPr>
                <w:ilvl w:val="0"/>
                <w:numId w:val="1038"/>
              </w:numPr>
              <w:pStyle w:val="Compact"/>
            </w:pPr>
            <m:oMath>
              <m:r>
                <m:t>S</m:t>
              </m:r>
              <m:r>
                <m:t>D</m:t>
              </m:r>
              <m:r>
                <m:t>R</m:t>
              </m:r>
            </m:oMath>
            <w:r>
              <w:t xml:space="preserve"> </w:t>
            </w:r>
            <w:r>
              <w:t xml:space="preserve">:solde de réassurance</w:t>
            </w:r>
          </w:p>
          <w:p>
            <w:pPr>
              <w:pStyle w:val="FirstParagraph"/>
            </w:pPr>
            <w:pPr>
              <w:spacing w:after="16"/>
            </w:pPr>
            <w:r>
              <w:t xml:space="preserve">La probabilité de défaut annuelle</w:t>
            </w:r>
            <w:r>
              <w:t xml:space="preserve"> </w:t>
            </w:r>
            <m:oMath>
              <m:r>
                <m:t>P</m:t>
              </m:r>
              <m:r>
                <m:t>D</m:t>
              </m:r>
            </m:oMath>
            <w:r>
              <w:t xml:space="preserve"> </w:t>
            </w:r>
            <w:r>
              <w:t xml:space="preserve">du cessionnaire est établie conformément au tableau prévu a l’annexe.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9" name="Picture"/>
                  <a:graphic>
                    <a:graphicData uri="http://schemas.openxmlformats.org/drawingml/2006/picture">
                      <pic:pic>
                        <pic:nvPicPr>
                          <pic:cNvPr descr="C:\PROGRA~1\RStudio\RESOUR~1\app\bin\quarto\share\formats\docx\note.png" id="13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d</m:t>
                </m:r>
                <m:sSub>
                  <m:e>
                    <m:r>
                      <m:t>j</m:t>
                    </m:r>
                  </m:e>
                  <m:sub>
                    <m:r>
                      <m:t>D</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r>
                  <m:t> </m:t>
                </m:r>
                <m:r>
                  <m:rPr>
                    <m:sty m:val="p"/>
                  </m:rPr>
                  <m:t>,</m:t>
                </m:r>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31"/>
    <w:bookmarkEnd w:id="132"/>
    <w:bookmarkEnd w:id="133"/>
    <w:bookmarkStart w:id="165" w:name="capital-de-solvabilité-requis"/>
    <w:p>
      <w:pPr>
        <w:pStyle w:val="Heading2"/>
      </w:pPr>
      <w:r>
        <w:t xml:space="preserve">9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9"/>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9"/>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9"/>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9"/>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9"/>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9"/>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37" w:name="fig-piliers"/>
          <w:p>
            <w:pPr>
              <w:pStyle w:val="Figure"/>
              <w:jc w:val="center"/>
            </w:pPr>
            <w:r>
              <w:drawing>
                <wp:inline>
                  <wp:extent cx="5334000" cy="3015219"/>
                  <wp:effectExtent b="0" l="0" r="0" t="0"/>
                  <wp:docPr descr="" title="" id="135" name="Picture"/>
                  <a:graphic>
                    <a:graphicData uri="http://schemas.openxmlformats.org/drawingml/2006/picture">
                      <pic:pic>
                        <pic:nvPicPr>
                          <pic:cNvPr descr="Rapport-PFE_files/figure-html/Risques.png" id="136" name="Picture"/>
                          <pic:cNvPicPr>
                            <a:picLocks noChangeArrowheads="1" noChangeAspect="1"/>
                          </pic:cNvPicPr>
                        </pic:nvPicPr>
                        <pic:blipFill>
                          <a:blip r:embed="rId134"/>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Présentation des risques</w:t>
            </w:r>
          </w:p>
          <w:bookmarkEnd w:id="137"/>
        </w:tc>
      </w:tr>
    </w:tbl>
    <w:p>
      <w:pPr>
        <w:pStyle w:val="BodyText"/>
      </w:pPr>
      <w:r>
        <w:t xml:space="preserve">Selon le circulaire de l’autorité de Contrôle des assurances et de la Prévoyance Sociale (ACAPS) le capital de solvabilité requis est constitué de la somme des éléments suivants :</w:t>
      </w:r>
    </w:p>
    <w:p>
      <w:pPr>
        <w:numPr>
          <w:ilvl w:val="0"/>
          <w:numId w:val="1040"/>
        </w:numPr>
      </w:pPr>
      <w:r>
        <w:t xml:space="preserve">Le capital de solvabilité requis de base.</w:t>
      </w:r>
    </w:p>
    <w:p>
      <w:pPr>
        <w:numPr>
          <w:ilvl w:val="0"/>
          <w:numId w:val="1040"/>
        </w:numPr>
      </w:pPr>
      <w:r>
        <w:t xml:space="preserve">L’exigence de capital relative au risque opérationnel.</w:t>
      </w:r>
    </w:p>
    <w:p>
      <w:pPr>
        <w:numPr>
          <w:ilvl w:val="0"/>
          <w:numId w:val="1040"/>
        </w:numPr>
      </w:pPr>
      <w:r>
        <w:t xml:space="preserve">L’ajustement visant à tenir compte de la capacité d’absorption des pertes par les assurés.</w:t>
      </w:r>
    </w:p>
    <w:p>
      <w:pPr>
        <w:numPr>
          <w:ilvl w:val="0"/>
          <w:numId w:val="1040"/>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r>
            <m:t>R</m:t>
          </m:r>
          <m:r>
            <m:t>B</m:t>
          </m:r>
          <m:r>
            <m:rPr>
              <m:sty m:val="p"/>
            </m:rPr>
            <m:t>+</m:t>
          </m:r>
          <m:r>
            <m:t>C</m:t>
          </m:r>
          <m:r>
            <m:t>S</m:t>
          </m:r>
          <m:r>
            <m:t>R</m:t>
          </m:r>
          <m:r>
            <m:t>O</m:t>
          </m:r>
          <m:r>
            <m:rPr>
              <m:sty m:val="p"/>
            </m:rPr>
            <m:t>−</m:t>
          </m:r>
          <m:r>
            <m:t>m</m:t>
          </m:r>
          <m:r>
            <m:t>a</m:t>
          </m:r>
          <m:r>
            <m:t>x</m:t>
          </m:r>
          <m:d>
            <m:dPr>
              <m:begChr m:val="("/>
              <m:endChr m:val=")"/>
              <m:sepChr m:val=""/>
              <m:grow/>
            </m:dPr>
            <m:e>
              <m:r>
                <m:t>A</m:t>
              </m:r>
              <m:r>
                <m:t>d</m:t>
              </m:r>
              <m:r>
                <m:t>j</m:t>
              </m:r>
              <m:r>
                <m:rPr>
                  <m:sty m:val="p"/>
                </m:rPr>
                <m:t>,</m:t>
              </m:r>
              <m:r>
                <m:t>0</m:t>
              </m:r>
            </m:e>
          </m:d>
        </m:oMath>
      </m:oMathPara>
    </w:p>
    <w:bookmarkStart w:id="158" w:name="X0beb716fe9114a411569a04c6802232189d90bd"/>
    <w:p>
      <w:pPr>
        <w:pStyle w:val="Heading3"/>
      </w:pPr>
      <w:r>
        <w:t xml:space="preserve">9.1 Le capital de solvabilité requis de base (</w:t>
      </w:r>
      <m:oMath>
        <m:r>
          <m:t>C</m:t>
        </m:r>
        <m:r>
          <m:t>S</m:t>
        </m:r>
        <m:r>
          <m:t>R</m:t>
        </m:r>
        <m:r>
          <m:t>B</m:t>
        </m:r>
      </m:oMath>
      <w:r>
        <w:t xml:space="preserve">):</w:t>
      </w:r>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et de reassurance d’évaluer de manière précise les montants de capitaux nécessaires pour couvrir leurs risques spécifiques et d’assurer une solvabilité adéquate.</w:t>
      </w:r>
    </w:p>
    <w:p>
      <w:pPr>
        <w:pStyle w:val="BodyText"/>
      </w:pPr>
      <w:r>
        <w:t xml:space="preserve">Le capital de solvabilité requis de base peut s’écrit mathématiquement comme suit:</w:t>
      </w:r>
    </w:p>
    <w:p>
      <w:pPr>
        <w:pStyle w:val="BodyText"/>
      </w:pPr>
      <m:oMathPara>
        <m:oMathParaPr>
          <m:jc m:val="center"/>
        </m:oMathParaPr>
        <m:oMath>
          <m:r>
            <m:t>C</m:t>
          </m:r>
          <m:r>
            <m:t>S</m:t>
          </m:r>
          <m:r>
            <m:t>R</m:t>
          </m:r>
          <m:r>
            <m:t>B</m:t>
          </m:r>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oMath>
      </m:oMathPara>
    </w:p>
    <w:p>
      <w:pPr>
        <w:pStyle w:val="FirstParagraph"/>
      </w:pPr>
      <w:r>
        <w:t xml:space="preserve">avec :</w:t>
      </w:r>
    </w:p>
    <w:p>
      <w:pPr>
        <w:numPr>
          <w:ilvl w:val="0"/>
          <w:numId w:val="1041"/>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41"/>
        </w:numPr>
      </w:pPr>
      <m:oMath>
        <m:r>
          <m:t>ρ</m:t>
        </m:r>
      </m:oMath>
      <w:r>
        <w:t xml:space="preserve"> </w:t>
      </w:r>
      <w:r>
        <w:t xml:space="preserve">: Coefficients de corrélations.</w:t>
      </w:r>
    </w:p>
    <w:p>
      <w:pPr>
        <w:pStyle w:val="FirstParagraph"/>
      </w:pPr>
      <w:r>
        <w:t xml:space="preserve">Jusqu’à présent, les coefficients de corrélation exactes entre les sous risques ne sont pas encore publiés par l’ACAPS, pour cette raison on a supposé l’indépendance entres tous ces sous risques sous risques, donc la matrice de corrélation va être de cette forme :</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Concentration</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Contrepartie</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Sousc. 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Sousc. non-vie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bl>
    <w:bookmarkStart w:id="143" w:name="Xd580944961825346609976270960f9aba7a07dd"/>
    <w:p>
      <w:pPr>
        <w:pStyle w:val="Heading4"/>
      </w:pPr>
      <w:r>
        <w:t xml:space="preserve">9.1.1 EXIGENCE DE CAPITAL RELATIVE AUX RISQUES DE MARCHE (</w:t>
      </w:r>
      <m:oMath>
        <m:r>
          <m:t>C</m:t>
        </m:r>
        <m:r>
          <m:t>S</m:t>
        </m:r>
        <m:sSub>
          <m:e>
            <m:r>
              <m:t>R</m:t>
            </m:r>
          </m:e>
          <m:sub>
            <m:r>
              <m:t>M</m:t>
            </m:r>
          </m:sub>
        </m:sSub>
      </m:oMath>
      <w:r>
        <w:t xml:space="preserve">)</w:t>
      </w:r>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oMath>
      </m:oMathPara>
    </w:p>
    <w:p>
      <w:pPr>
        <w:pStyle w:val="FirstParagraph"/>
      </w:pPr>
      <w:r>
        <w:t xml:space="preserve">avec :</w:t>
      </w:r>
    </w:p>
    <w:p>
      <w:pPr>
        <w:numPr>
          <w:ilvl w:val="0"/>
          <w:numId w:val="1042"/>
        </w:numPr>
      </w:pPr>
      <w:r>
        <w:t xml:space="preserve">RM</w:t>
      </w:r>
      <w:r>
        <w:t xml:space="preserve"> </w:t>
      </w:r>
      <m:oMath>
        <m:r>
          <m:rPr>
            <m:sty m:val="p"/>
          </m:rPr>
          <m:t>∈</m:t>
        </m:r>
      </m:oMath>
      <w:r>
        <w:t xml:space="preserve"> </w:t>
      </w:r>
      <w:r>
        <w:t xml:space="preserve">{action, taux, immobilier, écart de taux et change}</w:t>
      </w:r>
    </w:p>
    <w:p>
      <w:pPr>
        <w:numPr>
          <w:ilvl w:val="0"/>
          <w:numId w:val="1042"/>
        </w:numPr>
      </w:pPr>
      <m:oMath>
        <m:r>
          <m:t>ρ</m:t>
        </m:r>
      </m:oMath>
      <w:r>
        <w:t xml:space="preserve"> </w:t>
      </w:r>
      <w:r>
        <w:t xml:space="preserve">: Coefficients de corrélations.</w:t>
      </w:r>
    </w:p>
    <w:bookmarkStart w:id="138" w:name="X00e0c68f46971b87c6648cfb4c5abb243b9d28f"/>
    <w:p>
      <w:pPr>
        <w:pStyle w:val="Heading5"/>
      </w:pPr>
      <w:r>
        <w:t xml:space="preserve">9.1.1.1 L’exigence de capital relative au risque action (</w:t>
      </w:r>
      <m:oMath>
        <m:r>
          <m:t>C</m:t>
        </m:r>
        <m:r>
          <m:t>S</m:t>
        </m:r>
        <m:sSub>
          <m:e>
            <m:r>
              <m:t>R</m:t>
            </m:r>
          </m:e>
          <m:sub>
            <m:r>
              <m:t>A</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sub>
          </m:sSub>
          <m:r>
            <m:rPr>
              <m:sty m:val="p"/>
            </m:rPr>
            <m:t>=</m:t>
          </m:r>
          <m:r>
            <m:t>B</m:t>
          </m:r>
          <m:r>
            <m:t>E</m:t>
          </m:r>
          <m:sSub>
            <m:e>
              <m:r>
                <m:t>C</m:t>
              </m:r>
            </m:e>
            <m:sub>
              <m:r>
                <m:t>e</m:t>
              </m:r>
              <m:r>
                <m:t>n</m:t>
              </m:r>
              <m:r>
                <m:t>g</m:t>
              </m:r>
            </m:sub>
          </m:sSub>
          <m:r>
            <m:rPr>
              <m:sty m:val="p"/>
            </m:rPr>
            <m:t>−</m:t>
          </m:r>
          <m:r>
            <m:t>B</m:t>
          </m:r>
          <m:sSub>
            <m:e>
              <m:r>
                <m:t>E</m:t>
              </m:r>
            </m:e>
            <m:sub>
              <m:r>
                <m:t>e</m:t>
              </m:r>
              <m:r>
                <m:t>n</m:t>
              </m:r>
              <m:r>
                <m:t>g</m:t>
              </m:r>
            </m:sub>
          </m:sSub>
          <m:r>
            <m:t> </m:t>
          </m:r>
          <m:r>
            <m:rPr>
              <m:sty m:val="p"/>
            </m:rPr>
            <m:t>,</m:t>
          </m:r>
        </m:oMath>
      </m:oMathPara>
    </w:p>
    <w:p>
      <w:pPr>
        <w:pStyle w:val="FirstParagraph"/>
      </w:pPr>
      <w:r>
        <w:t xml:space="preserve">avec :</w:t>
      </w:r>
    </w:p>
    <w:p>
      <w:pPr>
        <w:pStyle w:val="BodyText"/>
      </w:pPr>
      <m:oMath>
        <m:r>
          <m:t>B</m:t>
        </m:r>
        <m:r>
          <m:t>E</m:t>
        </m:r>
        <m:sSub>
          <m:e>
            <m:r>
              <m:t>C</m:t>
            </m:r>
          </m:e>
          <m:sub>
            <m:r>
              <m:t>e</m:t>
            </m:r>
            <m:r>
              <m:t>n</m:t>
            </m:r>
            <m:r>
              <m:t>g</m:t>
            </m:r>
          </m:sub>
        </m:sSub>
      </m:oMath>
      <w:r>
        <w:t xml:space="preserve"> </w:t>
      </w:r>
      <w:r>
        <w:t xml:space="preserve">: Best estimant des engagements après le choque de la valeur du marché des action.</w:t>
      </w:r>
    </w:p>
    <w:p>
      <w:pPr>
        <w:pStyle w:val="BodyText"/>
      </w:pPr>
      <m:oMath>
        <m:r>
          <m:t>B</m:t>
        </m:r>
        <m:sSub>
          <m:e>
            <m:r>
              <m:t>E</m:t>
            </m:r>
          </m:e>
          <m:sub>
            <m:r>
              <m:t>e</m:t>
            </m:r>
            <m:r>
              <m:t>n</m:t>
            </m:r>
            <m:r>
              <m:t>g</m:t>
            </m:r>
          </m:sub>
        </m:sSub>
      </m:oMath>
      <w:r>
        <w:t xml:space="preserve">: Best estimant des engagements.</w:t>
      </w:r>
    </w:p>
    <w:bookmarkEnd w:id="138"/>
    <w:bookmarkStart w:id="139" w:name="Xb5fc351290b7d10916dfe69a1c5c8a08a269b48"/>
    <w:p>
      <w:pPr>
        <w:pStyle w:val="Heading5"/>
      </w:pPr>
      <w:r>
        <w:t xml:space="preserve">9.1.1.2 L’exigence de capital relative au risque de taux (</w:t>
      </w:r>
      <w:r>
        <w:t xml:space="preserve">$CSR_T}$</w:t>
      </w:r>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sub>
          </m:sSub>
          <m:r>
            <m:rPr>
              <m:sty m:val="p"/>
            </m:rPr>
            <m:t>=</m:t>
          </m:r>
          <m:r>
            <m:t>m</m:t>
          </m:r>
          <m:r>
            <m:t>a</m:t>
          </m:r>
          <m:r>
            <m:t>x</m:t>
          </m:r>
          <m:d>
            <m:dPr>
              <m:begChr m:val="("/>
              <m:endChr m:val=")"/>
              <m:sepChr m:val=""/>
              <m:grow/>
            </m:dPr>
            <m:e>
              <m:r>
                <m:t>C</m:t>
              </m:r>
              <m:r>
                <m:t>S</m:t>
              </m:r>
              <m:sSub>
                <m:e>
                  <m:r>
                    <m:t>R</m:t>
                  </m:r>
                </m:e>
                <m:sub>
                  <m:r>
                    <m:t>T</m:t>
                  </m:r>
                  <m:r>
                    <m:t>H</m:t>
                  </m:r>
                </m:sub>
              </m:sSub>
              <m:r>
                <m:rPr>
                  <m:sty m:val="p"/>
                </m:rPr>
                <m:t>;</m:t>
              </m:r>
              <m:r>
                <m:t>C</m:t>
              </m:r>
              <m:r>
                <m:t>S</m:t>
              </m:r>
              <m:sSub>
                <m:e>
                  <m:r>
                    <m:t>R</m:t>
                  </m:r>
                </m:e>
                <m:sub>
                  <m:r>
                    <m:t>T</m:t>
                  </m:r>
                  <m:r>
                    <m:t>B</m:t>
                  </m:r>
                </m:sub>
              </m:sSub>
            </m:e>
          </m:d>
          <m:r>
            <m:t> </m:t>
          </m:r>
          <m:r>
            <m:rPr>
              <m:sty m:val="p"/>
            </m:rPr>
            <m:t>,</m:t>
          </m:r>
        </m:oMath>
      </m:oMathPara>
    </w:p>
    <w:p>
      <w:pPr>
        <w:pStyle w:val="FirstParagraph"/>
      </w:pPr>
      <w:r>
        <w:t xml:space="preserve">avec :</w:t>
      </w:r>
    </w:p>
    <w:p>
      <w:pPr>
        <w:pStyle w:val="BodyText"/>
      </w:pPr>
      <m:oMath>
        <m:r>
          <m:t>C</m:t>
        </m:r>
        <m:r>
          <m:t>S</m:t>
        </m:r>
        <m:sSub>
          <m:e>
            <m:r>
              <m:t>R</m:t>
            </m:r>
          </m:e>
          <m:sub>
            <m:r>
              <m:t>T</m:t>
            </m:r>
            <m:r>
              <m:t>H</m:t>
            </m:r>
          </m:sub>
        </m:sSub>
      </m:oMath>
      <w:r>
        <w:t xml:space="preserve">:Best estimate des engagements pour le scenario de hausse de taux.</w:t>
      </w:r>
      <w:r>
        <w:t xml:space="preserve"> </w:t>
      </w:r>
      <m:oMath>
        <m:r>
          <m:t>C</m:t>
        </m:r>
        <m:r>
          <m:t>S</m:t>
        </m:r>
        <m:sSub>
          <m:e>
            <m:r>
              <m:t>R</m:t>
            </m:r>
          </m:e>
          <m:sub>
            <m:r>
              <m:t>T</m:t>
            </m:r>
            <m:r>
              <m:t>B</m:t>
            </m:r>
          </m:sub>
        </m:sSub>
      </m:oMath>
      <w:r>
        <w:t xml:space="preserve">:Best estimate des engagements pour le scenario baisse de taux.</w:t>
      </w:r>
    </w:p>
    <w:p>
      <w:pPr>
        <w:pStyle w:val="BodyText"/>
      </w:pPr>
      <w:r>
        <w:t xml:space="preserve">telle que :</w:t>
      </w:r>
    </w:p>
    <w:p>
      <w:pPr>
        <w:pStyle w:val="BodyText"/>
      </w:pPr>
      <m:oMathPara>
        <m:oMathParaPr>
          <m:jc m:val="center"/>
        </m:oMathParaPr>
        <m:oMath>
          <m:r>
            <m:t>C</m:t>
          </m:r>
          <m:r>
            <m:t>S</m:t>
          </m:r>
          <m:sSub>
            <m:e>
              <m:r>
                <m:t>R</m:t>
              </m:r>
            </m:e>
            <m:sub>
              <m:r>
                <m:t>T</m:t>
              </m:r>
              <m:r>
                <m:t>B</m:t>
              </m:r>
            </m:sub>
          </m:sSub>
          <m:r>
            <m:rPr>
              <m:sty m:val="p"/>
            </m:rPr>
            <m:t>=</m:t>
          </m:r>
          <m:r>
            <m:t>B</m:t>
          </m:r>
          <m:sSub>
            <m:e>
              <m:r>
                <m:t>E</m:t>
              </m:r>
            </m:e>
            <m:sub>
              <m:r>
                <m:t>T</m:t>
              </m:r>
              <m:r>
                <m:t>B</m:t>
              </m:r>
            </m:sub>
          </m:sSub>
          <m:r>
            <m:rPr>
              <m:sty m:val="p"/>
            </m:rPr>
            <m:t>−</m:t>
          </m:r>
          <m:r>
            <m:t>B</m:t>
          </m:r>
          <m:r>
            <m:t>E</m:t>
          </m:r>
        </m:oMath>
      </m:oMathPara>
    </w:p>
    <w:p>
      <w:pPr>
        <w:pStyle w:val="FirstParagraph"/>
      </w:pPr>
      <w:r>
        <w:br/>
      </w:r>
    </w:p>
    <w:p>
      <w:pPr>
        <w:pStyle w:val="BodyText"/>
      </w:pPr>
      <m:oMathPara>
        <m:oMathParaPr>
          <m:jc m:val="center"/>
        </m:oMathParaPr>
        <m:oMath>
          <m:r>
            <m:t>C</m:t>
          </m:r>
          <m:r>
            <m:t>S</m:t>
          </m:r>
          <m:sSub>
            <m:e>
              <m:r>
                <m:t>R</m:t>
              </m:r>
            </m:e>
            <m:sub>
              <m:r>
                <m:t>T</m:t>
              </m:r>
              <m:r>
                <m:t>H</m:t>
              </m:r>
            </m:sub>
          </m:sSub>
          <m:r>
            <m:rPr>
              <m:sty m:val="p"/>
            </m:rPr>
            <m:t>=</m:t>
          </m:r>
          <m:r>
            <m:t>B</m:t>
          </m:r>
          <m:sSub>
            <m:e>
              <m:r>
                <m:t>E</m:t>
              </m:r>
            </m:e>
            <m:sub>
              <m:r>
                <m:t>T</m:t>
              </m:r>
              <m:r>
                <m:t>H</m:t>
              </m:r>
            </m:sub>
          </m:sSub>
          <m:r>
            <m:rPr>
              <m:sty m:val="p"/>
            </m:rPr>
            <m:t>−</m:t>
          </m:r>
          <m:r>
            <m:t>B</m:t>
          </m:r>
          <m:r>
            <m:t>E</m:t>
          </m:r>
        </m:oMath>
      </m:oMathPara>
    </w:p>
    <w:bookmarkEnd w:id="139"/>
    <w:bookmarkStart w:id="140" w:name="Xeb2f88f8cd8813d75e563cba8910ca5b880a2ff"/>
    <w:p>
      <w:pPr>
        <w:pStyle w:val="Heading5"/>
      </w:pPr>
      <w:r>
        <w:t xml:space="preserve">9.1.1.3 L’exigence de capital relative au risque immobilier (</w:t>
      </w:r>
      <m:oMath>
        <m:r>
          <m:t>C</m:t>
        </m:r>
        <m:r>
          <m:t>S</m:t>
        </m:r>
        <m:sSub>
          <m:e>
            <m:r>
              <m:t>R</m:t>
            </m:r>
          </m:e>
          <m:sub>
            <m:r>
              <m:t>I</m:t>
            </m:r>
          </m:sub>
        </m:sSub>
      </m:oMath>
      <w:r>
        <w:t xml:space="preserve">)</w:t>
      </w:r>
    </w:p>
    <w:p>
      <w:pPr>
        <w:pStyle w:val="FirstParagraph"/>
      </w:pPr>
      <w:r>
        <w:t xml:space="preserve">L’exigence de capital relative au risque immobilier est la perte de fonds propres due à une baisse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sub>
          </m:sSub>
          <m:r>
            <m:rPr>
              <m:sty m:val="p"/>
            </m:rPr>
            <m:t>=</m:t>
          </m:r>
          <m:r>
            <m:t>B</m:t>
          </m:r>
          <m:r>
            <m:t>E</m:t>
          </m:r>
          <m:sSub>
            <m:e>
              <m:r>
                <m:t>C</m:t>
              </m:r>
            </m:e>
            <m:sub>
              <m:r>
                <m:t>e</m:t>
              </m:r>
              <m:r>
                <m:t>n</m:t>
              </m:r>
              <m:r>
                <m:t>g</m:t>
              </m:r>
            </m:sub>
          </m:sSub>
          <m:r>
            <m:rPr>
              <m:sty m:val="p"/>
            </m:rPr>
            <m:t>−</m:t>
          </m:r>
          <m:r>
            <m:t>B</m:t>
          </m:r>
          <m:sSub>
            <m:e>
              <m:r>
                <m:t>E</m:t>
              </m:r>
            </m:e>
            <m:sub>
              <m:r>
                <m:t>e</m:t>
              </m:r>
              <m:r>
                <m:t>n</m:t>
              </m:r>
              <m:r>
                <m:t>g</m:t>
              </m:r>
            </m:sub>
          </m:sSub>
          <m:r>
            <m:t> </m:t>
          </m:r>
          <m:r>
            <m:rPr>
              <m:sty m:val="p"/>
            </m:rPr>
            <m:t>,</m:t>
          </m:r>
        </m:oMath>
      </m:oMathPara>
    </w:p>
    <w:p>
      <w:pPr>
        <w:pStyle w:val="FirstParagraph"/>
      </w:pPr>
      <w:r>
        <w:t xml:space="preserve">avec :</w:t>
      </w:r>
    </w:p>
    <w:p>
      <w:pPr>
        <w:pStyle w:val="BodyText"/>
      </w:pPr>
      <m:oMath>
        <m:r>
          <m:t>B</m:t>
        </m:r>
        <m:r>
          <m:t>E</m:t>
        </m:r>
        <m:sSub>
          <m:e>
            <m:r>
              <m:t>C</m:t>
            </m:r>
          </m:e>
          <m:sub>
            <m:r>
              <m:t>e</m:t>
            </m:r>
            <m:r>
              <m:t>n</m:t>
            </m:r>
            <m:r>
              <m:t>g</m:t>
            </m:r>
          </m:sub>
        </m:sSub>
      </m:oMath>
      <w:r>
        <w:t xml:space="preserve"> </w:t>
      </w:r>
      <w:r>
        <w:t xml:space="preserve">: La meilleure estimation des engagements choqué.</w:t>
      </w:r>
      <w:r>
        <w:t xml:space="preserve"> </w:t>
      </w:r>
      <m:oMath>
        <m:r>
          <m:t>B</m:t>
        </m:r>
        <m:r>
          <m:t>E</m:t>
        </m:r>
        <m:sSub>
          <m:e>
            <m:r>
              <m:t>C</m:t>
            </m:r>
          </m:e>
          <m:sub>
            <m:r>
              <m:t>e</m:t>
            </m:r>
            <m:r>
              <m:t>n</m:t>
            </m:r>
            <m:r>
              <m:t>g</m:t>
            </m:r>
          </m:sub>
        </m:sSub>
      </m:oMath>
      <w:r>
        <w:t xml:space="preserve"> </w:t>
      </w:r>
      <w:r>
        <w:t xml:space="preserve">: La meilleure estimation des engagements avant choque.</w:t>
      </w:r>
    </w:p>
    <w:bookmarkEnd w:id="140"/>
    <w:bookmarkStart w:id="141" w:name="X26a52ae9805b11f9d1baa2a487f517d03749fc0"/>
    <w:p>
      <w:pPr>
        <w:pStyle w:val="Heading5"/>
      </w:pPr>
      <w:r>
        <w:t xml:space="preserve">9.1.1.4 L’exigence de capital relative au risque d’écart de taux (</w:t>
      </w:r>
      <m:oMath>
        <m:r>
          <m:t>C</m:t>
        </m:r>
        <m:r>
          <m:t>S</m:t>
        </m:r>
        <m:sSub>
          <m:e>
            <m:r>
              <m:t>R</m:t>
            </m:r>
          </m:e>
          <m:sub>
            <m:r>
              <m:t>E</m:t>
            </m:r>
          </m:sub>
        </m:sSub>
        <m:r>
          <m:t>T</m:t>
        </m:r>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41"/>
    <w:bookmarkStart w:id="142" w:name="X5e99c74a71772d632d6e09c172891fadaa66da1"/>
    <w:p>
      <w:pPr>
        <w:pStyle w:val="Heading5"/>
      </w:pPr>
      <w:r>
        <w:t xml:space="preserve">9.1.1.5 L’exigence de capital relative au sous-risque de change (</w:t>
      </w:r>
      <m:oMath>
        <m:r>
          <m:t>C</m:t>
        </m:r>
        <m:r>
          <m:t>S</m:t>
        </m:r>
        <m:sSub>
          <m:e>
            <m:r>
              <m:t>R</m:t>
            </m:r>
          </m:e>
          <m:sub>
            <m:r>
              <m:t>C</m:t>
            </m:r>
          </m:sub>
        </m:sSub>
        <m:r>
          <m:t>h</m:t>
        </m:r>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43"/>
        </w:numPr>
        <w:pStyle w:val="Compact"/>
      </w:pPr>
      <w:r>
        <w:t xml:space="preserve">l’exigence de capital pour risque d’augmentation de la valeur de la devise étrangère par rapport au dirham.</w:t>
      </w:r>
    </w:p>
    <w:p>
      <w:pPr>
        <w:numPr>
          <w:ilvl w:val="0"/>
          <w:numId w:val="1043"/>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sub>
          </m:sSub>
          <m:r>
            <m:rPr>
              <m:sty m:val="p"/>
            </m:rPr>
            <m:t>=</m:t>
          </m:r>
          <m:nary>
            <m:naryPr>
              <m:chr m:val="∑"/>
              <m:limLoc m:val="undOvr"/>
              <m:subHide m:val="0"/>
              <m:supHide m:val="1"/>
            </m:naryPr>
            <m:sub>
              <m:r>
                <m:t>i</m:t>
              </m:r>
              <m:r>
                <m:rPr>
                  <m:sty m:val="p"/>
                </m:rPr>
                <m:t>∈</m:t>
              </m:r>
              <m:r>
                <m:t>R</m:t>
              </m:r>
              <m:r>
                <m:t>C</m:t>
              </m:r>
            </m:sub>
            <m:sup>
              <m:r>
                <m:t>​</m:t>
              </m:r>
            </m:sup>
            <m:e>
              <m:r>
                <m:t>C</m:t>
              </m:r>
            </m:e>
          </m:nary>
          <m:r>
            <m:t>S</m:t>
          </m:r>
          <m:sSub>
            <m:e>
              <m:r>
                <m:t>R</m:t>
              </m:r>
            </m:e>
            <m:sub>
              <m:r>
                <m:t>C</m:t>
              </m:r>
              <m:sSub>
                <m:e>
                  <m:r>
                    <m:t>h</m:t>
                  </m:r>
                </m:e>
                <m:sub>
                  <m:r>
                    <m:t>i</m:t>
                  </m:r>
                </m:sub>
              </m:sSub>
            </m:sub>
          </m:sSub>
        </m:oMath>
      </m:oMathPara>
    </w:p>
    <w:p>
      <w:pPr>
        <w:pStyle w:val="FirstParagraph"/>
      </w:pPr>
      <w:r>
        <w:t xml:space="preserve">avec :</w:t>
      </w:r>
      <w:r>
        <w:t xml:space="preserve"> </w:t>
      </w:r>
      <m:oMath>
        <m:r>
          <m:t>R</m:t>
        </m:r>
        <m:r>
          <m:t>C</m:t>
        </m:r>
      </m:oMath>
      <w:r>
        <w:t xml:space="preserve"> </w:t>
      </w:r>
      <w:r>
        <w:t xml:space="preserve">= {risque de change pour chaque devise étrangère }</w:t>
      </w:r>
    </w:p>
    <w:p>
      <w:pPr>
        <w:pStyle w:val="BodyText"/>
      </w:pP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42"/>
    <w:bookmarkEnd w:id="143"/>
    <w:bookmarkStart w:id="146" w:name="X9c0184a5ab36aa780ba8e9d38716205766fa364"/>
    <w:p>
      <w:pPr>
        <w:pStyle w:val="Heading4"/>
      </w:pPr>
      <w:r>
        <w:t xml:space="preserve">9.1.2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44" w:name="X303ad4190ba297cc4664f228835544b0eb3361f"/>
    <w:p>
      <w:pPr>
        <w:pStyle w:val="Heading5"/>
      </w:pPr>
      <w:r>
        <w:t xml:space="preserve">9.1.2.1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44"/>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45"/>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45"/>
        </w:numPr>
      </w:pPr>
      <m:oMath>
        <m:r>
          <m:t>L</m:t>
        </m:r>
        <m:r>
          <m:t>G</m:t>
        </m:r>
        <m:sSub>
          <m:e>
            <m:r>
              <m:t>D</m:t>
            </m:r>
          </m:e>
          <m:sub>
            <m:r>
              <m:t>i</m:t>
            </m:r>
          </m:sub>
        </m:sSub>
      </m:oMath>
      <w:r>
        <w:t xml:space="preserve"> </w:t>
      </w:r>
      <w:r>
        <w:t xml:space="preserve">: la perte en cas de défaut du cessionnaire i ;</w:t>
      </w:r>
    </w:p>
    <w:p>
      <w:pPr>
        <w:numPr>
          <w:ilvl w:val="0"/>
          <w:numId w:val="1045"/>
        </w:numPr>
      </w:pPr>
      <m:oMath>
        <m:r>
          <m:rPr>
            <m:nor/>
            <m:sty m:val="p"/>
          </m:rPr>
          <m:t>Depot en espèces ou en valeur</m:t>
        </m:r>
      </m:oMath>
      <w:r>
        <w:t xml:space="preserve"> </w:t>
      </w:r>
      <w:r>
        <w:t xml:space="preserve">: le montant des dépôts en espèces ou en valeurs du cessionnaire i ;</w:t>
      </w:r>
    </w:p>
    <w:p>
      <w:pPr>
        <w:numPr>
          <w:ilvl w:val="0"/>
          <w:numId w:val="1045"/>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45"/>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45"/>
        </w:numPr>
      </w:pPr>
      <m:oMath>
        <m:r>
          <m:t>L</m:t>
        </m:r>
        <m:r>
          <m:t>G</m:t>
        </m:r>
        <m:sSub>
          <m:e>
            <m:r>
              <m:t>D</m:t>
            </m:r>
          </m:e>
          <m:sub>
            <m:r>
              <m:t>i</m:t>
            </m:r>
          </m:sub>
        </m:sSub>
      </m:oMath>
      <w:r>
        <w:t xml:space="preserve">: la perte en cas de défaut de la cédante i ;</w:t>
      </w:r>
    </w:p>
    <w:p>
      <w:pPr>
        <w:numPr>
          <w:ilvl w:val="0"/>
          <w:numId w:val="1045"/>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45"/>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45"/>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6"/>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6"/>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6"/>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44"/>
    <w:bookmarkStart w:id="145" w:name="Xde70ab66fad04d143ab07d5ec8525e6812bbe93"/>
    <w:p>
      <w:pPr>
        <w:pStyle w:val="Heading5"/>
      </w:pPr>
      <w:r>
        <w:t xml:space="preserve">9.1.2.2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7"/>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7"/>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7"/>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45"/>
    <w:bookmarkEnd w:id="146"/>
    <w:bookmarkStart w:id="147" w:name="Xac2a78756e1947e45e0b443464340ca4e07c6ed"/>
    <w:p>
      <w:pPr>
        <w:pStyle w:val="Heading4"/>
      </w:pPr>
      <w:r>
        <w:t xml:space="preserve">9.1.3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47"/>
    <w:bookmarkStart w:id="153" w:name="X8bdc5d6c520394ae1ab3fd8ff0e20bf39ae18c3"/>
    <w:p>
      <w:pPr>
        <w:pStyle w:val="Heading4"/>
      </w:pPr>
      <w:r>
        <w:t xml:space="preserve">9.1.4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48" w:name="X70ec578e7130a57a8c8842c95b63e70e295ba28"/>
    <w:p>
      <w:pPr>
        <w:pStyle w:val="Heading5"/>
      </w:pPr>
      <w:r>
        <w:t xml:space="preserve">9.1.4.1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48"/>
    <w:bookmarkStart w:id="149" w:name="X92ef2d5d6d1f309ee4dc38a892eea4151c6a010"/>
    <w:p>
      <w:pPr>
        <w:pStyle w:val="Heading5"/>
      </w:pPr>
      <w:r>
        <w:t xml:space="preserve">9.1.4.2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49"/>
    <w:bookmarkStart w:id="150" w:name="Xf9593f399cde8ef9ae9c140ec93b1cb9af95941"/>
    <w:p>
      <w:pPr>
        <w:pStyle w:val="Heading5"/>
      </w:pPr>
      <w:r>
        <w:t xml:space="preserve">9.1.4.3 Exigence de capital pour risque de rachat (</w:t>
      </w:r>
      <m:oMath>
        <m:r>
          <m:t>C</m:t>
        </m:r>
        <m:r>
          <m:t>S</m:t>
        </m:r>
        <m:sSub>
          <m:e>
            <m:r>
              <m:t>R</m:t>
            </m:r>
          </m:e>
          <m:sub>
            <m:r>
              <m:t>R</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8"/>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9"/>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sub>
          </m:sSub>
          <m:r>
            <m:rPr>
              <m:sty m:val="p"/>
            </m:rPr>
            <m:t>=</m:t>
          </m:r>
          <m:r>
            <m:t>m</m:t>
          </m:r>
          <m:r>
            <m:t>a</m:t>
          </m:r>
          <m:r>
            <m:t>x</m:t>
          </m:r>
          <m:d>
            <m:dPr>
              <m:begChr m:val="("/>
              <m:endChr m:val=")"/>
              <m:sepChr m:val=""/>
              <m:grow/>
            </m:dPr>
            <m:e>
              <m:r>
                <m:t>C</m:t>
              </m:r>
              <m:r>
                <m:t>S</m:t>
              </m:r>
              <m:sSub>
                <m:e>
                  <m:r>
                    <m:t>R</m:t>
                  </m:r>
                </m:e>
                <m:sub>
                  <m:r>
                    <m:t>R</m:t>
                  </m:r>
                  <m:r>
                    <m:t>H</m:t>
                  </m:r>
                  <m:r>
                    <m:t>T</m:t>
                  </m:r>
                </m:sub>
              </m:sSub>
              <m:r>
                <m:rPr>
                  <m:sty m:val="p"/>
                </m:rPr>
                <m:t>;</m:t>
              </m:r>
              <m:r>
                <m:t>C</m:t>
              </m:r>
              <m:r>
                <m:t>S</m:t>
              </m:r>
              <m:sSub>
                <m:e>
                  <m:r>
                    <m:t>R</m:t>
                  </m:r>
                </m:e>
                <m:sub>
                  <m:r>
                    <m:t>R</m:t>
                  </m:r>
                  <m:r>
                    <m:t>B</m:t>
                  </m:r>
                  <m:r>
                    <m:t>T</m:t>
                  </m:r>
                </m:sub>
              </m:sSub>
            </m:e>
          </m:d>
        </m:oMath>
      </m:oMathPara>
    </w:p>
    <w:p>
      <w:pPr>
        <w:pStyle w:val="FirstParagraph"/>
      </w:pPr>
      <w:r>
        <w:t xml:space="preserve">avec :</w:t>
      </w:r>
    </w:p>
    <w:p>
      <w:pPr>
        <w:pStyle w:val="BodyText"/>
      </w:pPr>
      <m:oMathPara>
        <m:oMathParaPr>
          <m:jc m:val="center"/>
        </m:oMathParaPr>
        <m:oMath>
          <m:r>
            <m:t>C</m:t>
          </m:r>
          <m:r>
            <m:t>S</m:t>
          </m:r>
          <m:sSub>
            <m:e>
              <m:r>
                <m:t>R</m:t>
              </m:r>
            </m:e>
            <m:sub>
              <m:r>
                <m:t>R</m:t>
              </m:r>
              <m:r>
                <m:t>H</m:t>
              </m:r>
              <m:r>
                <m:t>T</m:t>
              </m:r>
            </m:sub>
          </m:sSub>
          <m:r>
            <m:rPr>
              <m:sty m:val="p"/>
            </m:rPr>
            <m:t>=</m:t>
          </m:r>
          <m:r>
            <m:t>B</m:t>
          </m:r>
          <m:sSub>
            <m:e>
              <m:r>
                <m:t>E</m:t>
              </m:r>
            </m:e>
            <m:sub>
              <m:r>
                <m:t>R</m:t>
              </m:r>
              <m:r>
                <m:t>H</m:t>
              </m:r>
              <m:r>
                <m:t>T</m:t>
              </m:r>
            </m:sub>
          </m:sSub>
          <m:r>
            <m:rPr>
              <m:sty m:val="p"/>
            </m:rPr>
            <m:t>−</m:t>
          </m:r>
          <m:r>
            <m:t>B</m:t>
          </m:r>
          <m:r>
            <m:t>E</m:t>
          </m:r>
        </m:oMath>
      </m:oMathPara>
    </w:p>
    <w:p>
      <w:pPr>
        <w:pStyle w:val="FirstParagraph"/>
      </w:pPr>
      <m:oMathPara>
        <m:oMathParaPr>
          <m:jc m:val="center"/>
        </m:oMathParaPr>
        <m:oMath>
          <m:r>
            <m:t>C</m:t>
          </m:r>
          <m:r>
            <m:t>S</m:t>
          </m:r>
          <m:sSub>
            <m:e>
              <m:r>
                <m:t>R</m:t>
              </m:r>
            </m:e>
            <m:sub>
              <m:r>
                <m:t>R</m:t>
              </m:r>
              <m:r>
                <m:t>B</m:t>
              </m:r>
              <m:r>
                <m:t>T</m:t>
              </m:r>
            </m:sub>
          </m:sSub>
          <m:r>
            <m:rPr>
              <m:sty m:val="p"/>
            </m:rPr>
            <m:t>=</m:t>
          </m:r>
          <m:r>
            <m:t>B</m:t>
          </m:r>
          <m:sSub>
            <m:e>
              <m:r>
                <m:t>E</m:t>
              </m:r>
            </m:e>
            <m:sub>
              <m:r>
                <m:t>R</m:t>
              </m:r>
              <m:r>
                <m:t>B</m:t>
              </m:r>
              <m:r>
                <m:t>T</m:t>
              </m:r>
            </m:sub>
          </m:sSub>
          <m:r>
            <m:rPr>
              <m:sty m:val="p"/>
            </m:rPr>
            <m:t>−</m:t>
          </m:r>
          <m:r>
            <m:t>B</m:t>
          </m:r>
          <m:r>
            <m:t>E</m:t>
          </m:r>
        </m:oMath>
      </m:oMathPara>
    </w:p>
    <w:bookmarkEnd w:id="150"/>
    <w:bookmarkStart w:id="151" w:name="X3f53d97ac0100081bf14cce1c7c4c7b66f159ab"/>
    <w:p>
      <w:pPr>
        <w:pStyle w:val="Heading5"/>
      </w:pPr>
      <w:r>
        <w:t xml:space="preserve">9.1.4.4 Exigence de capital relative au risque de frais (</w:t>
      </w:r>
      <m:oMath>
        <m:r>
          <m:t>C</m:t>
        </m:r>
        <m:r>
          <m:t>S</m:t>
        </m:r>
        <m:sSub>
          <m:e>
            <m:r>
              <m:t>R</m:t>
            </m:r>
          </m:e>
          <m:sub>
            <m:r>
              <m:t>F</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50"/>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50"/>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r>
            <m:t>E</m:t>
          </m:r>
          <m:sSub>
            <m:e>
              <m:r>
                <m:t>C</m:t>
              </m:r>
            </m:e>
            <m:sub>
              <m:r>
                <m:t>f</m:t>
              </m:r>
              <m:r>
                <m:t>r</m:t>
              </m:r>
              <m:r>
                <m:t>a</m:t>
              </m:r>
              <m:r>
                <m:t>i</m:t>
              </m:r>
              <m:r>
                <m:t>s</m:t>
              </m:r>
            </m:sub>
          </m:sSub>
          <m:r>
            <m:rPr>
              <m:sty m:val="p"/>
            </m:rPr>
            <m:t>−</m:t>
          </m:r>
          <m:r>
            <m:t>B</m:t>
          </m:r>
          <m:sSub>
            <m:e>
              <m:r>
                <m:t>E</m:t>
              </m:r>
            </m:e>
            <m:sub>
              <m:r>
                <m:t>f</m:t>
              </m:r>
              <m:r>
                <m:t>r</m:t>
              </m:r>
              <m:r>
                <m:t>a</m:t>
              </m:r>
              <m:r>
                <m:t>i</m:t>
              </m:r>
              <m:r>
                <m:t>s</m:t>
              </m:r>
            </m:sub>
          </m:sSub>
        </m:oMath>
      </m:oMathPara>
    </w:p>
    <w:bookmarkEnd w:id="151"/>
    <w:bookmarkStart w:id="152" w:name="Xc425fc38e0e5ab3433dbb608f017e66bae918da"/>
    <w:p>
      <w:pPr>
        <w:pStyle w:val="Heading5"/>
      </w:pPr>
      <w:r>
        <w:t xml:space="preserve">9.1.4.5 Exigence de capital relative au risque de catastrophe (</w:t>
      </w:r>
      <m:oMath>
        <m:r>
          <m:t>C</m:t>
        </m:r>
        <m:r>
          <m:t>S</m:t>
        </m:r>
        <m:sSub>
          <m:e>
            <m:r>
              <m:t>R</m:t>
            </m:r>
          </m:e>
          <m:sub>
            <m:r>
              <m:t>C</m:t>
            </m:r>
            <m:r>
              <m:t>a</m:t>
            </m:r>
            <m:r>
              <m:t>t</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52"/>
    <w:bookmarkEnd w:id="153"/>
    <w:bookmarkStart w:id="157" w:name="X1b6aa8fc00d4f5599dfcf10f97be846d7f67a01"/>
    <w:p>
      <w:pPr>
        <w:pStyle w:val="Heading4"/>
      </w:pPr>
      <w:r>
        <w:t xml:space="preserve">9.1.5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54" w:name="Xaf5135c38b35f3935e7fbb38292cb902ba10fce"/>
    <w:p>
      <w:pPr>
        <w:pStyle w:val="Heading5"/>
      </w:pPr>
      <w:r>
        <w:t xml:space="preserve">9.1.5.1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54"/>
    <w:bookmarkStart w:id="155" w:name="X97c27c4f6aaa2dc3a04acf8f040871c5ebd6f65"/>
    <w:p>
      <w:pPr>
        <w:pStyle w:val="Heading5"/>
      </w:pPr>
      <w:r>
        <w:t xml:space="preserve">9.1.5.2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55"/>
    <w:bookmarkStart w:id="156" w:name="X2d899550002a89faf70685e2ededa357230b7ec"/>
    <w:p>
      <w:pPr>
        <w:pStyle w:val="Heading5"/>
      </w:pPr>
      <w:r>
        <w:t xml:space="preserve">9.1.5.3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51"/>
        </w:numPr>
        <w:pStyle w:val="Compact"/>
      </w:pPr>
      <w:r>
        <w:t xml:space="preserve">Individuelles accidents et Invalidité ;</w:t>
      </w:r>
    </w:p>
    <w:p>
      <w:pPr>
        <w:numPr>
          <w:ilvl w:val="0"/>
          <w:numId w:val="1051"/>
        </w:numPr>
        <w:pStyle w:val="Compact"/>
      </w:pPr>
      <w:r>
        <w:t xml:space="preserve">Maladie;</w:t>
      </w:r>
    </w:p>
    <w:p>
      <w:pPr>
        <w:numPr>
          <w:ilvl w:val="0"/>
          <w:numId w:val="1051"/>
        </w:numPr>
        <w:pStyle w:val="Compact"/>
      </w:pPr>
      <w:r>
        <w:t xml:space="preserve">Accidents du travail et maladies professionnelles ;</w:t>
      </w:r>
    </w:p>
    <w:p>
      <w:pPr>
        <w:numPr>
          <w:ilvl w:val="0"/>
          <w:numId w:val="1051"/>
        </w:numPr>
        <w:pStyle w:val="Compact"/>
      </w:pPr>
      <w:r>
        <w:t xml:space="preserve">Responsabilité civile automobile des véhicules terrestres à moteur;</w:t>
      </w:r>
    </w:p>
    <w:p>
      <w:pPr>
        <w:numPr>
          <w:ilvl w:val="0"/>
          <w:numId w:val="1051"/>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51"/>
        </w:numPr>
        <w:pStyle w:val="Compact"/>
      </w:pPr>
      <w:r>
        <w:t xml:space="preserve">Incendie ;</w:t>
      </w:r>
    </w:p>
    <w:p>
      <w:pPr>
        <w:numPr>
          <w:ilvl w:val="0"/>
          <w:numId w:val="1051"/>
        </w:numPr>
        <w:pStyle w:val="Compact"/>
      </w:pPr>
      <w:r>
        <w:t xml:space="preserve">Maritime corps, facultés et responsabilité civile résultant de l’emploi de véhicules fluviaux et maritimes ;</w:t>
      </w:r>
    </w:p>
    <w:p>
      <w:pPr>
        <w:numPr>
          <w:ilvl w:val="0"/>
          <w:numId w:val="1051"/>
        </w:numPr>
        <w:pStyle w:val="Compact"/>
      </w:pPr>
      <w:r>
        <w:t xml:space="preserve">Aviation corps et responsabilité civile résultant de l’emploi des aéronefs ;</w:t>
      </w:r>
    </w:p>
    <w:p>
      <w:pPr>
        <w:numPr>
          <w:ilvl w:val="0"/>
          <w:numId w:val="1051"/>
        </w:numPr>
        <w:pStyle w:val="Compact"/>
      </w:pPr>
      <w:r>
        <w:t xml:space="preserve">Marchandises transportées par voie terrestre ;</w:t>
      </w:r>
    </w:p>
    <w:p>
      <w:pPr>
        <w:numPr>
          <w:ilvl w:val="0"/>
          <w:numId w:val="1051"/>
        </w:numPr>
        <w:pStyle w:val="Compact"/>
      </w:pPr>
      <w:r>
        <w:t xml:space="preserve">Assurance récolte, grêle ou gelée et éléments naturels ;</w:t>
      </w:r>
    </w:p>
    <w:p>
      <w:pPr>
        <w:numPr>
          <w:ilvl w:val="0"/>
          <w:numId w:val="1051"/>
        </w:numPr>
        <w:pStyle w:val="Compact"/>
      </w:pPr>
      <w:r>
        <w:t xml:space="preserve">Crédit et caution</w:t>
      </w:r>
    </w:p>
    <w:bookmarkEnd w:id="156"/>
    <w:bookmarkEnd w:id="157"/>
    <w:bookmarkEnd w:id="158"/>
    <w:bookmarkStart w:id="159" w:name="X784839fd8516b8df5730ae0da267f1818a874be"/>
    <w:p>
      <w:pPr>
        <w:pStyle w:val="Heading3"/>
      </w:pPr>
      <w:r>
        <w:t xml:space="preserve">9.2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59"/>
    <w:bookmarkStart w:id="164" w:name="X384c0c3c983e0c0cecb046cfdf19f3cf5bf77b3"/>
    <w:p>
      <w:pPr>
        <w:pStyle w:val="Heading3"/>
      </w:pPr>
      <w:r>
        <w:t xml:space="preserve">9.3 Ajustement du capital de solvabilité requis</w:t>
      </w:r>
    </w:p>
    <w:bookmarkStart w:id="160" w:name="X60f7df077bb6b37af80367e8ec055588dd69751"/>
    <w:p>
      <w:pPr>
        <w:pStyle w:val="Heading4"/>
      </w:pPr>
      <w:r>
        <w:t xml:space="preserve">9.3.1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60"/>
    <w:bookmarkStart w:id="163" w:name="Xbd336be1e04da1ede3fc1224bb2eedd17c6bfce"/>
    <w:p>
      <w:pPr>
        <w:pStyle w:val="Heading4"/>
      </w:pPr>
      <w:r>
        <w:t xml:space="preserve">9.3.2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C:\PROGRA~1\RStudio\RESOUR~1\app\bin\quarto\share\formats\docx\tip.png" id="16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63"/>
    <w:bookmarkEnd w:id="164"/>
    <w:bookmarkEnd w:id="165"/>
    <w:bookmarkStart w:id="168" w:name="Xec1a8240f33c78c61c9bf625a7d43ebee855295"/>
    <w:p>
      <w:pPr>
        <w:pStyle w:val="Heading2"/>
      </w:pPr>
      <w:r>
        <w:t xml:space="preserve">ANNEXE : Correspondance CORRESPONDANCE ENTRE ECHELLE DE NOTATION ET PROBABILITE DE DEFAUT</w:t>
      </w:r>
    </w:p>
    <w:bookmarkStart w:id="166" w:name="echelles-de-notation"/>
    <w:p>
      <w:pPr>
        <w:pStyle w:val="Heading3"/>
      </w:pPr>
      <w:r>
        <w:t xml:space="preserve">Echelles de notation</w:t>
      </w:r>
    </w:p>
    <w:p>
      <w:pPr>
        <w:numPr>
          <w:ilvl w:val="0"/>
          <w:numId w:val="1052"/>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53"/>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66"/>
    <w:bookmarkStart w:id="167"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https://www.acaps.ma/fr/l-acaps/missions</w:t>
      </w:r>
    </w:p>
  </w:footnote>
  <w:footnote w:id="25">
    <w:p>
      <w:pPr>
        <w:pStyle w:val="FootnoteText"/>
      </w:pPr>
      <w:r>
        <w:rPr>
          <w:rStyle w:val="FootnoteReference"/>
        </w:rPr>
        <w:footnoteRef/>
      </w:r>
      <w:r>
        <w:t xml:space="preserve"> </w:t>
      </w:r>
      <w:r>
        <w:t xml:space="preserve">https://www.atlas-mag.net/article/marche-africain-de-l-assurance-en-2019-chiffre-d-affaires-des-principaux-pays</w:t>
      </w:r>
    </w:p>
  </w:footnote>
  <w:footnote w:id="27">
    <w:p>
      <w:pPr>
        <w:pStyle w:val="FootnoteText"/>
      </w:pPr>
      <w:r>
        <w:rPr>
          <w:rStyle w:val="FootnoteReference"/>
        </w:rPr>
        <w:footnoteRef/>
      </w:r>
      <w:r>
        <w:t xml:space="preserve"> </w:t>
      </w:r>
      <w:r>
        <w:t xml:space="preserve">solvabilité basée sur les risques assurances maroc Acaps</w:t>
      </w:r>
    </w:p>
  </w:footnote>
  <w:footnote w:id="28">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9">
    <w:p>
      <w:pPr>
        <w:pStyle w:val="FootnoteText"/>
      </w:pPr>
      <w:r>
        <w:rPr>
          <w:rStyle w:val="FootnoteReference"/>
        </w:rPr>
        <w:footnoteRef/>
      </w:r>
      <w:r>
        <w:t xml:space="preserve"> </w:t>
      </w:r>
      <w:r>
        <w:t xml:space="preserve">ORSA Own Risk and Solvency Assessment</w:t>
      </w:r>
    </w:p>
  </w:footnote>
  <w:footnote w:id="33">
    <w:p>
      <w:pPr>
        <w:pStyle w:val="FootnoteText"/>
      </w:pPr>
      <w:r>
        <w:rPr>
          <w:rStyle w:val="FootnoteReference"/>
        </w:rPr>
        <w:footnoteRef/>
      </w:r>
      <w:r>
        <w:t xml:space="preserve"> </w:t>
      </w:r>
      <w:hyperlink r:id="rId34">
        <w:r>
          <w:rPr>
            <w:rStyle w:val="Hyperlink"/>
          </w:rPr>
          <w:t xml:space="preserve">Ciculaire en préparation concernant le second pilier relatif à la gouvernance</w:t>
        </w:r>
      </w:hyperlink>
    </w:p>
  </w:footnote>
  <w:footnote w:id="40">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7">
    <w:p>
      <w:pPr>
        <w:pStyle w:val="FootnoteText"/>
      </w:pPr>
      <w:r>
        <w:rPr>
          <w:rStyle w:val="FootnoteReference"/>
        </w:rPr>
        <w:footnoteRef/>
      </w:r>
      <w:r>
        <w:t xml:space="preserve"> </w:t>
      </w:r>
      <w:r>
        <w:t xml:space="preserve">Alonso Peña, Ph.D, C++ For Quantitative Finance</w:t>
      </w:r>
    </w:p>
  </w:footnote>
  <w:footnote w:id="64">
    <w:p>
      <w:pPr>
        <w:pStyle w:val="FootnoteText"/>
      </w:pPr>
      <w:r>
        <w:rPr>
          <w:rStyle w:val="FootnoteReference"/>
        </w:rPr>
        <w:footnoteRef/>
      </w:r>
      <w:r>
        <w:t xml:space="preserve"> </w:t>
      </w:r>
      <w:hyperlink r:id="rId65">
        <w:r>
          <w:rPr>
            <w:rStyle w:val="Hyperlink"/>
          </w:rPr>
          <w:t xml:space="preserve">CHapitre: Application</w:t>
        </w:r>
      </w:hyperlink>
    </w:p>
  </w:footnote>
  <w:footnote w:id="86">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14">
    <w:p>
      <w:pPr>
        <w:pStyle w:val="FootnoteText"/>
      </w:pPr>
      <w:r>
        <w:rPr>
          <w:rStyle w:val="FootnoteReference"/>
        </w:rPr>
        <w:footnoteRef/>
      </w:r>
      <w:r>
        <w:t xml:space="preserve"> </w:t>
      </w:r>
      <w:r>
        <w:t xml:space="preserve">The Actuary and IBNR publié en 1972</w:t>
      </w:r>
    </w:p>
  </w:footnote>
  <w:footnote w:id="115">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134" Target="media/rId134.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hyperlink" Id="rId65"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2023-06-11T12:04:21Z</dcterms:created>
  <dcterms:modified xsi:type="dcterms:W3CDTF">2023-06-11T12:04:21Z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