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28.png" ContentType="image/png"/>
  <Override PartName="/word/media/rId49.png" ContentType="image/png"/>
  <Override PartName="/word/media/rId3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7"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RStudio.app/Contents/Resources/app/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1"/>
      </w:r>
      <w:r>
        <w:t xml:space="preserve">.</w:t>
      </w:r>
    </w:p>
    <w:tbl>
      <w:tblPr>
        <w:tblStyle w:val="Table"/>
        <w:tblW w:type="pct" w:w="5000"/>
        <w:tblLook w:firstRow="0" w:lastRow="0" w:firstColumn="0" w:lastColumn="0" w:noHBand="0" w:noVBand="0" w:val="0000"/>
      </w:tblPr>
      <w:tblGrid>
        <w:gridCol w:w="7920"/>
      </w:tblGrid>
      <w:tr>
        <w:tc>
          <w:tcPr/>
          <w:bookmarkStart w:id="36" w:name="fig-piliers"/>
          <w:p>
            <w:pPr>
              <w:pStyle w:val="Figure"/>
              <w:jc w:val="center"/>
            </w:pPr>
            <w:r>
              <w:drawing>
                <wp:inline>
                  <wp:extent cx="5334000" cy="3000375"/>
                  <wp:effectExtent b="0" l="0" r="0" t="0"/>
                  <wp:docPr descr="" title="" id="34" name="Picture"/>
                  <a:graphic>
                    <a:graphicData uri="http://schemas.openxmlformats.org/drawingml/2006/picture">
                      <pic:pic>
                        <pic:nvPicPr>
                          <pic:cNvPr descr="Rapport-PFE_files/figure-html/piliers.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6"/>
        </w:tc>
      </w:tr>
    </w:tbl>
    <w:bookmarkEnd w:id="37"/>
    <w:bookmarkStart w:id="43"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8"/>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2" w:name="fig-bilan"/>
          <w:p>
            <w:pPr>
              <w:pStyle w:val="Figure"/>
              <w:jc w:val="center"/>
            </w:pPr>
            <w:r>
              <w:drawing>
                <wp:inline>
                  <wp:extent cx="5334000" cy="2993010"/>
                  <wp:effectExtent b="0" l="0" r="0" t="0"/>
                  <wp:docPr descr="" title="" id="40" name="Picture"/>
                  <a:graphic>
                    <a:graphicData uri="http://schemas.openxmlformats.org/drawingml/2006/picture">
                      <pic:pic>
                        <pic:nvPicPr>
                          <pic:cNvPr descr="Rapport-PFE_files/figure-html/Bilan.png" id="41" name="Picture"/>
                          <pic:cNvPicPr>
                            <a:picLocks noChangeArrowheads="1" noChangeAspect="1"/>
                          </pic:cNvPicPr>
                        </pic:nvPicPr>
                        <pic:blipFill>
                          <a:blip r:embed="rId39"/>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2"/>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3"/>
    <w:bookmarkStart w:id="55" w:name="valorisation-de-lactif"/>
    <w:p>
      <w:pPr>
        <w:pStyle w:val="Heading2"/>
      </w:pPr>
      <w:r>
        <w:t xml:space="preserve">4 Valorisation de l’actif</w:t>
      </w:r>
    </w:p>
    <w:bookmarkStart w:id="54"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3"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2"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4"/>
      </w:r>
    </w:p>
    <w:p>
      <w:pPr>
        <w:pStyle w:val="BodyText"/>
      </w:pPr>
      <w:bookmarkStart w:id="45"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5"/>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6"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6"/>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7"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7"/>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8"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8"/>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50" name="Picture"/>
                  <a:graphic>
                    <a:graphicData uri="http://schemas.openxmlformats.org/drawingml/2006/picture">
                      <pic:pic>
                        <pic:nvPicPr>
                          <pic:cNvPr descr="Rapport-PFE_files/figure-docx/unnamed-chunk-2-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2"/>
    <w:bookmarkEnd w:id="53"/>
    <w:bookmarkEnd w:id="54"/>
    <w:bookmarkEnd w:id="55"/>
    <w:bookmarkStart w:id="65"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56">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57"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57"/>
    <w:p>
      <w:pPr>
        <w:pStyle w:val="BodyText"/>
      </w:pPr>
      <w:r>
        <w:t xml:space="preserve">Pour cette raison on va suivre les étapes suivantes pour la construction de la courbe des taux zéro-coupon :</w:t>
      </w:r>
    </w:p>
    <w:p>
      <w:pPr>
        <w:numPr>
          <w:ilvl w:val="0"/>
          <w:numId w:val="1008"/>
        </w:numPr>
        <w:pStyle w:val="Compact"/>
      </w:pPr>
      <w:r>
        <w:t xml:space="preserve">1ere étape : Transformation des taux monétaires en taux actuariels.</w:t>
      </w:r>
    </w:p>
    <w:p>
      <w:pPr>
        <w:numPr>
          <w:ilvl w:val="0"/>
          <w:numId w:val="1008"/>
        </w:numPr>
        <w:pStyle w:val="Compact"/>
      </w:pPr>
      <w:r>
        <w:t xml:space="preserve">2eme étape : Interpolation linéaire afin d’obtenir des taux actuariels pour des maturités pleines.</w:t>
      </w:r>
    </w:p>
    <w:p>
      <w:pPr>
        <w:numPr>
          <w:ilvl w:val="0"/>
          <w:numId w:val="1008"/>
        </w:numPr>
        <w:pStyle w:val="Compact"/>
      </w:pPr>
      <w:r>
        <w:t xml:space="preserve">3eme étape : Calcule des taux zéro coupons à partir des taux actuariels des maturités pleines par la Méthode du Bootstrap.</w:t>
      </w:r>
    </w:p>
    <w:p>
      <w:pPr>
        <w:numPr>
          <w:ilvl w:val="0"/>
          <w:numId w:val="1008"/>
        </w:numPr>
        <w:pStyle w:val="Compact"/>
      </w:pPr>
      <w:r>
        <w:t xml:space="preserve">4eme étape : Extrapolation de la courbe des taux zéro-coupon pour des maturités non observées lointaines par la méthode de Smith-Wilson</w:t>
      </w:r>
    </w:p>
    <w:bookmarkStart w:id="59"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8"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58"/>
    <w:bookmarkEnd w:id="59"/>
    <w:bookmarkStart w:id="61"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60"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60"/>
    <w:bookmarkEnd w:id="61"/>
    <w:bookmarkStart w:id="63"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9"/>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0"/>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62"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62"/>
    <w:bookmarkEnd w:id="63"/>
    <w:bookmarkStart w:id="64"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1"/>
        </w:numPr>
        <w:pStyle w:val="Compact"/>
      </w:pPr>
      <w:r>
        <w:t xml:space="preserve">le UFR (Ultimate Forward Rate)</w:t>
      </w:r>
    </w:p>
    <w:p>
      <w:pPr>
        <w:numPr>
          <w:ilvl w:val="0"/>
          <w:numId w:val="1011"/>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2"/>
        </w:numPr>
        <w:pStyle w:val="Compact"/>
      </w:pPr>
      <m:oMath>
        <m:r>
          <m:t>W</m:t>
        </m:r>
      </m:oMath>
      <w:r>
        <w:t xml:space="preserve"> </w:t>
      </w:r>
      <w:r>
        <w:t xml:space="preserve">représente un ensemble de fonctions à noyau pour chaque prix d’obligation observable d’entrée.</w:t>
      </w:r>
    </w:p>
    <w:p>
      <w:pPr>
        <w:numPr>
          <w:ilvl w:val="0"/>
          <w:numId w:val="1012"/>
        </w:numPr>
        <w:pStyle w:val="Compact"/>
      </w:pPr>
      <m:oMath>
        <m:r>
          <m:t>α</m:t>
        </m:r>
      </m:oMath>
      <w:r>
        <w:t xml:space="preserve"> </w:t>
      </w:r>
      <w:r>
        <w:t xml:space="preserve">: la vitesse de convergence vers le UFR.</w:t>
      </w:r>
    </w:p>
    <w:p>
      <w:pPr>
        <w:numPr>
          <w:ilvl w:val="0"/>
          <w:numId w:val="1012"/>
        </w:numPr>
        <w:pStyle w:val="Compact"/>
      </w:pPr>
      <m:oMath>
        <m:r>
          <m:t>N</m:t>
        </m:r>
      </m:oMath>
      <w:r>
        <w:t xml:space="preserve">: le nombre d’obligations ZC dont le prix est observésur le marché.</w:t>
      </w:r>
    </w:p>
    <w:p>
      <w:pPr>
        <w:numPr>
          <w:ilvl w:val="0"/>
          <w:numId w:val="1012"/>
        </w:numPr>
        <w:pStyle w:val="Compact"/>
      </w:pPr>
      <m:oMath>
        <m:sSub>
          <m:e>
            <m:r>
              <m:t>u</m:t>
            </m:r>
          </m:e>
          <m:sub>
            <m:r>
              <m:t>j</m:t>
            </m:r>
          </m:sub>
        </m:sSub>
      </m:oMath>
      <w:r>
        <w:t xml:space="preserve">: la j-ème maturité disponible. .</w:t>
      </w:r>
    </w:p>
    <w:p>
      <w:pPr>
        <w:numPr>
          <w:ilvl w:val="0"/>
          <w:numId w:val="1012"/>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64"/>
    <w:bookmarkEnd w:id="65"/>
    <w:bookmarkStart w:id="117"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13"/>
        </w:numPr>
      </w:pPr>
      <m:oMath>
        <m:r>
          <m:t>P</m:t>
        </m:r>
        <m:r>
          <m:t>T</m:t>
        </m:r>
      </m:oMath>
      <w:r>
        <w:t xml:space="preserve"> </w:t>
      </w:r>
      <w:r>
        <w:t xml:space="preserve">: la provision technique</w:t>
      </w:r>
    </w:p>
    <w:p>
      <w:pPr>
        <w:numPr>
          <w:ilvl w:val="0"/>
          <w:numId w:val="1013"/>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3"/>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3"/>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75" w:name="X32462c7e3a0a11848884f7548d4747bc280232c"/>
    <w:p>
      <w:pPr>
        <w:pStyle w:val="Heading3"/>
      </w:pPr>
      <w:r>
        <w:t xml:space="preserve">6.1 Opérations d’assurance vie, décès ou capitalisation:</w:t>
      </w:r>
    </w:p>
    <w:bookmarkStart w:id="73"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14"/>
        </w:numPr>
        <w:pStyle w:val="Compact"/>
      </w:pPr>
      <m:oMath>
        <m:r>
          <m:t>B</m:t>
        </m:r>
        <m:r>
          <m:t>D</m:t>
        </m:r>
        <m:r>
          <m:t>F</m:t>
        </m:r>
      </m:oMath>
      <w:r>
        <w:t xml:space="preserve">: les bénéfices discrétionnaires futurs.</w:t>
      </w:r>
    </w:p>
    <w:bookmarkStart w:id="71"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5"/>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5"/>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5"/>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5"/>
        </w:numPr>
      </w:pPr>
      <w:r>
        <w:rPr>
          <w:bCs/>
          <w:b/>
        </w:rPr>
        <w:t xml:space="preserve">La table de rachat en montant</w:t>
      </w:r>
      <w:r>
        <w:t xml:space="preserve">.</w:t>
      </w:r>
    </w:p>
    <w:p>
      <w:pPr>
        <w:numPr>
          <w:ilvl w:val="0"/>
          <w:numId w:val="1015"/>
        </w:numPr>
      </w:pPr>
      <w:r>
        <w:rPr>
          <w:bCs/>
          <w:b/>
        </w:rPr>
        <w:t xml:space="preserve">La table de résiliation</w:t>
      </w:r>
      <w:r>
        <w:t xml:space="preserve">.</w:t>
      </w:r>
    </w:p>
    <w:p>
      <w:pPr>
        <w:numPr>
          <w:ilvl w:val="0"/>
          <w:numId w:val="1015"/>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RStudio.app/Contents/Resources/app/quarto/share/formats/docx/tip.png" id="6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70"/>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71"/>
    <w:bookmarkStart w:id="72"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6"/>
        </w:numPr>
      </w:pPr>
      <m:oMath>
        <m:r>
          <m:t>P</m:t>
        </m:r>
        <m:r>
          <m:t>P</m:t>
        </m:r>
        <m:r>
          <m:t>B</m:t>
        </m:r>
      </m:oMath>
      <w:r>
        <w:t xml:space="preserve"> </w:t>
      </w:r>
      <w:r>
        <w:t xml:space="preserve">: Le montant de la provision pour participation aux bénéfices, évaluée à la valeur comptable;</w:t>
      </w:r>
    </w:p>
    <w:p>
      <w:pPr>
        <w:numPr>
          <w:ilvl w:val="0"/>
          <w:numId w:val="1016"/>
        </w:numPr>
      </w:pPr>
      <m:oMath>
        <m:r>
          <m:t>S</m:t>
        </m:r>
        <m:r>
          <m:t>o</m:t>
        </m:r>
        <m:r>
          <m:t>l</m:t>
        </m:r>
        <m:r>
          <m:t>d</m:t>
        </m:r>
        <m:r>
          <m:t>e</m:t>
        </m:r>
        <m:r>
          <m:t>T</m:t>
        </m:r>
      </m:oMath>
      <w:r>
        <w:t xml:space="preserve"> </w:t>
      </w:r>
      <w:r>
        <w:t xml:space="preserve">: Somme des soldes techniques.</w:t>
      </w:r>
    </w:p>
    <w:p>
      <w:pPr>
        <w:numPr>
          <w:ilvl w:val="0"/>
          <w:numId w:val="1016"/>
        </w:numPr>
      </w:pPr>
      <m:oMath>
        <m:r>
          <m:t>S</m:t>
        </m:r>
        <m:r>
          <m:t>o</m:t>
        </m:r>
        <m:r>
          <m:t>l</m:t>
        </m:r>
        <m:r>
          <m:t>d</m:t>
        </m:r>
        <m:r>
          <m:t>e</m:t>
        </m:r>
        <m:r>
          <m:t>F</m:t>
        </m:r>
      </m:oMath>
      <w:r>
        <w:t xml:space="preserve"> </w:t>
      </w:r>
      <w:r>
        <w:t xml:space="preserve">: Somme des soldes Financiers.</w:t>
      </w:r>
    </w:p>
    <w:p>
      <w:pPr>
        <w:numPr>
          <w:ilvl w:val="0"/>
          <w:numId w:val="1016"/>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7"/>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7"/>
        </w:numPr>
        <w:pStyle w:val="Compact"/>
      </w:pPr>
      <m:oMath>
        <m:r>
          <m:t>R</m:t>
        </m:r>
        <m:r>
          <m:t>T</m:t>
        </m:r>
      </m:oMath>
      <w:r>
        <w:t xml:space="preserve"> </w:t>
      </w:r>
      <w:r>
        <w:t xml:space="preserve">:les résultats techniques.</w:t>
      </w:r>
    </w:p>
    <w:p>
      <w:pPr>
        <w:numPr>
          <w:ilvl w:val="0"/>
          <w:numId w:val="1017"/>
        </w:numPr>
        <w:pStyle w:val="Compact"/>
      </w:pPr>
      <m:oMath>
        <m:r>
          <m:t>R</m:t>
        </m:r>
        <m:r>
          <m:t>F</m:t>
        </m:r>
      </m:oMath>
      <w:r>
        <w:t xml:space="preserve"> </w:t>
      </w:r>
      <w:r>
        <w:t xml:space="preserve">:les résultats financiers.</w:t>
      </w:r>
    </w:p>
    <w:bookmarkEnd w:id="72"/>
    <w:bookmarkEnd w:id="73"/>
    <w:bookmarkStart w:id="74"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8"/>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8"/>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8"/>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74"/>
    <w:bookmarkEnd w:id="75"/>
    <w:bookmarkStart w:id="76"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9"/>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76"/>
    <w:bookmarkStart w:id="105" w:name="X95164bc6af2e862e4c417e49c6d46de2a1b5d80"/>
    <w:p>
      <w:pPr>
        <w:pStyle w:val="Heading3"/>
      </w:pPr>
      <w:r>
        <w:t xml:space="preserve">6.3 Opérations d’assurance non vie hors rentes:</w:t>
      </w:r>
    </w:p>
    <w:bookmarkStart w:id="103"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77"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20"/>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0"/>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1"/>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1"/>
        </w:numPr>
        <w:pStyle w:val="Compact"/>
      </w:pPr>
      <m:oMath>
        <m:r>
          <m:t>P</m:t>
        </m:r>
        <m:r>
          <m:t>F</m:t>
        </m:r>
        <m:r>
          <m:t>P</m:t>
        </m:r>
      </m:oMath>
      <w:r>
        <w:t xml:space="preserve">: Le montant des primes futures probabilisé.</w:t>
      </w:r>
    </w:p>
    <w:p>
      <w:pPr>
        <w:numPr>
          <w:ilvl w:val="0"/>
          <w:numId w:val="1021"/>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2"/>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22"/>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2"/>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2"/>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23"/>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23"/>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23"/>
        </w:numPr>
        <w:pStyle w:val="Compact"/>
      </w:pPr>
      <m:oMath>
        <m:r>
          <m:t>P</m:t>
        </m:r>
        <m:r>
          <m:t>P</m:t>
        </m:r>
        <m:r>
          <m:t>N</m:t>
        </m:r>
        <m:r>
          <m:t>A</m:t>
        </m:r>
      </m:oMath>
      <w:r>
        <w:t xml:space="preserve">: La provision pour primes non acquises.</w:t>
      </w:r>
    </w:p>
    <w:p>
      <w:pPr>
        <w:numPr>
          <w:ilvl w:val="0"/>
          <w:numId w:val="1023"/>
        </w:numPr>
        <w:pStyle w:val="Compact"/>
      </w:pPr>
      <m:oMath>
        <m:r>
          <m:t>P</m:t>
        </m:r>
        <m:r>
          <m:t>F</m:t>
        </m:r>
        <m:r>
          <m:t>P</m:t>
        </m:r>
      </m:oMath>
      <w:r>
        <w:t xml:space="preserve">: Le montant des primes futures probabilisé.</w:t>
      </w:r>
    </w:p>
    <w:bookmarkEnd w:id="77"/>
    <w:bookmarkStart w:id="78"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4"/>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78"/>
    <w:bookmarkStart w:id="79" w:name="X574a46407ada84d5774a3057497baf873ebb70b"/>
    <w:p>
      <w:pPr>
        <w:pStyle w:val="Heading5"/>
      </w:pPr>
      <w:r>
        <w:t xml:space="preserve">6.3.1.3 Méthode de calcul des flux de réglements futurs probabilisés pour les opérations non-vie hors rentes</w:t>
      </w:r>
    </w:p>
    <w:bookmarkEnd w:id="79"/>
    <w:bookmarkStart w:id="95"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note.png" id="8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RStudio.app/Contents/Resources/app/quarto/share/formats/docx/note.png" id="86"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5"/>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6"/>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RStudio.app/Contents/Resources/app/quarto/share/formats/docx/note.png" id="88"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RStudio.app/Contents/Resources/app/quarto/share/formats/docx/note.png" id="9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Applications/RStudio.app/Contents/Resources/app/quarto/share/formats/docx/note.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RStudio.app/Contents/Resources/app/quarto/share/formats/docx/note.png" id="9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95"/>
    <w:bookmarkStart w:id="96"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96"/>
    <w:bookmarkStart w:id="97"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97"/>
    <w:bookmarkStart w:id="102"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98"/>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99"/>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7"/>
        </w:numPr>
        <w:pStyle w:val="Compact"/>
      </w:pPr>
      <m:oMath>
        <m:r>
          <m:t>L</m:t>
        </m:r>
      </m:oMath>
      <w:r>
        <w:t xml:space="preserve"> </w:t>
      </w:r>
      <w:r>
        <w:t xml:space="preserve">: coût total estimé par cette méthode.</w:t>
      </w:r>
    </w:p>
    <w:p>
      <w:pPr>
        <w:numPr>
          <w:ilvl w:val="0"/>
          <w:numId w:val="1027"/>
        </w:numPr>
        <w:pStyle w:val="Compact"/>
      </w:pPr>
      <m:oMath>
        <m:r>
          <m:t>D</m:t>
        </m:r>
      </m:oMath>
      <w:r>
        <w:t xml:space="preserve"> </w:t>
      </w:r>
      <w:r>
        <w:t xml:space="preserve">: coût total estimé en fonction des sinistres connues.</w:t>
      </w:r>
    </w:p>
    <w:p>
      <w:pPr>
        <w:numPr>
          <w:ilvl w:val="0"/>
          <w:numId w:val="1027"/>
        </w:numPr>
        <w:pStyle w:val="Compact"/>
      </w:pPr>
      <m:oMath>
        <m:r>
          <m:t>A</m:t>
        </m:r>
      </m:oMath>
      <w:r>
        <w:t xml:space="preserve"> </w:t>
      </w:r>
      <w:r>
        <w:t xml:space="preserve">: coût total (connus + tardifs) attendu a priori.</w:t>
      </w:r>
    </w:p>
    <w:p>
      <w:pPr>
        <w:numPr>
          <w:ilvl w:val="0"/>
          <w:numId w:val="1027"/>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0" name="Picture"/>
                  <a:graphic>
                    <a:graphicData uri="http://schemas.openxmlformats.org/drawingml/2006/picture">
                      <pic:pic>
                        <pic:nvPicPr>
                          <pic:cNvPr descr="/Applications/RStudio.app/Contents/Resources/app/quarto/share/formats/docx/tip.png" id="10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02"/>
    <w:bookmarkEnd w:id="103"/>
    <w:bookmarkStart w:id="104"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9"/>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30"/>
        </w:numPr>
        <w:pStyle w:val="Compact"/>
      </w:pPr>
      <m:oMath>
        <m:r>
          <m:t>F</m:t>
        </m:r>
        <m:r>
          <m:t>G</m:t>
        </m:r>
      </m:oMath>
      <w:r>
        <w:t xml:space="preserve">: le montant frais de gestion.</w:t>
      </w:r>
    </w:p>
    <w:p>
      <w:pPr>
        <w:numPr>
          <w:ilvl w:val="0"/>
          <w:numId w:val="1030"/>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104"/>
    <w:bookmarkEnd w:id="105"/>
    <w:bookmarkStart w:id="116"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108"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06"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31"/>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06"/>
    <w:bookmarkStart w:id="107"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107"/>
    <w:bookmarkEnd w:id="108"/>
    <w:bookmarkStart w:id="115" w:name="lajustement-pour-défaut-de-contrepartie"/>
    <w:p>
      <w:pPr>
        <w:pStyle w:val="Heading4"/>
      </w:pPr>
      <w:r>
        <w:t xml:space="preserve">6.4.2 L’ajustement pour défaut de contrepartie:</w:t>
      </w:r>
    </w:p>
    <w:p>
      <w:pPr>
        <w:pStyle w:val="FirstParagraph"/>
      </w:pP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 que nous décrirons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Applications/RStudio.app/Contents/Resources/app/quarto/share/formats/docx/note.png" id="11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32"/>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2"/>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32"/>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Applications/RStudio.app/Contents/Resources/app/quarto/share/formats/docx/note.png" id="11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note.png" id="11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15"/>
    <w:bookmarkEnd w:id="116"/>
    <w:bookmarkEnd w:id="117"/>
    <w:bookmarkStart w:id="145" w:name="capital-de-solvabilité-requis"/>
    <w:p>
      <w:pPr>
        <w:pStyle w:val="Heading2"/>
      </w:pPr>
      <w:r>
        <w:t xml:space="preserve">7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33"/>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3"/>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3"/>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3"/>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3"/>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3"/>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4"/>
        </w:numPr>
      </w:pPr>
      <w:r>
        <w:t xml:space="preserve">Le capital de solvabilité requis de base.</w:t>
      </w:r>
    </w:p>
    <w:p>
      <w:pPr>
        <w:numPr>
          <w:ilvl w:val="0"/>
          <w:numId w:val="1034"/>
        </w:numPr>
      </w:pPr>
      <w:r>
        <w:t xml:space="preserve">L’exigence de capital relative au risque opérationnel.</w:t>
      </w:r>
    </w:p>
    <w:p>
      <w:pPr>
        <w:numPr>
          <w:ilvl w:val="0"/>
          <w:numId w:val="1034"/>
        </w:numPr>
      </w:pPr>
      <w:r>
        <w:t xml:space="preserve">L’ajustement visant à tenir compte de la capacité d’absorption des pertes par les assurés.</w:t>
      </w:r>
    </w:p>
    <w:p>
      <w:pPr>
        <w:numPr>
          <w:ilvl w:val="0"/>
          <w:numId w:val="1034"/>
        </w:numPr>
      </w:pPr>
      <w:r>
        <w:t xml:space="preserve">L’ajustement visant à tenir compte de la capacité d’absorption des pertes par les impôts différés.</w:t>
      </w:r>
    </w:p>
    <w:bookmarkStart w:id="138"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5"/>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5"/>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23"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RM</w:t>
      </w:r>
      <w:r>
        <w:t xml:space="preserve"> </w:t>
      </w:r>
      <m:oMath>
        <m:r>
          <m:rPr>
            <m:sty m:val="p"/>
          </m:rPr>
          <m:t>∈</m:t>
        </m:r>
      </m:oMath>
      <w:r>
        <w:t xml:space="preserve"> </w:t>
      </w:r>
      <w:r>
        <w:t xml:space="preserve">{action, taux, immobilier, écart de taux et change}</w:t>
      </w:r>
    </w:p>
    <w:p>
      <w:pPr>
        <w:numPr>
          <w:ilvl w:val="0"/>
          <w:numId w:val="1036"/>
        </w:numPr>
      </w:pPr>
      <m:oMath>
        <m:r>
          <m:t>ρ</m:t>
        </m:r>
      </m:oMath>
      <w:r>
        <w:t xml:space="preserve"> </w:t>
      </w:r>
      <w:r>
        <w:t xml:space="preserve">: Coefficients de corrélations.</w:t>
      </w:r>
    </w:p>
    <w:bookmarkStart w:id="118"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18"/>
    <w:bookmarkStart w:id="119"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19"/>
    <w:bookmarkStart w:id="120"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20"/>
    <w:bookmarkStart w:id="121" w:name="Xcb1801a4512c3e12cd67f1e61cb85f876d23434"/>
    <w:p>
      <w:pPr>
        <w:pStyle w:val="Heading5"/>
      </w:pPr>
      <w:r>
        <w:t xml:space="preserve">7.1.1.4 L’exigence de capital relative au risque d’écart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21"/>
    <w:bookmarkStart w:id="122"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7"/>
        </w:numPr>
        <w:pStyle w:val="Compact"/>
      </w:pPr>
      <w:r>
        <w:t xml:space="preserve">l’exigence de capital pour risque d’augmentation de la valeur de la devise étrangère par rapport au dirham.</w:t>
      </w:r>
    </w:p>
    <w:p>
      <w:pPr>
        <w:numPr>
          <w:ilvl w:val="0"/>
          <w:numId w:val="1037"/>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22"/>
    <w:bookmarkEnd w:id="123"/>
    <w:bookmarkStart w:id="126"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24"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8"/>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9"/>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9"/>
        </w:numPr>
      </w:pPr>
      <m:oMath>
        <m:r>
          <m:t>L</m:t>
        </m:r>
        <m:r>
          <m:t>G</m:t>
        </m:r>
        <m:sSub>
          <m:e>
            <m:r>
              <m:t>D</m:t>
            </m:r>
          </m:e>
          <m:sub>
            <m:r>
              <m:t>i</m:t>
            </m:r>
          </m:sub>
        </m:sSub>
      </m:oMath>
      <w:r>
        <w:t xml:space="preserve"> </w:t>
      </w:r>
      <w:r>
        <w:t xml:space="preserve">: la perte en cas de défaut du cessionnaire i ;</w:t>
      </w:r>
    </w:p>
    <w:p>
      <w:pPr>
        <w:numPr>
          <w:ilvl w:val="0"/>
          <w:numId w:val="1039"/>
        </w:numPr>
      </w:pPr>
      <m:oMath>
        <m:r>
          <m:rPr>
            <m:nor/>
            <m:sty m:val="p"/>
          </m:rPr>
          <m:t>Depot en espèces ou en valeur</m:t>
        </m:r>
      </m:oMath>
      <w:r>
        <w:t xml:space="preserve"> </w:t>
      </w:r>
      <w:r>
        <w:t xml:space="preserve">: le montant des dépôts en espèces ou en valeurs du cessionnaire i ;</w:t>
      </w:r>
    </w:p>
    <w:p>
      <w:pPr>
        <w:numPr>
          <w:ilvl w:val="0"/>
          <w:numId w:val="1039"/>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9"/>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9"/>
        </w:numPr>
      </w:pPr>
      <m:oMath>
        <m:r>
          <m:t>L</m:t>
        </m:r>
        <m:r>
          <m:t>G</m:t>
        </m:r>
        <m:sSub>
          <m:e>
            <m:r>
              <m:t>D</m:t>
            </m:r>
          </m:e>
          <m:sub>
            <m:r>
              <m:t>i</m:t>
            </m:r>
          </m:sub>
        </m:sSub>
      </m:oMath>
      <w:r>
        <w:t xml:space="preserve">: la perte en cas de défaut de la cédante i ;</w:t>
      </w:r>
    </w:p>
    <w:p>
      <w:pPr>
        <w:numPr>
          <w:ilvl w:val="0"/>
          <w:numId w:val="1039"/>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9"/>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9"/>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0"/>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0"/>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0"/>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24"/>
    <w:bookmarkStart w:id="125"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1"/>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1"/>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1"/>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25"/>
    <w:bookmarkEnd w:id="126"/>
    <w:bookmarkStart w:id="127"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27"/>
    <w:bookmarkStart w:id="133"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28"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28"/>
    <w:bookmarkStart w:id="129"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29"/>
    <w:bookmarkStart w:id="130"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42"/>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3"/>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30"/>
    <w:bookmarkStart w:id="131"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4"/>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4"/>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choqueé</m:t>
              </m:r>
            </m:sup>
          </m:sSubSup>
          <m:r>
            <m:rPr>
              <m:sty m:val="p"/>
            </m:rPr>
            <m:t>−</m:t>
          </m:r>
          <m:r>
            <m:t>B</m:t>
          </m:r>
          <m:sSub>
            <m:e>
              <m:r>
                <m:t>E</m:t>
              </m:r>
            </m:e>
            <m:sub>
              <m:r>
                <m:t>f</m:t>
              </m:r>
              <m:r>
                <m:t>r</m:t>
              </m:r>
              <m:r>
                <m:t>a</m:t>
              </m:r>
              <m:r>
                <m:t>i</m:t>
              </m:r>
              <m:r>
                <m:t>s</m:t>
              </m:r>
            </m:sub>
          </m:sSub>
        </m:oMath>
      </m:oMathPara>
    </w:p>
    <w:bookmarkEnd w:id="131"/>
    <w:bookmarkStart w:id="132"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32"/>
    <w:bookmarkEnd w:id="133"/>
    <w:bookmarkStart w:id="137"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34"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34"/>
    <w:bookmarkStart w:id="135"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35"/>
    <w:bookmarkStart w:id="136"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5"/>
        </w:numPr>
        <w:pStyle w:val="Compact"/>
      </w:pPr>
      <w:r>
        <w:t xml:space="preserve">Individuelles accidents et Invalidité ;</w:t>
      </w:r>
    </w:p>
    <w:p>
      <w:pPr>
        <w:numPr>
          <w:ilvl w:val="0"/>
          <w:numId w:val="1045"/>
        </w:numPr>
        <w:pStyle w:val="Compact"/>
      </w:pPr>
      <w:r>
        <w:t xml:space="preserve">Maladie;</w:t>
      </w:r>
    </w:p>
    <w:p>
      <w:pPr>
        <w:numPr>
          <w:ilvl w:val="0"/>
          <w:numId w:val="1045"/>
        </w:numPr>
        <w:pStyle w:val="Compact"/>
      </w:pPr>
      <w:r>
        <w:t xml:space="preserve">Accidents du travail et maladies professionnelles ;</w:t>
      </w:r>
    </w:p>
    <w:p>
      <w:pPr>
        <w:numPr>
          <w:ilvl w:val="0"/>
          <w:numId w:val="1045"/>
        </w:numPr>
        <w:pStyle w:val="Compact"/>
      </w:pPr>
      <w:r>
        <w:t xml:space="preserve">Responsabilité civile automobile des véhicules terrestres à moteur;</w:t>
      </w:r>
    </w:p>
    <w:p>
      <w:pPr>
        <w:numPr>
          <w:ilvl w:val="0"/>
          <w:numId w:val="1045"/>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5"/>
        </w:numPr>
        <w:pStyle w:val="Compact"/>
      </w:pPr>
      <w:r>
        <w:t xml:space="preserve">Incendie ;</w:t>
      </w:r>
    </w:p>
    <w:p>
      <w:pPr>
        <w:numPr>
          <w:ilvl w:val="0"/>
          <w:numId w:val="1045"/>
        </w:numPr>
        <w:pStyle w:val="Compact"/>
      </w:pPr>
      <w:r>
        <w:t xml:space="preserve">Maritime corps, facultés et responsabilité civile résultant de l’emploi de véhicules fluviaux et maritimes ;</w:t>
      </w:r>
    </w:p>
    <w:p>
      <w:pPr>
        <w:numPr>
          <w:ilvl w:val="0"/>
          <w:numId w:val="1045"/>
        </w:numPr>
        <w:pStyle w:val="Compact"/>
      </w:pPr>
      <w:r>
        <w:t xml:space="preserve">Aviation corps et responsabilité civile résultant de l’emploi des aéronefs ;</w:t>
      </w:r>
    </w:p>
    <w:p>
      <w:pPr>
        <w:numPr>
          <w:ilvl w:val="0"/>
          <w:numId w:val="1045"/>
        </w:numPr>
        <w:pStyle w:val="Compact"/>
      </w:pPr>
      <w:r>
        <w:t xml:space="preserve">Marchandises transportées par voie terrestre ;</w:t>
      </w:r>
    </w:p>
    <w:p>
      <w:pPr>
        <w:numPr>
          <w:ilvl w:val="0"/>
          <w:numId w:val="1045"/>
        </w:numPr>
        <w:pStyle w:val="Compact"/>
      </w:pPr>
      <w:r>
        <w:t xml:space="preserve">Assurance récolte, grêle ou gelée et éléments naturels ;</w:t>
      </w:r>
    </w:p>
    <w:p>
      <w:pPr>
        <w:numPr>
          <w:ilvl w:val="0"/>
          <w:numId w:val="1045"/>
        </w:numPr>
        <w:pStyle w:val="Compact"/>
      </w:pPr>
      <w:r>
        <w:t xml:space="preserve">Crédit et caution</w:t>
      </w:r>
    </w:p>
    <w:bookmarkEnd w:id="136"/>
    <w:bookmarkEnd w:id="137"/>
    <w:bookmarkEnd w:id="138"/>
    <w:bookmarkStart w:id="139"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39"/>
    <w:bookmarkStart w:id="144" w:name="X384c0c3c983e0c0cecb046cfdf19f3cf5bf77b3"/>
    <w:p>
      <w:pPr>
        <w:pStyle w:val="Heading3"/>
      </w:pPr>
      <w:r>
        <w:t xml:space="preserve">7.3 Ajustement du capital de solvabilité requis</w:t>
      </w:r>
    </w:p>
    <w:bookmarkStart w:id="140"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40"/>
    <w:bookmarkStart w:id="143"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41" name="Picture"/>
                  <a:graphic>
                    <a:graphicData uri="http://schemas.openxmlformats.org/drawingml/2006/picture">
                      <pic:pic>
                        <pic:nvPicPr>
                          <pic:cNvPr descr="/Applications/RStudio.app/Contents/Resources/app/quarto/share/formats/docx/tip.png" id="142"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43"/>
    <w:bookmarkEnd w:id="144"/>
    <w:bookmarkEnd w:id="145"/>
    <w:bookmarkStart w:id="148" w:name="X44ad642a1330d4c05a8089706a332215ff1fb23"/>
    <w:p>
      <w:pPr>
        <w:pStyle w:val="Heading2"/>
      </w:pPr>
      <w:r>
        <w:t xml:space="preserve">ANNEXE : CORRESPONDANCE ENTRE ECHELLE DE NOTATION ET PROBABILITE DE DEFAUT</w:t>
      </w:r>
    </w:p>
    <w:bookmarkStart w:id="146" w:name="echelles-de-notation"/>
    <w:p>
      <w:pPr>
        <w:pStyle w:val="Heading3"/>
      </w:pPr>
      <w:r>
        <w:t xml:space="preserve">Echelles de notation</w:t>
      </w:r>
    </w:p>
    <w:p>
      <w:pPr>
        <w:numPr>
          <w:ilvl w:val="0"/>
          <w:numId w:val="1046"/>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7"/>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46"/>
    <w:bookmarkStart w:id="147"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31">
    <w:p>
      <w:pPr>
        <w:pStyle w:val="FootnoteText"/>
      </w:pPr>
      <w:r>
        <w:rPr>
          <w:rStyle w:val="FootnoteReference"/>
        </w:rPr>
        <w:footnoteRef/>
      </w:r>
      <w:r>
        <w:t xml:space="preserve"> </w:t>
      </w:r>
      <w:hyperlink r:id="rId32">
        <w:r>
          <w:rPr>
            <w:rStyle w:val="Hyperlink"/>
          </w:rPr>
          <w:t xml:space="preserve">Ciculaire en préparation concernant le second pilier relatif à la gouvernance</w:t>
        </w:r>
      </w:hyperlink>
    </w:p>
  </w:footnote>
  <w:footnote w:id="38">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4">
    <w:p>
      <w:pPr>
        <w:pStyle w:val="FootnoteText"/>
      </w:pPr>
      <w:r>
        <w:rPr>
          <w:rStyle w:val="FootnoteReference"/>
        </w:rPr>
        <w:footnoteRef/>
      </w:r>
      <w:r>
        <w:t xml:space="preserve"> </w:t>
      </w:r>
      <w:r>
        <w:t xml:space="preserve">Alonso Peña, Ph.D, C++ For Quantitative Finance</w:t>
      </w:r>
    </w:p>
  </w:footnote>
  <w:footnote w:id="70">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98">
    <w:p>
      <w:pPr>
        <w:pStyle w:val="FootnoteText"/>
      </w:pPr>
      <w:r>
        <w:rPr>
          <w:rStyle w:val="FootnoteReference"/>
        </w:rPr>
        <w:footnoteRef/>
      </w:r>
      <w:r>
        <w:t xml:space="preserve"> </w:t>
      </w:r>
      <w:r>
        <w:t xml:space="preserve">The Actuary and IBNR publié en 1972</w:t>
      </w:r>
    </w:p>
  </w:footnote>
  <w:footnote w:id="99">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2023-05-20T23:35:26Z</dcterms:created>
  <dcterms:modified xsi:type="dcterms:W3CDTF">2023-05-20T23:35:26Z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