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C037D" w:rsidRPr="002844B1" w:rsidRDefault="006C037D">
      <w:pPr>
        <w:rPr>
          <w:rFonts w:asciiTheme="majorHAnsi" w:eastAsiaTheme="majorEastAsia" w:hAnsiTheme="majorHAnsi" w:cstheme="majorBidi"/>
          <w:b/>
          <w:bCs/>
          <w:color w:val="344879" w:themeColor="accent1" w:themeShade="B5"/>
          <w:sz w:val="36"/>
          <w:szCs w:val="36"/>
        </w:rPr>
      </w:pPr>
      <w:r w:rsidRPr="002844B1">
        <w:br w:type="page"/>
      </w:r>
    </w:p>
    <w:p w:rsidR="006C037D" w:rsidRPr="002844B1" w:rsidRDefault="006C037D" w:rsidP="006C037D">
      <w:pPr>
        <w:jc w:val="both"/>
      </w:pPr>
      <w:r w:rsidRPr="002844B1">
        <w:lastRenderedPageBreak/>
        <w:t xml:space="preserve"> </w:t>
      </w:r>
    </w:p>
    <w:p w:rsidR="006C037D" w:rsidRPr="002844B1" w:rsidRDefault="006A0BBC" w:rsidP="00AA7351">
      <w:pPr>
        <w:rPr>
          <w:rFonts w:asciiTheme="majorHAnsi" w:eastAsiaTheme="majorEastAsia" w:hAnsiTheme="majorHAnsi" w:cstheme="majorBidi"/>
          <w:b/>
          <w:bCs/>
          <w:color w:val="344879" w:themeColor="accent1" w:themeShade="B5"/>
          <w:sz w:val="40"/>
          <w:szCs w:val="40"/>
        </w:rPr>
      </w:pPr>
      <w:r w:rsidRPr="002844B1">
        <w:rPr>
          <w:noProof/>
        </w:rPr>
        <mc:AlternateContent>
          <mc:Choice Requires="wps">
            <w:drawing>
              <wp:anchor distT="0" distB="0" distL="114300" distR="114300" simplePos="0" relativeHeight="251660288" behindDoc="0" locked="0" layoutInCell="1" allowOverlap="1">
                <wp:simplePos x="0" y="0"/>
                <wp:positionH relativeFrom="column">
                  <wp:posOffset>207963</wp:posOffset>
                </wp:positionH>
                <wp:positionV relativeFrom="paragraph">
                  <wp:posOffset>1305878</wp:posOffset>
                </wp:positionV>
                <wp:extent cx="1336357" cy="367506"/>
                <wp:effectExtent l="50800" t="25400" r="60960" b="77470"/>
                <wp:wrapNone/>
                <wp:docPr id="1031995147" name="Rounded Rectangle 3"/>
                <wp:cNvGraphicFramePr/>
                <a:graphic xmlns:a="http://schemas.openxmlformats.org/drawingml/2006/main">
                  <a:graphicData uri="http://schemas.microsoft.com/office/word/2010/wordprocessingShape">
                    <wps:wsp>
                      <wps:cNvSpPr/>
                      <wps:spPr>
                        <a:xfrm>
                          <a:off x="0" y="0"/>
                          <a:ext cx="1336357" cy="367506"/>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6A0BBC" w:rsidRPr="006A0BBC" w:rsidRDefault="006A0BBC" w:rsidP="006A0BBC">
                            <w:pPr>
                              <w:jc w:val="center"/>
                              <w:rPr>
                                <w:sz w:val="36"/>
                                <w:szCs w:val="36"/>
                              </w:rPr>
                            </w:pPr>
                            <w:r w:rsidRPr="006A0BBC">
                              <w:rPr>
                                <w:sz w:val="36"/>
                                <w:szCs w:val="36"/>
                              </w:rPr>
                              <w:t>Résumé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26" style="position:absolute;margin-left:16.4pt;margin-top:102.85pt;width:105.2pt;height:28.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" fillcolor="#4a66ac [3204]" strokecolor="#4660a3 [3044]">
                <v:fill color2="#a2b1d7 [1620]" rotate="t" angle="180" focus="100%" type="gradient">
                  <o:fill v:ext="view" type="gradientUnscaled"/>
                </v:fill>
                <v:shadow on="t" color="black" opacity="22937f" origin=",.5" offset="0,.63889mm"/>
                <v:textbox>
                  <w:txbxContent>
                    <w:p w:rsidR="006A0BBC" w:rsidRPr="006A0BBC" w:rsidRDefault="006A0BBC" w:rsidP="006A0BBC">
                      <w:pPr>
                        <w:jc w:val="center"/>
                        <w:rPr>
                          <w:sz w:val="36"/>
                          <w:szCs w:val="36"/>
                        </w:rPr>
                      </w:pPr>
                      <w:r w:rsidRPr="006A0BBC">
                        <w:rPr>
                          <w:sz w:val="36"/>
                          <w:szCs w:val="36"/>
                        </w:rPr>
                        <w:t>Résumé</w:t>
                      </w:r>
                    </w:p>
                  </w:txbxContent>
                </v:textbox>
              </v:roundrect>
            </w:pict>
          </mc:Fallback>
        </mc:AlternateContent>
      </w:r>
      <w:r w:rsidR="006C037D" w:rsidRPr="002844B1">
        <w:rPr>
          <w:noProof/>
        </w:rPr>
        <mc:AlternateContent>
          <mc:Choice Requires="wps">
            <w:drawing>
              <wp:anchor distT="0" distB="0" distL="114300" distR="114300" simplePos="0" relativeHeight="251659264" behindDoc="0" locked="0" layoutInCell="1" allowOverlap="1">
                <wp:simplePos x="0" y="0"/>
                <wp:positionH relativeFrom="column">
                  <wp:posOffset>-106680</wp:posOffset>
                </wp:positionH>
                <wp:positionV relativeFrom="paragraph">
                  <wp:posOffset>1567237</wp:posOffset>
                </wp:positionV>
                <wp:extent cx="6289675" cy="5033645"/>
                <wp:effectExtent l="50800" t="25400" r="60325" b="71755"/>
                <wp:wrapNone/>
                <wp:docPr id="1414321557" name="Rounded Rectangle 1"/>
                <wp:cNvGraphicFramePr/>
                <a:graphic xmlns:a="http://schemas.openxmlformats.org/drawingml/2006/main">
                  <a:graphicData uri="http://schemas.microsoft.com/office/word/2010/wordprocessingShape">
                    <wps:wsp>
                      <wps:cNvSpPr/>
                      <wps:spPr>
                        <a:xfrm>
                          <a:off x="0" y="0"/>
                          <a:ext cx="6289675" cy="5033645"/>
                        </a:xfrm>
                        <a:prstGeom prst="roundRect">
                          <a:avLst>
                            <a:gd name="adj" fmla="val 2722"/>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rsidR="006C037D" w:rsidRPr="006A0BBC" w:rsidRDefault="006C037D"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de modéliser des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rsidR="006C037D" w:rsidRPr="006C037D" w:rsidRDefault="006C037D" w:rsidP="006C037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 o:spid="_x0000_s1027" style="position:absolute;margin-left:-8.4pt;margin-top:123.4pt;width:495.25pt;height:396.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784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" fillcolor="white [3212]" strokecolor="#4660a3 [3044]">
                <v:shadow on="t" color="black" opacity="22937f" origin=",.5" offset="0,.63889mm"/>
                <v:textbox>
                  <w:txbxContent>
                    <w:p w:rsidR="006C037D" w:rsidRPr="006A0BBC" w:rsidRDefault="006C037D"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de modéliser des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rsidR="006C037D" w:rsidRPr="006C037D" w:rsidRDefault="006C037D" w:rsidP="006C037D">
                      <w:pPr>
                        <w:jc w:val="center"/>
                        <w:rPr>
                          <w:color w:val="000000" w:themeColor="text1"/>
                        </w:rPr>
                      </w:pPr>
                    </w:p>
                  </w:txbxContent>
                </v:textbox>
              </v:roundrect>
            </w:pict>
          </mc:Fallback>
        </mc:AlternateContent>
      </w:r>
      <w:r w:rsidR="006C037D" w:rsidRPr="002844B1">
        <w:rPr>
          <w:rFonts w:asciiTheme="majorHAnsi" w:eastAsiaTheme="majorEastAsia" w:hAnsiTheme="majorHAnsi" w:cstheme="majorBidi"/>
          <w:b/>
          <w:bCs/>
          <w:color w:val="344879" w:themeColor="accent1" w:themeShade="B5"/>
          <w:sz w:val="40"/>
          <w:szCs w:val="40"/>
        </w:rPr>
        <w:br w:type="page"/>
      </w:r>
    </w:p>
    <w:p w:rsidR="00AA7351" w:rsidRPr="002844B1" w:rsidRDefault="00AA7351" w:rsidP="00AA7351">
      <w:pPr>
        <w:pStyle w:val="Author"/>
        <w:rPr>
          <w:b/>
          <w:bCs/>
          <w:i/>
          <w:iCs/>
          <w:color w:val="224E76"/>
          <w:sz w:val="36"/>
          <w:szCs w:val="36"/>
          <w:lang w:val="fr-CA"/>
        </w:rPr>
      </w:pPr>
    </w:p>
    <w:p w:rsidR="00AA7351" w:rsidRPr="002844B1" w:rsidRDefault="00AA7351" w:rsidP="00AA7351">
      <w:pPr>
        <w:pStyle w:val="Author"/>
        <w:rPr>
          <w:b/>
          <w:bCs/>
          <w:i/>
          <w:iCs/>
          <w:color w:val="224E76"/>
          <w:sz w:val="36"/>
          <w:szCs w:val="36"/>
          <w:lang w:val="fr-CA"/>
        </w:rPr>
      </w:pPr>
    </w:p>
    <w:p w:rsidR="00AA7351" w:rsidRPr="002844B1" w:rsidRDefault="00AA7351" w:rsidP="00AA7351">
      <w:pPr>
        <w:pStyle w:val="Author"/>
        <w:rPr>
          <w:b/>
          <w:bCs/>
          <w:i/>
          <w:iCs/>
          <w:color w:val="224E76"/>
          <w:sz w:val="36"/>
          <w:szCs w:val="36"/>
          <w:lang w:val="fr-CA"/>
        </w:rPr>
      </w:pPr>
    </w:p>
    <w:p w:rsidR="00AA7351" w:rsidRPr="002844B1" w:rsidRDefault="00AA7351" w:rsidP="00AA7351">
      <w:pPr>
        <w:pStyle w:val="Author"/>
        <w:rPr>
          <w:b/>
          <w:bCs/>
          <w:i/>
          <w:iCs/>
          <w:color w:val="224E76"/>
          <w:sz w:val="36"/>
          <w:szCs w:val="36"/>
          <w:lang w:val="fr-CA"/>
        </w:rPr>
      </w:pPr>
    </w:p>
    <w:p w:rsidR="00AA7351" w:rsidRPr="002844B1" w:rsidRDefault="00AA7351" w:rsidP="00AA7351">
      <w:pPr>
        <w:pStyle w:val="Author"/>
        <w:rPr>
          <w:b/>
          <w:bCs/>
          <w:i/>
          <w:iCs/>
          <w:color w:val="224E76"/>
          <w:sz w:val="36"/>
          <w:szCs w:val="36"/>
          <w:lang w:val="fr-CA"/>
        </w:rPr>
      </w:pPr>
    </w:p>
    <w:p w:rsidR="00AA7351" w:rsidRPr="002844B1" w:rsidRDefault="00AA7351" w:rsidP="00AA7351">
      <w:pPr>
        <w:pStyle w:val="Author"/>
        <w:rPr>
          <w:b/>
          <w:bCs/>
          <w:i/>
          <w:iCs/>
          <w:color w:val="224E76"/>
          <w:sz w:val="36"/>
          <w:szCs w:val="36"/>
          <w:lang w:val="fr-CA"/>
        </w:rPr>
      </w:pPr>
    </w:p>
    <w:p w:rsidR="00AA7351" w:rsidRPr="002844B1" w:rsidRDefault="00AA7351" w:rsidP="00AA7351">
      <w:pPr>
        <w:pStyle w:val="Author"/>
        <w:rPr>
          <w:b/>
          <w:bCs/>
          <w:i/>
          <w:iCs/>
          <w:color w:val="224E76"/>
          <w:sz w:val="36"/>
          <w:szCs w:val="36"/>
          <w:lang w:val="fr-CA"/>
        </w:rPr>
      </w:pPr>
    </w:p>
    <w:p w:rsidR="00AA7351" w:rsidRPr="002844B1" w:rsidRDefault="00AA7351" w:rsidP="00AA7351">
      <w:pPr>
        <w:pStyle w:val="Author"/>
        <w:rPr>
          <w:b/>
          <w:bCs/>
          <w:i/>
          <w:iCs/>
          <w:color w:val="224E76"/>
          <w:sz w:val="36"/>
          <w:szCs w:val="36"/>
          <w:lang w:val="fr-CA"/>
        </w:rPr>
      </w:pPr>
      <w:r w:rsidRPr="002844B1">
        <w:rPr>
          <w:b/>
          <w:bCs/>
          <w:i/>
          <w:iCs/>
          <w:color w:val="224E76"/>
          <w:sz w:val="36"/>
          <w:szCs w:val="36"/>
          <w:lang w:val="fr-CA"/>
        </w:rPr>
        <w:t>Solvabilité Basée sur les Risques (SBR), Application de calcul des Provisions Prudentielles et du Capital de Solvabilité Requis en assurance vie et non-vie</w:t>
      </w:r>
    </w:p>
    <w:p w:rsidR="00AA7351" w:rsidRPr="002844B1" w:rsidRDefault="00AA7351" w:rsidP="00AA7351">
      <w:pPr>
        <w:pStyle w:val="BodyText"/>
      </w:pPr>
    </w:p>
    <w:p w:rsidR="006C037D" w:rsidRPr="002844B1" w:rsidRDefault="00000000" w:rsidP="00AA7351">
      <w:pPr>
        <w:pStyle w:val="Author"/>
        <w:rPr>
          <w:b/>
          <w:bCs/>
          <w:i/>
          <w:iCs/>
          <w:lang w:val="fr-CA"/>
        </w:rPr>
      </w:pPr>
      <w:r w:rsidRPr="002844B1">
        <w:rPr>
          <w:b/>
          <w:bCs/>
          <w:i/>
          <w:iCs/>
          <w:lang w:val="fr-CA"/>
        </w:rPr>
        <w:t>DIAKITE Abdoul Oudouss, ETTADLAOUI Othmane</w:t>
      </w:r>
    </w:p>
    <w:p w:rsidR="006A0BBC" w:rsidRPr="002844B1" w:rsidRDefault="006A0BBC">
      <w:r w:rsidRPr="002844B1">
        <w:br w:type="page"/>
      </w:r>
    </w:p>
    <w:p w:rsidR="00AA7351" w:rsidRPr="002844B1" w:rsidRDefault="00AA7351"/>
    <w:p w:rsidR="006C037D" w:rsidRPr="002844B1" w:rsidRDefault="006C037D" w:rsidP="006C037D">
      <w:pPr>
        <w:pStyle w:val="BodyText"/>
      </w:pPr>
    </w:p>
    <w:bookmarkStart w:id="0" w:name="organisme-daccueil" w:displacedByCustomXml="next"/>
    <w:sdt>
      <w:sdtPr>
        <w:rPr>
          <w:sz w:val="56"/>
          <w:szCs w:val="56"/>
        </w:rPr>
        <w:id w:val="-1145423503"/>
        <w:docPartObj>
          <w:docPartGallery w:val="Table of Contents"/>
          <w:docPartUnique/>
        </w:docPartObj>
      </w:sdtPr>
      <w:sdtEndPr>
        <w:rPr>
          <w:rFonts w:asciiTheme="minorHAnsi" w:eastAsiaTheme="minorEastAsia" w:hAnsiTheme="minorHAnsi" w:cstheme="minorBidi"/>
          <w:noProof/>
          <w:color w:val="auto"/>
          <w:sz w:val="20"/>
          <w:szCs w:val="20"/>
        </w:rPr>
      </w:sdtEndPr>
      <w:sdtContent>
        <w:p w:rsidR="00AA7351" w:rsidRPr="002844B1" w:rsidRDefault="00AA7351" w:rsidP="00AA7351">
          <w:pPr>
            <w:pStyle w:val="TOCHeading"/>
            <w:jc w:val="center"/>
            <w:rPr>
              <w:sz w:val="56"/>
              <w:szCs w:val="56"/>
            </w:rPr>
          </w:pPr>
          <w:r w:rsidRPr="002844B1">
            <w:rPr>
              <w:sz w:val="56"/>
              <w:szCs w:val="56"/>
            </w:rPr>
            <w:t>Table des matières</w:t>
          </w:r>
        </w:p>
        <w:p w:rsidR="00AA7351" w:rsidRPr="002844B1" w:rsidRDefault="00AA7351">
          <w:pPr>
            <w:pStyle w:val="TOC1"/>
            <w:tabs>
              <w:tab w:val="right" w:leader="dot" w:pos="9350"/>
            </w:tabs>
            <w:rPr>
              <w:b w:val="0"/>
              <w:bCs w:val="0"/>
            </w:rPr>
          </w:pPr>
        </w:p>
        <w:p w:rsidR="00AA7351" w:rsidRPr="002844B1" w:rsidRDefault="00AA7351">
          <w:pPr>
            <w:pStyle w:val="TOC1"/>
            <w:tabs>
              <w:tab w:val="right" w:leader="dot" w:pos="9350"/>
            </w:tabs>
            <w:rPr>
              <w:rFonts w:cstheme="minorBidi"/>
              <w:b w:val="0"/>
              <w:bCs w:val="0"/>
              <w:caps/>
              <w:noProof/>
              <w:kern w:val="2"/>
              <w:szCs w:val="24"/>
              <w14:ligatures w14:val="standardContextual"/>
            </w:rPr>
          </w:pPr>
          <w:r w:rsidRPr="002844B1">
            <w:rPr>
              <w:b w:val="0"/>
              <w:bCs w:val="0"/>
            </w:rPr>
            <w:fldChar w:fldCharType="begin"/>
          </w:r>
          <w:r w:rsidRPr="002844B1">
            <w:instrText xml:space="preserve"> TOC \o "1-3" \h \z \u </w:instrText>
          </w:r>
          <w:r w:rsidRPr="002844B1">
            <w:rPr>
              <w:b w:val="0"/>
              <w:bCs w:val="0"/>
            </w:rPr>
            <w:fldChar w:fldCharType="separate"/>
          </w:r>
          <w:hyperlink w:anchor="_Toc137650994" w:history="1">
            <w:r w:rsidRPr="002844B1">
              <w:rPr>
                <w:rStyle w:val="Hyperlink"/>
                <w:noProof/>
              </w:rPr>
              <w:t>Organisme d’accueil</w:t>
            </w:r>
            <w:r w:rsidRPr="002844B1">
              <w:rPr>
                <w:noProof/>
                <w:webHidden/>
              </w:rPr>
              <w:tab/>
            </w:r>
            <w:r w:rsidRPr="002844B1">
              <w:rPr>
                <w:noProof/>
                <w:webHidden/>
              </w:rPr>
              <w:fldChar w:fldCharType="begin"/>
            </w:r>
            <w:r w:rsidRPr="002844B1">
              <w:rPr>
                <w:noProof/>
                <w:webHidden/>
              </w:rPr>
              <w:instrText xml:space="preserve"> PAGEREF _Toc137650994 \h </w:instrText>
            </w:r>
            <w:r w:rsidRPr="002844B1">
              <w:rPr>
                <w:noProof/>
                <w:webHidden/>
              </w:rPr>
            </w:r>
            <w:r w:rsidRPr="002844B1">
              <w:rPr>
                <w:noProof/>
                <w:webHidden/>
              </w:rPr>
              <w:fldChar w:fldCharType="separate"/>
            </w:r>
            <w:r w:rsidRPr="002844B1">
              <w:rPr>
                <w:noProof/>
                <w:webHidden/>
              </w:rPr>
              <w:t>8</w:t>
            </w:r>
            <w:r w:rsidRPr="002844B1">
              <w:rPr>
                <w:noProof/>
                <w:webHidden/>
              </w:rPr>
              <w:fldChar w:fldCharType="end"/>
            </w:r>
          </w:hyperlink>
        </w:p>
        <w:p w:rsidR="00AA7351" w:rsidRPr="002844B1" w:rsidRDefault="00AA7351">
          <w:pPr>
            <w:pStyle w:val="TOC1"/>
            <w:tabs>
              <w:tab w:val="right" w:leader="dot" w:pos="9350"/>
            </w:tabs>
            <w:rPr>
              <w:rFonts w:cstheme="minorBidi"/>
              <w:b w:val="0"/>
              <w:bCs w:val="0"/>
              <w:caps/>
              <w:noProof/>
              <w:kern w:val="2"/>
              <w:szCs w:val="24"/>
              <w14:ligatures w14:val="standardContextual"/>
            </w:rPr>
          </w:pPr>
          <w:hyperlink w:anchor="_Toc137650995" w:history="1">
            <w:r w:rsidRPr="002844B1">
              <w:rPr>
                <w:rStyle w:val="Hyperlink"/>
                <w:noProof/>
              </w:rPr>
              <w:t>Liste des abréviations</w:t>
            </w:r>
            <w:r w:rsidRPr="002844B1">
              <w:rPr>
                <w:noProof/>
                <w:webHidden/>
              </w:rPr>
              <w:tab/>
            </w:r>
            <w:r w:rsidRPr="002844B1">
              <w:rPr>
                <w:noProof/>
                <w:webHidden/>
              </w:rPr>
              <w:fldChar w:fldCharType="begin"/>
            </w:r>
            <w:r w:rsidRPr="002844B1">
              <w:rPr>
                <w:noProof/>
                <w:webHidden/>
              </w:rPr>
              <w:instrText xml:space="preserve"> PAGEREF _Toc137650995 \h </w:instrText>
            </w:r>
            <w:r w:rsidRPr="002844B1">
              <w:rPr>
                <w:noProof/>
                <w:webHidden/>
              </w:rPr>
            </w:r>
            <w:r w:rsidRPr="002844B1">
              <w:rPr>
                <w:noProof/>
                <w:webHidden/>
              </w:rPr>
              <w:fldChar w:fldCharType="separate"/>
            </w:r>
            <w:r w:rsidRPr="002844B1">
              <w:rPr>
                <w:noProof/>
                <w:webHidden/>
              </w:rPr>
              <w:t>9</w:t>
            </w:r>
            <w:r w:rsidRPr="002844B1">
              <w:rPr>
                <w:noProof/>
                <w:webHidden/>
              </w:rPr>
              <w:fldChar w:fldCharType="end"/>
            </w:r>
          </w:hyperlink>
        </w:p>
        <w:p w:rsidR="00AA7351" w:rsidRPr="002844B1" w:rsidRDefault="00AA7351">
          <w:pPr>
            <w:pStyle w:val="TOC1"/>
            <w:tabs>
              <w:tab w:val="right" w:leader="dot" w:pos="9350"/>
            </w:tabs>
            <w:rPr>
              <w:rFonts w:cstheme="minorBidi"/>
              <w:b w:val="0"/>
              <w:bCs w:val="0"/>
              <w:caps/>
              <w:noProof/>
              <w:kern w:val="2"/>
              <w:szCs w:val="24"/>
              <w14:ligatures w14:val="standardContextual"/>
            </w:rPr>
          </w:pPr>
          <w:hyperlink w:anchor="_Toc137650996" w:history="1">
            <w:r w:rsidRPr="002844B1">
              <w:rPr>
                <w:rStyle w:val="Hyperlink"/>
                <w:noProof/>
              </w:rPr>
              <w:t>Introduction</w:t>
            </w:r>
            <w:r w:rsidRPr="002844B1">
              <w:rPr>
                <w:noProof/>
                <w:webHidden/>
              </w:rPr>
              <w:tab/>
            </w:r>
            <w:r w:rsidRPr="002844B1">
              <w:rPr>
                <w:noProof/>
                <w:webHidden/>
              </w:rPr>
              <w:fldChar w:fldCharType="begin"/>
            </w:r>
            <w:r w:rsidRPr="002844B1">
              <w:rPr>
                <w:noProof/>
                <w:webHidden/>
              </w:rPr>
              <w:instrText xml:space="preserve"> PAGEREF _Toc137650996 \h </w:instrText>
            </w:r>
            <w:r w:rsidRPr="002844B1">
              <w:rPr>
                <w:noProof/>
                <w:webHidden/>
              </w:rPr>
            </w:r>
            <w:r w:rsidRPr="002844B1">
              <w:rPr>
                <w:noProof/>
                <w:webHidden/>
              </w:rPr>
              <w:fldChar w:fldCharType="separate"/>
            </w:r>
            <w:r w:rsidRPr="002844B1">
              <w:rPr>
                <w:noProof/>
                <w:webHidden/>
              </w:rPr>
              <w:t>10</w:t>
            </w:r>
            <w:r w:rsidRPr="002844B1">
              <w:rPr>
                <w:noProof/>
                <w:webHidden/>
              </w:rPr>
              <w:fldChar w:fldCharType="end"/>
            </w:r>
          </w:hyperlink>
        </w:p>
        <w:p w:rsidR="00AA7351" w:rsidRPr="002844B1" w:rsidRDefault="00AA7351">
          <w:pPr>
            <w:pStyle w:val="TOC1"/>
            <w:tabs>
              <w:tab w:val="right" w:leader="dot" w:pos="9350"/>
            </w:tabs>
            <w:rPr>
              <w:rFonts w:cstheme="minorBidi"/>
              <w:b w:val="0"/>
              <w:bCs w:val="0"/>
              <w:caps/>
              <w:noProof/>
              <w:kern w:val="2"/>
              <w:szCs w:val="24"/>
              <w14:ligatures w14:val="standardContextual"/>
            </w:rPr>
          </w:pPr>
          <w:hyperlink w:anchor="_Toc137650997" w:history="1">
            <w:r w:rsidRPr="002844B1">
              <w:rPr>
                <w:rStyle w:val="Hyperlink"/>
                <w:noProof/>
              </w:rPr>
              <w:t>1. CHAPITRE I : Cadre réglementaire Marocain</w:t>
            </w:r>
            <w:r w:rsidRPr="002844B1">
              <w:rPr>
                <w:noProof/>
                <w:webHidden/>
              </w:rPr>
              <w:tab/>
            </w:r>
            <w:r w:rsidRPr="002844B1">
              <w:rPr>
                <w:noProof/>
                <w:webHidden/>
              </w:rPr>
              <w:fldChar w:fldCharType="begin"/>
            </w:r>
            <w:r w:rsidRPr="002844B1">
              <w:rPr>
                <w:noProof/>
                <w:webHidden/>
              </w:rPr>
              <w:instrText xml:space="preserve"> PAGEREF _Toc137650997 \h </w:instrText>
            </w:r>
            <w:r w:rsidRPr="002844B1">
              <w:rPr>
                <w:noProof/>
                <w:webHidden/>
              </w:rPr>
            </w:r>
            <w:r w:rsidRPr="002844B1">
              <w:rPr>
                <w:noProof/>
                <w:webHidden/>
              </w:rPr>
              <w:fldChar w:fldCharType="separate"/>
            </w:r>
            <w:r w:rsidRPr="002844B1">
              <w:rPr>
                <w:noProof/>
                <w:webHidden/>
              </w:rPr>
              <w:t>11</w:t>
            </w:r>
            <w:r w:rsidRPr="002844B1">
              <w:rPr>
                <w:noProof/>
                <w:webHidden/>
              </w:rPr>
              <w:fldChar w:fldCharType="end"/>
            </w:r>
          </w:hyperlink>
        </w:p>
        <w:p w:rsidR="00AA7351" w:rsidRPr="002844B1" w:rsidRDefault="00AA7351">
          <w:pPr>
            <w:pStyle w:val="TOC2"/>
            <w:tabs>
              <w:tab w:val="right" w:leader="dot" w:pos="9350"/>
            </w:tabs>
            <w:rPr>
              <w:rFonts w:cstheme="minorBidi"/>
              <w:b w:val="0"/>
              <w:bCs w:val="0"/>
              <w:smallCaps/>
              <w:noProof/>
              <w:kern w:val="2"/>
              <w:sz w:val="24"/>
              <w:szCs w:val="24"/>
              <w14:ligatures w14:val="standardContextual"/>
            </w:rPr>
          </w:pPr>
          <w:hyperlink w:anchor="_Toc137650998" w:history="1">
            <w:r w:rsidRPr="002844B1">
              <w:rPr>
                <w:rStyle w:val="Hyperlink"/>
                <w:noProof/>
              </w:rPr>
              <w:t>1.1 Cadre réglementaire Marocain</w:t>
            </w:r>
            <w:r w:rsidRPr="002844B1">
              <w:rPr>
                <w:noProof/>
                <w:webHidden/>
              </w:rPr>
              <w:tab/>
            </w:r>
            <w:r w:rsidRPr="002844B1">
              <w:rPr>
                <w:noProof/>
                <w:webHidden/>
              </w:rPr>
              <w:fldChar w:fldCharType="begin"/>
            </w:r>
            <w:r w:rsidRPr="002844B1">
              <w:rPr>
                <w:noProof/>
                <w:webHidden/>
              </w:rPr>
              <w:instrText xml:space="preserve"> PAGEREF _Toc137650998 \h </w:instrText>
            </w:r>
            <w:r w:rsidRPr="002844B1">
              <w:rPr>
                <w:noProof/>
                <w:webHidden/>
              </w:rPr>
            </w:r>
            <w:r w:rsidRPr="002844B1">
              <w:rPr>
                <w:noProof/>
                <w:webHidden/>
              </w:rPr>
              <w:fldChar w:fldCharType="separate"/>
            </w:r>
            <w:r w:rsidRPr="002844B1">
              <w:rPr>
                <w:noProof/>
                <w:webHidden/>
              </w:rPr>
              <w:t>11</w:t>
            </w:r>
            <w:r w:rsidRPr="002844B1">
              <w:rPr>
                <w:noProof/>
                <w:webHidden/>
              </w:rPr>
              <w:fldChar w:fldCharType="end"/>
            </w:r>
          </w:hyperlink>
        </w:p>
        <w:p w:rsidR="00AA7351" w:rsidRPr="002844B1" w:rsidRDefault="00AA7351">
          <w:pPr>
            <w:pStyle w:val="TOC2"/>
            <w:tabs>
              <w:tab w:val="right" w:leader="dot" w:pos="9350"/>
            </w:tabs>
            <w:rPr>
              <w:rFonts w:cstheme="minorBidi"/>
              <w:b w:val="0"/>
              <w:bCs w:val="0"/>
              <w:smallCaps/>
              <w:noProof/>
              <w:kern w:val="2"/>
              <w:sz w:val="24"/>
              <w:szCs w:val="24"/>
              <w14:ligatures w14:val="standardContextual"/>
            </w:rPr>
          </w:pPr>
          <w:hyperlink w:anchor="_Toc137650999" w:history="1">
            <w:r w:rsidRPr="002844B1">
              <w:rPr>
                <w:rStyle w:val="Hyperlink"/>
                <w:noProof/>
              </w:rPr>
              <w:t>1.2 Piliers 1: Exigences quantitatives :</w:t>
            </w:r>
            <w:r w:rsidRPr="002844B1">
              <w:rPr>
                <w:noProof/>
                <w:webHidden/>
              </w:rPr>
              <w:tab/>
            </w:r>
            <w:r w:rsidRPr="002844B1">
              <w:rPr>
                <w:noProof/>
                <w:webHidden/>
              </w:rPr>
              <w:fldChar w:fldCharType="begin"/>
            </w:r>
            <w:r w:rsidRPr="002844B1">
              <w:rPr>
                <w:noProof/>
                <w:webHidden/>
              </w:rPr>
              <w:instrText xml:space="preserve"> PAGEREF _Toc137650999 \h </w:instrText>
            </w:r>
            <w:r w:rsidRPr="002844B1">
              <w:rPr>
                <w:noProof/>
                <w:webHidden/>
              </w:rPr>
            </w:r>
            <w:r w:rsidRPr="002844B1">
              <w:rPr>
                <w:noProof/>
                <w:webHidden/>
              </w:rPr>
              <w:fldChar w:fldCharType="separate"/>
            </w:r>
            <w:r w:rsidRPr="002844B1">
              <w:rPr>
                <w:noProof/>
                <w:webHidden/>
              </w:rPr>
              <w:t>13</w:t>
            </w:r>
            <w:r w:rsidRPr="002844B1">
              <w:rPr>
                <w:noProof/>
                <w:webHidden/>
              </w:rPr>
              <w:fldChar w:fldCharType="end"/>
            </w:r>
          </w:hyperlink>
        </w:p>
        <w:p w:rsidR="00AA7351" w:rsidRPr="002844B1" w:rsidRDefault="00AA7351">
          <w:pPr>
            <w:pStyle w:val="TOC1"/>
            <w:tabs>
              <w:tab w:val="right" w:leader="dot" w:pos="9350"/>
            </w:tabs>
            <w:rPr>
              <w:rFonts w:cstheme="minorBidi"/>
              <w:b w:val="0"/>
              <w:bCs w:val="0"/>
              <w:caps/>
              <w:noProof/>
              <w:kern w:val="2"/>
              <w:szCs w:val="24"/>
              <w14:ligatures w14:val="standardContextual"/>
            </w:rPr>
          </w:pPr>
          <w:hyperlink w:anchor="_Toc137651000" w:history="1">
            <w:r w:rsidRPr="002844B1">
              <w:rPr>
                <w:rStyle w:val="Hyperlink"/>
                <w:noProof/>
              </w:rPr>
              <w:t>2. CHAPITRE II : Construction de la courbe des taux</w:t>
            </w:r>
            <w:r w:rsidRPr="002844B1">
              <w:rPr>
                <w:noProof/>
                <w:webHidden/>
              </w:rPr>
              <w:tab/>
            </w:r>
            <w:r w:rsidRPr="002844B1">
              <w:rPr>
                <w:noProof/>
                <w:webHidden/>
              </w:rPr>
              <w:fldChar w:fldCharType="begin"/>
            </w:r>
            <w:r w:rsidRPr="002844B1">
              <w:rPr>
                <w:noProof/>
                <w:webHidden/>
              </w:rPr>
              <w:instrText xml:space="preserve"> PAGEREF _Toc137651000 \h </w:instrText>
            </w:r>
            <w:r w:rsidRPr="002844B1">
              <w:rPr>
                <w:noProof/>
                <w:webHidden/>
              </w:rPr>
            </w:r>
            <w:r w:rsidRPr="002844B1">
              <w:rPr>
                <w:noProof/>
                <w:webHidden/>
              </w:rPr>
              <w:fldChar w:fldCharType="separate"/>
            </w:r>
            <w:r w:rsidRPr="002844B1">
              <w:rPr>
                <w:noProof/>
                <w:webHidden/>
              </w:rPr>
              <w:t>16</w:t>
            </w:r>
            <w:r w:rsidRPr="002844B1">
              <w:rPr>
                <w:noProof/>
                <w:webHidden/>
              </w:rPr>
              <w:fldChar w:fldCharType="end"/>
            </w:r>
          </w:hyperlink>
        </w:p>
        <w:p w:rsidR="00AA7351" w:rsidRPr="002844B1" w:rsidRDefault="00AA7351">
          <w:pPr>
            <w:pStyle w:val="TOC2"/>
            <w:tabs>
              <w:tab w:val="right" w:leader="dot" w:pos="9350"/>
            </w:tabs>
            <w:rPr>
              <w:rFonts w:cstheme="minorBidi"/>
              <w:b w:val="0"/>
              <w:bCs w:val="0"/>
              <w:smallCaps/>
              <w:noProof/>
              <w:kern w:val="2"/>
              <w:sz w:val="24"/>
              <w:szCs w:val="24"/>
              <w14:ligatures w14:val="standardContextual"/>
            </w:rPr>
          </w:pPr>
          <w:hyperlink w:anchor="_Toc137651001" w:history="1">
            <w:r w:rsidRPr="002844B1">
              <w:rPr>
                <w:rStyle w:val="Hyperlink"/>
                <w:noProof/>
              </w:rPr>
              <w:t>2.1 La construction de la courbe des taux zéro-coupon</w:t>
            </w:r>
            <w:r w:rsidRPr="002844B1">
              <w:rPr>
                <w:noProof/>
                <w:webHidden/>
              </w:rPr>
              <w:tab/>
            </w:r>
            <w:r w:rsidRPr="002844B1">
              <w:rPr>
                <w:noProof/>
                <w:webHidden/>
              </w:rPr>
              <w:fldChar w:fldCharType="begin"/>
            </w:r>
            <w:r w:rsidRPr="002844B1">
              <w:rPr>
                <w:noProof/>
                <w:webHidden/>
              </w:rPr>
              <w:instrText xml:space="preserve"> PAGEREF _Toc137651001 \h </w:instrText>
            </w:r>
            <w:r w:rsidRPr="002844B1">
              <w:rPr>
                <w:noProof/>
                <w:webHidden/>
              </w:rPr>
            </w:r>
            <w:r w:rsidRPr="002844B1">
              <w:rPr>
                <w:noProof/>
                <w:webHidden/>
              </w:rPr>
              <w:fldChar w:fldCharType="separate"/>
            </w:r>
            <w:r w:rsidRPr="002844B1">
              <w:rPr>
                <w:noProof/>
                <w:webHidden/>
              </w:rPr>
              <w:t>16</w:t>
            </w:r>
            <w:r w:rsidRPr="002844B1">
              <w:rPr>
                <w:noProof/>
                <w:webHidden/>
              </w:rPr>
              <w:fldChar w:fldCharType="end"/>
            </w:r>
          </w:hyperlink>
        </w:p>
        <w:p w:rsidR="00AA7351" w:rsidRPr="002844B1" w:rsidRDefault="00AA7351">
          <w:pPr>
            <w:pStyle w:val="TOC3"/>
            <w:tabs>
              <w:tab w:val="right" w:leader="dot" w:pos="9350"/>
            </w:tabs>
            <w:rPr>
              <w:rFonts w:cstheme="minorBidi"/>
              <w:smallCaps/>
              <w:noProof/>
              <w:kern w:val="2"/>
              <w:sz w:val="24"/>
              <w14:ligatures w14:val="standardContextual"/>
            </w:rPr>
          </w:pPr>
          <w:hyperlink w:anchor="_Toc137651002" w:history="1">
            <w:r w:rsidRPr="002844B1">
              <w:rPr>
                <w:rStyle w:val="Hyperlink"/>
                <w:noProof/>
              </w:rPr>
              <w:t>Transformation des taux monétaires en taux actuariels</w:t>
            </w:r>
            <w:r w:rsidRPr="002844B1">
              <w:rPr>
                <w:noProof/>
                <w:webHidden/>
              </w:rPr>
              <w:tab/>
            </w:r>
            <w:r w:rsidRPr="002844B1">
              <w:rPr>
                <w:noProof/>
                <w:webHidden/>
              </w:rPr>
              <w:fldChar w:fldCharType="begin"/>
            </w:r>
            <w:r w:rsidRPr="002844B1">
              <w:rPr>
                <w:noProof/>
                <w:webHidden/>
              </w:rPr>
              <w:instrText xml:space="preserve"> PAGEREF _Toc137651002 \h </w:instrText>
            </w:r>
            <w:r w:rsidRPr="002844B1">
              <w:rPr>
                <w:noProof/>
                <w:webHidden/>
              </w:rPr>
            </w:r>
            <w:r w:rsidRPr="002844B1">
              <w:rPr>
                <w:noProof/>
                <w:webHidden/>
              </w:rPr>
              <w:fldChar w:fldCharType="separate"/>
            </w:r>
            <w:r w:rsidRPr="002844B1">
              <w:rPr>
                <w:noProof/>
                <w:webHidden/>
              </w:rPr>
              <w:t>18</w:t>
            </w:r>
            <w:r w:rsidRPr="002844B1">
              <w:rPr>
                <w:noProof/>
                <w:webHidden/>
              </w:rPr>
              <w:fldChar w:fldCharType="end"/>
            </w:r>
          </w:hyperlink>
        </w:p>
        <w:p w:rsidR="00AA7351" w:rsidRPr="002844B1" w:rsidRDefault="00AA7351">
          <w:pPr>
            <w:pStyle w:val="TOC3"/>
            <w:tabs>
              <w:tab w:val="right" w:leader="dot" w:pos="9350"/>
            </w:tabs>
            <w:rPr>
              <w:rFonts w:cstheme="minorBidi"/>
              <w:smallCaps/>
              <w:noProof/>
              <w:kern w:val="2"/>
              <w:sz w:val="24"/>
              <w14:ligatures w14:val="standardContextual"/>
            </w:rPr>
          </w:pPr>
          <w:hyperlink w:anchor="_Toc137651003" w:history="1">
            <w:r w:rsidRPr="002844B1">
              <w:rPr>
                <w:rStyle w:val="Hyperlink"/>
                <w:noProof/>
              </w:rPr>
              <w:t>Interpolation linéaire de la courbe des taux actuariels</w:t>
            </w:r>
            <w:r w:rsidRPr="002844B1">
              <w:rPr>
                <w:noProof/>
                <w:webHidden/>
              </w:rPr>
              <w:tab/>
            </w:r>
            <w:r w:rsidRPr="002844B1">
              <w:rPr>
                <w:noProof/>
                <w:webHidden/>
              </w:rPr>
              <w:fldChar w:fldCharType="begin"/>
            </w:r>
            <w:r w:rsidRPr="002844B1">
              <w:rPr>
                <w:noProof/>
                <w:webHidden/>
              </w:rPr>
              <w:instrText xml:space="preserve"> PAGEREF _Toc137651003 \h </w:instrText>
            </w:r>
            <w:r w:rsidRPr="002844B1">
              <w:rPr>
                <w:noProof/>
                <w:webHidden/>
              </w:rPr>
            </w:r>
            <w:r w:rsidRPr="002844B1">
              <w:rPr>
                <w:noProof/>
                <w:webHidden/>
              </w:rPr>
              <w:fldChar w:fldCharType="separate"/>
            </w:r>
            <w:r w:rsidRPr="002844B1">
              <w:rPr>
                <w:noProof/>
                <w:webHidden/>
              </w:rPr>
              <w:t>19</w:t>
            </w:r>
            <w:r w:rsidRPr="002844B1">
              <w:rPr>
                <w:noProof/>
                <w:webHidden/>
              </w:rPr>
              <w:fldChar w:fldCharType="end"/>
            </w:r>
          </w:hyperlink>
        </w:p>
        <w:p w:rsidR="00AA7351" w:rsidRPr="002844B1" w:rsidRDefault="00AA7351">
          <w:pPr>
            <w:pStyle w:val="TOC3"/>
            <w:tabs>
              <w:tab w:val="right" w:leader="dot" w:pos="9350"/>
            </w:tabs>
            <w:rPr>
              <w:rFonts w:cstheme="minorBidi"/>
              <w:smallCaps/>
              <w:noProof/>
              <w:kern w:val="2"/>
              <w:sz w:val="24"/>
              <w14:ligatures w14:val="standardContextual"/>
            </w:rPr>
          </w:pPr>
          <w:hyperlink w:anchor="_Toc137651004" w:history="1">
            <w:r w:rsidRPr="002844B1">
              <w:rPr>
                <w:rStyle w:val="Hyperlink"/>
                <w:noProof/>
              </w:rPr>
              <w:t>la méthode de Bootstrap</w:t>
            </w:r>
            <w:r w:rsidRPr="002844B1">
              <w:rPr>
                <w:noProof/>
                <w:webHidden/>
              </w:rPr>
              <w:tab/>
            </w:r>
            <w:r w:rsidRPr="002844B1">
              <w:rPr>
                <w:noProof/>
                <w:webHidden/>
              </w:rPr>
              <w:fldChar w:fldCharType="begin"/>
            </w:r>
            <w:r w:rsidRPr="002844B1">
              <w:rPr>
                <w:noProof/>
                <w:webHidden/>
              </w:rPr>
              <w:instrText xml:space="preserve"> PAGEREF _Toc137651004 \h </w:instrText>
            </w:r>
            <w:r w:rsidRPr="002844B1">
              <w:rPr>
                <w:noProof/>
                <w:webHidden/>
              </w:rPr>
            </w:r>
            <w:r w:rsidRPr="002844B1">
              <w:rPr>
                <w:noProof/>
                <w:webHidden/>
              </w:rPr>
              <w:fldChar w:fldCharType="separate"/>
            </w:r>
            <w:r w:rsidRPr="002844B1">
              <w:rPr>
                <w:noProof/>
                <w:webHidden/>
              </w:rPr>
              <w:t>20</w:t>
            </w:r>
            <w:r w:rsidRPr="002844B1">
              <w:rPr>
                <w:noProof/>
                <w:webHidden/>
              </w:rPr>
              <w:fldChar w:fldCharType="end"/>
            </w:r>
          </w:hyperlink>
        </w:p>
        <w:p w:rsidR="00AA7351" w:rsidRPr="002844B1" w:rsidRDefault="00AA7351">
          <w:pPr>
            <w:pStyle w:val="TOC3"/>
            <w:tabs>
              <w:tab w:val="right" w:leader="dot" w:pos="9350"/>
            </w:tabs>
            <w:rPr>
              <w:rFonts w:cstheme="minorBidi"/>
              <w:smallCaps/>
              <w:noProof/>
              <w:kern w:val="2"/>
              <w:sz w:val="24"/>
              <w14:ligatures w14:val="standardContextual"/>
            </w:rPr>
          </w:pPr>
          <w:hyperlink w:anchor="_Toc137651005" w:history="1">
            <w:r w:rsidRPr="002844B1">
              <w:rPr>
                <w:rStyle w:val="Hyperlink"/>
                <w:noProof/>
              </w:rPr>
              <w:t>Extrapolation de la courbe des taux zéro-coupon : Méthode de Smith-Wilson</w:t>
            </w:r>
            <w:r w:rsidRPr="002844B1">
              <w:rPr>
                <w:noProof/>
                <w:webHidden/>
              </w:rPr>
              <w:tab/>
            </w:r>
            <w:r w:rsidRPr="002844B1">
              <w:rPr>
                <w:noProof/>
                <w:webHidden/>
              </w:rPr>
              <w:fldChar w:fldCharType="begin"/>
            </w:r>
            <w:r w:rsidRPr="002844B1">
              <w:rPr>
                <w:noProof/>
                <w:webHidden/>
              </w:rPr>
              <w:instrText xml:space="preserve"> PAGEREF _Toc137651005 \h </w:instrText>
            </w:r>
            <w:r w:rsidRPr="002844B1">
              <w:rPr>
                <w:noProof/>
                <w:webHidden/>
              </w:rPr>
            </w:r>
            <w:r w:rsidRPr="002844B1">
              <w:rPr>
                <w:noProof/>
                <w:webHidden/>
              </w:rPr>
              <w:fldChar w:fldCharType="separate"/>
            </w:r>
            <w:r w:rsidRPr="002844B1">
              <w:rPr>
                <w:noProof/>
                <w:webHidden/>
              </w:rPr>
              <w:t>22</w:t>
            </w:r>
            <w:r w:rsidRPr="002844B1">
              <w:rPr>
                <w:noProof/>
                <w:webHidden/>
              </w:rPr>
              <w:fldChar w:fldCharType="end"/>
            </w:r>
          </w:hyperlink>
        </w:p>
        <w:p w:rsidR="00AA7351" w:rsidRPr="002844B1" w:rsidRDefault="00AA7351">
          <w:pPr>
            <w:pStyle w:val="TOC1"/>
            <w:tabs>
              <w:tab w:val="right" w:leader="dot" w:pos="9350"/>
            </w:tabs>
            <w:rPr>
              <w:rFonts w:cstheme="minorBidi"/>
              <w:b w:val="0"/>
              <w:bCs w:val="0"/>
              <w:caps/>
              <w:noProof/>
              <w:kern w:val="2"/>
              <w:szCs w:val="24"/>
              <w14:ligatures w14:val="standardContextual"/>
            </w:rPr>
          </w:pPr>
          <w:hyperlink w:anchor="_Toc137651006" w:history="1">
            <w:r w:rsidRPr="002844B1">
              <w:rPr>
                <w:rStyle w:val="Hyperlink"/>
                <w:noProof/>
              </w:rPr>
              <w:t>3. CHAPITRE III : Valorisation de l’actif</w:t>
            </w:r>
            <w:r w:rsidRPr="002844B1">
              <w:rPr>
                <w:noProof/>
                <w:webHidden/>
              </w:rPr>
              <w:tab/>
            </w:r>
            <w:r w:rsidRPr="002844B1">
              <w:rPr>
                <w:noProof/>
                <w:webHidden/>
              </w:rPr>
              <w:fldChar w:fldCharType="begin"/>
            </w:r>
            <w:r w:rsidRPr="002844B1">
              <w:rPr>
                <w:noProof/>
                <w:webHidden/>
              </w:rPr>
              <w:instrText xml:space="preserve"> PAGEREF _Toc137651006 \h </w:instrText>
            </w:r>
            <w:r w:rsidRPr="002844B1">
              <w:rPr>
                <w:noProof/>
                <w:webHidden/>
              </w:rPr>
            </w:r>
            <w:r w:rsidRPr="002844B1">
              <w:rPr>
                <w:noProof/>
                <w:webHidden/>
              </w:rPr>
              <w:fldChar w:fldCharType="separate"/>
            </w:r>
            <w:r w:rsidRPr="002844B1">
              <w:rPr>
                <w:noProof/>
                <w:webHidden/>
              </w:rPr>
              <w:t>23</w:t>
            </w:r>
            <w:r w:rsidRPr="002844B1">
              <w:rPr>
                <w:noProof/>
                <w:webHidden/>
              </w:rPr>
              <w:fldChar w:fldCharType="end"/>
            </w:r>
          </w:hyperlink>
        </w:p>
        <w:p w:rsidR="00AA7351" w:rsidRPr="002844B1" w:rsidRDefault="00AA7351">
          <w:pPr>
            <w:pStyle w:val="TOC2"/>
            <w:tabs>
              <w:tab w:val="right" w:leader="dot" w:pos="9350"/>
            </w:tabs>
            <w:rPr>
              <w:rFonts w:cstheme="minorBidi"/>
              <w:b w:val="0"/>
              <w:bCs w:val="0"/>
              <w:smallCaps/>
              <w:noProof/>
              <w:kern w:val="2"/>
              <w:sz w:val="24"/>
              <w:szCs w:val="24"/>
              <w14:ligatures w14:val="standardContextual"/>
            </w:rPr>
          </w:pPr>
          <w:hyperlink w:anchor="_Toc137651007" w:history="1">
            <w:r w:rsidRPr="002844B1">
              <w:rPr>
                <w:rStyle w:val="Hyperlink"/>
                <w:noProof/>
              </w:rPr>
              <w:t>3.1 Directives de l’ACAPS</w:t>
            </w:r>
            <w:r w:rsidRPr="002844B1">
              <w:rPr>
                <w:noProof/>
                <w:webHidden/>
              </w:rPr>
              <w:tab/>
            </w:r>
            <w:r w:rsidRPr="002844B1">
              <w:rPr>
                <w:noProof/>
                <w:webHidden/>
              </w:rPr>
              <w:fldChar w:fldCharType="begin"/>
            </w:r>
            <w:r w:rsidRPr="002844B1">
              <w:rPr>
                <w:noProof/>
                <w:webHidden/>
              </w:rPr>
              <w:instrText xml:space="preserve"> PAGEREF _Toc137651007 \h </w:instrText>
            </w:r>
            <w:r w:rsidRPr="002844B1">
              <w:rPr>
                <w:noProof/>
                <w:webHidden/>
              </w:rPr>
            </w:r>
            <w:r w:rsidRPr="002844B1">
              <w:rPr>
                <w:noProof/>
                <w:webHidden/>
              </w:rPr>
              <w:fldChar w:fldCharType="separate"/>
            </w:r>
            <w:r w:rsidRPr="002844B1">
              <w:rPr>
                <w:noProof/>
                <w:webHidden/>
              </w:rPr>
              <w:t>24</w:t>
            </w:r>
            <w:r w:rsidRPr="002844B1">
              <w:rPr>
                <w:noProof/>
                <w:webHidden/>
              </w:rPr>
              <w:fldChar w:fldCharType="end"/>
            </w:r>
          </w:hyperlink>
        </w:p>
        <w:p w:rsidR="00AA7351" w:rsidRPr="002844B1" w:rsidRDefault="00AA7351">
          <w:pPr>
            <w:pStyle w:val="TOC2"/>
            <w:tabs>
              <w:tab w:val="right" w:leader="dot" w:pos="9350"/>
            </w:tabs>
            <w:rPr>
              <w:rFonts w:cstheme="minorBidi"/>
              <w:b w:val="0"/>
              <w:bCs w:val="0"/>
              <w:smallCaps/>
              <w:noProof/>
              <w:kern w:val="2"/>
              <w:sz w:val="24"/>
              <w:szCs w:val="24"/>
              <w14:ligatures w14:val="standardContextual"/>
            </w:rPr>
          </w:pPr>
          <w:hyperlink w:anchor="_Toc137651008" w:history="1">
            <w:r w:rsidRPr="002844B1">
              <w:rPr>
                <w:rStyle w:val="Hyperlink"/>
                <w:noProof/>
              </w:rPr>
              <w:t>3.2 Modélisation du prix des actions</w:t>
            </w:r>
            <w:r w:rsidRPr="002844B1">
              <w:rPr>
                <w:noProof/>
                <w:webHidden/>
              </w:rPr>
              <w:tab/>
            </w:r>
            <w:r w:rsidRPr="002844B1">
              <w:rPr>
                <w:noProof/>
                <w:webHidden/>
              </w:rPr>
              <w:fldChar w:fldCharType="begin"/>
            </w:r>
            <w:r w:rsidRPr="002844B1">
              <w:rPr>
                <w:noProof/>
                <w:webHidden/>
              </w:rPr>
              <w:instrText xml:space="preserve"> PAGEREF _Toc137651008 \h </w:instrText>
            </w:r>
            <w:r w:rsidRPr="002844B1">
              <w:rPr>
                <w:noProof/>
                <w:webHidden/>
              </w:rPr>
            </w:r>
            <w:r w:rsidRPr="002844B1">
              <w:rPr>
                <w:noProof/>
                <w:webHidden/>
              </w:rPr>
              <w:fldChar w:fldCharType="separate"/>
            </w:r>
            <w:r w:rsidRPr="002844B1">
              <w:rPr>
                <w:noProof/>
                <w:webHidden/>
              </w:rPr>
              <w:t>24</w:t>
            </w:r>
            <w:r w:rsidRPr="002844B1">
              <w:rPr>
                <w:noProof/>
                <w:webHidden/>
              </w:rPr>
              <w:fldChar w:fldCharType="end"/>
            </w:r>
          </w:hyperlink>
        </w:p>
        <w:p w:rsidR="00AA7351" w:rsidRPr="002844B1" w:rsidRDefault="00AA7351">
          <w:pPr>
            <w:pStyle w:val="TOC3"/>
            <w:tabs>
              <w:tab w:val="right" w:leader="dot" w:pos="9350"/>
            </w:tabs>
            <w:rPr>
              <w:rFonts w:cstheme="minorBidi"/>
              <w:smallCaps/>
              <w:noProof/>
              <w:kern w:val="2"/>
              <w:sz w:val="24"/>
              <w14:ligatures w14:val="standardContextual"/>
            </w:rPr>
          </w:pPr>
          <w:hyperlink w:anchor="_Toc137651009" w:history="1">
            <w:r w:rsidRPr="002844B1">
              <w:rPr>
                <w:rStyle w:val="Hyperlink"/>
                <w:noProof/>
              </w:rPr>
              <w:t>Modèle de Black-Scholes</w:t>
            </w:r>
            <w:r w:rsidRPr="002844B1">
              <w:rPr>
                <w:noProof/>
                <w:webHidden/>
              </w:rPr>
              <w:tab/>
            </w:r>
            <w:r w:rsidRPr="002844B1">
              <w:rPr>
                <w:noProof/>
                <w:webHidden/>
              </w:rPr>
              <w:fldChar w:fldCharType="begin"/>
            </w:r>
            <w:r w:rsidRPr="002844B1">
              <w:rPr>
                <w:noProof/>
                <w:webHidden/>
              </w:rPr>
              <w:instrText xml:space="preserve"> PAGEREF _Toc137651009 \h </w:instrText>
            </w:r>
            <w:r w:rsidRPr="002844B1">
              <w:rPr>
                <w:noProof/>
                <w:webHidden/>
              </w:rPr>
            </w:r>
            <w:r w:rsidRPr="002844B1">
              <w:rPr>
                <w:noProof/>
                <w:webHidden/>
              </w:rPr>
              <w:fldChar w:fldCharType="separate"/>
            </w:r>
            <w:r w:rsidRPr="002844B1">
              <w:rPr>
                <w:noProof/>
                <w:webHidden/>
              </w:rPr>
              <w:t>24</w:t>
            </w:r>
            <w:r w:rsidRPr="002844B1">
              <w:rPr>
                <w:noProof/>
                <w:webHidden/>
              </w:rPr>
              <w:fldChar w:fldCharType="end"/>
            </w:r>
          </w:hyperlink>
        </w:p>
        <w:p w:rsidR="00AA7351" w:rsidRPr="002844B1" w:rsidRDefault="00AA7351">
          <w:pPr>
            <w:pStyle w:val="TOC3"/>
            <w:tabs>
              <w:tab w:val="right" w:leader="dot" w:pos="9350"/>
            </w:tabs>
            <w:rPr>
              <w:rFonts w:cstheme="minorBidi"/>
              <w:smallCaps/>
              <w:noProof/>
              <w:kern w:val="2"/>
              <w:sz w:val="24"/>
              <w14:ligatures w14:val="standardContextual"/>
            </w:rPr>
          </w:pPr>
          <w:hyperlink w:anchor="_Toc137651010" w:history="1">
            <w:r w:rsidRPr="002844B1">
              <w:rPr>
                <w:rStyle w:val="Hyperlink"/>
                <w:noProof/>
              </w:rPr>
              <w:t>Réseaux de neurones récurrents</w:t>
            </w:r>
            <w:r w:rsidRPr="002844B1">
              <w:rPr>
                <w:noProof/>
                <w:webHidden/>
              </w:rPr>
              <w:tab/>
            </w:r>
            <w:r w:rsidRPr="002844B1">
              <w:rPr>
                <w:noProof/>
                <w:webHidden/>
              </w:rPr>
              <w:fldChar w:fldCharType="begin"/>
            </w:r>
            <w:r w:rsidRPr="002844B1">
              <w:rPr>
                <w:noProof/>
                <w:webHidden/>
              </w:rPr>
              <w:instrText xml:space="preserve"> PAGEREF _Toc137651010 \h </w:instrText>
            </w:r>
            <w:r w:rsidRPr="002844B1">
              <w:rPr>
                <w:noProof/>
                <w:webHidden/>
              </w:rPr>
            </w:r>
            <w:r w:rsidRPr="002844B1">
              <w:rPr>
                <w:noProof/>
                <w:webHidden/>
              </w:rPr>
              <w:fldChar w:fldCharType="separate"/>
            </w:r>
            <w:r w:rsidRPr="002844B1">
              <w:rPr>
                <w:noProof/>
                <w:webHidden/>
              </w:rPr>
              <w:t>27</w:t>
            </w:r>
            <w:r w:rsidRPr="002844B1">
              <w:rPr>
                <w:noProof/>
                <w:webHidden/>
              </w:rPr>
              <w:fldChar w:fldCharType="end"/>
            </w:r>
          </w:hyperlink>
        </w:p>
        <w:p w:rsidR="00AA7351" w:rsidRPr="002844B1" w:rsidRDefault="00AA7351">
          <w:pPr>
            <w:pStyle w:val="TOC1"/>
            <w:tabs>
              <w:tab w:val="right" w:leader="dot" w:pos="9350"/>
            </w:tabs>
            <w:rPr>
              <w:rFonts w:cstheme="minorBidi"/>
              <w:b w:val="0"/>
              <w:bCs w:val="0"/>
              <w:caps/>
              <w:noProof/>
              <w:kern w:val="2"/>
              <w:szCs w:val="24"/>
              <w14:ligatures w14:val="standardContextual"/>
            </w:rPr>
          </w:pPr>
          <w:hyperlink w:anchor="_Toc137651011" w:history="1">
            <w:r w:rsidRPr="002844B1">
              <w:rPr>
                <w:rStyle w:val="Hyperlink"/>
                <w:noProof/>
              </w:rPr>
              <w:t>4. CHAPITRE IV : Valorisation des provisions techniques prudentielles</w:t>
            </w:r>
            <w:r w:rsidRPr="002844B1">
              <w:rPr>
                <w:noProof/>
                <w:webHidden/>
              </w:rPr>
              <w:tab/>
            </w:r>
            <w:r w:rsidRPr="002844B1">
              <w:rPr>
                <w:noProof/>
                <w:webHidden/>
              </w:rPr>
              <w:fldChar w:fldCharType="begin"/>
            </w:r>
            <w:r w:rsidRPr="002844B1">
              <w:rPr>
                <w:noProof/>
                <w:webHidden/>
              </w:rPr>
              <w:instrText xml:space="preserve"> PAGEREF _Toc137651011 \h </w:instrText>
            </w:r>
            <w:r w:rsidRPr="002844B1">
              <w:rPr>
                <w:noProof/>
                <w:webHidden/>
              </w:rPr>
            </w:r>
            <w:r w:rsidRPr="002844B1">
              <w:rPr>
                <w:noProof/>
                <w:webHidden/>
              </w:rPr>
              <w:fldChar w:fldCharType="separate"/>
            </w:r>
            <w:r w:rsidRPr="002844B1">
              <w:rPr>
                <w:noProof/>
                <w:webHidden/>
              </w:rPr>
              <w:t>31</w:t>
            </w:r>
            <w:r w:rsidRPr="002844B1">
              <w:rPr>
                <w:noProof/>
                <w:webHidden/>
              </w:rPr>
              <w:fldChar w:fldCharType="end"/>
            </w:r>
          </w:hyperlink>
        </w:p>
        <w:p w:rsidR="00AA7351" w:rsidRPr="002844B1" w:rsidRDefault="00AA7351">
          <w:pPr>
            <w:pStyle w:val="TOC2"/>
            <w:tabs>
              <w:tab w:val="right" w:leader="dot" w:pos="9350"/>
            </w:tabs>
            <w:rPr>
              <w:rFonts w:cstheme="minorBidi"/>
              <w:b w:val="0"/>
              <w:bCs w:val="0"/>
              <w:smallCaps/>
              <w:noProof/>
              <w:kern w:val="2"/>
              <w:sz w:val="24"/>
              <w:szCs w:val="24"/>
              <w14:ligatures w14:val="standardContextual"/>
            </w:rPr>
          </w:pPr>
          <w:hyperlink w:anchor="_Toc137651012" w:history="1">
            <w:r w:rsidRPr="002844B1">
              <w:rPr>
                <w:rStyle w:val="Hyperlink"/>
                <w:noProof/>
              </w:rPr>
              <w:t>4.1 Généralité</w:t>
            </w:r>
            <w:r w:rsidRPr="002844B1">
              <w:rPr>
                <w:noProof/>
                <w:webHidden/>
              </w:rPr>
              <w:tab/>
            </w:r>
            <w:r w:rsidRPr="002844B1">
              <w:rPr>
                <w:noProof/>
                <w:webHidden/>
              </w:rPr>
              <w:fldChar w:fldCharType="begin"/>
            </w:r>
            <w:r w:rsidRPr="002844B1">
              <w:rPr>
                <w:noProof/>
                <w:webHidden/>
              </w:rPr>
              <w:instrText xml:space="preserve"> PAGEREF _Toc137651012 \h </w:instrText>
            </w:r>
            <w:r w:rsidRPr="002844B1">
              <w:rPr>
                <w:noProof/>
                <w:webHidden/>
              </w:rPr>
            </w:r>
            <w:r w:rsidRPr="002844B1">
              <w:rPr>
                <w:noProof/>
                <w:webHidden/>
              </w:rPr>
              <w:fldChar w:fldCharType="separate"/>
            </w:r>
            <w:r w:rsidRPr="002844B1">
              <w:rPr>
                <w:noProof/>
                <w:webHidden/>
              </w:rPr>
              <w:t>31</w:t>
            </w:r>
            <w:r w:rsidRPr="002844B1">
              <w:rPr>
                <w:noProof/>
                <w:webHidden/>
              </w:rPr>
              <w:fldChar w:fldCharType="end"/>
            </w:r>
          </w:hyperlink>
        </w:p>
        <w:p w:rsidR="00AA7351" w:rsidRPr="002844B1" w:rsidRDefault="00AA7351">
          <w:pPr>
            <w:pStyle w:val="TOC2"/>
            <w:tabs>
              <w:tab w:val="right" w:leader="dot" w:pos="9350"/>
            </w:tabs>
            <w:rPr>
              <w:rFonts w:cstheme="minorBidi"/>
              <w:b w:val="0"/>
              <w:bCs w:val="0"/>
              <w:smallCaps/>
              <w:noProof/>
              <w:kern w:val="2"/>
              <w:sz w:val="24"/>
              <w:szCs w:val="24"/>
              <w14:ligatures w14:val="standardContextual"/>
            </w:rPr>
          </w:pPr>
          <w:hyperlink w:anchor="_Toc137651013" w:history="1">
            <w:r w:rsidRPr="002844B1">
              <w:rPr>
                <w:rStyle w:val="Hyperlink"/>
                <w:noProof/>
              </w:rPr>
              <w:t>4.2 Opérations d’assurance vie, décès ou capitalisation</w:t>
            </w:r>
            <w:r w:rsidRPr="002844B1">
              <w:rPr>
                <w:noProof/>
                <w:webHidden/>
              </w:rPr>
              <w:tab/>
            </w:r>
            <w:r w:rsidRPr="002844B1">
              <w:rPr>
                <w:noProof/>
                <w:webHidden/>
              </w:rPr>
              <w:fldChar w:fldCharType="begin"/>
            </w:r>
            <w:r w:rsidRPr="002844B1">
              <w:rPr>
                <w:noProof/>
                <w:webHidden/>
              </w:rPr>
              <w:instrText xml:space="preserve"> PAGEREF _Toc137651013 \h </w:instrText>
            </w:r>
            <w:r w:rsidRPr="002844B1">
              <w:rPr>
                <w:noProof/>
                <w:webHidden/>
              </w:rPr>
            </w:r>
            <w:r w:rsidRPr="002844B1">
              <w:rPr>
                <w:noProof/>
                <w:webHidden/>
              </w:rPr>
              <w:fldChar w:fldCharType="separate"/>
            </w:r>
            <w:r w:rsidRPr="002844B1">
              <w:rPr>
                <w:noProof/>
                <w:webHidden/>
              </w:rPr>
              <w:t>32</w:t>
            </w:r>
            <w:r w:rsidRPr="002844B1">
              <w:rPr>
                <w:noProof/>
                <w:webHidden/>
              </w:rPr>
              <w:fldChar w:fldCharType="end"/>
            </w:r>
          </w:hyperlink>
        </w:p>
        <w:p w:rsidR="00AA7351" w:rsidRPr="002844B1" w:rsidRDefault="00AA7351">
          <w:pPr>
            <w:pStyle w:val="TOC3"/>
            <w:tabs>
              <w:tab w:val="right" w:leader="dot" w:pos="9350"/>
            </w:tabs>
            <w:rPr>
              <w:rFonts w:cstheme="minorBidi"/>
              <w:smallCaps/>
              <w:noProof/>
              <w:kern w:val="2"/>
              <w:sz w:val="24"/>
              <w14:ligatures w14:val="standardContextual"/>
            </w:rPr>
          </w:pPr>
          <w:hyperlink w:anchor="_Toc137651014" w:history="1">
            <w:r w:rsidRPr="002844B1">
              <w:rPr>
                <w:rStyle w:val="Hyperlink"/>
                <w:noProof/>
              </w:rPr>
              <w:t>Meilleure estimations des engagements (</w:t>
            </w:r>
            <m:oMath>
              <m:r>
                <w:rPr>
                  <w:rStyle w:val="Hyperlink"/>
                  <w:rFonts w:ascii="Cambria Math" w:hAnsi="Cambria Math"/>
                  <w:noProof/>
                </w:rPr>
                <m:t>BEeng</m:t>
              </m:r>
            </m:oMath>
            <w:r w:rsidRPr="002844B1">
              <w:rPr>
                <w:rStyle w:val="Hyperlink"/>
                <w:noProof/>
              </w:rPr>
              <w:t>)</w:t>
            </w:r>
            <w:r w:rsidRPr="002844B1">
              <w:rPr>
                <w:noProof/>
                <w:webHidden/>
              </w:rPr>
              <w:tab/>
            </w:r>
            <w:r w:rsidRPr="002844B1">
              <w:rPr>
                <w:noProof/>
                <w:webHidden/>
              </w:rPr>
              <w:fldChar w:fldCharType="begin"/>
            </w:r>
            <w:r w:rsidRPr="002844B1">
              <w:rPr>
                <w:noProof/>
                <w:webHidden/>
              </w:rPr>
              <w:instrText xml:space="preserve"> PAGEREF _Toc137651014 \h </w:instrText>
            </w:r>
            <w:r w:rsidRPr="002844B1">
              <w:rPr>
                <w:noProof/>
                <w:webHidden/>
              </w:rPr>
            </w:r>
            <w:r w:rsidRPr="002844B1">
              <w:rPr>
                <w:noProof/>
                <w:webHidden/>
              </w:rPr>
              <w:fldChar w:fldCharType="separate"/>
            </w:r>
            <w:r w:rsidRPr="002844B1">
              <w:rPr>
                <w:noProof/>
                <w:webHidden/>
              </w:rPr>
              <w:t>32</w:t>
            </w:r>
            <w:r w:rsidRPr="002844B1">
              <w:rPr>
                <w:noProof/>
                <w:webHidden/>
              </w:rPr>
              <w:fldChar w:fldCharType="end"/>
            </w:r>
          </w:hyperlink>
        </w:p>
        <w:p w:rsidR="00AA7351" w:rsidRPr="002844B1" w:rsidRDefault="00AA7351">
          <w:pPr>
            <w:pStyle w:val="TOC3"/>
            <w:tabs>
              <w:tab w:val="right" w:leader="dot" w:pos="9350"/>
            </w:tabs>
            <w:rPr>
              <w:rFonts w:cstheme="minorBidi"/>
              <w:smallCaps/>
              <w:noProof/>
              <w:kern w:val="2"/>
              <w:sz w:val="24"/>
              <w14:ligatures w14:val="standardContextual"/>
            </w:rPr>
          </w:pPr>
          <w:hyperlink w:anchor="_Toc137651015" w:history="1">
            <w:r w:rsidRPr="002844B1">
              <w:rPr>
                <w:rStyle w:val="Hyperlink"/>
                <w:noProof/>
              </w:rPr>
              <w:t>Meilleure estimation des frais de gestions (</w:t>
            </w:r>
            <m:oMath>
              <m:r>
                <w:rPr>
                  <w:rStyle w:val="Hyperlink"/>
                  <w:rFonts w:ascii="Cambria Math" w:hAnsi="Cambria Math"/>
                  <w:noProof/>
                </w:rPr>
                <m:t>BEFG</m:t>
              </m:r>
            </m:oMath>
            <w:r w:rsidRPr="002844B1">
              <w:rPr>
                <w:rStyle w:val="Hyperlink"/>
                <w:noProof/>
              </w:rPr>
              <w:t>)</w:t>
            </w:r>
            <w:r w:rsidRPr="002844B1">
              <w:rPr>
                <w:noProof/>
                <w:webHidden/>
              </w:rPr>
              <w:tab/>
            </w:r>
            <w:r w:rsidRPr="002844B1">
              <w:rPr>
                <w:noProof/>
                <w:webHidden/>
              </w:rPr>
              <w:fldChar w:fldCharType="begin"/>
            </w:r>
            <w:r w:rsidRPr="002844B1">
              <w:rPr>
                <w:noProof/>
                <w:webHidden/>
              </w:rPr>
              <w:instrText xml:space="preserve"> PAGEREF _Toc137651015 \h </w:instrText>
            </w:r>
            <w:r w:rsidRPr="002844B1">
              <w:rPr>
                <w:noProof/>
                <w:webHidden/>
              </w:rPr>
            </w:r>
            <w:r w:rsidRPr="002844B1">
              <w:rPr>
                <w:noProof/>
                <w:webHidden/>
              </w:rPr>
              <w:fldChar w:fldCharType="separate"/>
            </w:r>
            <w:r w:rsidRPr="002844B1">
              <w:rPr>
                <w:noProof/>
                <w:webHidden/>
              </w:rPr>
              <w:t>34</w:t>
            </w:r>
            <w:r w:rsidRPr="002844B1">
              <w:rPr>
                <w:noProof/>
                <w:webHidden/>
              </w:rPr>
              <w:fldChar w:fldCharType="end"/>
            </w:r>
          </w:hyperlink>
        </w:p>
        <w:p w:rsidR="00AA7351" w:rsidRPr="002844B1" w:rsidRDefault="00AA7351">
          <w:pPr>
            <w:pStyle w:val="TOC2"/>
            <w:tabs>
              <w:tab w:val="right" w:leader="dot" w:pos="9350"/>
            </w:tabs>
            <w:rPr>
              <w:rFonts w:cstheme="minorBidi"/>
              <w:b w:val="0"/>
              <w:bCs w:val="0"/>
              <w:smallCaps/>
              <w:noProof/>
              <w:kern w:val="2"/>
              <w:sz w:val="24"/>
              <w:szCs w:val="24"/>
              <w14:ligatures w14:val="standardContextual"/>
            </w:rPr>
          </w:pPr>
          <w:hyperlink w:anchor="_Toc137651016" w:history="1">
            <w:r w:rsidRPr="002844B1">
              <w:rPr>
                <w:rStyle w:val="Hyperlink"/>
                <w:noProof/>
              </w:rPr>
              <w:t>4.3 Rentes découlants des opérations non-vie</w:t>
            </w:r>
            <w:r w:rsidRPr="002844B1">
              <w:rPr>
                <w:noProof/>
                <w:webHidden/>
              </w:rPr>
              <w:tab/>
            </w:r>
            <w:r w:rsidRPr="002844B1">
              <w:rPr>
                <w:noProof/>
                <w:webHidden/>
              </w:rPr>
              <w:fldChar w:fldCharType="begin"/>
            </w:r>
            <w:r w:rsidRPr="002844B1">
              <w:rPr>
                <w:noProof/>
                <w:webHidden/>
              </w:rPr>
              <w:instrText xml:space="preserve"> PAGEREF _Toc137651016 \h </w:instrText>
            </w:r>
            <w:r w:rsidRPr="002844B1">
              <w:rPr>
                <w:noProof/>
                <w:webHidden/>
              </w:rPr>
            </w:r>
            <w:r w:rsidRPr="002844B1">
              <w:rPr>
                <w:noProof/>
                <w:webHidden/>
              </w:rPr>
              <w:fldChar w:fldCharType="separate"/>
            </w:r>
            <w:r w:rsidRPr="002844B1">
              <w:rPr>
                <w:noProof/>
                <w:webHidden/>
              </w:rPr>
              <w:t>34</w:t>
            </w:r>
            <w:r w:rsidRPr="002844B1">
              <w:rPr>
                <w:noProof/>
                <w:webHidden/>
              </w:rPr>
              <w:fldChar w:fldCharType="end"/>
            </w:r>
          </w:hyperlink>
        </w:p>
        <w:p w:rsidR="00AA7351" w:rsidRPr="002844B1" w:rsidRDefault="00AA7351">
          <w:pPr>
            <w:pStyle w:val="TOC2"/>
            <w:tabs>
              <w:tab w:val="right" w:leader="dot" w:pos="9350"/>
            </w:tabs>
            <w:rPr>
              <w:rFonts w:cstheme="minorBidi"/>
              <w:b w:val="0"/>
              <w:bCs w:val="0"/>
              <w:smallCaps/>
              <w:noProof/>
              <w:kern w:val="2"/>
              <w:sz w:val="24"/>
              <w:szCs w:val="24"/>
              <w14:ligatures w14:val="standardContextual"/>
            </w:rPr>
          </w:pPr>
          <w:hyperlink w:anchor="_Toc137651017" w:history="1">
            <w:r w:rsidRPr="002844B1">
              <w:rPr>
                <w:rStyle w:val="Hyperlink"/>
                <w:noProof/>
              </w:rPr>
              <w:t>4.4 Opérations d’assurance non vie hors rentes</w:t>
            </w:r>
            <w:r w:rsidRPr="002844B1">
              <w:rPr>
                <w:noProof/>
                <w:webHidden/>
              </w:rPr>
              <w:tab/>
            </w:r>
            <w:r w:rsidRPr="002844B1">
              <w:rPr>
                <w:noProof/>
                <w:webHidden/>
              </w:rPr>
              <w:fldChar w:fldCharType="begin"/>
            </w:r>
            <w:r w:rsidRPr="002844B1">
              <w:rPr>
                <w:noProof/>
                <w:webHidden/>
              </w:rPr>
              <w:instrText xml:space="preserve"> PAGEREF _Toc137651017 \h </w:instrText>
            </w:r>
            <w:r w:rsidRPr="002844B1">
              <w:rPr>
                <w:noProof/>
                <w:webHidden/>
              </w:rPr>
            </w:r>
            <w:r w:rsidRPr="002844B1">
              <w:rPr>
                <w:noProof/>
                <w:webHidden/>
              </w:rPr>
              <w:fldChar w:fldCharType="separate"/>
            </w:r>
            <w:r w:rsidRPr="002844B1">
              <w:rPr>
                <w:noProof/>
                <w:webHidden/>
              </w:rPr>
              <w:t>34</w:t>
            </w:r>
            <w:r w:rsidRPr="002844B1">
              <w:rPr>
                <w:noProof/>
                <w:webHidden/>
              </w:rPr>
              <w:fldChar w:fldCharType="end"/>
            </w:r>
          </w:hyperlink>
        </w:p>
        <w:p w:rsidR="00AA7351" w:rsidRPr="002844B1" w:rsidRDefault="00AA7351">
          <w:pPr>
            <w:pStyle w:val="TOC3"/>
            <w:tabs>
              <w:tab w:val="right" w:leader="dot" w:pos="9350"/>
            </w:tabs>
            <w:rPr>
              <w:rFonts w:cstheme="minorBidi"/>
              <w:smallCaps/>
              <w:noProof/>
              <w:kern w:val="2"/>
              <w:sz w:val="24"/>
              <w14:ligatures w14:val="standardContextual"/>
            </w:rPr>
          </w:pPr>
          <w:hyperlink w:anchor="_Toc137651018" w:history="1">
            <w:r w:rsidRPr="002844B1">
              <w:rPr>
                <w:rStyle w:val="Hyperlink"/>
                <w:noProof/>
              </w:rPr>
              <w:t>La meilleure estimation des engagements</w:t>
            </w:r>
            <w:r w:rsidRPr="002844B1">
              <w:rPr>
                <w:noProof/>
                <w:webHidden/>
              </w:rPr>
              <w:tab/>
            </w:r>
            <w:r w:rsidRPr="002844B1">
              <w:rPr>
                <w:noProof/>
                <w:webHidden/>
              </w:rPr>
              <w:fldChar w:fldCharType="begin"/>
            </w:r>
            <w:r w:rsidRPr="002844B1">
              <w:rPr>
                <w:noProof/>
                <w:webHidden/>
              </w:rPr>
              <w:instrText xml:space="preserve"> PAGEREF _Toc137651018 \h </w:instrText>
            </w:r>
            <w:r w:rsidRPr="002844B1">
              <w:rPr>
                <w:noProof/>
                <w:webHidden/>
              </w:rPr>
            </w:r>
            <w:r w:rsidRPr="002844B1">
              <w:rPr>
                <w:noProof/>
                <w:webHidden/>
              </w:rPr>
              <w:fldChar w:fldCharType="separate"/>
            </w:r>
            <w:r w:rsidRPr="002844B1">
              <w:rPr>
                <w:noProof/>
                <w:webHidden/>
              </w:rPr>
              <w:t>34</w:t>
            </w:r>
            <w:r w:rsidRPr="002844B1">
              <w:rPr>
                <w:noProof/>
                <w:webHidden/>
              </w:rPr>
              <w:fldChar w:fldCharType="end"/>
            </w:r>
          </w:hyperlink>
        </w:p>
        <w:p w:rsidR="00AA7351" w:rsidRPr="002844B1" w:rsidRDefault="00AA7351">
          <w:pPr>
            <w:pStyle w:val="TOC3"/>
            <w:tabs>
              <w:tab w:val="right" w:leader="dot" w:pos="9350"/>
            </w:tabs>
            <w:rPr>
              <w:rFonts w:cstheme="minorBidi"/>
              <w:smallCaps/>
              <w:noProof/>
              <w:kern w:val="2"/>
              <w:sz w:val="24"/>
              <w14:ligatures w14:val="standardContextual"/>
            </w:rPr>
          </w:pPr>
          <w:hyperlink w:anchor="_Toc137651019" w:history="1">
            <w:r w:rsidRPr="002844B1">
              <w:rPr>
                <w:rStyle w:val="Hyperlink"/>
                <w:noProof/>
              </w:rPr>
              <w:t>La meilleure estimation des frais de gestion</w:t>
            </w:r>
            <w:r w:rsidRPr="002844B1">
              <w:rPr>
                <w:noProof/>
                <w:webHidden/>
              </w:rPr>
              <w:tab/>
            </w:r>
            <w:r w:rsidRPr="002844B1">
              <w:rPr>
                <w:noProof/>
                <w:webHidden/>
              </w:rPr>
              <w:fldChar w:fldCharType="begin"/>
            </w:r>
            <w:r w:rsidRPr="002844B1">
              <w:rPr>
                <w:noProof/>
                <w:webHidden/>
              </w:rPr>
              <w:instrText xml:space="preserve"> PAGEREF _Toc137651019 \h </w:instrText>
            </w:r>
            <w:r w:rsidRPr="002844B1">
              <w:rPr>
                <w:noProof/>
                <w:webHidden/>
              </w:rPr>
            </w:r>
            <w:r w:rsidRPr="002844B1">
              <w:rPr>
                <w:noProof/>
                <w:webHidden/>
              </w:rPr>
              <w:fldChar w:fldCharType="separate"/>
            </w:r>
            <w:r w:rsidRPr="002844B1">
              <w:rPr>
                <w:noProof/>
                <w:webHidden/>
              </w:rPr>
              <w:t>40</w:t>
            </w:r>
            <w:r w:rsidRPr="002844B1">
              <w:rPr>
                <w:noProof/>
                <w:webHidden/>
              </w:rPr>
              <w:fldChar w:fldCharType="end"/>
            </w:r>
          </w:hyperlink>
        </w:p>
        <w:p w:rsidR="00AA7351" w:rsidRPr="002844B1" w:rsidRDefault="00AA7351">
          <w:pPr>
            <w:pStyle w:val="TOC1"/>
            <w:tabs>
              <w:tab w:val="right" w:leader="dot" w:pos="9350"/>
            </w:tabs>
            <w:rPr>
              <w:rFonts w:cstheme="minorBidi"/>
              <w:b w:val="0"/>
              <w:bCs w:val="0"/>
              <w:caps/>
              <w:noProof/>
              <w:kern w:val="2"/>
              <w:szCs w:val="24"/>
              <w14:ligatures w14:val="standardContextual"/>
            </w:rPr>
          </w:pPr>
          <w:hyperlink w:anchor="_Toc137651020" w:history="1">
            <w:r w:rsidRPr="002844B1">
              <w:rPr>
                <w:rStyle w:val="Hyperlink"/>
                <w:noProof/>
              </w:rPr>
              <w:t>5. CHAPITRE V : Part des cessionnaires</w:t>
            </w:r>
            <w:r w:rsidRPr="002844B1">
              <w:rPr>
                <w:noProof/>
                <w:webHidden/>
              </w:rPr>
              <w:tab/>
            </w:r>
            <w:r w:rsidRPr="002844B1">
              <w:rPr>
                <w:noProof/>
                <w:webHidden/>
              </w:rPr>
              <w:fldChar w:fldCharType="begin"/>
            </w:r>
            <w:r w:rsidRPr="002844B1">
              <w:rPr>
                <w:noProof/>
                <w:webHidden/>
              </w:rPr>
              <w:instrText xml:space="preserve"> PAGEREF _Toc137651020 \h </w:instrText>
            </w:r>
            <w:r w:rsidRPr="002844B1">
              <w:rPr>
                <w:noProof/>
                <w:webHidden/>
              </w:rPr>
            </w:r>
            <w:r w:rsidRPr="002844B1">
              <w:rPr>
                <w:noProof/>
                <w:webHidden/>
              </w:rPr>
              <w:fldChar w:fldCharType="separate"/>
            </w:r>
            <w:r w:rsidRPr="002844B1">
              <w:rPr>
                <w:noProof/>
                <w:webHidden/>
              </w:rPr>
              <w:t>41</w:t>
            </w:r>
            <w:r w:rsidRPr="002844B1">
              <w:rPr>
                <w:noProof/>
                <w:webHidden/>
              </w:rPr>
              <w:fldChar w:fldCharType="end"/>
            </w:r>
          </w:hyperlink>
        </w:p>
        <w:p w:rsidR="00AA7351" w:rsidRPr="002844B1" w:rsidRDefault="00AA7351">
          <w:pPr>
            <w:pStyle w:val="TOC2"/>
            <w:tabs>
              <w:tab w:val="right" w:leader="dot" w:pos="9350"/>
            </w:tabs>
            <w:rPr>
              <w:rFonts w:cstheme="minorBidi"/>
              <w:b w:val="0"/>
              <w:bCs w:val="0"/>
              <w:smallCaps/>
              <w:noProof/>
              <w:kern w:val="2"/>
              <w:sz w:val="24"/>
              <w:szCs w:val="24"/>
              <w14:ligatures w14:val="standardContextual"/>
            </w:rPr>
          </w:pPr>
          <w:hyperlink w:anchor="_Toc137651021" w:history="1">
            <w:r w:rsidRPr="002844B1">
              <w:rPr>
                <w:rStyle w:val="Hyperlink"/>
                <w:noProof/>
              </w:rPr>
              <w:t>5.1 Part des cessionnaires dans les provisions techniques prudentielles</w:t>
            </w:r>
            <w:r w:rsidRPr="002844B1">
              <w:rPr>
                <w:noProof/>
                <w:webHidden/>
              </w:rPr>
              <w:tab/>
            </w:r>
            <w:r w:rsidRPr="002844B1">
              <w:rPr>
                <w:noProof/>
                <w:webHidden/>
              </w:rPr>
              <w:fldChar w:fldCharType="begin"/>
            </w:r>
            <w:r w:rsidRPr="002844B1">
              <w:rPr>
                <w:noProof/>
                <w:webHidden/>
              </w:rPr>
              <w:instrText xml:space="preserve"> PAGEREF _Toc137651021 \h </w:instrText>
            </w:r>
            <w:r w:rsidRPr="002844B1">
              <w:rPr>
                <w:noProof/>
                <w:webHidden/>
              </w:rPr>
            </w:r>
            <w:r w:rsidRPr="002844B1">
              <w:rPr>
                <w:noProof/>
                <w:webHidden/>
              </w:rPr>
              <w:fldChar w:fldCharType="separate"/>
            </w:r>
            <w:r w:rsidRPr="002844B1">
              <w:rPr>
                <w:noProof/>
                <w:webHidden/>
              </w:rPr>
              <w:t>41</w:t>
            </w:r>
            <w:r w:rsidRPr="002844B1">
              <w:rPr>
                <w:noProof/>
                <w:webHidden/>
              </w:rPr>
              <w:fldChar w:fldCharType="end"/>
            </w:r>
          </w:hyperlink>
        </w:p>
        <w:p w:rsidR="00AA7351" w:rsidRPr="002844B1" w:rsidRDefault="00AA7351">
          <w:pPr>
            <w:pStyle w:val="TOC2"/>
            <w:tabs>
              <w:tab w:val="right" w:leader="dot" w:pos="9350"/>
            </w:tabs>
            <w:rPr>
              <w:rFonts w:cstheme="minorBidi"/>
              <w:b w:val="0"/>
              <w:bCs w:val="0"/>
              <w:smallCaps/>
              <w:noProof/>
              <w:kern w:val="2"/>
              <w:sz w:val="24"/>
              <w:szCs w:val="24"/>
              <w14:ligatures w14:val="standardContextual"/>
            </w:rPr>
          </w:pPr>
          <w:hyperlink w:anchor="_Toc137651022" w:history="1">
            <w:r w:rsidRPr="002844B1">
              <w:rPr>
                <w:rStyle w:val="Hyperlink"/>
                <w:noProof/>
              </w:rPr>
              <w:t>5.2 La meilleure estimation des engagements cédés (</w:t>
            </w:r>
            <m:oMath>
              <m:r>
                <m:rPr>
                  <m:sty m:val="bi"/>
                </m:rPr>
                <w:rPr>
                  <w:rStyle w:val="Hyperlink"/>
                  <w:rFonts w:ascii="Cambria Math" w:hAnsi="Cambria Math"/>
                  <w:noProof/>
                </w:rPr>
                <m:t>BEC</m:t>
              </m:r>
            </m:oMath>
            <w:r w:rsidRPr="002844B1">
              <w:rPr>
                <w:rStyle w:val="Hyperlink"/>
                <w:noProof/>
              </w:rPr>
              <w:t>)</w:t>
            </w:r>
            <w:r w:rsidRPr="002844B1">
              <w:rPr>
                <w:noProof/>
                <w:webHidden/>
              </w:rPr>
              <w:tab/>
            </w:r>
            <w:r w:rsidRPr="002844B1">
              <w:rPr>
                <w:noProof/>
                <w:webHidden/>
              </w:rPr>
              <w:fldChar w:fldCharType="begin"/>
            </w:r>
            <w:r w:rsidRPr="002844B1">
              <w:rPr>
                <w:noProof/>
                <w:webHidden/>
              </w:rPr>
              <w:instrText xml:space="preserve"> PAGEREF _Toc137651022 \h </w:instrText>
            </w:r>
            <w:r w:rsidRPr="002844B1">
              <w:rPr>
                <w:noProof/>
                <w:webHidden/>
              </w:rPr>
            </w:r>
            <w:r w:rsidRPr="002844B1">
              <w:rPr>
                <w:noProof/>
                <w:webHidden/>
              </w:rPr>
              <w:fldChar w:fldCharType="separate"/>
            </w:r>
            <w:r w:rsidRPr="002844B1">
              <w:rPr>
                <w:noProof/>
                <w:webHidden/>
              </w:rPr>
              <w:t>41</w:t>
            </w:r>
            <w:r w:rsidRPr="002844B1">
              <w:rPr>
                <w:noProof/>
                <w:webHidden/>
              </w:rPr>
              <w:fldChar w:fldCharType="end"/>
            </w:r>
          </w:hyperlink>
        </w:p>
        <w:p w:rsidR="00AA7351" w:rsidRPr="002844B1" w:rsidRDefault="00AA7351">
          <w:pPr>
            <w:pStyle w:val="TOC3"/>
            <w:tabs>
              <w:tab w:val="right" w:leader="dot" w:pos="9350"/>
            </w:tabs>
            <w:rPr>
              <w:rFonts w:cstheme="minorBidi"/>
              <w:smallCaps/>
              <w:noProof/>
              <w:kern w:val="2"/>
              <w:sz w:val="24"/>
              <w14:ligatures w14:val="standardContextual"/>
            </w:rPr>
          </w:pPr>
          <w:hyperlink w:anchor="_Toc137651023" w:history="1">
            <w:r w:rsidRPr="002844B1">
              <w:rPr>
                <w:rStyle w:val="Hyperlink"/>
                <w:noProof/>
              </w:rPr>
              <w:t>Les opérations d’assurance vie, décès ou de capitalisation</w:t>
            </w:r>
            <w:r w:rsidRPr="002844B1">
              <w:rPr>
                <w:noProof/>
                <w:webHidden/>
              </w:rPr>
              <w:tab/>
            </w:r>
            <w:r w:rsidRPr="002844B1">
              <w:rPr>
                <w:noProof/>
                <w:webHidden/>
              </w:rPr>
              <w:fldChar w:fldCharType="begin"/>
            </w:r>
            <w:r w:rsidRPr="002844B1">
              <w:rPr>
                <w:noProof/>
                <w:webHidden/>
              </w:rPr>
              <w:instrText xml:space="preserve"> PAGEREF _Toc137651023 \h </w:instrText>
            </w:r>
            <w:r w:rsidRPr="002844B1">
              <w:rPr>
                <w:noProof/>
                <w:webHidden/>
              </w:rPr>
            </w:r>
            <w:r w:rsidRPr="002844B1">
              <w:rPr>
                <w:noProof/>
                <w:webHidden/>
              </w:rPr>
              <w:fldChar w:fldCharType="separate"/>
            </w:r>
            <w:r w:rsidRPr="002844B1">
              <w:rPr>
                <w:noProof/>
                <w:webHidden/>
              </w:rPr>
              <w:t>41</w:t>
            </w:r>
            <w:r w:rsidRPr="002844B1">
              <w:rPr>
                <w:noProof/>
                <w:webHidden/>
              </w:rPr>
              <w:fldChar w:fldCharType="end"/>
            </w:r>
          </w:hyperlink>
        </w:p>
        <w:p w:rsidR="00AA7351" w:rsidRPr="002844B1" w:rsidRDefault="00AA7351">
          <w:pPr>
            <w:pStyle w:val="TOC3"/>
            <w:tabs>
              <w:tab w:val="right" w:leader="dot" w:pos="9350"/>
            </w:tabs>
            <w:rPr>
              <w:rFonts w:cstheme="minorBidi"/>
              <w:smallCaps/>
              <w:noProof/>
              <w:kern w:val="2"/>
              <w:sz w:val="24"/>
              <w14:ligatures w14:val="standardContextual"/>
            </w:rPr>
          </w:pPr>
          <w:hyperlink w:anchor="_Toc137651024" w:history="1">
            <w:r w:rsidRPr="002844B1">
              <w:rPr>
                <w:rStyle w:val="Hyperlink"/>
                <w:noProof/>
              </w:rPr>
              <w:t>Les opérations non-vie</w:t>
            </w:r>
            <w:r w:rsidRPr="002844B1">
              <w:rPr>
                <w:noProof/>
                <w:webHidden/>
              </w:rPr>
              <w:tab/>
            </w:r>
            <w:r w:rsidRPr="002844B1">
              <w:rPr>
                <w:noProof/>
                <w:webHidden/>
              </w:rPr>
              <w:fldChar w:fldCharType="begin"/>
            </w:r>
            <w:r w:rsidRPr="002844B1">
              <w:rPr>
                <w:noProof/>
                <w:webHidden/>
              </w:rPr>
              <w:instrText xml:space="preserve"> PAGEREF _Toc137651024 \h </w:instrText>
            </w:r>
            <w:r w:rsidRPr="002844B1">
              <w:rPr>
                <w:noProof/>
                <w:webHidden/>
              </w:rPr>
            </w:r>
            <w:r w:rsidRPr="002844B1">
              <w:rPr>
                <w:noProof/>
                <w:webHidden/>
              </w:rPr>
              <w:fldChar w:fldCharType="separate"/>
            </w:r>
            <w:r w:rsidRPr="002844B1">
              <w:rPr>
                <w:noProof/>
                <w:webHidden/>
              </w:rPr>
              <w:t>41</w:t>
            </w:r>
            <w:r w:rsidRPr="002844B1">
              <w:rPr>
                <w:noProof/>
                <w:webHidden/>
              </w:rPr>
              <w:fldChar w:fldCharType="end"/>
            </w:r>
          </w:hyperlink>
        </w:p>
        <w:p w:rsidR="00AA7351" w:rsidRPr="002844B1" w:rsidRDefault="00AA7351">
          <w:pPr>
            <w:pStyle w:val="TOC2"/>
            <w:tabs>
              <w:tab w:val="right" w:leader="dot" w:pos="9350"/>
            </w:tabs>
            <w:rPr>
              <w:rFonts w:cstheme="minorBidi"/>
              <w:b w:val="0"/>
              <w:bCs w:val="0"/>
              <w:smallCaps/>
              <w:noProof/>
              <w:kern w:val="2"/>
              <w:sz w:val="24"/>
              <w:szCs w:val="24"/>
              <w14:ligatures w14:val="standardContextual"/>
            </w:rPr>
          </w:pPr>
          <w:hyperlink w:anchor="_Toc137651025" w:history="1">
            <w:r w:rsidRPr="002844B1">
              <w:rPr>
                <w:rStyle w:val="Hyperlink"/>
                <w:noProof/>
              </w:rPr>
              <w:t>5.3 L’ajustement pour défaut de contrepartie</w:t>
            </w:r>
            <w:r w:rsidRPr="002844B1">
              <w:rPr>
                <w:noProof/>
                <w:webHidden/>
              </w:rPr>
              <w:tab/>
            </w:r>
            <w:r w:rsidRPr="002844B1">
              <w:rPr>
                <w:noProof/>
                <w:webHidden/>
              </w:rPr>
              <w:fldChar w:fldCharType="begin"/>
            </w:r>
            <w:r w:rsidRPr="002844B1">
              <w:rPr>
                <w:noProof/>
                <w:webHidden/>
              </w:rPr>
              <w:instrText xml:space="preserve"> PAGEREF _Toc137651025 \h </w:instrText>
            </w:r>
            <w:r w:rsidRPr="002844B1">
              <w:rPr>
                <w:noProof/>
                <w:webHidden/>
              </w:rPr>
            </w:r>
            <w:r w:rsidRPr="002844B1">
              <w:rPr>
                <w:noProof/>
                <w:webHidden/>
              </w:rPr>
              <w:fldChar w:fldCharType="separate"/>
            </w:r>
            <w:r w:rsidRPr="002844B1">
              <w:rPr>
                <w:noProof/>
                <w:webHidden/>
              </w:rPr>
              <w:t>42</w:t>
            </w:r>
            <w:r w:rsidRPr="002844B1">
              <w:rPr>
                <w:noProof/>
                <w:webHidden/>
              </w:rPr>
              <w:fldChar w:fldCharType="end"/>
            </w:r>
          </w:hyperlink>
        </w:p>
        <w:p w:rsidR="00AA7351" w:rsidRPr="002844B1" w:rsidRDefault="00AA7351">
          <w:pPr>
            <w:pStyle w:val="TOC1"/>
            <w:tabs>
              <w:tab w:val="right" w:leader="dot" w:pos="9350"/>
            </w:tabs>
            <w:rPr>
              <w:rFonts w:cstheme="minorBidi"/>
              <w:b w:val="0"/>
              <w:bCs w:val="0"/>
              <w:caps/>
              <w:noProof/>
              <w:kern w:val="2"/>
              <w:szCs w:val="24"/>
              <w14:ligatures w14:val="standardContextual"/>
            </w:rPr>
          </w:pPr>
          <w:hyperlink w:anchor="_Toc137651026" w:history="1">
            <w:r w:rsidRPr="002844B1">
              <w:rPr>
                <w:rStyle w:val="Hyperlink"/>
                <w:noProof/>
              </w:rPr>
              <w:t>6. CHAPITRE VI : Capital de Solvabilité Requis</w:t>
            </w:r>
            <w:r w:rsidRPr="002844B1">
              <w:rPr>
                <w:noProof/>
                <w:webHidden/>
              </w:rPr>
              <w:tab/>
            </w:r>
            <w:r w:rsidRPr="002844B1">
              <w:rPr>
                <w:noProof/>
                <w:webHidden/>
              </w:rPr>
              <w:fldChar w:fldCharType="begin"/>
            </w:r>
            <w:r w:rsidRPr="002844B1">
              <w:rPr>
                <w:noProof/>
                <w:webHidden/>
              </w:rPr>
              <w:instrText xml:space="preserve"> PAGEREF _Toc137651026 \h </w:instrText>
            </w:r>
            <w:r w:rsidRPr="002844B1">
              <w:rPr>
                <w:noProof/>
                <w:webHidden/>
              </w:rPr>
            </w:r>
            <w:r w:rsidRPr="002844B1">
              <w:rPr>
                <w:noProof/>
                <w:webHidden/>
              </w:rPr>
              <w:fldChar w:fldCharType="separate"/>
            </w:r>
            <w:r w:rsidRPr="002844B1">
              <w:rPr>
                <w:noProof/>
                <w:webHidden/>
              </w:rPr>
              <w:t>44</w:t>
            </w:r>
            <w:r w:rsidRPr="002844B1">
              <w:rPr>
                <w:noProof/>
                <w:webHidden/>
              </w:rPr>
              <w:fldChar w:fldCharType="end"/>
            </w:r>
          </w:hyperlink>
        </w:p>
        <w:p w:rsidR="00AA7351" w:rsidRPr="002844B1" w:rsidRDefault="00AA7351">
          <w:pPr>
            <w:pStyle w:val="TOC2"/>
            <w:tabs>
              <w:tab w:val="right" w:leader="dot" w:pos="9350"/>
            </w:tabs>
            <w:rPr>
              <w:rFonts w:cstheme="minorBidi"/>
              <w:b w:val="0"/>
              <w:bCs w:val="0"/>
              <w:smallCaps/>
              <w:noProof/>
              <w:kern w:val="2"/>
              <w:sz w:val="24"/>
              <w:szCs w:val="24"/>
              <w14:ligatures w14:val="standardContextual"/>
            </w:rPr>
          </w:pPr>
          <w:hyperlink w:anchor="_Toc137651027" w:history="1">
            <w:r w:rsidRPr="002844B1">
              <w:rPr>
                <w:rStyle w:val="Hyperlink"/>
                <w:noProof/>
              </w:rPr>
              <w:t>6.1 Définition générale</w:t>
            </w:r>
            <w:r w:rsidRPr="002844B1">
              <w:rPr>
                <w:noProof/>
                <w:webHidden/>
              </w:rPr>
              <w:tab/>
            </w:r>
            <w:r w:rsidRPr="002844B1">
              <w:rPr>
                <w:noProof/>
                <w:webHidden/>
              </w:rPr>
              <w:fldChar w:fldCharType="begin"/>
            </w:r>
            <w:r w:rsidRPr="002844B1">
              <w:rPr>
                <w:noProof/>
                <w:webHidden/>
              </w:rPr>
              <w:instrText xml:space="preserve"> PAGEREF _Toc137651027 \h </w:instrText>
            </w:r>
            <w:r w:rsidRPr="002844B1">
              <w:rPr>
                <w:noProof/>
                <w:webHidden/>
              </w:rPr>
            </w:r>
            <w:r w:rsidRPr="002844B1">
              <w:rPr>
                <w:noProof/>
                <w:webHidden/>
              </w:rPr>
              <w:fldChar w:fldCharType="separate"/>
            </w:r>
            <w:r w:rsidRPr="002844B1">
              <w:rPr>
                <w:noProof/>
                <w:webHidden/>
              </w:rPr>
              <w:t>44</w:t>
            </w:r>
            <w:r w:rsidRPr="002844B1">
              <w:rPr>
                <w:noProof/>
                <w:webHidden/>
              </w:rPr>
              <w:fldChar w:fldCharType="end"/>
            </w:r>
          </w:hyperlink>
        </w:p>
        <w:p w:rsidR="00AA7351" w:rsidRPr="002844B1" w:rsidRDefault="00AA7351">
          <w:pPr>
            <w:pStyle w:val="TOC2"/>
            <w:tabs>
              <w:tab w:val="right" w:leader="dot" w:pos="9350"/>
            </w:tabs>
            <w:rPr>
              <w:rFonts w:cstheme="minorBidi"/>
              <w:b w:val="0"/>
              <w:bCs w:val="0"/>
              <w:smallCaps/>
              <w:noProof/>
              <w:kern w:val="2"/>
              <w:sz w:val="24"/>
              <w:szCs w:val="24"/>
              <w14:ligatures w14:val="standardContextual"/>
            </w:rPr>
          </w:pPr>
          <w:hyperlink w:anchor="_Toc137651028" w:history="1">
            <w:r w:rsidRPr="002844B1">
              <w:rPr>
                <w:rStyle w:val="Hyperlink"/>
                <w:noProof/>
              </w:rPr>
              <w:t>6.2 Le capital de solvabilité requis de base (</w:t>
            </w:r>
            <m:oMath>
              <m:r>
                <m:rPr>
                  <m:sty m:val="bi"/>
                </m:rPr>
                <w:rPr>
                  <w:rStyle w:val="Hyperlink"/>
                  <w:rFonts w:ascii="Cambria Math" w:hAnsi="Cambria Math"/>
                  <w:noProof/>
                </w:rPr>
                <m:t>CSRB</m:t>
              </m:r>
            </m:oMath>
            <w:r w:rsidRPr="002844B1">
              <w:rPr>
                <w:rStyle w:val="Hyperlink"/>
                <w:noProof/>
              </w:rPr>
              <w:t>)</w:t>
            </w:r>
            <w:r w:rsidRPr="002844B1">
              <w:rPr>
                <w:noProof/>
                <w:webHidden/>
              </w:rPr>
              <w:tab/>
            </w:r>
            <w:r w:rsidRPr="002844B1">
              <w:rPr>
                <w:noProof/>
                <w:webHidden/>
              </w:rPr>
              <w:fldChar w:fldCharType="begin"/>
            </w:r>
            <w:r w:rsidRPr="002844B1">
              <w:rPr>
                <w:noProof/>
                <w:webHidden/>
              </w:rPr>
              <w:instrText xml:space="preserve"> PAGEREF _Toc137651028 \h </w:instrText>
            </w:r>
            <w:r w:rsidRPr="002844B1">
              <w:rPr>
                <w:noProof/>
                <w:webHidden/>
              </w:rPr>
            </w:r>
            <w:r w:rsidRPr="002844B1">
              <w:rPr>
                <w:noProof/>
                <w:webHidden/>
              </w:rPr>
              <w:fldChar w:fldCharType="separate"/>
            </w:r>
            <w:r w:rsidRPr="002844B1">
              <w:rPr>
                <w:noProof/>
                <w:webHidden/>
              </w:rPr>
              <w:t>45</w:t>
            </w:r>
            <w:r w:rsidRPr="002844B1">
              <w:rPr>
                <w:noProof/>
                <w:webHidden/>
              </w:rPr>
              <w:fldChar w:fldCharType="end"/>
            </w:r>
          </w:hyperlink>
        </w:p>
        <w:p w:rsidR="00AA7351" w:rsidRPr="002844B1" w:rsidRDefault="00AA7351">
          <w:pPr>
            <w:pStyle w:val="TOC3"/>
            <w:tabs>
              <w:tab w:val="right" w:leader="dot" w:pos="9350"/>
            </w:tabs>
            <w:rPr>
              <w:rFonts w:cstheme="minorBidi"/>
              <w:smallCaps/>
              <w:noProof/>
              <w:kern w:val="2"/>
              <w:sz w:val="24"/>
              <w14:ligatures w14:val="standardContextual"/>
            </w:rPr>
          </w:pPr>
          <w:hyperlink w:anchor="_Toc137651029" w:history="1">
            <w:r w:rsidRPr="002844B1">
              <w:rPr>
                <w:rStyle w:val="Hyperlink"/>
                <w:noProof/>
              </w:rPr>
              <w:t>Exigence de caiptal relative au risque de marché (</w:t>
            </w:r>
            <m:oMath>
              <m:r>
                <w:rPr>
                  <w:rStyle w:val="Hyperlink"/>
                  <w:rFonts w:ascii="Cambria Math" w:hAnsi="Cambria Math"/>
                  <w:noProof/>
                </w:rPr>
                <m:t>CSRM</m:t>
              </m:r>
            </m:oMath>
            <w:r w:rsidRPr="002844B1">
              <w:rPr>
                <w:rStyle w:val="Hyperlink"/>
                <w:noProof/>
              </w:rPr>
              <w:t>)</w:t>
            </w:r>
            <w:r w:rsidRPr="002844B1">
              <w:rPr>
                <w:noProof/>
                <w:webHidden/>
              </w:rPr>
              <w:tab/>
            </w:r>
            <w:r w:rsidRPr="002844B1">
              <w:rPr>
                <w:noProof/>
                <w:webHidden/>
              </w:rPr>
              <w:fldChar w:fldCharType="begin"/>
            </w:r>
            <w:r w:rsidRPr="002844B1">
              <w:rPr>
                <w:noProof/>
                <w:webHidden/>
              </w:rPr>
              <w:instrText xml:space="preserve"> PAGEREF _Toc137651029 \h </w:instrText>
            </w:r>
            <w:r w:rsidRPr="002844B1">
              <w:rPr>
                <w:noProof/>
                <w:webHidden/>
              </w:rPr>
            </w:r>
            <w:r w:rsidRPr="002844B1">
              <w:rPr>
                <w:noProof/>
                <w:webHidden/>
              </w:rPr>
              <w:fldChar w:fldCharType="separate"/>
            </w:r>
            <w:r w:rsidRPr="002844B1">
              <w:rPr>
                <w:noProof/>
                <w:webHidden/>
              </w:rPr>
              <w:t>46</w:t>
            </w:r>
            <w:r w:rsidRPr="002844B1">
              <w:rPr>
                <w:noProof/>
                <w:webHidden/>
              </w:rPr>
              <w:fldChar w:fldCharType="end"/>
            </w:r>
          </w:hyperlink>
        </w:p>
        <w:p w:rsidR="00AA7351" w:rsidRPr="002844B1" w:rsidRDefault="00AA7351">
          <w:pPr>
            <w:pStyle w:val="TOC3"/>
            <w:tabs>
              <w:tab w:val="right" w:leader="dot" w:pos="9350"/>
            </w:tabs>
            <w:rPr>
              <w:rFonts w:cstheme="minorBidi"/>
              <w:smallCaps/>
              <w:noProof/>
              <w:kern w:val="2"/>
              <w:sz w:val="24"/>
              <w14:ligatures w14:val="standardContextual"/>
            </w:rPr>
          </w:pPr>
          <w:hyperlink w:anchor="_Toc137651030" w:history="1">
            <w:r w:rsidRPr="002844B1">
              <w:rPr>
                <w:rStyle w:val="Hyperlink"/>
                <w:noProof/>
              </w:rPr>
              <w:t>Exigence de capital relative au risque de contrepartie (</w:t>
            </w:r>
            <m:oMath>
              <m:r>
                <w:rPr>
                  <w:rStyle w:val="Hyperlink"/>
                  <w:rFonts w:ascii="Cambria Math" w:hAnsi="Cambria Math"/>
                  <w:noProof/>
                </w:rPr>
                <m:t>CSRCp</m:t>
              </m:r>
            </m:oMath>
            <w:r w:rsidRPr="002844B1">
              <w:rPr>
                <w:rStyle w:val="Hyperlink"/>
                <w:noProof/>
              </w:rPr>
              <w:t>)</w:t>
            </w:r>
            <w:r w:rsidRPr="002844B1">
              <w:rPr>
                <w:noProof/>
                <w:webHidden/>
              </w:rPr>
              <w:tab/>
            </w:r>
            <w:r w:rsidRPr="002844B1">
              <w:rPr>
                <w:noProof/>
                <w:webHidden/>
              </w:rPr>
              <w:fldChar w:fldCharType="begin"/>
            </w:r>
            <w:r w:rsidRPr="002844B1">
              <w:rPr>
                <w:noProof/>
                <w:webHidden/>
              </w:rPr>
              <w:instrText xml:space="preserve"> PAGEREF _Toc137651030 \h </w:instrText>
            </w:r>
            <w:r w:rsidRPr="002844B1">
              <w:rPr>
                <w:noProof/>
                <w:webHidden/>
              </w:rPr>
            </w:r>
            <w:r w:rsidRPr="002844B1">
              <w:rPr>
                <w:noProof/>
                <w:webHidden/>
              </w:rPr>
              <w:fldChar w:fldCharType="separate"/>
            </w:r>
            <w:r w:rsidRPr="002844B1">
              <w:rPr>
                <w:noProof/>
                <w:webHidden/>
              </w:rPr>
              <w:t>49</w:t>
            </w:r>
            <w:r w:rsidRPr="002844B1">
              <w:rPr>
                <w:noProof/>
                <w:webHidden/>
              </w:rPr>
              <w:fldChar w:fldCharType="end"/>
            </w:r>
          </w:hyperlink>
        </w:p>
        <w:p w:rsidR="00AA7351" w:rsidRPr="002844B1" w:rsidRDefault="00AA7351">
          <w:pPr>
            <w:pStyle w:val="TOC3"/>
            <w:tabs>
              <w:tab w:val="right" w:leader="dot" w:pos="9350"/>
            </w:tabs>
            <w:rPr>
              <w:rFonts w:cstheme="minorBidi"/>
              <w:smallCaps/>
              <w:noProof/>
              <w:kern w:val="2"/>
              <w:sz w:val="24"/>
              <w14:ligatures w14:val="standardContextual"/>
            </w:rPr>
          </w:pPr>
          <w:hyperlink w:anchor="_Toc137651031" w:history="1">
            <w:r w:rsidRPr="002844B1">
              <w:rPr>
                <w:rStyle w:val="Hyperlink"/>
                <w:noProof/>
              </w:rPr>
              <w:t>Exigence de capital relative au risque de concentration (</w:t>
            </w:r>
            <m:oMath>
              <m:r>
                <w:rPr>
                  <w:rStyle w:val="Hyperlink"/>
                  <w:rFonts w:ascii="Cambria Math" w:hAnsi="Cambria Math"/>
                  <w:noProof/>
                </w:rPr>
                <m:t>CSRCt</m:t>
              </m:r>
            </m:oMath>
            <w:r w:rsidRPr="002844B1">
              <w:rPr>
                <w:rStyle w:val="Hyperlink"/>
                <w:noProof/>
              </w:rPr>
              <w:t>)</w:t>
            </w:r>
            <w:r w:rsidRPr="002844B1">
              <w:rPr>
                <w:noProof/>
                <w:webHidden/>
              </w:rPr>
              <w:tab/>
            </w:r>
            <w:r w:rsidRPr="002844B1">
              <w:rPr>
                <w:noProof/>
                <w:webHidden/>
              </w:rPr>
              <w:fldChar w:fldCharType="begin"/>
            </w:r>
            <w:r w:rsidRPr="002844B1">
              <w:rPr>
                <w:noProof/>
                <w:webHidden/>
              </w:rPr>
              <w:instrText xml:space="preserve"> PAGEREF _Toc137651031 \h </w:instrText>
            </w:r>
            <w:r w:rsidRPr="002844B1">
              <w:rPr>
                <w:noProof/>
                <w:webHidden/>
              </w:rPr>
            </w:r>
            <w:r w:rsidRPr="002844B1">
              <w:rPr>
                <w:noProof/>
                <w:webHidden/>
              </w:rPr>
              <w:fldChar w:fldCharType="separate"/>
            </w:r>
            <w:r w:rsidRPr="002844B1">
              <w:rPr>
                <w:noProof/>
                <w:webHidden/>
              </w:rPr>
              <w:t>51</w:t>
            </w:r>
            <w:r w:rsidRPr="002844B1">
              <w:rPr>
                <w:noProof/>
                <w:webHidden/>
              </w:rPr>
              <w:fldChar w:fldCharType="end"/>
            </w:r>
          </w:hyperlink>
        </w:p>
        <w:p w:rsidR="00AA7351" w:rsidRPr="002844B1" w:rsidRDefault="00AA7351">
          <w:pPr>
            <w:pStyle w:val="TOC3"/>
            <w:tabs>
              <w:tab w:val="right" w:leader="dot" w:pos="9350"/>
            </w:tabs>
            <w:rPr>
              <w:rFonts w:cstheme="minorBidi"/>
              <w:smallCaps/>
              <w:noProof/>
              <w:kern w:val="2"/>
              <w:sz w:val="24"/>
              <w14:ligatures w14:val="standardContextual"/>
            </w:rPr>
          </w:pPr>
          <w:hyperlink w:anchor="_Toc137651032" w:history="1">
            <w:r w:rsidRPr="002844B1">
              <w:rPr>
                <w:rStyle w:val="Hyperlink"/>
                <w:noProof/>
              </w:rPr>
              <w:t>Exigence de capital relative au risque de souscription vie (</w:t>
            </w:r>
            <m:oMath>
              <m:r>
                <w:rPr>
                  <w:rStyle w:val="Hyperlink"/>
                  <w:rFonts w:ascii="Cambria Math" w:hAnsi="Cambria Math"/>
                  <w:noProof/>
                </w:rPr>
                <m:t>CSRSV</m:t>
              </m:r>
            </m:oMath>
            <w:r w:rsidRPr="002844B1">
              <w:rPr>
                <w:rStyle w:val="Hyperlink"/>
                <w:noProof/>
              </w:rPr>
              <w:t>)</w:t>
            </w:r>
            <w:r w:rsidRPr="002844B1">
              <w:rPr>
                <w:noProof/>
                <w:webHidden/>
              </w:rPr>
              <w:tab/>
            </w:r>
            <w:r w:rsidRPr="002844B1">
              <w:rPr>
                <w:noProof/>
                <w:webHidden/>
              </w:rPr>
              <w:fldChar w:fldCharType="begin"/>
            </w:r>
            <w:r w:rsidRPr="002844B1">
              <w:rPr>
                <w:noProof/>
                <w:webHidden/>
              </w:rPr>
              <w:instrText xml:space="preserve"> PAGEREF _Toc137651032 \h </w:instrText>
            </w:r>
            <w:r w:rsidRPr="002844B1">
              <w:rPr>
                <w:noProof/>
                <w:webHidden/>
              </w:rPr>
            </w:r>
            <w:r w:rsidRPr="002844B1">
              <w:rPr>
                <w:noProof/>
                <w:webHidden/>
              </w:rPr>
              <w:fldChar w:fldCharType="separate"/>
            </w:r>
            <w:r w:rsidRPr="002844B1">
              <w:rPr>
                <w:noProof/>
                <w:webHidden/>
              </w:rPr>
              <w:t>52</w:t>
            </w:r>
            <w:r w:rsidRPr="002844B1">
              <w:rPr>
                <w:noProof/>
                <w:webHidden/>
              </w:rPr>
              <w:fldChar w:fldCharType="end"/>
            </w:r>
          </w:hyperlink>
        </w:p>
        <w:p w:rsidR="00AA7351" w:rsidRPr="002844B1" w:rsidRDefault="00AA7351">
          <w:pPr>
            <w:pStyle w:val="TOC3"/>
            <w:tabs>
              <w:tab w:val="right" w:leader="dot" w:pos="9350"/>
            </w:tabs>
            <w:rPr>
              <w:rFonts w:cstheme="minorBidi"/>
              <w:smallCaps/>
              <w:noProof/>
              <w:kern w:val="2"/>
              <w:sz w:val="24"/>
              <w14:ligatures w14:val="standardContextual"/>
            </w:rPr>
          </w:pPr>
          <w:hyperlink w:anchor="_Toc137651033" w:history="1">
            <w:r w:rsidRPr="002844B1">
              <w:rPr>
                <w:rStyle w:val="Hyperlink"/>
                <w:noProof/>
              </w:rPr>
              <w:t>Exigence de capital relative au risque de souscription non vie (</w:t>
            </w:r>
            <m:oMath>
              <m:r>
                <w:rPr>
                  <w:rStyle w:val="Hyperlink"/>
                  <w:rFonts w:ascii="Cambria Math" w:hAnsi="Cambria Math"/>
                  <w:noProof/>
                </w:rPr>
                <m:t>CSRSNV</m:t>
              </m:r>
            </m:oMath>
            <w:r w:rsidRPr="002844B1">
              <w:rPr>
                <w:rStyle w:val="Hyperlink"/>
                <w:noProof/>
              </w:rPr>
              <w:t>)</w:t>
            </w:r>
            <w:r w:rsidRPr="002844B1">
              <w:rPr>
                <w:noProof/>
                <w:webHidden/>
              </w:rPr>
              <w:tab/>
            </w:r>
            <w:r w:rsidRPr="002844B1">
              <w:rPr>
                <w:noProof/>
                <w:webHidden/>
              </w:rPr>
              <w:fldChar w:fldCharType="begin"/>
            </w:r>
            <w:r w:rsidRPr="002844B1">
              <w:rPr>
                <w:noProof/>
                <w:webHidden/>
              </w:rPr>
              <w:instrText xml:space="preserve"> PAGEREF _Toc137651033 \h </w:instrText>
            </w:r>
            <w:r w:rsidRPr="002844B1">
              <w:rPr>
                <w:noProof/>
                <w:webHidden/>
              </w:rPr>
            </w:r>
            <w:r w:rsidRPr="002844B1">
              <w:rPr>
                <w:noProof/>
                <w:webHidden/>
              </w:rPr>
              <w:fldChar w:fldCharType="separate"/>
            </w:r>
            <w:r w:rsidRPr="002844B1">
              <w:rPr>
                <w:noProof/>
                <w:webHidden/>
              </w:rPr>
              <w:t>55</w:t>
            </w:r>
            <w:r w:rsidRPr="002844B1">
              <w:rPr>
                <w:noProof/>
                <w:webHidden/>
              </w:rPr>
              <w:fldChar w:fldCharType="end"/>
            </w:r>
          </w:hyperlink>
        </w:p>
        <w:p w:rsidR="00AA7351" w:rsidRPr="002844B1" w:rsidRDefault="00AA7351">
          <w:pPr>
            <w:pStyle w:val="TOC3"/>
            <w:tabs>
              <w:tab w:val="right" w:leader="dot" w:pos="9350"/>
            </w:tabs>
            <w:rPr>
              <w:rFonts w:cstheme="minorBidi"/>
              <w:smallCaps/>
              <w:noProof/>
              <w:kern w:val="2"/>
              <w:sz w:val="24"/>
              <w14:ligatures w14:val="standardContextual"/>
            </w:rPr>
          </w:pPr>
          <w:hyperlink w:anchor="_Toc137651034" w:history="1">
            <w:r w:rsidRPr="002844B1">
              <w:rPr>
                <w:rStyle w:val="Hyperlink"/>
                <w:noProof/>
              </w:rPr>
              <w:t>Exigence de capital relative au risque opérationnel (</w:t>
            </w:r>
            <m:oMath>
              <m:r>
                <w:rPr>
                  <w:rStyle w:val="Hyperlink"/>
                  <w:rFonts w:ascii="Cambria Math" w:hAnsi="Cambria Math"/>
                  <w:noProof/>
                </w:rPr>
                <m:t>CSRO</m:t>
              </m:r>
            </m:oMath>
            <w:r w:rsidRPr="002844B1">
              <w:rPr>
                <w:rStyle w:val="Hyperlink"/>
                <w:noProof/>
              </w:rPr>
              <w:t>)</w:t>
            </w:r>
            <w:r w:rsidRPr="002844B1">
              <w:rPr>
                <w:noProof/>
                <w:webHidden/>
              </w:rPr>
              <w:tab/>
            </w:r>
            <w:r w:rsidRPr="002844B1">
              <w:rPr>
                <w:noProof/>
                <w:webHidden/>
              </w:rPr>
              <w:fldChar w:fldCharType="begin"/>
            </w:r>
            <w:r w:rsidRPr="002844B1">
              <w:rPr>
                <w:noProof/>
                <w:webHidden/>
              </w:rPr>
              <w:instrText xml:space="preserve"> PAGEREF _Toc137651034 \h </w:instrText>
            </w:r>
            <w:r w:rsidRPr="002844B1">
              <w:rPr>
                <w:noProof/>
                <w:webHidden/>
              </w:rPr>
            </w:r>
            <w:r w:rsidRPr="002844B1">
              <w:rPr>
                <w:noProof/>
                <w:webHidden/>
              </w:rPr>
              <w:fldChar w:fldCharType="separate"/>
            </w:r>
            <w:r w:rsidRPr="002844B1">
              <w:rPr>
                <w:noProof/>
                <w:webHidden/>
              </w:rPr>
              <w:t>56</w:t>
            </w:r>
            <w:r w:rsidRPr="002844B1">
              <w:rPr>
                <w:noProof/>
                <w:webHidden/>
              </w:rPr>
              <w:fldChar w:fldCharType="end"/>
            </w:r>
          </w:hyperlink>
        </w:p>
        <w:p w:rsidR="00AA7351" w:rsidRPr="002844B1" w:rsidRDefault="00AA7351">
          <w:pPr>
            <w:pStyle w:val="TOC3"/>
            <w:tabs>
              <w:tab w:val="right" w:leader="dot" w:pos="9350"/>
            </w:tabs>
            <w:rPr>
              <w:rFonts w:cstheme="minorBidi"/>
              <w:smallCaps/>
              <w:noProof/>
              <w:kern w:val="2"/>
              <w:sz w:val="24"/>
              <w14:ligatures w14:val="standardContextual"/>
            </w:rPr>
          </w:pPr>
          <w:hyperlink w:anchor="_Toc137651035" w:history="1">
            <w:r w:rsidRPr="002844B1">
              <w:rPr>
                <w:rStyle w:val="Hyperlink"/>
                <w:noProof/>
              </w:rPr>
              <w:t>Ajustement du capital de solvabilité requis</w:t>
            </w:r>
            <w:r w:rsidRPr="002844B1">
              <w:rPr>
                <w:noProof/>
                <w:webHidden/>
              </w:rPr>
              <w:tab/>
            </w:r>
            <w:r w:rsidRPr="002844B1">
              <w:rPr>
                <w:noProof/>
                <w:webHidden/>
              </w:rPr>
              <w:fldChar w:fldCharType="begin"/>
            </w:r>
            <w:r w:rsidRPr="002844B1">
              <w:rPr>
                <w:noProof/>
                <w:webHidden/>
              </w:rPr>
              <w:instrText xml:space="preserve"> PAGEREF _Toc137651035 \h </w:instrText>
            </w:r>
            <w:r w:rsidRPr="002844B1">
              <w:rPr>
                <w:noProof/>
                <w:webHidden/>
              </w:rPr>
            </w:r>
            <w:r w:rsidRPr="002844B1">
              <w:rPr>
                <w:noProof/>
                <w:webHidden/>
              </w:rPr>
              <w:fldChar w:fldCharType="separate"/>
            </w:r>
            <w:r w:rsidRPr="002844B1">
              <w:rPr>
                <w:noProof/>
                <w:webHidden/>
              </w:rPr>
              <w:t>57</w:t>
            </w:r>
            <w:r w:rsidRPr="002844B1">
              <w:rPr>
                <w:noProof/>
                <w:webHidden/>
              </w:rPr>
              <w:fldChar w:fldCharType="end"/>
            </w:r>
          </w:hyperlink>
        </w:p>
        <w:p w:rsidR="00AA7351" w:rsidRPr="002844B1" w:rsidRDefault="00AA7351">
          <w:pPr>
            <w:pStyle w:val="TOC1"/>
            <w:tabs>
              <w:tab w:val="right" w:leader="dot" w:pos="9350"/>
            </w:tabs>
            <w:rPr>
              <w:rFonts w:cstheme="minorBidi"/>
              <w:b w:val="0"/>
              <w:bCs w:val="0"/>
              <w:caps/>
              <w:noProof/>
              <w:kern w:val="2"/>
              <w:szCs w:val="24"/>
              <w14:ligatures w14:val="standardContextual"/>
            </w:rPr>
          </w:pPr>
          <w:hyperlink w:anchor="_Toc137651036" w:history="1">
            <w:r w:rsidRPr="002844B1">
              <w:rPr>
                <w:rStyle w:val="Hyperlink"/>
                <w:noProof/>
              </w:rPr>
              <w:t>7. CHAPITRE VII : Application numérique de la Solvabilité Basée sur les Risque</w:t>
            </w:r>
            <w:r w:rsidRPr="002844B1">
              <w:rPr>
                <w:noProof/>
                <w:webHidden/>
              </w:rPr>
              <w:tab/>
            </w:r>
            <w:r w:rsidRPr="002844B1">
              <w:rPr>
                <w:noProof/>
                <w:webHidden/>
              </w:rPr>
              <w:fldChar w:fldCharType="begin"/>
            </w:r>
            <w:r w:rsidRPr="002844B1">
              <w:rPr>
                <w:noProof/>
                <w:webHidden/>
              </w:rPr>
              <w:instrText xml:space="preserve"> PAGEREF _Toc137651036 \h </w:instrText>
            </w:r>
            <w:r w:rsidRPr="002844B1">
              <w:rPr>
                <w:noProof/>
                <w:webHidden/>
              </w:rPr>
            </w:r>
            <w:r w:rsidRPr="002844B1">
              <w:rPr>
                <w:noProof/>
                <w:webHidden/>
              </w:rPr>
              <w:fldChar w:fldCharType="separate"/>
            </w:r>
            <w:r w:rsidRPr="002844B1">
              <w:rPr>
                <w:noProof/>
                <w:webHidden/>
              </w:rPr>
              <w:t>57</w:t>
            </w:r>
            <w:r w:rsidRPr="002844B1">
              <w:rPr>
                <w:noProof/>
                <w:webHidden/>
              </w:rPr>
              <w:fldChar w:fldCharType="end"/>
            </w:r>
          </w:hyperlink>
        </w:p>
        <w:p w:rsidR="00AA7351" w:rsidRPr="002844B1" w:rsidRDefault="00AA7351">
          <w:pPr>
            <w:pStyle w:val="TOC2"/>
            <w:tabs>
              <w:tab w:val="right" w:leader="dot" w:pos="9350"/>
            </w:tabs>
            <w:rPr>
              <w:rFonts w:cstheme="minorBidi"/>
              <w:b w:val="0"/>
              <w:bCs w:val="0"/>
              <w:smallCaps/>
              <w:noProof/>
              <w:kern w:val="2"/>
              <w:sz w:val="24"/>
              <w:szCs w:val="24"/>
              <w14:ligatures w14:val="standardContextual"/>
            </w:rPr>
          </w:pPr>
          <w:hyperlink w:anchor="_Toc137651037" w:history="1">
            <w:r w:rsidRPr="002844B1">
              <w:rPr>
                <w:rStyle w:val="Hyperlink"/>
                <w:noProof/>
              </w:rPr>
              <w:t>7.1 Modèle LSTM appliqué au cours de l’indice MASI</w:t>
            </w:r>
            <w:r w:rsidRPr="002844B1">
              <w:rPr>
                <w:noProof/>
                <w:webHidden/>
              </w:rPr>
              <w:tab/>
            </w:r>
            <w:r w:rsidRPr="002844B1">
              <w:rPr>
                <w:noProof/>
                <w:webHidden/>
              </w:rPr>
              <w:fldChar w:fldCharType="begin"/>
            </w:r>
            <w:r w:rsidRPr="002844B1">
              <w:rPr>
                <w:noProof/>
                <w:webHidden/>
              </w:rPr>
              <w:instrText xml:space="preserve"> PAGEREF _Toc137651037 \h </w:instrText>
            </w:r>
            <w:r w:rsidRPr="002844B1">
              <w:rPr>
                <w:noProof/>
                <w:webHidden/>
              </w:rPr>
            </w:r>
            <w:r w:rsidRPr="002844B1">
              <w:rPr>
                <w:noProof/>
                <w:webHidden/>
              </w:rPr>
              <w:fldChar w:fldCharType="separate"/>
            </w:r>
            <w:r w:rsidRPr="002844B1">
              <w:rPr>
                <w:noProof/>
                <w:webHidden/>
              </w:rPr>
              <w:t>57</w:t>
            </w:r>
            <w:r w:rsidRPr="002844B1">
              <w:rPr>
                <w:noProof/>
                <w:webHidden/>
              </w:rPr>
              <w:fldChar w:fldCharType="end"/>
            </w:r>
          </w:hyperlink>
        </w:p>
        <w:p w:rsidR="00AA7351" w:rsidRPr="002844B1" w:rsidRDefault="00AA7351">
          <w:pPr>
            <w:pStyle w:val="TOC2"/>
            <w:tabs>
              <w:tab w:val="right" w:leader="dot" w:pos="9350"/>
            </w:tabs>
            <w:rPr>
              <w:rFonts w:cstheme="minorBidi"/>
              <w:b w:val="0"/>
              <w:bCs w:val="0"/>
              <w:smallCaps/>
              <w:noProof/>
              <w:kern w:val="2"/>
              <w:sz w:val="24"/>
              <w:szCs w:val="24"/>
              <w14:ligatures w14:val="standardContextual"/>
            </w:rPr>
          </w:pPr>
          <w:hyperlink w:anchor="_Toc137651038" w:history="1">
            <w:r w:rsidRPr="002844B1">
              <w:rPr>
                <w:rStyle w:val="Hyperlink"/>
                <w:noProof/>
              </w:rPr>
              <w:t>7.2 Application de calcul des CSR</w:t>
            </w:r>
            <w:r w:rsidRPr="002844B1">
              <w:rPr>
                <w:noProof/>
                <w:webHidden/>
              </w:rPr>
              <w:tab/>
            </w:r>
            <w:r w:rsidRPr="002844B1">
              <w:rPr>
                <w:noProof/>
                <w:webHidden/>
              </w:rPr>
              <w:fldChar w:fldCharType="begin"/>
            </w:r>
            <w:r w:rsidRPr="002844B1">
              <w:rPr>
                <w:noProof/>
                <w:webHidden/>
              </w:rPr>
              <w:instrText xml:space="preserve"> PAGEREF _Toc137651038 \h </w:instrText>
            </w:r>
            <w:r w:rsidRPr="002844B1">
              <w:rPr>
                <w:noProof/>
                <w:webHidden/>
              </w:rPr>
            </w:r>
            <w:r w:rsidRPr="002844B1">
              <w:rPr>
                <w:noProof/>
                <w:webHidden/>
              </w:rPr>
              <w:fldChar w:fldCharType="separate"/>
            </w:r>
            <w:r w:rsidRPr="002844B1">
              <w:rPr>
                <w:noProof/>
                <w:webHidden/>
              </w:rPr>
              <w:t>61</w:t>
            </w:r>
            <w:r w:rsidRPr="002844B1">
              <w:rPr>
                <w:noProof/>
                <w:webHidden/>
              </w:rPr>
              <w:fldChar w:fldCharType="end"/>
            </w:r>
          </w:hyperlink>
        </w:p>
        <w:p w:rsidR="00AA7351" w:rsidRPr="002844B1" w:rsidRDefault="00AA7351">
          <w:pPr>
            <w:pStyle w:val="TOC3"/>
            <w:tabs>
              <w:tab w:val="right" w:leader="dot" w:pos="9350"/>
            </w:tabs>
            <w:rPr>
              <w:rFonts w:cstheme="minorBidi"/>
              <w:smallCaps/>
              <w:noProof/>
              <w:kern w:val="2"/>
              <w:sz w:val="24"/>
              <w14:ligatures w14:val="standardContextual"/>
            </w:rPr>
          </w:pPr>
          <w:hyperlink w:anchor="_Toc137651039" w:history="1">
            <w:r w:rsidRPr="002844B1">
              <w:rPr>
                <w:rStyle w:val="Hyperlink"/>
                <w:noProof/>
              </w:rPr>
              <w:t>Navigation dans le code source</w:t>
            </w:r>
            <w:r w:rsidRPr="002844B1">
              <w:rPr>
                <w:noProof/>
                <w:webHidden/>
              </w:rPr>
              <w:tab/>
            </w:r>
            <w:r w:rsidRPr="002844B1">
              <w:rPr>
                <w:noProof/>
                <w:webHidden/>
              </w:rPr>
              <w:fldChar w:fldCharType="begin"/>
            </w:r>
            <w:r w:rsidRPr="002844B1">
              <w:rPr>
                <w:noProof/>
                <w:webHidden/>
              </w:rPr>
              <w:instrText xml:space="preserve"> PAGEREF _Toc137651039 \h </w:instrText>
            </w:r>
            <w:r w:rsidRPr="002844B1">
              <w:rPr>
                <w:noProof/>
                <w:webHidden/>
              </w:rPr>
            </w:r>
            <w:r w:rsidRPr="002844B1">
              <w:rPr>
                <w:noProof/>
                <w:webHidden/>
              </w:rPr>
              <w:fldChar w:fldCharType="separate"/>
            </w:r>
            <w:r w:rsidRPr="002844B1">
              <w:rPr>
                <w:noProof/>
                <w:webHidden/>
              </w:rPr>
              <w:t>62</w:t>
            </w:r>
            <w:r w:rsidRPr="002844B1">
              <w:rPr>
                <w:noProof/>
                <w:webHidden/>
              </w:rPr>
              <w:fldChar w:fldCharType="end"/>
            </w:r>
          </w:hyperlink>
        </w:p>
        <w:p w:rsidR="00AA7351" w:rsidRPr="002844B1" w:rsidRDefault="00AA7351">
          <w:pPr>
            <w:pStyle w:val="TOC3"/>
            <w:tabs>
              <w:tab w:val="right" w:leader="dot" w:pos="9350"/>
            </w:tabs>
            <w:rPr>
              <w:rFonts w:cstheme="minorBidi"/>
              <w:smallCaps/>
              <w:noProof/>
              <w:kern w:val="2"/>
              <w:sz w:val="24"/>
              <w14:ligatures w14:val="standardContextual"/>
            </w:rPr>
          </w:pPr>
          <w:hyperlink w:anchor="_Toc137651040" w:history="1">
            <w:r w:rsidRPr="002844B1">
              <w:rPr>
                <w:rStyle w:val="Hyperlink"/>
                <w:noProof/>
              </w:rPr>
              <w:t>Paramètres</w:t>
            </w:r>
            <w:r w:rsidRPr="002844B1">
              <w:rPr>
                <w:noProof/>
                <w:webHidden/>
              </w:rPr>
              <w:tab/>
            </w:r>
            <w:r w:rsidRPr="002844B1">
              <w:rPr>
                <w:noProof/>
                <w:webHidden/>
              </w:rPr>
              <w:fldChar w:fldCharType="begin"/>
            </w:r>
            <w:r w:rsidRPr="002844B1">
              <w:rPr>
                <w:noProof/>
                <w:webHidden/>
              </w:rPr>
              <w:instrText xml:space="preserve"> PAGEREF _Toc137651040 \h </w:instrText>
            </w:r>
            <w:r w:rsidRPr="002844B1">
              <w:rPr>
                <w:noProof/>
                <w:webHidden/>
              </w:rPr>
            </w:r>
            <w:r w:rsidRPr="002844B1">
              <w:rPr>
                <w:noProof/>
                <w:webHidden/>
              </w:rPr>
              <w:fldChar w:fldCharType="separate"/>
            </w:r>
            <w:r w:rsidRPr="002844B1">
              <w:rPr>
                <w:noProof/>
                <w:webHidden/>
              </w:rPr>
              <w:t>63</w:t>
            </w:r>
            <w:r w:rsidRPr="002844B1">
              <w:rPr>
                <w:noProof/>
                <w:webHidden/>
              </w:rPr>
              <w:fldChar w:fldCharType="end"/>
            </w:r>
          </w:hyperlink>
        </w:p>
        <w:p w:rsidR="00AA7351" w:rsidRPr="002844B1" w:rsidRDefault="00AA7351">
          <w:pPr>
            <w:pStyle w:val="TOC3"/>
            <w:tabs>
              <w:tab w:val="right" w:leader="dot" w:pos="9350"/>
            </w:tabs>
            <w:rPr>
              <w:rFonts w:cstheme="minorBidi"/>
              <w:smallCaps/>
              <w:noProof/>
              <w:kern w:val="2"/>
              <w:sz w:val="24"/>
              <w14:ligatures w14:val="standardContextual"/>
            </w:rPr>
          </w:pPr>
          <w:hyperlink w:anchor="_Toc137651041" w:history="1">
            <w:r w:rsidRPr="002844B1">
              <w:rPr>
                <w:rStyle w:val="Hyperlink"/>
                <w:noProof/>
              </w:rPr>
              <w:t>Courbe des taux</w:t>
            </w:r>
            <w:r w:rsidRPr="002844B1">
              <w:rPr>
                <w:noProof/>
                <w:webHidden/>
              </w:rPr>
              <w:tab/>
            </w:r>
            <w:r w:rsidRPr="002844B1">
              <w:rPr>
                <w:noProof/>
                <w:webHidden/>
              </w:rPr>
              <w:fldChar w:fldCharType="begin"/>
            </w:r>
            <w:r w:rsidRPr="002844B1">
              <w:rPr>
                <w:noProof/>
                <w:webHidden/>
              </w:rPr>
              <w:instrText xml:space="preserve"> PAGEREF _Toc137651041 \h </w:instrText>
            </w:r>
            <w:r w:rsidRPr="002844B1">
              <w:rPr>
                <w:noProof/>
                <w:webHidden/>
              </w:rPr>
            </w:r>
            <w:r w:rsidRPr="002844B1">
              <w:rPr>
                <w:noProof/>
                <w:webHidden/>
              </w:rPr>
              <w:fldChar w:fldCharType="separate"/>
            </w:r>
            <w:r w:rsidRPr="002844B1">
              <w:rPr>
                <w:noProof/>
                <w:webHidden/>
              </w:rPr>
              <w:t>64</w:t>
            </w:r>
            <w:r w:rsidRPr="002844B1">
              <w:rPr>
                <w:noProof/>
                <w:webHidden/>
              </w:rPr>
              <w:fldChar w:fldCharType="end"/>
            </w:r>
          </w:hyperlink>
        </w:p>
        <w:p w:rsidR="00AA7351" w:rsidRPr="002844B1" w:rsidRDefault="00AA7351">
          <w:pPr>
            <w:pStyle w:val="TOC3"/>
            <w:tabs>
              <w:tab w:val="right" w:leader="dot" w:pos="9350"/>
            </w:tabs>
            <w:rPr>
              <w:rFonts w:cstheme="minorBidi"/>
              <w:smallCaps/>
              <w:noProof/>
              <w:kern w:val="2"/>
              <w:sz w:val="24"/>
              <w14:ligatures w14:val="standardContextual"/>
            </w:rPr>
          </w:pPr>
          <w:hyperlink w:anchor="_Toc137651042" w:history="1">
            <w:r w:rsidRPr="002844B1">
              <w:rPr>
                <w:rStyle w:val="Hyperlink"/>
                <w:noProof/>
              </w:rPr>
              <w:t>Opérations d’assurance non-vie hors rente</w:t>
            </w:r>
            <w:r w:rsidRPr="002844B1">
              <w:rPr>
                <w:noProof/>
                <w:webHidden/>
              </w:rPr>
              <w:tab/>
            </w:r>
            <w:r w:rsidRPr="002844B1">
              <w:rPr>
                <w:noProof/>
                <w:webHidden/>
              </w:rPr>
              <w:fldChar w:fldCharType="begin"/>
            </w:r>
            <w:r w:rsidRPr="002844B1">
              <w:rPr>
                <w:noProof/>
                <w:webHidden/>
              </w:rPr>
              <w:instrText xml:space="preserve"> PAGEREF _Toc137651042 \h </w:instrText>
            </w:r>
            <w:r w:rsidRPr="002844B1">
              <w:rPr>
                <w:noProof/>
                <w:webHidden/>
              </w:rPr>
            </w:r>
            <w:r w:rsidRPr="002844B1">
              <w:rPr>
                <w:noProof/>
                <w:webHidden/>
              </w:rPr>
              <w:fldChar w:fldCharType="separate"/>
            </w:r>
            <w:r w:rsidRPr="002844B1">
              <w:rPr>
                <w:noProof/>
                <w:webHidden/>
              </w:rPr>
              <w:t>66</w:t>
            </w:r>
            <w:r w:rsidRPr="002844B1">
              <w:rPr>
                <w:noProof/>
                <w:webHidden/>
              </w:rPr>
              <w:fldChar w:fldCharType="end"/>
            </w:r>
          </w:hyperlink>
        </w:p>
        <w:p w:rsidR="00AA7351" w:rsidRPr="002844B1" w:rsidRDefault="00AA7351">
          <w:pPr>
            <w:pStyle w:val="TOC3"/>
            <w:tabs>
              <w:tab w:val="right" w:leader="dot" w:pos="9350"/>
            </w:tabs>
            <w:rPr>
              <w:rFonts w:cstheme="minorBidi"/>
              <w:smallCaps/>
              <w:noProof/>
              <w:kern w:val="2"/>
              <w:sz w:val="24"/>
              <w14:ligatures w14:val="standardContextual"/>
            </w:rPr>
          </w:pPr>
          <w:hyperlink w:anchor="_Toc137651043" w:history="1">
            <w:r w:rsidRPr="002844B1">
              <w:rPr>
                <w:rStyle w:val="Hyperlink"/>
                <w:noProof/>
              </w:rPr>
              <w:t>Opérations d’assurance vie</w:t>
            </w:r>
            <w:r w:rsidRPr="002844B1">
              <w:rPr>
                <w:noProof/>
                <w:webHidden/>
              </w:rPr>
              <w:tab/>
            </w:r>
            <w:r w:rsidRPr="002844B1">
              <w:rPr>
                <w:noProof/>
                <w:webHidden/>
              </w:rPr>
              <w:fldChar w:fldCharType="begin"/>
            </w:r>
            <w:r w:rsidRPr="002844B1">
              <w:rPr>
                <w:noProof/>
                <w:webHidden/>
              </w:rPr>
              <w:instrText xml:space="preserve"> PAGEREF _Toc137651043 \h </w:instrText>
            </w:r>
            <w:r w:rsidRPr="002844B1">
              <w:rPr>
                <w:noProof/>
                <w:webHidden/>
              </w:rPr>
            </w:r>
            <w:r w:rsidRPr="002844B1">
              <w:rPr>
                <w:noProof/>
                <w:webHidden/>
              </w:rPr>
              <w:fldChar w:fldCharType="separate"/>
            </w:r>
            <w:r w:rsidRPr="002844B1">
              <w:rPr>
                <w:noProof/>
                <w:webHidden/>
              </w:rPr>
              <w:t>72</w:t>
            </w:r>
            <w:r w:rsidRPr="002844B1">
              <w:rPr>
                <w:noProof/>
                <w:webHidden/>
              </w:rPr>
              <w:fldChar w:fldCharType="end"/>
            </w:r>
          </w:hyperlink>
        </w:p>
        <w:p w:rsidR="00AA7351" w:rsidRPr="002844B1" w:rsidRDefault="00AA7351">
          <w:pPr>
            <w:pStyle w:val="TOC3"/>
            <w:tabs>
              <w:tab w:val="right" w:leader="dot" w:pos="9350"/>
            </w:tabs>
            <w:rPr>
              <w:rFonts w:cstheme="minorBidi"/>
              <w:smallCaps/>
              <w:noProof/>
              <w:kern w:val="2"/>
              <w:sz w:val="24"/>
              <w14:ligatures w14:val="standardContextual"/>
            </w:rPr>
          </w:pPr>
          <w:hyperlink w:anchor="_Toc137651044" w:history="1">
            <w:r w:rsidRPr="002844B1">
              <w:rPr>
                <w:rStyle w:val="Hyperlink"/>
                <w:noProof/>
              </w:rPr>
              <w:t>Part des cessionnaires</w:t>
            </w:r>
            <w:r w:rsidRPr="002844B1">
              <w:rPr>
                <w:noProof/>
                <w:webHidden/>
              </w:rPr>
              <w:tab/>
            </w:r>
            <w:r w:rsidRPr="002844B1">
              <w:rPr>
                <w:noProof/>
                <w:webHidden/>
              </w:rPr>
              <w:fldChar w:fldCharType="begin"/>
            </w:r>
            <w:r w:rsidRPr="002844B1">
              <w:rPr>
                <w:noProof/>
                <w:webHidden/>
              </w:rPr>
              <w:instrText xml:space="preserve"> PAGEREF _Toc137651044 \h </w:instrText>
            </w:r>
            <w:r w:rsidRPr="002844B1">
              <w:rPr>
                <w:noProof/>
                <w:webHidden/>
              </w:rPr>
            </w:r>
            <w:r w:rsidRPr="002844B1">
              <w:rPr>
                <w:noProof/>
                <w:webHidden/>
              </w:rPr>
              <w:fldChar w:fldCharType="separate"/>
            </w:r>
            <w:r w:rsidRPr="002844B1">
              <w:rPr>
                <w:noProof/>
                <w:webHidden/>
              </w:rPr>
              <w:t>75</w:t>
            </w:r>
            <w:r w:rsidRPr="002844B1">
              <w:rPr>
                <w:noProof/>
                <w:webHidden/>
              </w:rPr>
              <w:fldChar w:fldCharType="end"/>
            </w:r>
          </w:hyperlink>
        </w:p>
        <w:p w:rsidR="00AA7351" w:rsidRPr="002844B1" w:rsidRDefault="00AA7351">
          <w:pPr>
            <w:pStyle w:val="TOC3"/>
            <w:tabs>
              <w:tab w:val="right" w:leader="dot" w:pos="9350"/>
            </w:tabs>
            <w:rPr>
              <w:rFonts w:cstheme="minorBidi"/>
              <w:smallCaps/>
              <w:noProof/>
              <w:kern w:val="2"/>
              <w:sz w:val="24"/>
              <w14:ligatures w14:val="standardContextual"/>
            </w:rPr>
          </w:pPr>
          <w:hyperlink w:anchor="_Toc137651045" w:history="1">
            <w:r w:rsidRPr="002844B1">
              <w:rPr>
                <w:rStyle w:val="Hyperlink"/>
                <w:noProof/>
              </w:rPr>
              <w:t>Capital de solvabilité requis</w:t>
            </w:r>
            <w:r w:rsidRPr="002844B1">
              <w:rPr>
                <w:noProof/>
                <w:webHidden/>
              </w:rPr>
              <w:tab/>
            </w:r>
            <w:r w:rsidRPr="002844B1">
              <w:rPr>
                <w:noProof/>
                <w:webHidden/>
              </w:rPr>
              <w:fldChar w:fldCharType="begin"/>
            </w:r>
            <w:r w:rsidRPr="002844B1">
              <w:rPr>
                <w:noProof/>
                <w:webHidden/>
              </w:rPr>
              <w:instrText xml:space="preserve"> PAGEREF _Toc137651045 \h </w:instrText>
            </w:r>
            <w:r w:rsidRPr="002844B1">
              <w:rPr>
                <w:noProof/>
                <w:webHidden/>
              </w:rPr>
            </w:r>
            <w:r w:rsidRPr="002844B1">
              <w:rPr>
                <w:noProof/>
                <w:webHidden/>
              </w:rPr>
              <w:fldChar w:fldCharType="separate"/>
            </w:r>
            <w:r w:rsidRPr="002844B1">
              <w:rPr>
                <w:noProof/>
                <w:webHidden/>
              </w:rPr>
              <w:t>76</w:t>
            </w:r>
            <w:r w:rsidRPr="002844B1">
              <w:rPr>
                <w:noProof/>
                <w:webHidden/>
              </w:rPr>
              <w:fldChar w:fldCharType="end"/>
            </w:r>
          </w:hyperlink>
        </w:p>
        <w:p w:rsidR="00AA7351" w:rsidRPr="002844B1" w:rsidRDefault="00AA7351">
          <w:pPr>
            <w:pStyle w:val="TOC1"/>
            <w:tabs>
              <w:tab w:val="right" w:leader="dot" w:pos="9350"/>
            </w:tabs>
            <w:rPr>
              <w:rFonts w:cstheme="minorBidi"/>
              <w:b w:val="0"/>
              <w:bCs w:val="0"/>
              <w:caps/>
              <w:noProof/>
              <w:kern w:val="2"/>
              <w:szCs w:val="24"/>
              <w14:ligatures w14:val="standardContextual"/>
            </w:rPr>
          </w:pPr>
          <w:hyperlink w:anchor="_Toc137651046" w:history="1">
            <w:r w:rsidRPr="002844B1">
              <w:rPr>
                <w:rStyle w:val="Hyperlink"/>
                <w:noProof/>
              </w:rPr>
              <w:t>Conclusion</w:t>
            </w:r>
            <w:r w:rsidRPr="002844B1">
              <w:rPr>
                <w:noProof/>
                <w:webHidden/>
              </w:rPr>
              <w:tab/>
            </w:r>
            <w:r w:rsidRPr="002844B1">
              <w:rPr>
                <w:noProof/>
                <w:webHidden/>
              </w:rPr>
              <w:fldChar w:fldCharType="begin"/>
            </w:r>
            <w:r w:rsidRPr="002844B1">
              <w:rPr>
                <w:noProof/>
                <w:webHidden/>
              </w:rPr>
              <w:instrText xml:space="preserve"> PAGEREF _Toc137651046 \h </w:instrText>
            </w:r>
            <w:r w:rsidRPr="002844B1">
              <w:rPr>
                <w:noProof/>
                <w:webHidden/>
              </w:rPr>
            </w:r>
            <w:r w:rsidRPr="002844B1">
              <w:rPr>
                <w:noProof/>
                <w:webHidden/>
              </w:rPr>
              <w:fldChar w:fldCharType="separate"/>
            </w:r>
            <w:r w:rsidRPr="002844B1">
              <w:rPr>
                <w:noProof/>
                <w:webHidden/>
              </w:rPr>
              <w:t>77</w:t>
            </w:r>
            <w:r w:rsidRPr="002844B1">
              <w:rPr>
                <w:noProof/>
                <w:webHidden/>
              </w:rPr>
              <w:fldChar w:fldCharType="end"/>
            </w:r>
          </w:hyperlink>
        </w:p>
        <w:p w:rsidR="00AA7351" w:rsidRPr="002844B1" w:rsidRDefault="00AA7351">
          <w:pPr>
            <w:pStyle w:val="TOC1"/>
            <w:tabs>
              <w:tab w:val="right" w:leader="dot" w:pos="9350"/>
            </w:tabs>
            <w:rPr>
              <w:rFonts w:cstheme="minorBidi"/>
              <w:b w:val="0"/>
              <w:bCs w:val="0"/>
              <w:caps/>
              <w:noProof/>
              <w:kern w:val="2"/>
              <w:szCs w:val="24"/>
              <w14:ligatures w14:val="standardContextual"/>
            </w:rPr>
          </w:pPr>
          <w:hyperlink w:anchor="_Toc137651047" w:history="1">
            <w:r w:rsidRPr="002844B1">
              <w:rPr>
                <w:rStyle w:val="Hyperlink"/>
                <w:noProof/>
              </w:rPr>
              <w:t>ANNEXE N°1 : MARGE DE RISQUE</w:t>
            </w:r>
            <w:r w:rsidRPr="002844B1">
              <w:rPr>
                <w:noProof/>
                <w:webHidden/>
              </w:rPr>
              <w:tab/>
            </w:r>
            <w:r w:rsidRPr="002844B1">
              <w:rPr>
                <w:noProof/>
                <w:webHidden/>
              </w:rPr>
              <w:fldChar w:fldCharType="begin"/>
            </w:r>
            <w:r w:rsidRPr="002844B1">
              <w:rPr>
                <w:noProof/>
                <w:webHidden/>
              </w:rPr>
              <w:instrText xml:space="preserve"> PAGEREF _Toc137651047 \h </w:instrText>
            </w:r>
            <w:r w:rsidRPr="002844B1">
              <w:rPr>
                <w:noProof/>
                <w:webHidden/>
              </w:rPr>
            </w:r>
            <w:r w:rsidRPr="002844B1">
              <w:rPr>
                <w:noProof/>
                <w:webHidden/>
              </w:rPr>
              <w:fldChar w:fldCharType="separate"/>
            </w:r>
            <w:r w:rsidRPr="002844B1">
              <w:rPr>
                <w:noProof/>
                <w:webHidden/>
              </w:rPr>
              <w:t>77</w:t>
            </w:r>
            <w:r w:rsidRPr="002844B1">
              <w:rPr>
                <w:noProof/>
                <w:webHidden/>
              </w:rPr>
              <w:fldChar w:fldCharType="end"/>
            </w:r>
          </w:hyperlink>
        </w:p>
        <w:p w:rsidR="00AA7351" w:rsidRPr="002844B1" w:rsidRDefault="00AA7351">
          <w:pPr>
            <w:pStyle w:val="TOC1"/>
            <w:tabs>
              <w:tab w:val="right" w:leader="dot" w:pos="9350"/>
            </w:tabs>
            <w:rPr>
              <w:rFonts w:cstheme="minorBidi"/>
              <w:b w:val="0"/>
              <w:bCs w:val="0"/>
              <w:caps/>
              <w:noProof/>
              <w:kern w:val="2"/>
              <w:szCs w:val="24"/>
              <w14:ligatures w14:val="standardContextual"/>
            </w:rPr>
          </w:pPr>
          <w:hyperlink w:anchor="_Toc137651048" w:history="1">
            <w:r w:rsidRPr="002844B1">
              <w:rPr>
                <w:rStyle w:val="Hyperlink"/>
                <w:noProof/>
              </w:rPr>
              <w:t>ANNEXE N°2 : CORRESPONDANCE ENTRE ECHELLE DE NOTATION ET PROBABILITE DE DEFAUT</w:t>
            </w:r>
            <w:r w:rsidRPr="002844B1">
              <w:rPr>
                <w:noProof/>
                <w:webHidden/>
              </w:rPr>
              <w:tab/>
            </w:r>
            <w:r w:rsidRPr="002844B1">
              <w:rPr>
                <w:noProof/>
                <w:webHidden/>
              </w:rPr>
              <w:fldChar w:fldCharType="begin"/>
            </w:r>
            <w:r w:rsidRPr="002844B1">
              <w:rPr>
                <w:noProof/>
                <w:webHidden/>
              </w:rPr>
              <w:instrText xml:space="preserve"> PAGEREF _Toc137651048 \h </w:instrText>
            </w:r>
            <w:r w:rsidRPr="002844B1">
              <w:rPr>
                <w:noProof/>
                <w:webHidden/>
              </w:rPr>
            </w:r>
            <w:r w:rsidRPr="002844B1">
              <w:rPr>
                <w:noProof/>
                <w:webHidden/>
              </w:rPr>
              <w:fldChar w:fldCharType="separate"/>
            </w:r>
            <w:r w:rsidRPr="002844B1">
              <w:rPr>
                <w:noProof/>
                <w:webHidden/>
              </w:rPr>
              <w:t>78</w:t>
            </w:r>
            <w:r w:rsidRPr="002844B1">
              <w:rPr>
                <w:noProof/>
                <w:webHidden/>
              </w:rPr>
              <w:fldChar w:fldCharType="end"/>
            </w:r>
          </w:hyperlink>
        </w:p>
        <w:p w:rsidR="00AA7351" w:rsidRPr="002844B1" w:rsidRDefault="00AA7351">
          <w:pPr>
            <w:pStyle w:val="TOC2"/>
            <w:tabs>
              <w:tab w:val="right" w:leader="dot" w:pos="9350"/>
            </w:tabs>
            <w:rPr>
              <w:rFonts w:cstheme="minorBidi"/>
              <w:b w:val="0"/>
              <w:bCs w:val="0"/>
              <w:smallCaps/>
              <w:noProof/>
              <w:kern w:val="2"/>
              <w:sz w:val="24"/>
              <w:szCs w:val="24"/>
              <w14:ligatures w14:val="standardContextual"/>
            </w:rPr>
          </w:pPr>
          <w:hyperlink w:anchor="_Toc137651049" w:history="1">
            <w:r w:rsidRPr="002844B1">
              <w:rPr>
                <w:rStyle w:val="Hyperlink"/>
                <w:noProof/>
              </w:rPr>
              <w:t>Echelles de notation</w:t>
            </w:r>
            <w:r w:rsidRPr="002844B1">
              <w:rPr>
                <w:noProof/>
                <w:webHidden/>
              </w:rPr>
              <w:tab/>
            </w:r>
            <w:r w:rsidRPr="002844B1">
              <w:rPr>
                <w:noProof/>
                <w:webHidden/>
              </w:rPr>
              <w:fldChar w:fldCharType="begin"/>
            </w:r>
            <w:r w:rsidRPr="002844B1">
              <w:rPr>
                <w:noProof/>
                <w:webHidden/>
              </w:rPr>
              <w:instrText xml:space="preserve"> PAGEREF _Toc137651049 \h </w:instrText>
            </w:r>
            <w:r w:rsidRPr="002844B1">
              <w:rPr>
                <w:noProof/>
                <w:webHidden/>
              </w:rPr>
            </w:r>
            <w:r w:rsidRPr="002844B1">
              <w:rPr>
                <w:noProof/>
                <w:webHidden/>
              </w:rPr>
              <w:fldChar w:fldCharType="separate"/>
            </w:r>
            <w:r w:rsidRPr="002844B1">
              <w:rPr>
                <w:noProof/>
                <w:webHidden/>
              </w:rPr>
              <w:t>78</w:t>
            </w:r>
            <w:r w:rsidRPr="002844B1">
              <w:rPr>
                <w:noProof/>
                <w:webHidden/>
              </w:rPr>
              <w:fldChar w:fldCharType="end"/>
            </w:r>
          </w:hyperlink>
        </w:p>
        <w:p w:rsidR="00AA7351" w:rsidRPr="002844B1" w:rsidRDefault="00AA7351">
          <w:pPr>
            <w:pStyle w:val="TOC2"/>
            <w:tabs>
              <w:tab w:val="right" w:leader="dot" w:pos="9350"/>
            </w:tabs>
            <w:rPr>
              <w:rFonts w:cstheme="minorBidi"/>
              <w:b w:val="0"/>
              <w:bCs w:val="0"/>
              <w:smallCaps/>
              <w:noProof/>
              <w:kern w:val="2"/>
              <w:sz w:val="24"/>
              <w:szCs w:val="24"/>
              <w14:ligatures w14:val="standardContextual"/>
            </w:rPr>
          </w:pPr>
          <w:hyperlink w:anchor="_Toc137651050" w:history="1">
            <w:r w:rsidRPr="002844B1">
              <w:rPr>
                <w:rStyle w:val="Hyperlink"/>
                <w:noProof/>
              </w:rPr>
              <w:t>Probabilités de défaut :</w:t>
            </w:r>
            <w:r w:rsidRPr="002844B1">
              <w:rPr>
                <w:noProof/>
                <w:webHidden/>
              </w:rPr>
              <w:tab/>
            </w:r>
            <w:r w:rsidRPr="002844B1">
              <w:rPr>
                <w:noProof/>
                <w:webHidden/>
              </w:rPr>
              <w:fldChar w:fldCharType="begin"/>
            </w:r>
            <w:r w:rsidRPr="002844B1">
              <w:rPr>
                <w:noProof/>
                <w:webHidden/>
              </w:rPr>
              <w:instrText xml:space="preserve"> PAGEREF _Toc137651050 \h </w:instrText>
            </w:r>
            <w:r w:rsidRPr="002844B1">
              <w:rPr>
                <w:noProof/>
                <w:webHidden/>
              </w:rPr>
            </w:r>
            <w:r w:rsidRPr="002844B1">
              <w:rPr>
                <w:noProof/>
                <w:webHidden/>
              </w:rPr>
              <w:fldChar w:fldCharType="separate"/>
            </w:r>
            <w:r w:rsidRPr="002844B1">
              <w:rPr>
                <w:noProof/>
                <w:webHidden/>
              </w:rPr>
              <w:t>79</w:t>
            </w:r>
            <w:r w:rsidRPr="002844B1">
              <w:rPr>
                <w:noProof/>
                <w:webHidden/>
              </w:rPr>
              <w:fldChar w:fldCharType="end"/>
            </w:r>
          </w:hyperlink>
        </w:p>
        <w:p w:rsidR="00AA7351" w:rsidRPr="002844B1" w:rsidRDefault="00AA7351">
          <w:pPr>
            <w:pStyle w:val="TOC1"/>
            <w:tabs>
              <w:tab w:val="right" w:leader="dot" w:pos="9350"/>
            </w:tabs>
            <w:rPr>
              <w:rFonts w:cstheme="minorBidi"/>
              <w:b w:val="0"/>
              <w:bCs w:val="0"/>
              <w:caps/>
              <w:noProof/>
              <w:kern w:val="2"/>
              <w:szCs w:val="24"/>
              <w14:ligatures w14:val="standardContextual"/>
            </w:rPr>
          </w:pPr>
          <w:hyperlink w:anchor="_Toc137651051" w:history="1">
            <w:r w:rsidRPr="002844B1">
              <w:rPr>
                <w:rStyle w:val="Hyperlink"/>
                <w:noProof/>
              </w:rPr>
              <w:t>ANNEXE N°3 : TABLES DE MORTALITE TD 88-90</w:t>
            </w:r>
            <w:r w:rsidRPr="002844B1">
              <w:rPr>
                <w:noProof/>
                <w:webHidden/>
              </w:rPr>
              <w:tab/>
            </w:r>
            <w:r w:rsidRPr="002844B1">
              <w:rPr>
                <w:noProof/>
                <w:webHidden/>
              </w:rPr>
              <w:fldChar w:fldCharType="begin"/>
            </w:r>
            <w:r w:rsidRPr="002844B1">
              <w:rPr>
                <w:noProof/>
                <w:webHidden/>
              </w:rPr>
              <w:instrText xml:space="preserve"> PAGEREF _Toc137651051 \h </w:instrText>
            </w:r>
            <w:r w:rsidRPr="002844B1">
              <w:rPr>
                <w:noProof/>
                <w:webHidden/>
              </w:rPr>
            </w:r>
            <w:r w:rsidRPr="002844B1">
              <w:rPr>
                <w:noProof/>
                <w:webHidden/>
              </w:rPr>
              <w:fldChar w:fldCharType="separate"/>
            </w:r>
            <w:r w:rsidRPr="002844B1">
              <w:rPr>
                <w:noProof/>
                <w:webHidden/>
              </w:rPr>
              <w:t>80</w:t>
            </w:r>
            <w:r w:rsidRPr="002844B1">
              <w:rPr>
                <w:noProof/>
                <w:webHidden/>
              </w:rPr>
              <w:fldChar w:fldCharType="end"/>
            </w:r>
          </w:hyperlink>
        </w:p>
        <w:p w:rsidR="00AA7351" w:rsidRPr="002844B1" w:rsidRDefault="00AA7351">
          <w:pPr>
            <w:pStyle w:val="TOC1"/>
            <w:tabs>
              <w:tab w:val="right" w:leader="dot" w:pos="9350"/>
            </w:tabs>
            <w:rPr>
              <w:rFonts w:cstheme="minorBidi"/>
              <w:b w:val="0"/>
              <w:bCs w:val="0"/>
              <w:caps/>
              <w:noProof/>
              <w:kern w:val="2"/>
              <w:szCs w:val="24"/>
              <w14:ligatures w14:val="standardContextual"/>
            </w:rPr>
          </w:pPr>
          <w:hyperlink w:anchor="_Toc137651052" w:history="1">
            <w:r w:rsidRPr="002844B1">
              <w:rPr>
                <w:rStyle w:val="Hyperlink"/>
                <w:noProof/>
              </w:rPr>
              <w:t>ANNEXE N°4 : Vérification des hypothèses de Chain Ladder</w:t>
            </w:r>
            <w:r w:rsidRPr="002844B1">
              <w:rPr>
                <w:noProof/>
                <w:webHidden/>
              </w:rPr>
              <w:tab/>
            </w:r>
            <w:r w:rsidRPr="002844B1">
              <w:rPr>
                <w:noProof/>
                <w:webHidden/>
              </w:rPr>
              <w:fldChar w:fldCharType="begin"/>
            </w:r>
            <w:r w:rsidRPr="002844B1">
              <w:rPr>
                <w:noProof/>
                <w:webHidden/>
              </w:rPr>
              <w:instrText xml:space="preserve"> PAGEREF _Toc137651052 \h </w:instrText>
            </w:r>
            <w:r w:rsidRPr="002844B1">
              <w:rPr>
                <w:noProof/>
                <w:webHidden/>
              </w:rPr>
            </w:r>
            <w:r w:rsidRPr="002844B1">
              <w:rPr>
                <w:noProof/>
                <w:webHidden/>
              </w:rPr>
              <w:fldChar w:fldCharType="separate"/>
            </w:r>
            <w:r w:rsidRPr="002844B1">
              <w:rPr>
                <w:noProof/>
                <w:webHidden/>
              </w:rPr>
              <w:t>83</w:t>
            </w:r>
            <w:r w:rsidRPr="002844B1">
              <w:rPr>
                <w:noProof/>
                <w:webHidden/>
              </w:rPr>
              <w:fldChar w:fldCharType="end"/>
            </w:r>
          </w:hyperlink>
        </w:p>
        <w:p w:rsidR="006C037D" w:rsidRPr="002844B1" w:rsidRDefault="00AA7351" w:rsidP="00AA7351">
          <w:r w:rsidRPr="002844B1">
            <w:rPr>
              <w:b/>
              <w:bCs/>
              <w:noProof/>
            </w:rPr>
            <w:fldChar w:fldCharType="end"/>
          </w:r>
        </w:p>
      </w:sdtContent>
    </w:sdt>
    <w:p w:rsidR="006C037D" w:rsidRPr="002844B1" w:rsidRDefault="006C037D" w:rsidP="00AA7351">
      <w:pPr>
        <w:pStyle w:val="BodyText"/>
        <w:rPr>
          <w:rFonts w:asciiTheme="majorHAnsi" w:eastAsiaTheme="majorEastAsia" w:hAnsiTheme="majorHAnsi" w:cstheme="majorBidi"/>
          <w:color w:val="4A66AC" w:themeColor="accent1"/>
          <w:sz w:val="32"/>
          <w:szCs w:val="32"/>
        </w:rPr>
      </w:pPr>
      <w:r w:rsidRPr="002844B1">
        <w:br w:type="page"/>
      </w:r>
    </w:p>
    <w:p w:rsidR="006C037D" w:rsidRPr="002844B1" w:rsidRDefault="006C037D" w:rsidP="006C037D">
      <w:pPr>
        <w:pStyle w:val="BodyText"/>
        <w:rPr>
          <w:rFonts w:asciiTheme="majorHAnsi" w:eastAsiaTheme="majorEastAsia" w:hAnsiTheme="majorHAnsi" w:cstheme="majorBidi"/>
          <w:color w:val="4A66AC" w:themeColor="accent1"/>
          <w:sz w:val="32"/>
          <w:szCs w:val="32"/>
        </w:rPr>
      </w:pPr>
    </w:p>
    <w:p w:rsidR="006C037D" w:rsidRPr="002844B1" w:rsidRDefault="006C037D" w:rsidP="00AA7351">
      <w:pPr>
        <w:pStyle w:val="headAOD"/>
      </w:pPr>
    </w:p>
    <w:p w:rsidR="005B279D" w:rsidRPr="002844B1" w:rsidRDefault="00000000" w:rsidP="00AA7351">
      <w:pPr>
        <w:pStyle w:val="headAOD"/>
      </w:pPr>
      <w:bookmarkStart w:id="1" w:name="_Toc137650994"/>
      <w:r w:rsidRPr="002844B1">
        <w:t>Organisme d’accueil</w:t>
      </w:r>
      <w:bookmarkEnd w:id="1"/>
    </w:p>
    <w:p w:rsidR="005B279D" w:rsidRPr="002844B1" w:rsidRDefault="00000000" w:rsidP="006C037D">
      <w:pPr>
        <w:pStyle w:val="FirstParagraph"/>
        <w:jc w:val="both"/>
      </w:pPr>
      <w:r w:rsidRPr="002844B1">
        <w:t xml:space="preserve">Créée en 1996, </w:t>
      </w:r>
      <w:r w:rsidRPr="002844B1">
        <w:rPr>
          <w:b/>
          <w:bCs/>
        </w:rPr>
        <w:t>A.R.M CONSULTANTS</w:t>
      </w:r>
      <w:r w:rsidRPr="002844B1">
        <w:t xml:space="preserve"> est le premier cabinet d’actuaires conseils indépendants au Maroc, en Afrique francophone et dans la région MENA, spécialisé dans l’Actuariat, la gestion des risques et l’ingénierie des assurances. Son capital est détenu à 100% par ses associés, ce qui assure au Cabinet une complète indépendance de tout organisme assureur. La présence d’A.R.M CONSULTANTS, qui regroupe des actuaires consultants de haut niveau, disposant d’une formation supérieure pluridisciplinaires et ayant une longue expérience dans les différents domaines du Risk-Management, de l’assurance et de la prévoyance sociale tant en France qu’au Maroc, présente une réelle opportunité pour :</w:t>
      </w:r>
    </w:p>
    <w:p w:rsidR="005B279D" w:rsidRPr="002844B1" w:rsidRDefault="00000000" w:rsidP="006C037D">
      <w:pPr>
        <w:pStyle w:val="Compact"/>
        <w:numPr>
          <w:ilvl w:val="0"/>
          <w:numId w:val="2"/>
        </w:numPr>
        <w:jc w:val="both"/>
      </w:pPr>
      <w:r w:rsidRPr="002844B1">
        <w:t>Les institutions financières qui souhaitent innover et maîtriser leurs risques, pour devenir leaders dans les domaines de l’assurance, de la bancassurance, de la réassurance, de la prévoyance sociale, de la retraite ou du crédit bancaire.</w:t>
      </w:r>
    </w:p>
    <w:p w:rsidR="005B279D" w:rsidRPr="002844B1" w:rsidRDefault="00000000" w:rsidP="006C037D">
      <w:pPr>
        <w:pStyle w:val="Compact"/>
        <w:numPr>
          <w:ilvl w:val="0"/>
          <w:numId w:val="2"/>
        </w:numPr>
        <w:jc w:val="both"/>
      </w:pPr>
      <w:r w:rsidRPr="002844B1">
        <w:t>Les entreprises et les établissements publics, qui souhaitent optimiser leurs performances en matière de gestion de leurs risques, de leurs assurances et de leurs engagements sociaux.</w:t>
      </w:r>
    </w:p>
    <w:p w:rsidR="005B279D" w:rsidRPr="002844B1" w:rsidRDefault="00000000" w:rsidP="006C037D">
      <w:pPr>
        <w:pStyle w:val="Compact"/>
        <w:numPr>
          <w:ilvl w:val="0"/>
          <w:numId w:val="2"/>
        </w:numPr>
        <w:jc w:val="both"/>
      </w:pPr>
      <w:r w:rsidRPr="002844B1">
        <w:t>Les administrations qui cherchent à élaborer des études actuarielles pour améliorer les systèmes existants de couvertures sociales ou mettre en place de nouveaux régimes de prévoyance sociale.</w:t>
      </w:r>
    </w:p>
    <w:p w:rsidR="005B279D" w:rsidRPr="002844B1" w:rsidRDefault="00000000" w:rsidP="006C037D">
      <w:pPr>
        <w:pStyle w:val="FirstParagraph"/>
        <w:jc w:val="both"/>
      </w:pPr>
      <w:r w:rsidRPr="002844B1">
        <w:rPr>
          <w:b/>
          <w:bCs/>
        </w:rPr>
        <w:t>A.R.M CONSULTANTS</w:t>
      </w:r>
      <w:r w:rsidRPr="002844B1">
        <w:t xml:space="preserve"> s’est dotée d’équipes soudées et complémentaires, organisées autour de deux pôles distincts (Institutionnels et Corporat) qui lui permet de couvrir l’ensemble des spécificités actuarielles. Cette richesse, diversité et complémentarité des métiers permet à A.R.M CONSULTANTS de suivre en permanence l’ensemble des évolutions actuarielles et réglementaires. A.R.M CONSULTANTS a su développer et affirmer son </w:t>
      </w:r>
      <w:r w:rsidR="002844B1" w:rsidRPr="002844B1">
        <w:t>savoir-faire</w:t>
      </w:r>
      <w:r w:rsidRPr="002844B1">
        <w:t xml:space="preserve"> et son expertise grâce aux compétences et expériences de ses consultants, à sa spécialisation dans les domaines pointus de l’actuariat et du Risk-Management, et à son approche originale parfaitement adaptée au contexte Marocain et régional, basée sur un conseil extérieur qui est :</w:t>
      </w:r>
    </w:p>
    <w:p w:rsidR="005B279D" w:rsidRPr="002844B1" w:rsidRDefault="00000000" w:rsidP="006C037D">
      <w:pPr>
        <w:pStyle w:val="Compact"/>
        <w:numPr>
          <w:ilvl w:val="0"/>
          <w:numId w:val="3"/>
        </w:numPr>
        <w:jc w:val="both"/>
      </w:pPr>
      <w:r w:rsidRPr="002844B1">
        <w:t>Innovateur</w:t>
      </w:r>
      <w:r w:rsidR="00AA7351" w:rsidRPr="002844B1">
        <w:t>,</w:t>
      </w:r>
    </w:p>
    <w:p w:rsidR="005B279D" w:rsidRPr="002844B1" w:rsidRDefault="00000000" w:rsidP="006C037D">
      <w:pPr>
        <w:pStyle w:val="Compact"/>
        <w:numPr>
          <w:ilvl w:val="0"/>
          <w:numId w:val="3"/>
        </w:numPr>
        <w:jc w:val="both"/>
      </w:pPr>
      <w:r w:rsidRPr="002844B1">
        <w:t>Indépendant.</w:t>
      </w:r>
    </w:p>
    <w:p w:rsidR="006C037D" w:rsidRPr="002844B1" w:rsidRDefault="00000000" w:rsidP="006C037D">
      <w:pPr>
        <w:pStyle w:val="Compact"/>
        <w:numPr>
          <w:ilvl w:val="0"/>
          <w:numId w:val="3"/>
        </w:numPr>
        <w:jc w:val="both"/>
      </w:pPr>
      <w:r w:rsidRPr="002844B1">
        <w:t>International, par le biais de son partenariat avec des sociétés similaires de renommée internationale.</w:t>
      </w:r>
    </w:p>
    <w:p w:rsidR="006C037D" w:rsidRPr="002844B1" w:rsidRDefault="006C037D" w:rsidP="006C037D">
      <w:pPr>
        <w:pStyle w:val="Compact"/>
        <w:jc w:val="both"/>
      </w:pPr>
    </w:p>
    <w:p w:rsidR="006C037D" w:rsidRPr="002844B1" w:rsidRDefault="006C037D">
      <w:r w:rsidRPr="002844B1">
        <w:br w:type="page"/>
      </w:r>
    </w:p>
    <w:p w:rsidR="006C037D" w:rsidRPr="002844B1" w:rsidRDefault="006C037D" w:rsidP="006C037D">
      <w:pPr>
        <w:pStyle w:val="Compact"/>
        <w:jc w:val="both"/>
      </w:pPr>
    </w:p>
    <w:p w:rsidR="005B279D" w:rsidRPr="002844B1" w:rsidRDefault="00000000" w:rsidP="00AA7351">
      <w:pPr>
        <w:pStyle w:val="headAOD"/>
      </w:pPr>
      <w:bookmarkStart w:id="2" w:name="_Toc137650995"/>
      <w:bookmarkEnd w:id="0"/>
      <w:r w:rsidRPr="002844B1">
        <w:t>Liste des abréviations</w:t>
      </w:r>
      <w:bookmarkStart w:id="3" w:name="liste-des-abréviations"/>
      <w:bookmarkEnd w:id="2"/>
    </w:p>
    <w:tbl>
      <w:tblPr>
        <w:tblStyle w:val="GridTable2-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276"/>
        <w:gridCol w:w="3544"/>
        <w:gridCol w:w="1640"/>
        <w:gridCol w:w="2890"/>
      </w:tblGrid>
      <w:tr w:rsidR="005B279D" w:rsidRPr="002844B1" w:rsidTr="006A0BB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rsidR="005B279D" w:rsidRPr="002844B1" w:rsidRDefault="00000000">
            <w:pPr>
              <w:pStyle w:val="Compact"/>
            </w:pPr>
            <w:r w:rsidRPr="002844B1">
              <w:t>Abréviation</w:t>
            </w:r>
          </w:p>
        </w:tc>
        <w:tc>
          <w:tcPr>
            <w:tcW w:w="3544" w:type="dxa"/>
            <w:tcBorders>
              <w:top w:val="none" w:sz="0" w:space="0" w:color="auto"/>
              <w:left w:val="none" w:sz="0" w:space="0" w:color="auto"/>
              <w:bottom w:val="none" w:sz="0" w:space="0" w:color="auto"/>
              <w:right w:val="none" w:sz="0" w:space="0" w:color="auto"/>
            </w:tcBorders>
          </w:tcPr>
          <w:p w:rsidR="005B279D" w:rsidRPr="002844B1" w:rsidRDefault="00000000">
            <w:pPr>
              <w:pStyle w:val="Compact"/>
              <w:cnfStyle w:val="100000000000" w:firstRow="1" w:lastRow="0" w:firstColumn="0" w:lastColumn="0" w:oddVBand="0" w:evenVBand="0" w:oddHBand="0" w:evenHBand="0" w:firstRowFirstColumn="0" w:firstRowLastColumn="0" w:lastRowFirstColumn="0" w:lastRowLastColumn="0"/>
            </w:pPr>
            <w:r w:rsidRPr="002844B1">
              <w:t>Désignation</w:t>
            </w:r>
          </w:p>
        </w:tc>
        <w:tc>
          <w:tcPr>
            <w:cnfStyle w:val="000010000000" w:firstRow="0" w:lastRow="0" w:firstColumn="0" w:lastColumn="0" w:oddVBand="1" w:evenVBand="0" w:oddHBand="0" w:evenHBand="0" w:firstRowFirstColumn="0" w:firstRowLastColumn="0" w:lastRowFirstColumn="0" w:lastRowLastColumn="0"/>
            <w:tcW w:w="1640" w:type="dxa"/>
            <w:tcBorders>
              <w:top w:val="none" w:sz="0" w:space="0" w:color="auto"/>
              <w:left w:val="none" w:sz="0" w:space="0" w:color="auto"/>
              <w:bottom w:val="none" w:sz="0" w:space="0" w:color="auto"/>
              <w:right w:val="none" w:sz="0" w:space="0" w:color="auto"/>
            </w:tcBorders>
          </w:tcPr>
          <w:p w:rsidR="005B279D" w:rsidRPr="002844B1" w:rsidRDefault="006A0BBC">
            <w:pPr>
              <w:pStyle w:val="Compact"/>
            </w:pPr>
            <w:r w:rsidRPr="002844B1">
              <w:t>Abréviation</w:t>
            </w:r>
          </w:p>
        </w:tc>
        <w:tc>
          <w:tcPr>
            <w:tcW w:w="0" w:type="auto"/>
            <w:tcBorders>
              <w:top w:val="none" w:sz="0" w:space="0" w:color="auto"/>
              <w:left w:val="none" w:sz="0" w:space="0" w:color="auto"/>
              <w:bottom w:val="none" w:sz="0" w:space="0" w:color="auto"/>
            </w:tcBorders>
          </w:tcPr>
          <w:p w:rsidR="005B279D" w:rsidRPr="002844B1" w:rsidRDefault="006A0BBC">
            <w:pPr>
              <w:pStyle w:val="Compact"/>
              <w:cnfStyle w:val="100000000000" w:firstRow="1" w:lastRow="0" w:firstColumn="0" w:lastColumn="0" w:oddVBand="0" w:evenVBand="0" w:oddHBand="0" w:evenHBand="0" w:firstRowFirstColumn="0" w:firstRowLastColumn="0" w:lastRowFirstColumn="0" w:lastRowLastColumn="0"/>
            </w:pPr>
            <w:r w:rsidRPr="002844B1">
              <w:t>Désignation</w:t>
            </w:r>
          </w:p>
        </w:tc>
      </w:tr>
      <w:tr w:rsidR="005B279D" w:rsidRPr="002844B1"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Adj</w:t>
            </w:r>
          </w:p>
        </w:tc>
        <w:tc>
          <w:tcPr>
            <w:tcW w:w="3544" w:type="dxa"/>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Ajustement pour défaut de contrepartie</w:t>
            </w:r>
          </w:p>
        </w:tc>
        <w:tc>
          <w:tcPr>
            <w:cnfStyle w:val="000010000000" w:firstRow="0" w:lastRow="0" w:firstColumn="0" w:lastColumn="0" w:oddVBand="1" w:evenVBand="0" w:oddHBand="0" w:evenHBand="0" w:firstRowFirstColumn="0" w:firstRowLastColumn="0" w:lastRowFirstColumn="0" w:lastRowLastColumn="0"/>
            <w:tcW w:w="1640" w:type="dxa"/>
          </w:tcPr>
          <w:p w:rsidR="005B279D" w:rsidRPr="002844B1" w:rsidRDefault="00000000">
            <w:pPr>
              <w:pStyle w:val="Compact"/>
            </w:pPr>
            <w:r w:rsidRPr="002844B1">
              <w:t>FGU</w:t>
            </w:r>
          </w:p>
        </w:tc>
        <w:tc>
          <w:tcPr>
            <w:tcW w:w="0" w:type="auto"/>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Frais de gestion unitaire</w:t>
            </w:r>
          </w:p>
        </w:tc>
      </w:tr>
      <w:tr w:rsidR="005B279D" w:rsidRPr="002844B1" w:rsidTr="006A0BB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AT</w:t>
            </w:r>
          </w:p>
        </w:tc>
        <w:tc>
          <w:tcPr>
            <w:tcW w:w="3544" w:type="dxa"/>
          </w:tcPr>
          <w:p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pPr>
            <w:r w:rsidRPr="002844B1">
              <w:t>Accident de travail</w:t>
            </w:r>
          </w:p>
        </w:tc>
        <w:tc>
          <w:tcPr>
            <w:cnfStyle w:val="000010000000" w:firstRow="0" w:lastRow="0" w:firstColumn="0" w:lastColumn="0" w:oddVBand="1" w:evenVBand="0" w:oddHBand="0" w:evenHBand="0" w:firstRowFirstColumn="0" w:firstRowLastColumn="0" w:lastRowFirstColumn="0" w:lastRowLastColumn="0"/>
            <w:tcW w:w="1640" w:type="dxa"/>
          </w:tcPr>
          <w:p w:rsidR="005B279D" w:rsidRPr="002844B1" w:rsidRDefault="00000000">
            <w:pPr>
              <w:pStyle w:val="Compact"/>
            </w:pPr>
            <w:r w:rsidRPr="002844B1">
              <w:t>FRFP</w:t>
            </w:r>
          </w:p>
        </w:tc>
        <w:tc>
          <w:tcPr>
            <w:tcW w:w="0" w:type="auto"/>
          </w:tcPr>
          <w:p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pPr>
            <w:r w:rsidRPr="002844B1">
              <w:t>Flux de règlements futurs probabilisés</w:t>
            </w:r>
          </w:p>
        </w:tc>
      </w:tr>
      <w:tr w:rsidR="005B279D" w:rsidRPr="002844B1"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BE</w:t>
            </w:r>
          </w:p>
        </w:tc>
        <w:tc>
          <w:tcPr>
            <w:tcW w:w="3544" w:type="dxa"/>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Best Estimate</w:t>
            </w:r>
          </w:p>
        </w:tc>
        <w:tc>
          <w:tcPr>
            <w:cnfStyle w:val="000010000000" w:firstRow="0" w:lastRow="0" w:firstColumn="0" w:lastColumn="0" w:oddVBand="1" w:evenVBand="0" w:oddHBand="0" w:evenHBand="0" w:firstRowFirstColumn="0" w:firstRowLastColumn="0" w:lastRowFirstColumn="0" w:lastRowLastColumn="0"/>
            <w:tcW w:w="1640" w:type="dxa"/>
          </w:tcPr>
          <w:p w:rsidR="005B279D" w:rsidRPr="002844B1" w:rsidRDefault="00000000">
            <w:pPr>
              <w:pStyle w:val="Compact"/>
            </w:pPr>
            <w:r w:rsidRPr="002844B1">
              <w:t>MR</w:t>
            </w:r>
          </w:p>
        </w:tc>
        <w:tc>
          <w:tcPr>
            <w:tcW w:w="0" w:type="auto"/>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Marge de Risque</w:t>
            </w:r>
          </w:p>
        </w:tc>
      </w:tr>
      <w:tr w:rsidR="005B279D" w:rsidRPr="002844B1" w:rsidTr="006A0BB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BE_eng</w:t>
            </w:r>
          </w:p>
        </w:tc>
        <w:tc>
          <w:tcPr>
            <w:tcW w:w="3544" w:type="dxa"/>
          </w:tcPr>
          <w:p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pPr>
            <w:r w:rsidRPr="002844B1">
              <w:t>Meilleure Estimation des engagements</w:t>
            </w:r>
          </w:p>
        </w:tc>
        <w:tc>
          <w:tcPr>
            <w:cnfStyle w:val="000010000000" w:firstRow="0" w:lastRow="0" w:firstColumn="0" w:lastColumn="0" w:oddVBand="1" w:evenVBand="0" w:oddHBand="0" w:evenHBand="0" w:firstRowFirstColumn="0" w:firstRowLastColumn="0" w:lastRowFirstColumn="0" w:lastRowLastColumn="0"/>
            <w:tcW w:w="1640" w:type="dxa"/>
          </w:tcPr>
          <w:p w:rsidR="005B279D" w:rsidRPr="002844B1" w:rsidRDefault="00000000">
            <w:pPr>
              <w:pStyle w:val="Compact"/>
            </w:pPr>
            <w:r w:rsidRPr="002844B1">
              <w:t>NbC</w:t>
            </w:r>
          </w:p>
        </w:tc>
        <w:tc>
          <w:tcPr>
            <w:tcW w:w="0" w:type="auto"/>
          </w:tcPr>
          <w:p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pPr>
            <w:r w:rsidRPr="002844B1">
              <w:t>Nombre de contrats</w:t>
            </w:r>
          </w:p>
        </w:tc>
      </w:tr>
      <w:tr w:rsidR="005B279D" w:rsidRPr="002844B1"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BEC_eng</w:t>
            </w:r>
          </w:p>
        </w:tc>
        <w:tc>
          <w:tcPr>
            <w:tcW w:w="3544" w:type="dxa"/>
          </w:tcPr>
          <w:p w:rsidR="005B279D" w:rsidRPr="002844B1" w:rsidRDefault="002844B1">
            <w:pPr>
              <w:pStyle w:val="Compact"/>
              <w:cnfStyle w:val="000000100000" w:firstRow="0" w:lastRow="0" w:firstColumn="0" w:lastColumn="0" w:oddVBand="0" w:evenVBand="0" w:oddHBand="1" w:evenHBand="0" w:firstRowFirstColumn="0" w:firstRowLastColumn="0" w:lastRowFirstColumn="0" w:lastRowLastColumn="0"/>
            </w:pPr>
            <w:r w:rsidRPr="002844B1">
              <w:t>Meilleure</w:t>
            </w:r>
            <w:r w:rsidR="00000000" w:rsidRPr="002844B1">
              <w:t xml:space="preserve"> estimation des engagements cédés</w:t>
            </w:r>
          </w:p>
        </w:tc>
        <w:tc>
          <w:tcPr>
            <w:cnfStyle w:val="000010000000" w:firstRow="0" w:lastRow="0" w:firstColumn="0" w:lastColumn="0" w:oddVBand="1" w:evenVBand="0" w:oddHBand="0" w:evenHBand="0" w:firstRowFirstColumn="0" w:firstRowLastColumn="0" w:lastRowFirstColumn="0" w:lastRowLastColumn="0"/>
            <w:tcW w:w="1640" w:type="dxa"/>
          </w:tcPr>
          <w:p w:rsidR="005B279D" w:rsidRPr="002844B1" w:rsidRDefault="00000000">
            <w:pPr>
              <w:pStyle w:val="Compact"/>
            </w:pPr>
            <w:r w:rsidRPr="002844B1">
              <w:t>PA</w:t>
            </w:r>
          </w:p>
        </w:tc>
        <w:tc>
          <w:tcPr>
            <w:tcW w:w="0" w:type="auto"/>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Primes Acquises</w:t>
            </w:r>
          </w:p>
        </w:tc>
      </w:tr>
      <w:tr w:rsidR="005B279D" w:rsidRPr="002844B1" w:rsidTr="006A0BB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BEFG</w:t>
            </w:r>
          </w:p>
        </w:tc>
        <w:tc>
          <w:tcPr>
            <w:tcW w:w="3544" w:type="dxa"/>
          </w:tcPr>
          <w:p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pPr>
            <w:r w:rsidRPr="002844B1">
              <w:t>Meilleure Estimation des frais de gestion</w:t>
            </w:r>
          </w:p>
        </w:tc>
        <w:tc>
          <w:tcPr>
            <w:cnfStyle w:val="000010000000" w:firstRow="0" w:lastRow="0" w:firstColumn="0" w:lastColumn="0" w:oddVBand="1" w:evenVBand="0" w:oddHBand="0" w:evenHBand="0" w:firstRowFirstColumn="0" w:firstRowLastColumn="0" w:lastRowFirstColumn="0" w:lastRowLastColumn="0"/>
            <w:tcW w:w="1640" w:type="dxa"/>
          </w:tcPr>
          <w:p w:rsidR="005B279D" w:rsidRPr="002844B1" w:rsidRDefault="00000000">
            <w:pPr>
              <w:pStyle w:val="Compact"/>
            </w:pPr>
            <w:r w:rsidRPr="002844B1">
              <w:t>PC</w:t>
            </w:r>
          </w:p>
        </w:tc>
        <w:tc>
          <w:tcPr>
            <w:tcW w:w="0" w:type="auto"/>
          </w:tcPr>
          <w:p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pPr>
            <w:r w:rsidRPr="002844B1">
              <w:t>Part des Cessionnaires</w:t>
            </w:r>
          </w:p>
        </w:tc>
      </w:tr>
      <w:tr w:rsidR="005B279D" w:rsidRPr="002844B1"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BEGP</w:t>
            </w:r>
          </w:p>
        </w:tc>
        <w:tc>
          <w:tcPr>
            <w:tcW w:w="3544" w:type="dxa"/>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Meilleure Estimation des garanties probabilisées</w:t>
            </w:r>
          </w:p>
        </w:tc>
        <w:tc>
          <w:tcPr>
            <w:cnfStyle w:val="000010000000" w:firstRow="0" w:lastRow="0" w:firstColumn="0" w:lastColumn="0" w:oddVBand="1" w:evenVBand="0" w:oddHBand="0" w:evenHBand="0" w:firstRowFirstColumn="0" w:firstRowLastColumn="0" w:lastRowFirstColumn="0" w:lastRowLastColumn="0"/>
            <w:tcW w:w="1640" w:type="dxa"/>
          </w:tcPr>
          <w:p w:rsidR="005B279D" w:rsidRPr="002844B1" w:rsidRDefault="00000000">
            <w:pPr>
              <w:pStyle w:val="Compact"/>
            </w:pPr>
            <w:r w:rsidRPr="002844B1">
              <w:t>PD</w:t>
            </w:r>
          </w:p>
        </w:tc>
        <w:tc>
          <w:tcPr>
            <w:tcW w:w="0" w:type="auto"/>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Probabilité de Défaut</w:t>
            </w:r>
          </w:p>
        </w:tc>
      </w:tr>
      <w:tr w:rsidR="005B279D" w:rsidRPr="002844B1" w:rsidTr="006A0BB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BEP</w:t>
            </w:r>
          </w:p>
        </w:tc>
        <w:tc>
          <w:tcPr>
            <w:tcW w:w="3544" w:type="dxa"/>
          </w:tcPr>
          <w:p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pPr>
            <w:r w:rsidRPr="002844B1">
              <w:t>Meilleure estimation des engagements pour primes</w:t>
            </w:r>
          </w:p>
        </w:tc>
        <w:tc>
          <w:tcPr>
            <w:cnfStyle w:val="000010000000" w:firstRow="0" w:lastRow="0" w:firstColumn="0" w:lastColumn="0" w:oddVBand="1" w:evenVBand="0" w:oddHBand="0" w:evenHBand="0" w:firstRowFirstColumn="0" w:firstRowLastColumn="0" w:lastRowFirstColumn="0" w:lastRowLastColumn="0"/>
            <w:tcW w:w="1640" w:type="dxa"/>
          </w:tcPr>
          <w:p w:rsidR="005B279D" w:rsidRPr="002844B1" w:rsidRDefault="00000000">
            <w:pPr>
              <w:pStyle w:val="Compact"/>
            </w:pPr>
            <w:r w:rsidRPr="002844B1">
              <w:t>PFPA</w:t>
            </w:r>
          </w:p>
        </w:tc>
        <w:tc>
          <w:tcPr>
            <w:tcW w:w="0" w:type="auto"/>
          </w:tcPr>
          <w:p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pPr>
            <w:r w:rsidRPr="002844B1">
              <w:t>Primes Futures Probabilisé et Actualisé</w:t>
            </w:r>
          </w:p>
        </w:tc>
      </w:tr>
      <w:tr w:rsidR="005B279D" w:rsidRPr="002844B1"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BEPC</w:t>
            </w:r>
          </w:p>
        </w:tc>
        <w:tc>
          <w:tcPr>
            <w:tcW w:w="3544" w:type="dxa"/>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Meilleure Estimation des Engagements pour Primes cédés</w:t>
            </w:r>
          </w:p>
        </w:tc>
        <w:tc>
          <w:tcPr>
            <w:cnfStyle w:val="000010000000" w:firstRow="0" w:lastRow="0" w:firstColumn="0" w:lastColumn="0" w:oddVBand="1" w:evenVBand="0" w:oddHBand="0" w:evenHBand="0" w:firstRowFirstColumn="0" w:firstRowLastColumn="0" w:lastRowFirstColumn="0" w:lastRowLastColumn="0"/>
            <w:tcW w:w="1640" w:type="dxa"/>
          </w:tcPr>
          <w:p w:rsidR="005B279D" w:rsidRPr="002844B1" w:rsidRDefault="00000000">
            <w:pPr>
              <w:pStyle w:val="Compact"/>
            </w:pPr>
            <w:r w:rsidRPr="002844B1">
              <w:t>PPB</w:t>
            </w:r>
          </w:p>
        </w:tc>
        <w:tc>
          <w:tcPr>
            <w:tcW w:w="0" w:type="auto"/>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Provision pour participation aux bénéfices</w:t>
            </w:r>
          </w:p>
        </w:tc>
      </w:tr>
      <w:tr w:rsidR="005B279D" w:rsidRPr="002844B1" w:rsidTr="006A0BB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BES</w:t>
            </w:r>
          </w:p>
        </w:tc>
        <w:tc>
          <w:tcPr>
            <w:tcW w:w="3544" w:type="dxa"/>
          </w:tcPr>
          <w:p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pPr>
            <w:r w:rsidRPr="002844B1">
              <w:t>Meilleure estimation des engagements pour sinistres</w:t>
            </w:r>
          </w:p>
        </w:tc>
        <w:tc>
          <w:tcPr>
            <w:cnfStyle w:val="000010000000" w:firstRow="0" w:lastRow="0" w:firstColumn="0" w:lastColumn="0" w:oddVBand="1" w:evenVBand="0" w:oddHBand="0" w:evenHBand="0" w:firstRowFirstColumn="0" w:firstRowLastColumn="0" w:lastRowFirstColumn="0" w:lastRowLastColumn="0"/>
            <w:tcW w:w="1640" w:type="dxa"/>
          </w:tcPr>
          <w:p w:rsidR="005B279D" w:rsidRPr="002844B1" w:rsidRDefault="00000000">
            <w:pPr>
              <w:pStyle w:val="Compact"/>
            </w:pPr>
            <w:r w:rsidRPr="002844B1">
              <w:t>PPNA</w:t>
            </w:r>
          </w:p>
        </w:tc>
        <w:tc>
          <w:tcPr>
            <w:tcW w:w="0" w:type="auto"/>
          </w:tcPr>
          <w:p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pPr>
            <w:r w:rsidRPr="002844B1">
              <w:t>Provision pour primes non Acquises</w:t>
            </w:r>
          </w:p>
        </w:tc>
      </w:tr>
      <w:tr w:rsidR="005B279D" w:rsidRPr="002844B1"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BESC</w:t>
            </w:r>
          </w:p>
        </w:tc>
        <w:tc>
          <w:tcPr>
            <w:tcW w:w="3544" w:type="dxa"/>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Meilleure Estimation des Engagements pour Sinistres cédés</w:t>
            </w:r>
          </w:p>
        </w:tc>
        <w:tc>
          <w:tcPr>
            <w:cnfStyle w:val="000010000000" w:firstRow="0" w:lastRow="0" w:firstColumn="0" w:lastColumn="0" w:oddVBand="1" w:evenVBand="0" w:oddHBand="0" w:evenHBand="0" w:firstRowFirstColumn="0" w:firstRowLastColumn="0" w:lastRowFirstColumn="0" w:lastRowLastColumn="0"/>
            <w:tcW w:w="1640" w:type="dxa"/>
          </w:tcPr>
          <w:p w:rsidR="005B279D" w:rsidRPr="002844B1" w:rsidRDefault="00000000">
            <w:pPr>
              <w:pStyle w:val="Compact"/>
            </w:pPr>
            <w:r w:rsidRPr="002844B1">
              <w:t>PT</w:t>
            </w:r>
          </w:p>
        </w:tc>
        <w:tc>
          <w:tcPr>
            <w:tcW w:w="0" w:type="auto"/>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Provision Technique</w:t>
            </w:r>
          </w:p>
        </w:tc>
      </w:tr>
      <w:tr w:rsidR="005B279D" w:rsidRPr="002844B1" w:rsidTr="006A0BB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CSR</w:t>
            </w:r>
          </w:p>
        </w:tc>
        <w:tc>
          <w:tcPr>
            <w:tcW w:w="3544" w:type="dxa"/>
          </w:tcPr>
          <w:p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pPr>
            <w:r w:rsidRPr="002844B1">
              <w:t>Capital de Solvabilité Requis</w:t>
            </w:r>
          </w:p>
        </w:tc>
        <w:tc>
          <w:tcPr>
            <w:cnfStyle w:val="000010000000" w:firstRow="0" w:lastRow="0" w:firstColumn="0" w:lastColumn="0" w:oddVBand="1" w:evenVBand="0" w:oddHBand="0" w:evenHBand="0" w:firstRowFirstColumn="0" w:firstRowLastColumn="0" w:lastRowFirstColumn="0" w:lastRowLastColumn="0"/>
            <w:tcW w:w="1640" w:type="dxa"/>
          </w:tcPr>
          <w:p w:rsidR="005B279D" w:rsidRPr="002844B1" w:rsidRDefault="00000000">
            <w:pPr>
              <w:pStyle w:val="Compact"/>
            </w:pPr>
            <w:r w:rsidRPr="002844B1">
              <w:t>RègC</w:t>
            </w:r>
          </w:p>
        </w:tc>
        <w:tc>
          <w:tcPr>
            <w:tcW w:w="0" w:type="auto"/>
          </w:tcPr>
          <w:p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pPr>
            <w:r w:rsidRPr="002844B1">
              <w:t>Règlements cumulés</w:t>
            </w:r>
          </w:p>
        </w:tc>
      </w:tr>
      <w:tr w:rsidR="005B279D" w:rsidRPr="002844B1"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CSRB</w:t>
            </w:r>
          </w:p>
        </w:tc>
        <w:tc>
          <w:tcPr>
            <w:tcW w:w="3544" w:type="dxa"/>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Capital de solvabilité requis de base</w:t>
            </w:r>
          </w:p>
        </w:tc>
        <w:tc>
          <w:tcPr>
            <w:cnfStyle w:val="000010000000" w:firstRow="0" w:lastRow="0" w:firstColumn="0" w:lastColumn="0" w:oddVBand="1" w:evenVBand="0" w:oddHBand="0" w:evenHBand="0" w:firstRowFirstColumn="0" w:firstRowLastColumn="0" w:lastRowFirstColumn="0" w:lastRowLastColumn="0"/>
            <w:tcW w:w="1640" w:type="dxa"/>
          </w:tcPr>
          <w:p w:rsidR="005B279D" w:rsidRPr="002844B1" w:rsidRDefault="00000000">
            <w:pPr>
              <w:pStyle w:val="Compact"/>
            </w:pPr>
            <w:r w:rsidRPr="002844B1">
              <w:t>RègF</w:t>
            </w:r>
          </w:p>
        </w:tc>
        <w:tc>
          <w:tcPr>
            <w:tcW w:w="0" w:type="auto"/>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Règlements futurs</w:t>
            </w:r>
          </w:p>
        </w:tc>
      </w:tr>
      <w:tr w:rsidR="005B279D" w:rsidRPr="002844B1" w:rsidTr="006A0BB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CSRO</w:t>
            </w:r>
          </w:p>
        </w:tc>
        <w:tc>
          <w:tcPr>
            <w:tcW w:w="3544" w:type="dxa"/>
          </w:tcPr>
          <w:p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pPr>
            <w:r w:rsidRPr="002844B1">
              <w:t>Capital de solvabilité requis relative au risque Opérationnel</w:t>
            </w:r>
          </w:p>
        </w:tc>
        <w:tc>
          <w:tcPr>
            <w:cnfStyle w:val="000010000000" w:firstRow="0" w:lastRow="0" w:firstColumn="0" w:lastColumn="0" w:oddVBand="1" w:evenVBand="0" w:oddHBand="0" w:evenHBand="0" w:firstRowFirstColumn="0" w:firstRowLastColumn="0" w:lastRowFirstColumn="0" w:lastRowLastColumn="0"/>
            <w:tcW w:w="1640" w:type="dxa"/>
          </w:tcPr>
          <w:p w:rsidR="005B279D" w:rsidRPr="002844B1" w:rsidRDefault="00000000">
            <w:pPr>
              <w:pStyle w:val="Compact"/>
            </w:pPr>
            <w:r w:rsidRPr="002844B1">
              <w:t>RF</w:t>
            </w:r>
          </w:p>
        </w:tc>
        <w:tc>
          <w:tcPr>
            <w:tcW w:w="0" w:type="auto"/>
          </w:tcPr>
          <w:p w:rsidR="005B279D" w:rsidRPr="002844B1" w:rsidRDefault="002844B1">
            <w:pPr>
              <w:pStyle w:val="Compact"/>
              <w:cnfStyle w:val="000000000000" w:firstRow="0" w:lastRow="0" w:firstColumn="0" w:lastColumn="0" w:oddVBand="0" w:evenVBand="0" w:oddHBand="0" w:evenHBand="0" w:firstRowFirstColumn="0" w:firstRowLastColumn="0" w:lastRowFirstColumn="0" w:lastRowLastColumn="0"/>
            </w:pPr>
            <w:r w:rsidRPr="002844B1">
              <w:t>Les</w:t>
            </w:r>
            <w:r w:rsidR="00000000" w:rsidRPr="002844B1">
              <w:t xml:space="preserve"> résultats financiers.</w:t>
            </w:r>
          </w:p>
        </w:tc>
      </w:tr>
      <w:tr w:rsidR="005B279D" w:rsidRPr="002844B1"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CU</w:t>
            </w:r>
          </w:p>
        </w:tc>
        <w:tc>
          <w:tcPr>
            <w:tcW w:w="3544" w:type="dxa"/>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Charge Ultime</w:t>
            </w:r>
          </w:p>
        </w:tc>
        <w:tc>
          <w:tcPr>
            <w:cnfStyle w:val="000010000000" w:firstRow="0" w:lastRow="0" w:firstColumn="0" w:lastColumn="0" w:oddVBand="1" w:evenVBand="0" w:oddHBand="0" w:evenHBand="0" w:firstRowFirstColumn="0" w:firstRowLastColumn="0" w:lastRowFirstColumn="0" w:lastRowLastColumn="0"/>
            <w:tcW w:w="1640" w:type="dxa"/>
          </w:tcPr>
          <w:p w:rsidR="005B279D" w:rsidRPr="002844B1" w:rsidRDefault="00000000">
            <w:pPr>
              <w:pStyle w:val="Compact"/>
            </w:pPr>
            <w:r w:rsidRPr="002844B1">
              <w:t>RS</w:t>
            </w:r>
          </w:p>
        </w:tc>
        <w:tc>
          <w:tcPr>
            <w:tcW w:w="0" w:type="auto"/>
          </w:tcPr>
          <w:p w:rsidR="005B279D" w:rsidRPr="002844B1" w:rsidRDefault="002844B1">
            <w:pPr>
              <w:pStyle w:val="Compact"/>
              <w:cnfStyle w:val="000000100000" w:firstRow="0" w:lastRow="0" w:firstColumn="0" w:lastColumn="0" w:oddVBand="0" w:evenVBand="0" w:oddHBand="1" w:evenHBand="0" w:firstRowFirstColumn="0" w:firstRowLastColumn="0" w:lastRowFirstColumn="0" w:lastRowLastColumn="0"/>
            </w:pPr>
            <w:r w:rsidRPr="002844B1">
              <w:t>Ratio</w:t>
            </w:r>
            <w:r w:rsidR="00000000" w:rsidRPr="002844B1">
              <w:t xml:space="preserve"> de sinistralité</w:t>
            </w:r>
          </w:p>
        </w:tc>
      </w:tr>
      <w:tr w:rsidR="005B279D" w:rsidRPr="002844B1" w:rsidTr="006A0BB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Dec</w:t>
            </w:r>
          </w:p>
        </w:tc>
        <w:tc>
          <w:tcPr>
            <w:tcW w:w="3544" w:type="dxa"/>
          </w:tcPr>
          <w:p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pPr>
            <w:r w:rsidRPr="002844B1">
              <w:t>Les décaissements</w:t>
            </w:r>
          </w:p>
        </w:tc>
        <w:tc>
          <w:tcPr>
            <w:cnfStyle w:val="000010000000" w:firstRow="0" w:lastRow="0" w:firstColumn="0" w:lastColumn="0" w:oddVBand="1" w:evenVBand="0" w:oddHBand="0" w:evenHBand="0" w:firstRowFirstColumn="0" w:firstRowLastColumn="0" w:lastRowFirstColumn="0" w:lastRowLastColumn="0"/>
            <w:tcW w:w="1640" w:type="dxa"/>
          </w:tcPr>
          <w:p w:rsidR="005B279D" w:rsidRPr="002844B1" w:rsidRDefault="00000000">
            <w:pPr>
              <w:pStyle w:val="Compact"/>
            </w:pPr>
            <w:r w:rsidRPr="002844B1">
              <w:t>RT</w:t>
            </w:r>
          </w:p>
        </w:tc>
        <w:tc>
          <w:tcPr>
            <w:tcW w:w="0" w:type="auto"/>
          </w:tcPr>
          <w:p w:rsidR="005B279D" w:rsidRPr="002844B1" w:rsidRDefault="002844B1">
            <w:pPr>
              <w:pStyle w:val="Compact"/>
              <w:cnfStyle w:val="000000000000" w:firstRow="0" w:lastRow="0" w:firstColumn="0" w:lastColumn="0" w:oddVBand="0" w:evenVBand="0" w:oddHBand="0" w:evenHBand="0" w:firstRowFirstColumn="0" w:firstRowLastColumn="0" w:lastRowFirstColumn="0" w:lastRowLastColumn="0"/>
            </w:pPr>
            <w:r w:rsidRPr="002844B1">
              <w:t>Les</w:t>
            </w:r>
            <w:r w:rsidR="00000000" w:rsidRPr="002844B1">
              <w:t xml:space="preserve"> résultats techniques.</w:t>
            </w:r>
          </w:p>
        </w:tc>
      </w:tr>
      <w:tr w:rsidR="005B279D" w:rsidRPr="002844B1"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Dot</w:t>
            </w:r>
          </w:p>
        </w:tc>
        <w:tc>
          <w:tcPr>
            <w:tcW w:w="3544" w:type="dxa"/>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Dotations</w:t>
            </w:r>
          </w:p>
        </w:tc>
        <w:tc>
          <w:tcPr>
            <w:cnfStyle w:val="000010000000" w:firstRow="0" w:lastRow="0" w:firstColumn="0" w:lastColumn="0" w:oddVBand="1" w:evenVBand="0" w:oddHBand="0" w:evenHBand="0" w:firstRowFirstColumn="0" w:firstRowLastColumn="0" w:lastRowFirstColumn="0" w:lastRowLastColumn="0"/>
            <w:tcW w:w="1640" w:type="dxa"/>
          </w:tcPr>
          <w:p w:rsidR="005B279D" w:rsidRPr="002844B1" w:rsidRDefault="00000000">
            <w:pPr>
              <w:pStyle w:val="Compact"/>
            </w:pPr>
            <w:r w:rsidRPr="002844B1">
              <w:t>ST</w:t>
            </w:r>
          </w:p>
        </w:tc>
        <w:tc>
          <w:tcPr>
            <w:tcW w:w="0" w:type="auto"/>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Soldes Techniques</w:t>
            </w:r>
          </w:p>
        </w:tc>
      </w:tr>
      <w:tr w:rsidR="005B279D" w:rsidRPr="002844B1" w:rsidTr="006A0BB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Enc</w:t>
            </w:r>
          </w:p>
        </w:tc>
        <w:tc>
          <w:tcPr>
            <w:tcW w:w="3544" w:type="dxa"/>
          </w:tcPr>
          <w:p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pPr>
            <w:r w:rsidRPr="002844B1">
              <w:t>Les encaissements</w:t>
            </w:r>
          </w:p>
        </w:tc>
        <w:tc>
          <w:tcPr>
            <w:cnfStyle w:val="000010000000" w:firstRow="0" w:lastRow="0" w:firstColumn="0" w:lastColumn="0" w:oddVBand="1" w:evenVBand="0" w:oddHBand="0" w:evenHBand="0" w:firstRowFirstColumn="0" w:firstRowLastColumn="0" w:lastRowFirstColumn="0" w:lastRowLastColumn="0"/>
            <w:tcW w:w="1640" w:type="dxa"/>
          </w:tcPr>
          <w:p w:rsidR="005B279D" w:rsidRPr="002844B1" w:rsidRDefault="00000000">
            <w:pPr>
              <w:pStyle w:val="Compact"/>
            </w:pPr>
            <w:r w:rsidRPr="002844B1">
              <w:t>TC</w:t>
            </w:r>
          </w:p>
        </w:tc>
        <w:tc>
          <w:tcPr>
            <w:tcW w:w="0" w:type="auto"/>
          </w:tcPr>
          <w:p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pPr>
            <w:r w:rsidRPr="002844B1">
              <w:t>Taux de Cession</w:t>
            </w:r>
          </w:p>
        </w:tc>
      </w:tr>
      <w:tr w:rsidR="005B279D" w:rsidRPr="002844B1"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FDF</w:t>
            </w:r>
          </w:p>
        </w:tc>
        <w:tc>
          <w:tcPr>
            <w:tcW w:w="3544" w:type="dxa"/>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Bénéfices Discrétionnaires Futurs</w:t>
            </w:r>
          </w:p>
        </w:tc>
        <w:tc>
          <w:tcPr>
            <w:cnfStyle w:val="000010000000" w:firstRow="0" w:lastRow="0" w:firstColumn="0" w:lastColumn="0" w:oddVBand="1" w:evenVBand="0" w:oddHBand="0" w:evenHBand="0" w:firstRowFirstColumn="0" w:firstRowLastColumn="0" w:lastRowFirstColumn="0" w:lastRowLastColumn="0"/>
            <w:tcW w:w="1640" w:type="dxa"/>
          </w:tcPr>
          <w:p w:rsidR="005B279D" w:rsidRPr="002844B1" w:rsidRDefault="00000000">
            <w:pPr>
              <w:pStyle w:val="Compact"/>
            </w:pPr>
            <w:r w:rsidRPr="002844B1">
              <w:t>TFG</w:t>
            </w:r>
          </w:p>
        </w:tc>
        <w:tc>
          <w:tcPr>
            <w:tcW w:w="0" w:type="auto"/>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Taux de Frais de Gestion</w:t>
            </w:r>
          </w:p>
        </w:tc>
      </w:tr>
      <w:tr w:rsidR="005B279D" w:rsidRPr="002844B1" w:rsidTr="006A0BB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FFGF</w:t>
            </w:r>
          </w:p>
        </w:tc>
        <w:tc>
          <w:tcPr>
            <w:tcW w:w="3544" w:type="dxa"/>
          </w:tcPr>
          <w:p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pPr>
            <w:r w:rsidRPr="002844B1">
              <w:t>Flux de Frais de Gestion Futurs</w:t>
            </w:r>
          </w:p>
        </w:tc>
        <w:tc>
          <w:tcPr>
            <w:cnfStyle w:val="000010000000" w:firstRow="0" w:lastRow="0" w:firstColumn="0" w:lastColumn="0" w:oddVBand="1" w:evenVBand="0" w:oddHBand="0" w:evenHBand="0" w:firstRowFirstColumn="0" w:firstRowLastColumn="0" w:lastRowFirstColumn="0" w:lastRowLastColumn="0"/>
            <w:tcW w:w="1640" w:type="dxa"/>
          </w:tcPr>
          <w:p w:rsidR="005B279D" w:rsidRPr="002844B1" w:rsidRDefault="00000000">
            <w:pPr>
              <w:pStyle w:val="Compact"/>
            </w:pPr>
            <w:r w:rsidRPr="002844B1">
              <w:t>TL</w:t>
            </w:r>
          </w:p>
        </w:tc>
        <w:tc>
          <w:tcPr>
            <w:tcW w:w="0" w:type="auto"/>
          </w:tcPr>
          <w:p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pPr>
            <w:r w:rsidRPr="002844B1">
              <w:t>Taux de Liquidation</w:t>
            </w:r>
          </w:p>
        </w:tc>
      </w:tr>
      <w:tr w:rsidR="005B279D" w:rsidRPr="002844B1"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FG</w:t>
            </w:r>
          </w:p>
        </w:tc>
        <w:tc>
          <w:tcPr>
            <w:tcW w:w="3544" w:type="dxa"/>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Frais de gestions</w:t>
            </w:r>
          </w:p>
        </w:tc>
        <w:tc>
          <w:tcPr>
            <w:cnfStyle w:val="000010000000" w:firstRow="0" w:lastRow="0" w:firstColumn="0" w:lastColumn="0" w:oddVBand="1" w:evenVBand="0" w:oddHBand="0" w:evenHBand="0" w:firstRowFirstColumn="0" w:firstRowLastColumn="0" w:lastRowFirstColumn="0" w:lastRowLastColumn="0"/>
            <w:tcW w:w="1640" w:type="dxa"/>
          </w:tcPr>
          <w:p w:rsidR="005B279D" w:rsidRPr="002844B1" w:rsidRDefault="00000000">
            <w:pPr>
              <w:pStyle w:val="Compact"/>
            </w:pPr>
            <w:r w:rsidRPr="002844B1">
              <w:t>TPB</w:t>
            </w:r>
          </w:p>
        </w:tc>
        <w:tc>
          <w:tcPr>
            <w:tcW w:w="0" w:type="auto"/>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Taux de participation aux bénéfices</w:t>
            </w:r>
          </w:p>
        </w:tc>
      </w:tr>
      <w:bookmarkEnd w:id="3"/>
    </w:tbl>
    <w:p w:rsidR="006C037D" w:rsidRPr="002844B1" w:rsidRDefault="006C037D" w:rsidP="006C037D">
      <w:pPr>
        <w:ind w:firstLine="720"/>
      </w:pPr>
    </w:p>
    <w:p w:rsidR="006C037D" w:rsidRPr="002844B1" w:rsidRDefault="006C037D" w:rsidP="006C037D">
      <w:r w:rsidRPr="002844B1">
        <w:br w:type="page"/>
      </w:r>
    </w:p>
    <w:p w:rsidR="005B279D" w:rsidRPr="002844B1" w:rsidRDefault="00000000" w:rsidP="00AA7351">
      <w:pPr>
        <w:pStyle w:val="headAOD"/>
      </w:pPr>
      <w:bookmarkStart w:id="4" w:name="_Toc137650996"/>
      <w:r w:rsidRPr="002844B1">
        <w:lastRenderedPageBreak/>
        <w:t>Introduction</w:t>
      </w:r>
      <w:bookmarkStart w:id="5" w:name="introduction"/>
      <w:bookmarkEnd w:id="4"/>
    </w:p>
    <w:p w:rsidR="005B279D" w:rsidRPr="002844B1" w:rsidRDefault="00000000" w:rsidP="006A0BBC">
      <w:pPr>
        <w:pStyle w:val="FirstParagraph"/>
        <w:jc w:val="both"/>
        <w:rPr>
          <w:sz w:val="21"/>
          <w:szCs w:val="21"/>
        </w:rPr>
      </w:pPr>
      <w:r w:rsidRPr="002844B1">
        <w:rPr>
          <w:sz w:val="21"/>
          <w:szCs w:val="21"/>
        </w:rPr>
        <w:t>Suite aux crises multiples qui ont secoué le monde de la finance et de l’assurance notamment celle de 2008, les autorités se sont rendu compte de l’insuffisance de la supervision prudentielle. Cette dernière s’est montrée très chétive lors de la crise d’où la nécessité de mettre en place de nouvelles dispositions prudentielles plus robustes.</w:t>
      </w:r>
    </w:p>
    <w:p w:rsidR="005B279D" w:rsidRPr="002844B1" w:rsidRDefault="00000000" w:rsidP="006A0BBC">
      <w:pPr>
        <w:pStyle w:val="BodyText"/>
        <w:jc w:val="both"/>
        <w:rPr>
          <w:sz w:val="21"/>
          <w:szCs w:val="21"/>
        </w:rPr>
      </w:pPr>
      <w:r w:rsidRPr="002844B1">
        <w:rPr>
          <w:sz w:val="21"/>
          <w:szCs w:val="21"/>
        </w:rPr>
        <w:t>C’est dans ce contexte, à l’image de Bâle 2 pour la finance, que la Solvabilité 2 voit le jour dans le milieu de l’assurance. Cette réforme réglementaire européenne vient renforcer la précédente en adaptant au mieux les exigences de fonds propres des compagnies d’assurances et de réassurances aux risques qu’elles encourent.</w:t>
      </w:r>
    </w:p>
    <w:p w:rsidR="005B279D" w:rsidRPr="002844B1" w:rsidRDefault="00000000" w:rsidP="006A0BBC">
      <w:pPr>
        <w:pStyle w:val="BodyText"/>
        <w:jc w:val="both"/>
        <w:rPr>
          <w:sz w:val="21"/>
          <w:szCs w:val="21"/>
        </w:rPr>
      </w:pPr>
      <w:r w:rsidRPr="002844B1">
        <w:rPr>
          <w:sz w:val="21"/>
          <w:szCs w:val="21"/>
        </w:rPr>
        <w:t>Les insuffisances évoquées n’ont pas épargné le cadre prudentiel marocain. C’est ainsi que l’Autorité de Contrôle des Assurances et de la Prévoyance Sociale (ACAPS</w:t>
      </w:r>
      <w:r w:rsidRPr="002844B1">
        <w:rPr>
          <w:rStyle w:val="FootnoteReference"/>
          <w:sz w:val="20"/>
          <w:szCs w:val="20"/>
        </w:rPr>
        <w:footnoteReference w:id="1"/>
      </w:r>
      <w:r w:rsidRPr="002844B1">
        <w:rPr>
          <w:sz w:val="21"/>
          <w:szCs w:val="21"/>
        </w:rPr>
        <w:t xml:space="preserve">) </w:t>
      </w:r>
      <w:r w:rsidR="002844B1" w:rsidRPr="002844B1">
        <w:rPr>
          <w:sz w:val="21"/>
          <w:szCs w:val="21"/>
        </w:rPr>
        <w:t>à</w:t>
      </w:r>
      <w:r w:rsidRPr="002844B1">
        <w:rPr>
          <w:sz w:val="21"/>
          <w:szCs w:val="21"/>
        </w:rPr>
        <w:t xml:space="preserve"> adopter la norme de Solvabilité Basé sur les Risques (SBR) afin de tenir compte </w:t>
      </w:r>
      <w:r w:rsidR="002844B1" w:rsidRPr="002844B1">
        <w:rPr>
          <w:sz w:val="21"/>
          <w:szCs w:val="21"/>
        </w:rPr>
        <w:t>de la diversité</w:t>
      </w:r>
      <w:r w:rsidRPr="002844B1">
        <w:rPr>
          <w:sz w:val="21"/>
          <w:szCs w:val="21"/>
        </w:rPr>
        <w:t xml:space="preserve"> des risques encourues par les compagnies d’assurances et de réassurances marocaines. La SBR s’articule autour de trois piliers :</w:t>
      </w:r>
    </w:p>
    <w:p w:rsidR="005B279D" w:rsidRPr="002844B1" w:rsidRDefault="00000000" w:rsidP="006A0BBC">
      <w:pPr>
        <w:pStyle w:val="Compact"/>
        <w:numPr>
          <w:ilvl w:val="0"/>
          <w:numId w:val="4"/>
        </w:numPr>
        <w:jc w:val="both"/>
        <w:rPr>
          <w:sz w:val="21"/>
          <w:szCs w:val="21"/>
        </w:rPr>
      </w:pPr>
      <w:r w:rsidRPr="002844B1">
        <w:rPr>
          <w:sz w:val="21"/>
          <w:szCs w:val="21"/>
        </w:rPr>
        <w:t>Le pilier I regroupe les exigences quantitatives, à savoir les règles de valorisation des actifs et des passifs ainsi que les exigences de capital et leur mode de calcul;</w:t>
      </w:r>
    </w:p>
    <w:p w:rsidR="005B279D" w:rsidRPr="002844B1" w:rsidRDefault="00000000" w:rsidP="006A0BBC">
      <w:pPr>
        <w:pStyle w:val="Compact"/>
        <w:numPr>
          <w:ilvl w:val="0"/>
          <w:numId w:val="4"/>
        </w:numPr>
        <w:jc w:val="both"/>
        <w:rPr>
          <w:sz w:val="21"/>
          <w:szCs w:val="21"/>
        </w:rPr>
      </w:pPr>
      <w:r w:rsidRPr="002844B1">
        <w:rPr>
          <w:sz w:val="21"/>
          <w:szCs w:val="21"/>
        </w:rPr>
        <w:t>Le pilier II porte sur les exigences qualitatives et définit les règles de gouvernance et de gestion des risques, en l’occurrence l’évaluation interne des risques de la solvabilité;</w:t>
      </w:r>
    </w:p>
    <w:p w:rsidR="005B279D" w:rsidRPr="002844B1" w:rsidRDefault="00000000" w:rsidP="006A0BBC">
      <w:pPr>
        <w:pStyle w:val="Compact"/>
        <w:numPr>
          <w:ilvl w:val="0"/>
          <w:numId w:val="4"/>
        </w:numPr>
        <w:jc w:val="both"/>
        <w:rPr>
          <w:sz w:val="21"/>
          <w:szCs w:val="21"/>
        </w:rPr>
      </w:pPr>
      <w:r w:rsidRPr="002844B1">
        <w:rPr>
          <w:sz w:val="21"/>
          <w:szCs w:val="21"/>
        </w:rPr>
        <w:t>Le pilier III concerne, quant à lui, les obligations de reporting à l’Autorité et de diffusion de l’information au public.</w:t>
      </w:r>
    </w:p>
    <w:p w:rsidR="00AA7351" w:rsidRPr="002844B1" w:rsidRDefault="00AA7351">
      <w:r w:rsidRPr="002844B1">
        <w:br w:type="page"/>
      </w:r>
    </w:p>
    <w:p w:rsidR="006C037D" w:rsidRPr="002844B1" w:rsidRDefault="006C037D" w:rsidP="006C037D">
      <w:pPr>
        <w:pStyle w:val="Compact"/>
      </w:pPr>
    </w:p>
    <w:p w:rsidR="006A0BBC" w:rsidRPr="002844B1" w:rsidRDefault="00000000" w:rsidP="006A0BBC">
      <w:pPr>
        <w:pStyle w:val="headAOD"/>
        <w:numPr>
          <w:ilvl w:val="0"/>
          <w:numId w:val="108"/>
        </w:numPr>
        <w:jc w:val="center"/>
      </w:pPr>
      <w:bookmarkStart w:id="6" w:name="_Toc137650997"/>
      <w:bookmarkEnd w:id="5"/>
      <w:r w:rsidRPr="002844B1">
        <w:t>CHAPITRE I : Cadre réglementaire Marocain</w:t>
      </w:r>
      <w:bookmarkStart w:id="7" w:name="_Toc137650998"/>
      <w:bookmarkEnd w:id="6"/>
    </w:p>
    <w:p w:rsidR="006A0BBC" w:rsidRPr="002844B1" w:rsidRDefault="006A0BBC" w:rsidP="006A0BBC"/>
    <w:p w:rsidR="005B279D" w:rsidRPr="002844B1" w:rsidRDefault="00000000">
      <w:pPr>
        <w:pStyle w:val="Heading2"/>
      </w:pPr>
      <w:r w:rsidRPr="002844B1">
        <w:t>1.1 Cadre réglementaire Marocain</w:t>
      </w:r>
      <w:bookmarkStart w:id="8" w:name="cadre-réglementaire-marocain"/>
      <w:bookmarkEnd w:id="7"/>
    </w:p>
    <w:p w:rsidR="005B279D" w:rsidRPr="002844B1" w:rsidRDefault="00000000" w:rsidP="008440F2">
      <w:pPr>
        <w:pStyle w:val="FirstParagraph"/>
        <w:jc w:val="both"/>
        <w:rPr>
          <w:sz w:val="21"/>
          <w:szCs w:val="21"/>
        </w:rPr>
      </w:pPr>
      <w:r w:rsidRPr="002844B1">
        <w:rPr>
          <w:sz w:val="21"/>
          <w:szCs w:val="21"/>
        </w:rPr>
        <w:t>Le Maroc est l’un des acteurs majeurs de l’assurance en Afrique. Ses compagnies ne cessent de gagner du terrain dans les marchés de la sous-région notamment en Afrique de l’ouest. Selon un rapport de l’</w:t>
      </w:r>
      <w:hyperlink r:id="rId8">
        <w:r w:rsidRPr="002844B1">
          <w:rPr>
            <w:rStyle w:val="Hyperlink"/>
            <w:sz w:val="20"/>
            <w:szCs w:val="20"/>
          </w:rPr>
          <w:t>Atlas Mag</w:t>
        </w:r>
      </w:hyperlink>
      <w:r w:rsidRPr="002844B1">
        <w:rPr>
          <w:rStyle w:val="FootnoteReference"/>
          <w:sz w:val="20"/>
          <w:szCs w:val="20"/>
        </w:rPr>
        <w:footnoteReference w:id="2"/>
      </w:r>
      <w:r w:rsidRPr="002844B1">
        <w:rPr>
          <w:sz w:val="21"/>
          <w:szCs w:val="21"/>
        </w:rPr>
        <w:t xml:space="preserve">, le Maroc est classé </w:t>
      </w:r>
      <w:r w:rsidRPr="002844B1">
        <w:rPr>
          <w:b/>
          <w:bCs/>
          <w:sz w:val="21"/>
          <w:szCs w:val="21"/>
        </w:rPr>
        <w:t>2ème</w:t>
      </w:r>
      <w:r w:rsidRPr="002844B1">
        <w:rPr>
          <w:sz w:val="21"/>
          <w:szCs w:val="21"/>
        </w:rPr>
        <w:t xml:space="preserve"> en Afrique et </w:t>
      </w:r>
      <w:r w:rsidRPr="002844B1">
        <w:rPr>
          <w:b/>
          <w:bCs/>
          <w:sz w:val="21"/>
          <w:szCs w:val="21"/>
        </w:rPr>
        <w:t>49ème</w:t>
      </w:r>
      <w:r w:rsidRPr="002844B1">
        <w:rPr>
          <w:sz w:val="21"/>
          <w:szCs w:val="21"/>
        </w:rPr>
        <w:t xml:space="preserve"> mondial avec un </w:t>
      </w:r>
      <w:r w:rsidRPr="002844B1">
        <w:rPr>
          <w:b/>
          <w:bCs/>
          <w:sz w:val="21"/>
          <w:szCs w:val="21"/>
        </w:rPr>
        <w:t xml:space="preserve">chiffre </w:t>
      </w:r>
      <w:r w:rsidR="002844B1" w:rsidRPr="002844B1">
        <w:rPr>
          <w:b/>
          <w:bCs/>
          <w:sz w:val="21"/>
          <w:szCs w:val="21"/>
        </w:rPr>
        <w:t>d’affaires</w:t>
      </w:r>
      <w:r w:rsidRPr="002844B1">
        <w:rPr>
          <w:b/>
          <w:bCs/>
          <w:sz w:val="21"/>
          <w:szCs w:val="21"/>
        </w:rPr>
        <w:t xml:space="preserve"> de 5 343 millions USD</w:t>
      </w:r>
      <w:r w:rsidRPr="002844B1">
        <w:rPr>
          <w:sz w:val="21"/>
          <w:szCs w:val="21"/>
        </w:rPr>
        <w:t xml:space="preserve"> en 2021.</w:t>
      </w:r>
      <w:bookmarkStart w:id="9" w:name="tbl-classement"/>
      <w:r w:rsidRPr="002844B1">
        <w:t xml:space="preserve"> </w:t>
      </w:r>
    </w:p>
    <w:p w:rsidR="008440F2" w:rsidRPr="002844B1" w:rsidRDefault="008440F2" w:rsidP="008440F2">
      <w:pPr>
        <w:pStyle w:val="Caption"/>
        <w:keepNext/>
        <w:rPr>
          <w:sz w:val="20"/>
          <w:szCs w:val="20"/>
        </w:rPr>
      </w:pPr>
      <w:r w:rsidRPr="002844B1">
        <w:rPr>
          <w:sz w:val="20"/>
          <w:szCs w:val="20"/>
        </w:rPr>
        <w:t xml:space="preserve">Table </w:t>
      </w:r>
      <w:r w:rsidRPr="002844B1">
        <w:rPr>
          <w:sz w:val="20"/>
          <w:szCs w:val="20"/>
        </w:rPr>
        <w:fldChar w:fldCharType="begin"/>
      </w:r>
      <w:r w:rsidRPr="002844B1">
        <w:rPr>
          <w:sz w:val="20"/>
          <w:szCs w:val="20"/>
        </w:rPr>
        <w:instrText xml:space="preserve"> SEQ Table \* ARABIC </w:instrText>
      </w:r>
      <w:r w:rsidRPr="002844B1">
        <w:rPr>
          <w:sz w:val="20"/>
          <w:szCs w:val="20"/>
        </w:rPr>
        <w:fldChar w:fldCharType="separate"/>
      </w:r>
      <w:r w:rsidR="008E2C01" w:rsidRPr="002844B1">
        <w:rPr>
          <w:noProof/>
          <w:sz w:val="20"/>
          <w:szCs w:val="20"/>
        </w:rPr>
        <w:t>1</w:t>
      </w:r>
      <w:r w:rsidRPr="002844B1">
        <w:rPr>
          <w:sz w:val="20"/>
          <w:szCs w:val="20"/>
        </w:rPr>
        <w:fldChar w:fldCharType="end"/>
      </w:r>
      <w:r w:rsidRPr="002844B1">
        <w:rPr>
          <w:sz w:val="20"/>
          <w:szCs w:val="20"/>
        </w:rPr>
        <w:t>:  Marché africain de l’assurance en 2021</w:t>
      </w:r>
    </w:p>
    <w:tbl>
      <w:tblPr>
        <w:tblW w:w="5000" w:type="pct"/>
        <w:jc w:val="center"/>
        <w:tblLook w:val="04A0" w:firstRow="1" w:lastRow="0" w:firstColumn="1" w:lastColumn="0" w:noHBand="0" w:noVBand="1"/>
      </w:tblPr>
      <w:tblGrid>
        <w:gridCol w:w="938"/>
        <w:gridCol w:w="904"/>
        <w:gridCol w:w="904"/>
        <w:gridCol w:w="906"/>
        <w:gridCol w:w="908"/>
        <w:gridCol w:w="908"/>
        <w:gridCol w:w="909"/>
        <w:gridCol w:w="909"/>
        <w:gridCol w:w="909"/>
        <w:gridCol w:w="1155"/>
      </w:tblGrid>
      <w:tr w:rsidR="008440F2" w:rsidRPr="002844B1" w:rsidTr="008440F2">
        <w:trPr>
          <w:trHeight w:val="520"/>
          <w:jc w:val="center"/>
        </w:trPr>
        <w:tc>
          <w:tcPr>
            <w:tcW w:w="502" w:type="pct"/>
            <w:tcBorders>
              <w:top w:val="nil"/>
              <w:left w:val="single" w:sz="4" w:space="0" w:color="auto"/>
              <w:bottom w:val="single" w:sz="4" w:space="0" w:color="auto"/>
              <w:right w:val="single" w:sz="4" w:space="0" w:color="auto"/>
            </w:tcBorders>
            <w:shd w:val="clear" w:color="auto" w:fill="224E76"/>
            <w:vAlign w:val="center"/>
            <w:hideMark/>
          </w:tcPr>
          <w:p w:rsidR="006A0BBC" w:rsidRPr="002844B1" w:rsidRDefault="006A0BBC" w:rsidP="008440F2">
            <w:pPr>
              <w:rPr>
                <w:color w:val="FFFFFF" w:themeColor="background1"/>
              </w:rPr>
            </w:pPr>
            <w:r w:rsidRPr="002844B1">
              <w:rPr>
                <w:color w:val="FFFFFF" w:themeColor="background1"/>
              </w:rPr>
              <w:t>Pays</w:t>
            </w:r>
          </w:p>
        </w:tc>
        <w:tc>
          <w:tcPr>
            <w:tcW w:w="484" w:type="pct"/>
            <w:tcBorders>
              <w:top w:val="nil"/>
              <w:left w:val="nil"/>
              <w:bottom w:val="single" w:sz="4" w:space="0" w:color="auto"/>
              <w:right w:val="single" w:sz="4" w:space="0" w:color="auto"/>
            </w:tcBorders>
            <w:shd w:val="clear" w:color="auto" w:fill="224E76"/>
            <w:vAlign w:val="center"/>
            <w:hideMark/>
          </w:tcPr>
          <w:p w:rsidR="006A0BBC" w:rsidRPr="002844B1" w:rsidRDefault="006A0BBC" w:rsidP="008440F2">
            <w:pPr>
              <w:rPr>
                <w:color w:val="FFFFFF" w:themeColor="background1"/>
              </w:rPr>
            </w:pPr>
            <w:r w:rsidRPr="002844B1">
              <w:rPr>
                <w:color w:val="FFFFFF" w:themeColor="background1"/>
              </w:rPr>
              <w:t>2002</w:t>
            </w:r>
          </w:p>
        </w:tc>
        <w:tc>
          <w:tcPr>
            <w:tcW w:w="484" w:type="pct"/>
            <w:tcBorders>
              <w:top w:val="nil"/>
              <w:left w:val="nil"/>
              <w:bottom w:val="single" w:sz="4" w:space="0" w:color="auto"/>
              <w:right w:val="single" w:sz="4" w:space="0" w:color="auto"/>
            </w:tcBorders>
            <w:shd w:val="clear" w:color="auto" w:fill="224E76"/>
            <w:vAlign w:val="center"/>
            <w:hideMark/>
          </w:tcPr>
          <w:p w:rsidR="006A0BBC" w:rsidRPr="002844B1" w:rsidRDefault="006A0BBC" w:rsidP="008440F2">
            <w:pPr>
              <w:rPr>
                <w:color w:val="FFFFFF" w:themeColor="background1"/>
              </w:rPr>
            </w:pPr>
            <w:r w:rsidRPr="002844B1">
              <w:rPr>
                <w:color w:val="FFFFFF" w:themeColor="background1"/>
              </w:rPr>
              <w:t>2006</w:t>
            </w:r>
          </w:p>
        </w:tc>
        <w:tc>
          <w:tcPr>
            <w:tcW w:w="485" w:type="pct"/>
            <w:tcBorders>
              <w:top w:val="nil"/>
              <w:left w:val="nil"/>
              <w:bottom w:val="single" w:sz="4" w:space="0" w:color="auto"/>
              <w:right w:val="single" w:sz="4" w:space="0" w:color="auto"/>
            </w:tcBorders>
            <w:shd w:val="clear" w:color="auto" w:fill="224E76"/>
            <w:vAlign w:val="center"/>
            <w:hideMark/>
          </w:tcPr>
          <w:p w:rsidR="006A0BBC" w:rsidRPr="002844B1" w:rsidRDefault="006A0BBC" w:rsidP="008440F2">
            <w:pPr>
              <w:rPr>
                <w:color w:val="FFFFFF" w:themeColor="background1"/>
              </w:rPr>
            </w:pPr>
            <w:r w:rsidRPr="002844B1">
              <w:rPr>
                <w:color w:val="FFFFFF" w:themeColor="background1"/>
              </w:rPr>
              <w:t>2010</w:t>
            </w:r>
          </w:p>
        </w:tc>
        <w:tc>
          <w:tcPr>
            <w:tcW w:w="486" w:type="pct"/>
            <w:tcBorders>
              <w:top w:val="nil"/>
              <w:left w:val="nil"/>
              <w:bottom w:val="single" w:sz="4" w:space="0" w:color="auto"/>
              <w:right w:val="single" w:sz="4" w:space="0" w:color="auto"/>
            </w:tcBorders>
            <w:shd w:val="clear" w:color="auto" w:fill="224E76"/>
            <w:vAlign w:val="center"/>
            <w:hideMark/>
          </w:tcPr>
          <w:p w:rsidR="006A0BBC" w:rsidRPr="002844B1" w:rsidRDefault="006A0BBC" w:rsidP="008440F2">
            <w:pPr>
              <w:rPr>
                <w:color w:val="FFFFFF" w:themeColor="background1"/>
              </w:rPr>
            </w:pPr>
            <w:r w:rsidRPr="002844B1">
              <w:rPr>
                <w:color w:val="FFFFFF" w:themeColor="background1"/>
              </w:rPr>
              <w:t>2014</w:t>
            </w:r>
          </w:p>
        </w:tc>
        <w:tc>
          <w:tcPr>
            <w:tcW w:w="486" w:type="pct"/>
            <w:tcBorders>
              <w:top w:val="nil"/>
              <w:left w:val="nil"/>
              <w:bottom w:val="single" w:sz="4" w:space="0" w:color="auto"/>
              <w:right w:val="single" w:sz="4" w:space="0" w:color="auto"/>
            </w:tcBorders>
            <w:shd w:val="clear" w:color="auto" w:fill="224E76"/>
            <w:vAlign w:val="center"/>
            <w:hideMark/>
          </w:tcPr>
          <w:p w:rsidR="006A0BBC" w:rsidRPr="002844B1" w:rsidRDefault="006A0BBC" w:rsidP="008440F2">
            <w:pPr>
              <w:rPr>
                <w:color w:val="FFFFFF" w:themeColor="background1"/>
              </w:rPr>
            </w:pPr>
            <w:r w:rsidRPr="002844B1">
              <w:rPr>
                <w:color w:val="FFFFFF" w:themeColor="background1"/>
              </w:rPr>
              <w:t>2018</w:t>
            </w:r>
          </w:p>
        </w:tc>
        <w:tc>
          <w:tcPr>
            <w:tcW w:w="486" w:type="pct"/>
            <w:tcBorders>
              <w:top w:val="nil"/>
              <w:left w:val="nil"/>
              <w:bottom w:val="single" w:sz="4" w:space="0" w:color="auto"/>
              <w:right w:val="single" w:sz="4" w:space="0" w:color="auto"/>
            </w:tcBorders>
            <w:shd w:val="clear" w:color="auto" w:fill="224E76"/>
            <w:vAlign w:val="center"/>
            <w:hideMark/>
          </w:tcPr>
          <w:p w:rsidR="006A0BBC" w:rsidRPr="002844B1" w:rsidRDefault="006A0BBC" w:rsidP="008440F2">
            <w:pPr>
              <w:rPr>
                <w:color w:val="FFFFFF" w:themeColor="background1"/>
              </w:rPr>
            </w:pPr>
            <w:r w:rsidRPr="002844B1">
              <w:rPr>
                <w:color w:val="FFFFFF" w:themeColor="background1"/>
              </w:rPr>
              <w:t>2019</w:t>
            </w:r>
          </w:p>
        </w:tc>
        <w:tc>
          <w:tcPr>
            <w:tcW w:w="486" w:type="pct"/>
            <w:tcBorders>
              <w:top w:val="nil"/>
              <w:left w:val="nil"/>
              <w:bottom w:val="single" w:sz="4" w:space="0" w:color="auto"/>
              <w:right w:val="single" w:sz="4" w:space="0" w:color="auto"/>
            </w:tcBorders>
            <w:shd w:val="clear" w:color="auto" w:fill="224E76"/>
            <w:vAlign w:val="center"/>
            <w:hideMark/>
          </w:tcPr>
          <w:p w:rsidR="006A0BBC" w:rsidRPr="002844B1" w:rsidRDefault="006A0BBC" w:rsidP="008440F2">
            <w:pPr>
              <w:rPr>
                <w:color w:val="FFFFFF" w:themeColor="background1"/>
              </w:rPr>
            </w:pPr>
            <w:r w:rsidRPr="002844B1">
              <w:rPr>
                <w:color w:val="FFFFFF" w:themeColor="background1"/>
              </w:rPr>
              <w:t>2020</w:t>
            </w:r>
          </w:p>
        </w:tc>
        <w:tc>
          <w:tcPr>
            <w:tcW w:w="486" w:type="pct"/>
            <w:tcBorders>
              <w:top w:val="nil"/>
              <w:left w:val="nil"/>
              <w:bottom w:val="single" w:sz="4" w:space="0" w:color="auto"/>
              <w:right w:val="single" w:sz="4" w:space="0" w:color="auto"/>
            </w:tcBorders>
            <w:shd w:val="clear" w:color="auto" w:fill="224E76"/>
            <w:vAlign w:val="center"/>
            <w:hideMark/>
          </w:tcPr>
          <w:p w:rsidR="006A0BBC" w:rsidRPr="002844B1" w:rsidRDefault="006A0BBC" w:rsidP="008440F2">
            <w:pPr>
              <w:rPr>
                <w:color w:val="FFFFFF" w:themeColor="background1"/>
              </w:rPr>
            </w:pPr>
            <w:r w:rsidRPr="002844B1">
              <w:rPr>
                <w:color w:val="FFFFFF" w:themeColor="background1"/>
              </w:rPr>
              <w:t>2021</w:t>
            </w:r>
          </w:p>
        </w:tc>
        <w:tc>
          <w:tcPr>
            <w:tcW w:w="618" w:type="pct"/>
            <w:tcBorders>
              <w:top w:val="nil"/>
              <w:left w:val="nil"/>
              <w:bottom w:val="single" w:sz="4" w:space="0" w:color="auto"/>
              <w:right w:val="single" w:sz="4" w:space="0" w:color="auto"/>
            </w:tcBorders>
            <w:shd w:val="clear" w:color="auto" w:fill="224E76"/>
            <w:vAlign w:val="center"/>
            <w:hideMark/>
          </w:tcPr>
          <w:p w:rsidR="006A0BBC" w:rsidRPr="002844B1" w:rsidRDefault="002844B1" w:rsidP="008440F2">
            <w:pPr>
              <w:rPr>
                <w:color w:val="FFFFFF" w:themeColor="background1"/>
              </w:rPr>
            </w:pPr>
            <w:r w:rsidRPr="002844B1">
              <w:rPr>
                <w:color w:val="FFFFFF" w:themeColor="background1"/>
              </w:rPr>
              <w:t>Évolution</w:t>
            </w:r>
            <w:r w:rsidR="006A0BBC" w:rsidRPr="002844B1">
              <w:rPr>
                <w:color w:val="FFFFFF" w:themeColor="background1"/>
              </w:rPr>
              <w:t xml:space="preserve"> 2002/2021</w:t>
            </w:r>
          </w:p>
        </w:tc>
      </w:tr>
      <w:tr w:rsidR="008440F2" w:rsidRPr="002844B1" w:rsidTr="008440F2">
        <w:trPr>
          <w:trHeight w:val="52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rsidR="006A0BBC" w:rsidRPr="002844B1" w:rsidRDefault="006A0BBC">
            <w:pPr>
              <w:jc w:val="center"/>
              <w:rPr>
                <w:rFonts w:ascii="Trebuchet MS" w:hAnsi="Trebuchet MS" w:cs="Calibri"/>
                <w:b/>
                <w:bCs/>
                <w:color w:val="000000"/>
                <w:sz w:val="16"/>
                <w:szCs w:val="16"/>
              </w:rPr>
            </w:pPr>
            <w:r w:rsidRPr="002844B1">
              <w:rPr>
                <w:rFonts w:ascii="Trebuchet MS" w:hAnsi="Trebuchet MS" w:cs="Calibri"/>
                <w:b/>
                <w:bCs/>
                <w:color w:val="000000"/>
                <w:sz w:val="16"/>
                <w:szCs w:val="16"/>
              </w:rPr>
              <w:t xml:space="preserve">Afrique du </w:t>
            </w:r>
            <w:r w:rsidR="002844B1" w:rsidRPr="002844B1">
              <w:rPr>
                <w:rFonts w:ascii="Trebuchet MS" w:hAnsi="Trebuchet MS" w:cs="Calibri"/>
                <w:b/>
                <w:bCs/>
                <w:color w:val="000000"/>
                <w:sz w:val="16"/>
                <w:szCs w:val="16"/>
              </w:rPr>
              <w:t>Sud</w:t>
            </w:r>
          </w:p>
        </w:tc>
        <w:tc>
          <w:tcPr>
            <w:tcW w:w="484" w:type="pct"/>
            <w:tcBorders>
              <w:top w:val="nil"/>
              <w:left w:val="nil"/>
              <w:bottom w:val="single" w:sz="4" w:space="0" w:color="auto"/>
              <w:right w:val="single" w:sz="4" w:space="0" w:color="auto"/>
            </w:tcBorders>
            <w:shd w:val="clear" w:color="000000" w:fill="F2F2F2"/>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19.575</w:t>
            </w:r>
          </w:p>
        </w:tc>
        <w:tc>
          <w:tcPr>
            <w:tcW w:w="484" w:type="pct"/>
            <w:tcBorders>
              <w:top w:val="nil"/>
              <w:left w:val="nil"/>
              <w:bottom w:val="single" w:sz="4" w:space="0" w:color="auto"/>
              <w:right w:val="single" w:sz="4" w:space="0" w:color="auto"/>
            </w:tcBorders>
            <w:shd w:val="clear" w:color="000000" w:fill="F2F2F2"/>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40.743</w:t>
            </w:r>
          </w:p>
        </w:tc>
        <w:tc>
          <w:tcPr>
            <w:tcW w:w="485" w:type="pct"/>
            <w:tcBorders>
              <w:top w:val="nil"/>
              <w:left w:val="nil"/>
              <w:bottom w:val="single" w:sz="4" w:space="0" w:color="auto"/>
              <w:right w:val="single" w:sz="4" w:space="0" w:color="auto"/>
            </w:tcBorders>
            <w:shd w:val="clear" w:color="000000" w:fill="F2F2F2"/>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48.575</w:t>
            </w:r>
          </w:p>
        </w:tc>
        <w:tc>
          <w:tcPr>
            <w:tcW w:w="486" w:type="pct"/>
            <w:tcBorders>
              <w:top w:val="nil"/>
              <w:left w:val="nil"/>
              <w:bottom w:val="single" w:sz="4" w:space="0" w:color="auto"/>
              <w:right w:val="single" w:sz="4" w:space="0" w:color="auto"/>
            </w:tcBorders>
            <w:shd w:val="clear" w:color="000000" w:fill="F2F2F2"/>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50.502</w:t>
            </w:r>
          </w:p>
        </w:tc>
        <w:tc>
          <w:tcPr>
            <w:tcW w:w="486" w:type="pct"/>
            <w:tcBorders>
              <w:top w:val="nil"/>
              <w:left w:val="nil"/>
              <w:bottom w:val="single" w:sz="4" w:space="0" w:color="auto"/>
              <w:right w:val="single" w:sz="4" w:space="0" w:color="auto"/>
            </w:tcBorders>
            <w:shd w:val="clear" w:color="000000" w:fill="F2F2F2"/>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49.002</w:t>
            </w:r>
          </w:p>
        </w:tc>
        <w:tc>
          <w:tcPr>
            <w:tcW w:w="486" w:type="pct"/>
            <w:tcBorders>
              <w:top w:val="nil"/>
              <w:left w:val="nil"/>
              <w:bottom w:val="single" w:sz="4" w:space="0" w:color="auto"/>
              <w:right w:val="single" w:sz="4" w:space="0" w:color="auto"/>
            </w:tcBorders>
            <w:shd w:val="clear" w:color="000000" w:fill="F2F2F2"/>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46.421</w:t>
            </w:r>
          </w:p>
        </w:tc>
        <w:tc>
          <w:tcPr>
            <w:tcW w:w="486" w:type="pct"/>
            <w:tcBorders>
              <w:top w:val="nil"/>
              <w:left w:val="nil"/>
              <w:bottom w:val="single" w:sz="4" w:space="0" w:color="auto"/>
              <w:right w:val="single" w:sz="4" w:space="0" w:color="auto"/>
            </w:tcBorders>
            <w:shd w:val="clear" w:color="000000" w:fill="F2F2F2"/>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41.110</w:t>
            </w:r>
          </w:p>
        </w:tc>
        <w:tc>
          <w:tcPr>
            <w:tcW w:w="486" w:type="pct"/>
            <w:tcBorders>
              <w:top w:val="nil"/>
              <w:left w:val="nil"/>
              <w:bottom w:val="single" w:sz="4" w:space="0" w:color="auto"/>
              <w:right w:val="single" w:sz="4" w:space="0" w:color="auto"/>
            </w:tcBorders>
            <w:shd w:val="clear" w:color="000000" w:fill="F2F2F2"/>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51.215</w:t>
            </w:r>
          </w:p>
        </w:tc>
        <w:tc>
          <w:tcPr>
            <w:tcW w:w="618" w:type="pct"/>
            <w:tcBorders>
              <w:top w:val="nil"/>
              <w:left w:val="nil"/>
              <w:bottom w:val="single" w:sz="4" w:space="0" w:color="auto"/>
              <w:right w:val="single" w:sz="4" w:space="0" w:color="auto"/>
            </w:tcBorders>
            <w:shd w:val="clear" w:color="000000" w:fill="F2F2F2"/>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162%</w:t>
            </w:r>
          </w:p>
        </w:tc>
      </w:tr>
      <w:tr w:rsidR="008440F2" w:rsidRPr="002844B1" w:rsidTr="008440F2">
        <w:trPr>
          <w:trHeight w:val="300"/>
          <w:jc w:val="center"/>
        </w:trPr>
        <w:tc>
          <w:tcPr>
            <w:tcW w:w="502" w:type="pct"/>
            <w:tcBorders>
              <w:top w:val="nil"/>
              <w:left w:val="single" w:sz="4" w:space="0" w:color="auto"/>
              <w:bottom w:val="single" w:sz="4" w:space="0" w:color="auto"/>
              <w:right w:val="single" w:sz="4" w:space="0" w:color="auto"/>
            </w:tcBorders>
            <w:shd w:val="clear" w:color="auto" w:fill="85B2F6" w:themeFill="background2" w:themeFillShade="E6"/>
            <w:vAlign w:val="center"/>
            <w:hideMark/>
          </w:tcPr>
          <w:p w:rsidR="006A0BBC" w:rsidRPr="002844B1" w:rsidRDefault="006A0BBC">
            <w:pPr>
              <w:jc w:val="center"/>
              <w:rPr>
                <w:rFonts w:ascii="Trebuchet MS" w:hAnsi="Trebuchet MS" w:cs="Calibri"/>
                <w:b/>
                <w:bCs/>
                <w:color w:val="000000"/>
                <w:sz w:val="16"/>
                <w:szCs w:val="16"/>
              </w:rPr>
            </w:pPr>
            <w:r w:rsidRPr="002844B1">
              <w:rPr>
                <w:rFonts w:ascii="Trebuchet MS" w:hAnsi="Trebuchet MS" w:cs="Calibri"/>
                <w:b/>
                <w:bCs/>
                <w:color w:val="000000"/>
                <w:sz w:val="16"/>
                <w:szCs w:val="16"/>
              </w:rPr>
              <w:t>Maroc</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1.095</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1.675</w:t>
            </w:r>
          </w:p>
        </w:tc>
        <w:tc>
          <w:tcPr>
            <w:tcW w:w="485" w:type="pct"/>
            <w:tcBorders>
              <w:top w:val="nil"/>
              <w:left w:val="nil"/>
              <w:bottom w:val="single" w:sz="4" w:space="0" w:color="auto"/>
              <w:right w:val="single" w:sz="4" w:space="0" w:color="auto"/>
            </w:tcBorders>
            <w:shd w:val="clear" w:color="auto" w:fill="85B2F6" w:themeFill="background2" w:themeFillShade="E6"/>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2.599</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3.156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4.323</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4.628</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5.036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5.330</w:t>
            </w:r>
          </w:p>
        </w:tc>
        <w:tc>
          <w:tcPr>
            <w:tcW w:w="618" w:type="pct"/>
            <w:tcBorders>
              <w:top w:val="nil"/>
              <w:left w:val="nil"/>
              <w:bottom w:val="single" w:sz="4" w:space="0" w:color="auto"/>
              <w:right w:val="single" w:sz="4" w:space="0" w:color="auto"/>
            </w:tcBorders>
            <w:shd w:val="clear" w:color="auto" w:fill="85B2F6" w:themeFill="background2" w:themeFillShade="E6"/>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387%</w:t>
            </w:r>
          </w:p>
        </w:tc>
      </w:tr>
      <w:tr w:rsidR="008440F2" w:rsidRPr="002844B1"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rsidR="006A0BBC" w:rsidRPr="002844B1" w:rsidRDefault="006A0BBC">
            <w:pPr>
              <w:jc w:val="center"/>
              <w:rPr>
                <w:rFonts w:ascii="Trebuchet MS" w:hAnsi="Trebuchet MS" w:cs="Calibri"/>
                <w:b/>
                <w:bCs/>
                <w:color w:val="000000"/>
                <w:sz w:val="16"/>
                <w:szCs w:val="16"/>
              </w:rPr>
            </w:pPr>
            <w:r w:rsidRPr="002844B1">
              <w:rPr>
                <w:rFonts w:ascii="Trebuchet MS" w:hAnsi="Trebuchet MS" w:cs="Calibri"/>
                <w:b/>
                <w:bCs/>
                <w:color w:val="000000"/>
                <w:sz w:val="16"/>
                <w:szCs w:val="16"/>
              </w:rPr>
              <w:t>Kenya</w:t>
            </w:r>
          </w:p>
        </w:tc>
        <w:tc>
          <w:tcPr>
            <w:tcW w:w="484" w:type="pct"/>
            <w:tcBorders>
              <w:top w:val="nil"/>
              <w:left w:val="nil"/>
              <w:bottom w:val="single" w:sz="4" w:space="0" w:color="auto"/>
              <w:right w:val="single" w:sz="4" w:space="0" w:color="auto"/>
            </w:tcBorders>
            <w:shd w:val="clear" w:color="000000" w:fill="F2F2F2"/>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369</w:t>
            </w:r>
          </w:p>
        </w:tc>
        <w:tc>
          <w:tcPr>
            <w:tcW w:w="484" w:type="pct"/>
            <w:tcBorders>
              <w:top w:val="nil"/>
              <w:left w:val="nil"/>
              <w:bottom w:val="single" w:sz="4" w:space="0" w:color="auto"/>
              <w:right w:val="single" w:sz="4" w:space="0" w:color="auto"/>
            </w:tcBorders>
            <w:shd w:val="clear" w:color="000000" w:fill="F2F2F2"/>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575</w:t>
            </w:r>
          </w:p>
        </w:tc>
        <w:tc>
          <w:tcPr>
            <w:tcW w:w="485" w:type="pct"/>
            <w:tcBorders>
              <w:top w:val="nil"/>
              <w:left w:val="nil"/>
              <w:bottom w:val="single" w:sz="4" w:space="0" w:color="auto"/>
              <w:right w:val="single" w:sz="4" w:space="0" w:color="auto"/>
            </w:tcBorders>
            <w:shd w:val="clear" w:color="000000" w:fill="F2F2F2"/>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998</w:t>
            </w:r>
          </w:p>
        </w:tc>
        <w:tc>
          <w:tcPr>
            <w:tcW w:w="486" w:type="pct"/>
            <w:tcBorders>
              <w:top w:val="nil"/>
              <w:left w:val="nil"/>
              <w:bottom w:val="single" w:sz="4" w:space="0" w:color="auto"/>
              <w:right w:val="single" w:sz="4" w:space="0" w:color="auto"/>
            </w:tcBorders>
            <w:shd w:val="clear" w:color="000000" w:fill="F2F2F2"/>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1.766</w:t>
            </w:r>
          </w:p>
        </w:tc>
        <w:tc>
          <w:tcPr>
            <w:tcW w:w="486" w:type="pct"/>
            <w:tcBorders>
              <w:top w:val="nil"/>
              <w:left w:val="nil"/>
              <w:bottom w:val="single" w:sz="4" w:space="0" w:color="auto"/>
              <w:right w:val="single" w:sz="4" w:space="0" w:color="auto"/>
            </w:tcBorders>
            <w:shd w:val="clear" w:color="000000" w:fill="F2F2F2"/>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2.098</w:t>
            </w:r>
          </w:p>
        </w:tc>
        <w:tc>
          <w:tcPr>
            <w:tcW w:w="486" w:type="pct"/>
            <w:tcBorders>
              <w:top w:val="nil"/>
              <w:left w:val="nil"/>
              <w:bottom w:val="single" w:sz="4" w:space="0" w:color="auto"/>
              <w:right w:val="single" w:sz="4" w:space="0" w:color="auto"/>
            </w:tcBorders>
            <w:shd w:val="clear" w:color="000000" w:fill="F2F2F2"/>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2.229</w:t>
            </w:r>
          </w:p>
        </w:tc>
        <w:tc>
          <w:tcPr>
            <w:tcW w:w="486" w:type="pct"/>
            <w:tcBorders>
              <w:top w:val="nil"/>
              <w:left w:val="nil"/>
              <w:bottom w:val="single" w:sz="4" w:space="0" w:color="auto"/>
              <w:right w:val="single" w:sz="4" w:space="0" w:color="auto"/>
            </w:tcBorders>
            <w:shd w:val="clear" w:color="000000" w:fill="F2F2F2"/>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2.120</w:t>
            </w:r>
          </w:p>
        </w:tc>
        <w:tc>
          <w:tcPr>
            <w:tcW w:w="486" w:type="pct"/>
            <w:tcBorders>
              <w:top w:val="nil"/>
              <w:left w:val="nil"/>
              <w:bottom w:val="single" w:sz="4" w:space="0" w:color="auto"/>
              <w:right w:val="single" w:sz="4" w:space="0" w:color="auto"/>
            </w:tcBorders>
            <w:shd w:val="clear" w:color="000000" w:fill="F2F2F2"/>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2.424</w:t>
            </w:r>
          </w:p>
        </w:tc>
        <w:tc>
          <w:tcPr>
            <w:tcW w:w="618" w:type="pct"/>
            <w:tcBorders>
              <w:top w:val="nil"/>
              <w:left w:val="nil"/>
              <w:bottom w:val="single" w:sz="4" w:space="0" w:color="auto"/>
              <w:right w:val="single" w:sz="4" w:space="0" w:color="auto"/>
            </w:tcBorders>
            <w:shd w:val="clear" w:color="000000" w:fill="F2F2F2"/>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557%</w:t>
            </w:r>
          </w:p>
        </w:tc>
      </w:tr>
      <w:tr w:rsidR="008440F2" w:rsidRPr="002844B1"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rsidR="006A0BBC" w:rsidRPr="002844B1" w:rsidRDefault="002844B1">
            <w:pPr>
              <w:jc w:val="center"/>
              <w:rPr>
                <w:rFonts w:ascii="Trebuchet MS" w:hAnsi="Trebuchet MS" w:cs="Calibri"/>
                <w:b/>
                <w:bCs/>
                <w:color w:val="000000"/>
                <w:sz w:val="16"/>
                <w:szCs w:val="16"/>
              </w:rPr>
            </w:pPr>
            <w:r w:rsidRPr="002844B1">
              <w:rPr>
                <w:rFonts w:ascii="Trebuchet MS" w:hAnsi="Trebuchet MS" w:cs="Calibri"/>
                <w:b/>
                <w:bCs/>
                <w:color w:val="000000"/>
                <w:sz w:val="16"/>
                <w:szCs w:val="16"/>
              </w:rPr>
              <w:t>Nigeria</w:t>
            </w:r>
          </w:p>
        </w:tc>
        <w:tc>
          <w:tcPr>
            <w:tcW w:w="484" w:type="pct"/>
            <w:tcBorders>
              <w:top w:val="nil"/>
              <w:left w:val="nil"/>
              <w:bottom w:val="single" w:sz="4" w:space="0" w:color="auto"/>
              <w:right w:val="single" w:sz="4" w:space="0" w:color="auto"/>
            </w:tcBorders>
            <w:shd w:val="clear" w:color="000000" w:fill="DDDDDD"/>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388</w:t>
            </w:r>
          </w:p>
        </w:tc>
        <w:tc>
          <w:tcPr>
            <w:tcW w:w="484" w:type="pct"/>
            <w:tcBorders>
              <w:top w:val="nil"/>
              <w:left w:val="nil"/>
              <w:bottom w:val="single" w:sz="4" w:space="0" w:color="auto"/>
              <w:right w:val="single" w:sz="4" w:space="0" w:color="auto"/>
            </w:tcBorders>
            <w:shd w:val="clear" w:color="000000" w:fill="DDDDDD"/>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712</w:t>
            </w:r>
          </w:p>
        </w:tc>
        <w:tc>
          <w:tcPr>
            <w:tcW w:w="485" w:type="pct"/>
            <w:tcBorders>
              <w:top w:val="nil"/>
              <w:left w:val="nil"/>
              <w:bottom w:val="single" w:sz="4" w:space="0" w:color="auto"/>
              <w:right w:val="single" w:sz="4" w:space="0" w:color="auto"/>
            </w:tcBorders>
            <w:shd w:val="clear" w:color="000000" w:fill="DDDDDD"/>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1.340</w:t>
            </w:r>
          </w:p>
        </w:tc>
        <w:tc>
          <w:tcPr>
            <w:tcW w:w="486" w:type="pct"/>
            <w:tcBorders>
              <w:top w:val="nil"/>
              <w:left w:val="nil"/>
              <w:bottom w:val="single" w:sz="4" w:space="0" w:color="auto"/>
              <w:right w:val="single" w:sz="4" w:space="0" w:color="auto"/>
            </w:tcBorders>
            <w:shd w:val="clear" w:color="000000" w:fill="DDDDDD"/>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1.792</w:t>
            </w:r>
          </w:p>
        </w:tc>
        <w:tc>
          <w:tcPr>
            <w:tcW w:w="486" w:type="pct"/>
            <w:tcBorders>
              <w:top w:val="nil"/>
              <w:left w:val="nil"/>
              <w:bottom w:val="single" w:sz="4" w:space="0" w:color="auto"/>
              <w:right w:val="single" w:sz="4" w:space="0" w:color="auto"/>
            </w:tcBorders>
            <w:shd w:val="clear" w:color="000000" w:fill="DDDDDD"/>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1.168</w:t>
            </w:r>
          </w:p>
        </w:tc>
        <w:tc>
          <w:tcPr>
            <w:tcW w:w="486" w:type="pct"/>
            <w:tcBorders>
              <w:top w:val="nil"/>
              <w:left w:val="nil"/>
              <w:bottom w:val="single" w:sz="4" w:space="0" w:color="auto"/>
              <w:right w:val="single" w:sz="4" w:space="0" w:color="auto"/>
            </w:tcBorders>
            <w:shd w:val="clear" w:color="000000" w:fill="DDDDDD"/>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1.393</w:t>
            </w:r>
          </w:p>
        </w:tc>
        <w:tc>
          <w:tcPr>
            <w:tcW w:w="486" w:type="pct"/>
            <w:tcBorders>
              <w:top w:val="nil"/>
              <w:left w:val="nil"/>
              <w:bottom w:val="single" w:sz="4" w:space="0" w:color="auto"/>
              <w:right w:val="single" w:sz="4" w:space="0" w:color="auto"/>
            </w:tcBorders>
            <w:shd w:val="clear" w:color="000000" w:fill="DDDDDD"/>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1.213</w:t>
            </w:r>
          </w:p>
        </w:tc>
        <w:tc>
          <w:tcPr>
            <w:tcW w:w="486" w:type="pct"/>
            <w:tcBorders>
              <w:top w:val="nil"/>
              <w:left w:val="nil"/>
              <w:bottom w:val="single" w:sz="4" w:space="0" w:color="auto"/>
              <w:right w:val="single" w:sz="4" w:space="0" w:color="auto"/>
            </w:tcBorders>
            <w:shd w:val="clear" w:color="000000" w:fill="DDDDDD"/>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1.581</w:t>
            </w:r>
          </w:p>
        </w:tc>
        <w:tc>
          <w:tcPr>
            <w:tcW w:w="618" w:type="pct"/>
            <w:tcBorders>
              <w:top w:val="nil"/>
              <w:left w:val="nil"/>
              <w:bottom w:val="single" w:sz="4" w:space="0" w:color="auto"/>
              <w:right w:val="single" w:sz="4" w:space="0" w:color="auto"/>
            </w:tcBorders>
            <w:shd w:val="clear" w:color="000000" w:fill="DDDDDD"/>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307%</w:t>
            </w:r>
          </w:p>
        </w:tc>
      </w:tr>
      <w:tr w:rsidR="008440F2" w:rsidRPr="002844B1"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rsidR="006A0BBC" w:rsidRPr="002844B1" w:rsidRDefault="002844B1">
            <w:pPr>
              <w:jc w:val="center"/>
              <w:rPr>
                <w:rFonts w:ascii="Trebuchet MS" w:hAnsi="Trebuchet MS" w:cs="Calibri"/>
                <w:b/>
                <w:bCs/>
                <w:color w:val="000000"/>
                <w:sz w:val="16"/>
                <w:szCs w:val="16"/>
              </w:rPr>
            </w:pPr>
            <w:r w:rsidRPr="002844B1">
              <w:rPr>
                <w:rFonts w:ascii="Trebuchet MS" w:hAnsi="Trebuchet MS" w:cs="Calibri"/>
                <w:b/>
                <w:bCs/>
                <w:color w:val="000000"/>
                <w:sz w:val="16"/>
                <w:szCs w:val="16"/>
              </w:rPr>
              <w:t>Namibia</w:t>
            </w:r>
          </w:p>
        </w:tc>
        <w:tc>
          <w:tcPr>
            <w:tcW w:w="484" w:type="pct"/>
            <w:tcBorders>
              <w:top w:val="nil"/>
              <w:left w:val="nil"/>
              <w:bottom w:val="single" w:sz="4" w:space="0" w:color="auto"/>
              <w:right w:val="single" w:sz="4" w:space="0" w:color="auto"/>
            </w:tcBorders>
            <w:shd w:val="clear" w:color="000000" w:fill="F2F2F2"/>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321</w:t>
            </w:r>
          </w:p>
        </w:tc>
        <w:tc>
          <w:tcPr>
            <w:tcW w:w="484" w:type="pct"/>
            <w:tcBorders>
              <w:top w:val="nil"/>
              <w:left w:val="nil"/>
              <w:bottom w:val="single" w:sz="4" w:space="0" w:color="auto"/>
              <w:right w:val="single" w:sz="4" w:space="0" w:color="auto"/>
            </w:tcBorders>
            <w:shd w:val="clear" w:color="000000" w:fill="F2F2F2"/>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563</w:t>
            </w:r>
          </w:p>
        </w:tc>
        <w:tc>
          <w:tcPr>
            <w:tcW w:w="485" w:type="pct"/>
            <w:tcBorders>
              <w:top w:val="nil"/>
              <w:left w:val="nil"/>
              <w:bottom w:val="single" w:sz="4" w:space="0" w:color="auto"/>
              <w:right w:val="single" w:sz="4" w:space="0" w:color="auto"/>
            </w:tcBorders>
            <w:shd w:val="clear" w:color="000000" w:fill="F2F2F2"/>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887</w:t>
            </w:r>
          </w:p>
        </w:tc>
        <w:tc>
          <w:tcPr>
            <w:tcW w:w="486" w:type="pct"/>
            <w:tcBorders>
              <w:top w:val="nil"/>
              <w:left w:val="nil"/>
              <w:bottom w:val="single" w:sz="4" w:space="0" w:color="auto"/>
              <w:right w:val="single" w:sz="4" w:space="0" w:color="auto"/>
            </w:tcBorders>
            <w:shd w:val="clear" w:color="000000" w:fill="F2F2F2"/>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995</w:t>
            </w:r>
          </w:p>
        </w:tc>
        <w:tc>
          <w:tcPr>
            <w:tcW w:w="486" w:type="pct"/>
            <w:tcBorders>
              <w:top w:val="nil"/>
              <w:left w:val="nil"/>
              <w:bottom w:val="single" w:sz="4" w:space="0" w:color="auto"/>
              <w:right w:val="single" w:sz="4" w:space="0" w:color="auto"/>
            </w:tcBorders>
            <w:shd w:val="clear" w:color="000000" w:fill="F2F2F2"/>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1.026</w:t>
            </w:r>
          </w:p>
        </w:tc>
        <w:tc>
          <w:tcPr>
            <w:tcW w:w="486" w:type="pct"/>
            <w:tcBorders>
              <w:top w:val="nil"/>
              <w:left w:val="nil"/>
              <w:bottom w:val="single" w:sz="4" w:space="0" w:color="auto"/>
              <w:right w:val="single" w:sz="4" w:space="0" w:color="auto"/>
            </w:tcBorders>
            <w:shd w:val="clear" w:color="000000" w:fill="F2F2F2"/>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1.305</w:t>
            </w:r>
          </w:p>
        </w:tc>
        <w:tc>
          <w:tcPr>
            <w:tcW w:w="486" w:type="pct"/>
            <w:tcBorders>
              <w:top w:val="nil"/>
              <w:left w:val="nil"/>
              <w:bottom w:val="single" w:sz="4" w:space="0" w:color="auto"/>
              <w:right w:val="single" w:sz="4" w:space="0" w:color="auto"/>
            </w:tcBorders>
            <w:shd w:val="clear" w:color="000000" w:fill="F2F2F2"/>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788</w:t>
            </w:r>
          </w:p>
        </w:tc>
        <w:tc>
          <w:tcPr>
            <w:tcW w:w="486" w:type="pct"/>
            <w:tcBorders>
              <w:top w:val="nil"/>
              <w:left w:val="nil"/>
              <w:bottom w:val="single" w:sz="4" w:space="0" w:color="auto"/>
              <w:right w:val="single" w:sz="4" w:space="0" w:color="auto"/>
            </w:tcBorders>
            <w:shd w:val="clear" w:color="000000" w:fill="F2F2F2"/>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867</w:t>
            </w:r>
          </w:p>
        </w:tc>
        <w:tc>
          <w:tcPr>
            <w:tcW w:w="618" w:type="pct"/>
            <w:tcBorders>
              <w:top w:val="nil"/>
              <w:left w:val="nil"/>
              <w:bottom w:val="single" w:sz="4" w:space="0" w:color="auto"/>
              <w:right w:val="single" w:sz="4" w:space="0" w:color="auto"/>
            </w:tcBorders>
            <w:shd w:val="clear" w:color="000000" w:fill="F2F2F2"/>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170%</w:t>
            </w:r>
          </w:p>
        </w:tc>
      </w:tr>
      <w:tr w:rsidR="008440F2" w:rsidRPr="002844B1"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rsidR="006A0BBC" w:rsidRPr="002844B1" w:rsidRDefault="006A0BBC">
            <w:pPr>
              <w:jc w:val="center"/>
              <w:rPr>
                <w:rFonts w:ascii="Trebuchet MS" w:hAnsi="Trebuchet MS" w:cs="Calibri"/>
                <w:b/>
                <w:bCs/>
                <w:color w:val="000000"/>
                <w:sz w:val="16"/>
                <w:szCs w:val="16"/>
              </w:rPr>
            </w:pPr>
            <w:r w:rsidRPr="002844B1">
              <w:rPr>
                <w:rFonts w:ascii="Trebuchet MS" w:hAnsi="Trebuchet MS" w:cs="Calibri"/>
                <w:b/>
                <w:bCs/>
                <w:color w:val="000000"/>
                <w:sz w:val="16"/>
                <w:szCs w:val="16"/>
              </w:rPr>
              <w:t>Côte d'Ivoire</w:t>
            </w:r>
          </w:p>
        </w:tc>
        <w:tc>
          <w:tcPr>
            <w:tcW w:w="484" w:type="pct"/>
            <w:tcBorders>
              <w:top w:val="nil"/>
              <w:left w:val="nil"/>
              <w:bottom w:val="single" w:sz="4" w:space="0" w:color="auto"/>
              <w:right w:val="single" w:sz="4" w:space="0" w:color="auto"/>
            </w:tcBorders>
            <w:shd w:val="clear" w:color="000000" w:fill="DDDDDD"/>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177</w:t>
            </w:r>
          </w:p>
        </w:tc>
        <w:tc>
          <w:tcPr>
            <w:tcW w:w="484" w:type="pct"/>
            <w:tcBorders>
              <w:top w:val="nil"/>
              <w:left w:val="nil"/>
              <w:bottom w:val="single" w:sz="4" w:space="0" w:color="auto"/>
              <w:right w:val="single" w:sz="4" w:space="0" w:color="auto"/>
            </w:tcBorders>
            <w:shd w:val="clear" w:color="000000" w:fill="DDDDDD"/>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288</w:t>
            </w:r>
          </w:p>
        </w:tc>
        <w:tc>
          <w:tcPr>
            <w:tcW w:w="485" w:type="pct"/>
            <w:tcBorders>
              <w:top w:val="nil"/>
              <w:left w:val="nil"/>
              <w:bottom w:val="single" w:sz="4" w:space="0" w:color="auto"/>
              <w:right w:val="single" w:sz="4" w:space="0" w:color="auto"/>
            </w:tcBorders>
            <w:shd w:val="clear" w:color="000000" w:fill="DDDDDD"/>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398</w:t>
            </w:r>
          </w:p>
        </w:tc>
        <w:tc>
          <w:tcPr>
            <w:tcW w:w="486" w:type="pct"/>
            <w:tcBorders>
              <w:top w:val="nil"/>
              <w:left w:val="nil"/>
              <w:bottom w:val="single" w:sz="4" w:space="0" w:color="auto"/>
              <w:right w:val="single" w:sz="4" w:space="0" w:color="auto"/>
            </w:tcBorders>
            <w:shd w:val="clear" w:color="000000" w:fill="DDDDDD"/>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457</w:t>
            </w:r>
          </w:p>
        </w:tc>
        <w:tc>
          <w:tcPr>
            <w:tcW w:w="486" w:type="pct"/>
            <w:tcBorders>
              <w:top w:val="nil"/>
              <w:left w:val="nil"/>
              <w:bottom w:val="single" w:sz="4" w:space="0" w:color="auto"/>
              <w:right w:val="single" w:sz="4" w:space="0" w:color="auto"/>
            </w:tcBorders>
            <w:shd w:val="clear" w:color="000000" w:fill="DDDDDD"/>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629</w:t>
            </w:r>
          </w:p>
        </w:tc>
        <w:tc>
          <w:tcPr>
            <w:tcW w:w="486" w:type="pct"/>
            <w:tcBorders>
              <w:top w:val="nil"/>
              <w:left w:val="nil"/>
              <w:bottom w:val="single" w:sz="4" w:space="0" w:color="auto"/>
              <w:right w:val="single" w:sz="4" w:space="0" w:color="auto"/>
            </w:tcBorders>
            <w:shd w:val="clear" w:color="000000" w:fill="DDDDDD"/>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671</w:t>
            </w:r>
          </w:p>
        </w:tc>
        <w:tc>
          <w:tcPr>
            <w:tcW w:w="486" w:type="pct"/>
            <w:tcBorders>
              <w:top w:val="nil"/>
              <w:left w:val="nil"/>
              <w:bottom w:val="single" w:sz="4" w:space="0" w:color="auto"/>
              <w:right w:val="single" w:sz="4" w:space="0" w:color="auto"/>
            </w:tcBorders>
            <w:shd w:val="clear" w:color="000000" w:fill="DDDDDD"/>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778</w:t>
            </w:r>
          </w:p>
        </w:tc>
        <w:tc>
          <w:tcPr>
            <w:tcW w:w="486" w:type="pct"/>
            <w:tcBorders>
              <w:top w:val="nil"/>
              <w:left w:val="nil"/>
              <w:bottom w:val="single" w:sz="4" w:space="0" w:color="auto"/>
              <w:right w:val="single" w:sz="4" w:space="0" w:color="auto"/>
            </w:tcBorders>
            <w:shd w:val="clear" w:color="000000" w:fill="DDDDDD"/>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806</w:t>
            </w:r>
          </w:p>
        </w:tc>
        <w:tc>
          <w:tcPr>
            <w:tcW w:w="618" w:type="pct"/>
            <w:tcBorders>
              <w:top w:val="nil"/>
              <w:left w:val="nil"/>
              <w:bottom w:val="single" w:sz="4" w:space="0" w:color="auto"/>
              <w:right w:val="single" w:sz="4" w:space="0" w:color="auto"/>
            </w:tcBorders>
            <w:shd w:val="clear" w:color="000000" w:fill="DDDDDD"/>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355%</w:t>
            </w:r>
          </w:p>
        </w:tc>
      </w:tr>
      <w:tr w:rsidR="008440F2" w:rsidRPr="002844B1"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rsidR="006A0BBC" w:rsidRPr="002844B1" w:rsidRDefault="006A0BBC">
            <w:pPr>
              <w:jc w:val="center"/>
              <w:rPr>
                <w:rFonts w:ascii="Trebuchet MS" w:hAnsi="Trebuchet MS" w:cs="Calibri"/>
                <w:b/>
                <w:bCs/>
                <w:color w:val="000000"/>
                <w:sz w:val="16"/>
                <w:szCs w:val="16"/>
              </w:rPr>
            </w:pPr>
            <w:r w:rsidRPr="002844B1">
              <w:rPr>
                <w:rFonts w:ascii="Trebuchet MS" w:hAnsi="Trebuchet MS" w:cs="Calibri"/>
                <w:b/>
                <w:bCs/>
                <w:color w:val="000000"/>
                <w:sz w:val="16"/>
                <w:szCs w:val="16"/>
              </w:rPr>
              <w:t>Ghana </w:t>
            </w:r>
            <w:r w:rsidRPr="002844B1">
              <w:rPr>
                <w:rFonts w:ascii="Trebuchet MS" w:hAnsi="Trebuchet MS" w:cs="Calibri"/>
                <w:b/>
                <w:bCs/>
                <w:color w:val="000000"/>
                <w:sz w:val="16"/>
                <w:szCs w:val="16"/>
                <w:vertAlign w:val="superscript"/>
              </w:rPr>
              <w:t>(1)</w:t>
            </w:r>
          </w:p>
        </w:tc>
        <w:tc>
          <w:tcPr>
            <w:tcW w:w="484" w:type="pct"/>
            <w:tcBorders>
              <w:top w:val="nil"/>
              <w:left w:val="nil"/>
              <w:bottom w:val="single" w:sz="4" w:space="0" w:color="auto"/>
              <w:right w:val="single" w:sz="4" w:space="0" w:color="auto"/>
            </w:tcBorders>
            <w:shd w:val="clear" w:color="000000" w:fill="F2F2F2"/>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w:t>
            </w:r>
          </w:p>
        </w:tc>
        <w:tc>
          <w:tcPr>
            <w:tcW w:w="484" w:type="pct"/>
            <w:tcBorders>
              <w:top w:val="nil"/>
              <w:left w:val="nil"/>
              <w:bottom w:val="single" w:sz="4" w:space="0" w:color="auto"/>
              <w:right w:val="single" w:sz="4" w:space="0" w:color="auto"/>
            </w:tcBorders>
            <w:shd w:val="clear" w:color="000000" w:fill="F2F2F2"/>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165</w:t>
            </w:r>
          </w:p>
        </w:tc>
        <w:tc>
          <w:tcPr>
            <w:tcW w:w="485" w:type="pct"/>
            <w:tcBorders>
              <w:top w:val="nil"/>
              <w:left w:val="nil"/>
              <w:bottom w:val="single" w:sz="4" w:space="0" w:color="auto"/>
              <w:right w:val="single" w:sz="4" w:space="0" w:color="auto"/>
            </w:tcBorders>
            <w:shd w:val="clear" w:color="000000" w:fill="F2F2F2"/>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306</w:t>
            </w:r>
          </w:p>
        </w:tc>
        <w:tc>
          <w:tcPr>
            <w:tcW w:w="486" w:type="pct"/>
            <w:tcBorders>
              <w:top w:val="nil"/>
              <w:left w:val="nil"/>
              <w:bottom w:val="single" w:sz="4" w:space="0" w:color="auto"/>
              <w:right w:val="single" w:sz="4" w:space="0" w:color="auto"/>
            </w:tcBorders>
            <w:shd w:val="clear" w:color="000000" w:fill="F2F2F2"/>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385</w:t>
            </w:r>
          </w:p>
        </w:tc>
        <w:tc>
          <w:tcPr>
            <w:tcW w:w="486" w:type="pct"/>
            <w:tcBorders>
              <w:top w:val="nil"/>
              <w:left w:val="nil"/>
              <w:bottom w:val="single" w:sz="4" w:space="0" w:color="auto"/>
              <w:right w:val="single" w:sz="4" w:space="0" w:color="auto"/>
            </w:tcBorders>
            <w:shd w:val="clear" w:color="000000" w:fill="F2F2F2"/>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605</w:t>
            </w:r>
          </w:p>
        </w:tc>
        <w:tc>
          <w:tcPr>
            <w:tcW w:w="486" w:type="pct"/>
            <w:tcBorders>
              <w:top w:val="nil"/>
              <w:left w:val="nil"/>
              <w:bottom w:val="single" w:sz="4" w:space="0" w:color="auto"/>
              <w:right w:val="single" w:sz="4" w:space="0" w:color="auto"/>
            </w:tcBorders>
            <w:shd w:val="clear" w:color="000000" w:fill="F2F2F2"/>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610</w:t>
            </w:r>
          </w:p>
        </w:tc>
        <w:tc>
          <w:tcPr>
            <w:tcW w:w="486" w:type="pct"/>
            <w:tcBorders>
              <w:top w:val="nil"/>
              <w:left w:val="nil"/>
              <w:bottom w:val="single" w:sz="4" w:space="0" w:color="auto"/>
              <w:right w:val="single" w:sz="4" w:space="0" w:color="auto"/>
            </w:tcBorders>
            <w:shd w:val="clear" w:color="000000" w:fill="F2F2F2"/>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669</w:t>
            </w:r>
          </w:p>
        </w:tc>
        <w:tc>
          <w:tcPr>
            <w:tcW w:w="486" w:type="pct"/>
            <w:tcBorders>
              <w:top w:val="nil"/>
              <w:left w:val="nil"/>
              <w:bottom w:val="single" w:sz="4" w:space="0" w:color="auto"/>
              <w:right w:val="single" w:sz="4" w:space="0" w:color="auto"/>
            </w:tcBorders>
            <w:shd w:val="clear" w:color="000000" w:fill="F2F2F2"/>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789</w:t>
            </w:r>
          </w:p>
        </w:tc>
        <w:tc>
          <w:tcPr>
            <w:tcW w:w="618" w:type="pct"/>
            <w:tcBorders>
              <w:top w:val="nil"/>
              <w:left w:val="nil"/>
              <w:bottom w:val="single" w:sz="4" w:space="0" w:color="auto"/>
              <w:right w:val="single" w:sz="4" w:space="0" w:color="auto"/>
            </w:tcBorders>
            <w:shd w:val="clear" w:color="000000" w:fill="F2F2F2"/>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862%</w:t>
            </w:r>
          </w:p>
        </w:tc>
      </w:tr>
      <w:tr w:rsidR="008440F2" w:rsidRPr="002844B1"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rsidR="006A0BBC" w:rsidRPr="002844B1" w:rsidRDefault="006A0BBC">
            <w:pPr>
              <w:jc w:val="center"/>
              <w:rPr>
                <w:rFonts w:ascii="Trebuchet MS" w:hAnsi="Trebuchet MS" w:cs="Calibri"/>
                <w:b/>
                <w:bCs/>
                <w:color w:val="000000"/>
                <w:sz w:val="16"/>
                <w:szCs w:val="16"/>
              </w:rPr>
            </w:pPr>
            <w:r w:rsidRPr="002844B1">
              <w:rPr>
                <w:rFonts w:ascii="Trebuchet MS" w:hAnsi="Trebuchet MS" w:cs="Calibri"/>
                <w:b/>
                <w:bCs/>
                <w:color w:val="000000"/>
                <w:sz w:val="16"/>
                <w:szCs w:val="16"/>
              </w:rPr>
              <w:t>Maurice</w:t>
            </w:r>
          </w:p>
        </w:tc>
        <w:tc>
          <w:tcPr>
            <w:tcW w:w="484" w:type="pct"/>
            <w:tcBorders>
              <w:top w:val="nil"/>
              <w:left w:val="nil"/>
              <w:bottom w:val="single" w:sz="4" w:space="0" w:color="auto"/>
              <w:right w:val="single" w:sz="4" w:space="0" w:color="auto"/>
            </w:tcBorders>
            <w:shd w:val="clear" w:color="000000" w:fill="DDDDDD"/>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207</w:t>
            </w:r>
          </w:p>
        </w:tc>
        <w:tc>
          <w:tcPr>
            <w:tcW w:w="484" w:type="pct"/>
            <w:tcBorders>
              <w:top w:val="nil"/>
              <w:left w:val="nil"/>
              <w:bottom w:val="single" w:sz="4" w:space="0" w:color="auto"/>
              <w:right w:val="single" w:sz="4" w:space="0" w:color="auto"/>
            </w:tcBorders>
            <w:shd w:val="clear" w:color="000000" w:fill="DDDDDD"/>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318</w:t>
            </w:r>
          </w:p>
        </w:tc>
        <w:tc>
          <w:tcPr>
            <w:tcW w:w="485" w:type="pct"/>
            <w:tcBorders>
              <w:top w:val="nil"/>
              <w:left w:val="nil"/>
              <w:bottom w:val="single" w:sz="4" w:space="0" w:color="auto"/>
              <w:right w:val="single" w:sz="4" w:space="0" w:color="auto"/>
            </w:tcBorders>
            <w:shd w:val="clear" w:color="000000" w:fill="DDDDDD"/>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508</w:t>
            </w:r>
          </w:p>
        </w:tc>
        <w:tc>
          <w:tcPr>
            <w:tcW w:w="486" w:type="pct"/>
            <w:tcBorders>
              <w:top w:val="nil"/>
              <w:left w:val="nil"/>
              <w:bottom w:val="single" w:sz="4" w:space="0" w:color="auto"/>
              <w:right w:val="single" w:sz="4" w:space="0" w:color="auto"/>
            </w:tcBorders>
            <w:shd w:val="clear" w:color="000000" w:fill="DDDDDD"/>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779</w:t>
            </w:r>
          </w:p>
        </w:tc>
        <w:tc>
          <w:tcPr>
            <w:tcW w:w="486" w:type="pct"/>
            <w:tcBorders>
              <w:top w:val="nil"/>
              <w:left w:val="nil"/>
              <w:bottom w:val="single" w:sz="4" w:space="0" w:color="auto"/>
              <w:right w:val="single" w:sz="4" w:space="0" w:color="auto"/>
            </w:tcBorders>
            <w:shd w:val="clear" w:color="000000" w:fill="DDDDDD"/>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627</w:t>
            </w:r>
          </w:p>
        </w:tc>
        <w:tc>
          <w:tcPr>
            <w:tcW w:w="486" w:type="pct"/>
            <w:tcBorders>
              <w:top w:val="nil"/>
              <w:left w:val="nil"/>
              <w:bottom w:val="single" w:sz="4" w:space="0" w:color="auto"/>
              <w:right w:val="single" w:sz="4" w:space="0" w:color="auto"/>
            </w:tcBorders>
            <w:shd w:val="clear" w:color="000000" w:fill="DDDDDD"/>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516</w:t>
            </w:r>
          </w:p>
        </w:tc>
        <w:tc>
          <w:tcPr>
            <w:tcW w:w="486" w:type="pct"/>
            <w:tcBorders>
              <w:top w:val="nil"/>
              <w:left w:val="nil"/>
              <w:bottom w:val="single" w:sz="4" w:space="0" w:color="auto"/>
              <w:right w:val="single" w:sz="4" w:space="0" w:color="auto"/>
            </w:tcBorders>
            <w:shd w:val="clear" w:color="000000" w:fill="DDDDDD"/>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533</w:t>
            </w:r>
          </w:p>
        </w:tc>
        <w:tc>
          <w:tcPr>
            <w:tcW w:w="486" w:type="pct"/>
            <w:tcBorders>
              <w:top w:val="nil"/>
              <w:left w:val="nil"/>
              <w:bottom w:val="single" w:sz="4" w:space="0" w:color="auto"/>
              <w:right w:val="single" w:sz="4" w:space="0" w:color="auto"/>
            </w:tcBorders>
            <w:shd w:val="clear" w:color="000000" w:fill="DDDDDD"/>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523</w:t>
            </w:r>
          </w:p>
        </w:tc>
        <w:tc>
          <w:tcPr>
            <w:tcW w:w="618" w:type="pct"/>
            <w:tcBorders>
              <w:top w:val="nil"/>
              <w:left w:val="nil"/>
              <w:bottom w:val="single" w:sz="4" w:space="0" w:color="auto"/>
              <w:right w:val="single" w:sz="4" w:space="0" w:color="auto"/>
            </w:tcBorders>
            <w:shd w:val="clear" w:color="000000" w:fill="DDDDDD"/>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153%</w:t>
            </w:r>
          </w:p>
        </w:tc>
      </w:tr>
      <w:tr w:rsidR="008440F2" w:rsidRPr="002844B1"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rsidR="006A0BBC" w:rsidRPr="002844B1" w:rsidRDefault="006A0BBC">
            <w:pPr>
              <w:jc w:val="center"/>
              <w:rPr>
                <w:rFonts w:ascii="Trebuchet MS" w:hAnsi="Trebuchet MS" w:cs="Calibri"/>
                <w:b/>
                <w:bCs/>
                <w:color w:val="000000"/>
                <w:sz w:val="16"/>
                <w:szCs w:val="16"/>
              </w:rPr>
            </w:pPr>
            <w:r w:rsidRPr="002844B1">
              <w:rPr>
                <w:rFonts w:ascii="Trebuchet MS" w:hAnsi="Trebuchet MS" w:cs="Calibri"/>
                <w:b/>
                <w:bCs/>
                <w:color w:val="000000"/>
                <w:sz w:val="16"/>
                <w:szCs w:val="16"/>
              </w:rPr>
              <w:t>Angola</w:t>
            </w:r>
          </w:p>
        </w:tc>
        <w:tc>
          <w:tcPr>
            <w:tcW w:w="484" w:type="pct"/>
            <w:tcBorders>
              <w:top w:val="nil"/>
              <w:left w:val="nil"/>
              <w:bottom w:val="single" w:sz="4" w:space="0" w:color="auto"/>
              <w:right w:val="single" w:sz="4" w:space="0" w:color="auto"/>
            </w:tcBorders>
            <w:shd w:val="clear" w:color="000000" w:fill="F2F2F2"/>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129</w:t>
            </w:r>
          </w:p>
        </w:tc>
        <w:tc>
          <w:tcPr>
            <w:tcW w:w="484" w:type="pct"/>
            <w:tcBorders>
              <w:top w:val="nil"/>
              <w:left w:val="nil"/>
              <w:bottom w:val="single" w:sz="4" w:space="0" w:color="auto"/>
              <w:right w:val="single" w:sz="4" w:space="0" w:color="auto"/>
            </w:tcBorders>
            <w:shd w:val="clear" w:color="000000" w:fill="F2F2F2"/>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680</w:t>
            </w:r>
          </w:p>
        </w:tc>
        <w:tc>
          <w:tcPr>
            <w:tcW w:w="485" w:type="pct"/>
            <w:tcBorders>
              <w:top w:val="nil"/>
              <w:left w:val="nil"/>
              <w:bottom w:val="single" w:sz="4" w:space="0" w:color="auto"/>
              <w:right w:val="single" w:sz="4" w:space="0" w:color="auto"/>
            </w:tcBorders>
            <w:shd w:val="clear" w:color="000000" w:fill="F2F2F2"/>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828</w:t>
            </w:r>
          </w:p>
        </w:tc>
        <w:tc>
          <w:tcPr>
            <w:tcW w:w="486" w:type="pct"/>
            <w:tcBorders>
              <w:top w:val="nil"/>
              <w:left w:val="nil"/>
              <w:bottom w:val="single" w:sz="4" w:space="0" w:color="auto"/>
              <w:right w:val="single" w:sz="4" w:space="0" w:color="auto"/>
            </w:tcBorders>
            <w:shd w:val="clear" w:color="000000" w:fill="F2F2F2"/>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1.055</w:t>
            </w:r>
          </w:p>
        </w:tc>
        <w:tc>
          <w:tcPr>
            <w:tcW w:w="486" w:type="pct"/>
            <w:tcBorders>
              <w:top w:val="nil"/>
              <w:left w:val="nil"/>
              <w:bottom w:val="single" w:sz="4" w:space="0" w:color="auto"/>
              <w:right w:val="single" w:sz="4" w:space="0" w:color="auto"/>
            </w:tcBorders>
            <w:shd w:val="clear" w:color="000000" w:fill="F2F2F2"/>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450</w:t>
            </w:r>
          </w:p>
        </w:tc>
        <w:tc>
          <w:tcPr>
            <w:tcW w:w="486" w:type="pct"/>
            <w:tcBorders>
              <w:top w:val="nil"/>
              <w:left w:val="nil"/>
              <w:bottom w:val="single" w:sz="4" w:space="0" w:color="auto"/>
              <w:right w:val="single" w:sz="4" w:space="0" w:color="auto"/>
            </w:tcBorders>
            <w:shd w:val="clear" w:color="000000" w:fill="F2F2F2"/>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374</w:t>
            </w:r>
          </w:p>
        </w:tc>
        <w:tc>
          <w:tcPr>
            <w:tcW w:w="486" w:type="pct"/>
            <w:tcBorders>
              <w:top w:val="nil"/>
              <w:left w:val="nil"/>
              <w:bottom w:val="single" w:sz="4" w:space="0" w:color="auto"/>
              <w:right w:val="single" w:sz="4" w:space="0" w:color="auto"/>
            </w:tcBorders>
            <w:shd w:val="clear" w:color="000000" w:fill="F2F2F2"/>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338</w:t>
            </w:r>
          </w:p>
        </w:tc>
        <w:tc>
          <w:tcPr>
            <w:tcW w:w="486" w:type="pct"/>
            <w:tcBorders>
              <w:top w:val="nil"/>
              <w:left w:val="nil"/>
              <w:bottom w:val="single" w:sz="4" w:space="0" w:color="auto"/>
              <w:right w:val="single" w:sz="4" w:space="0" w:color="auto"/>
            </w:tcBorders>
            <w:shd w:val="clear" w:color="000000" w:fill="F2F2F2"/>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494</w:t>
            </w:r>
          </w:p>
        </w:tc>
        <w:tc>
          <w:tcPr>
            <w:tcW w:w="618" w:type="pct"/>
            <w:tcBorders>
              <w:top w:val="nil"/>
              <w:left w:val="nil"/>
              <w:bottom w:val="single" w:sz="4" w:space="0" w:color="auto"/>
              <w:right w:val="single" w:sz="4" w:space="0" w:color="auto"/>
            </w:tcBorders>
            <w:shd w:val="clear" w:color="000000" w:fill="F2F2F2"/>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283%</w:t>
            </w:r>
          </w:p>
        </w:tc>
      </w:tr>
      <w:tr w:rsidR="008440F2" w:rsidRPr="002844B1"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rsidR="006A0BBC" w:rsidRPr="002844B1" w:rsidRDefault="006A0BBC">
            <w:pPr>
              <w:jc w:val="center"/>
              <w:rPr>
                <w:rFonts w:ascii="Trebuchet MS" w:hAnsi="Trebuchet MS" w:cs="Calibri"/>
                <w:b/>
                <w:bCs/>
                <w:color w:val="000000"/>
                <w:sz w:val="16"/>
                <w:szCs w:val="16"/>
              </w:rPr>
            </w:pPr>
            <w:r w:rsidRPr="002844B1">
              <w:rPr>
                <w:rFonts w:ascii="Trebuchet MS" w:hAnsi="Trebuchet MS" w:cs="Calibri"/>
                <w:b/>
                <w:bCs/>
                <w:color w:val="000000"/>
                <w:sz w:val="16"/>
                <w:szCs w:val="16"/>
              </w:rPr>
              <w:t>Autres pays</w:t>
            </w:r>
          </w:p>
        </w:tc>
        <w:tc>
          <w:tcPr>
            <w:tcW w:w="484" w:type="pct"/>
            <w:tcBorders>
              <w:top w:val="nil"/>
              <w:left w:val="nil"/>
              <w:bottom w:val="single" w:sz="4" w:space="0" w:color="auto"/>
              <w:right w:val="single" w:sz="4" w:space="0" w:color="auto"/>
            </w:tcBorders>
            <w:shd w:val="clear" w:color="000000" w:fill="DDDDDD"/>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1.278</w:t>
            </w:r>
          </w:p>
        </w:tc>
        <w:tc>
          <w:tcPr>
            <w:tcW w:w="484" w:type="pct"/>
            <w:tcBorders>
              <w:top w:val="nil"/>
              <w:left w:val="nil"/>
              <w:bottom w:val="single" w:sz="4" w:space="0" w:color="auto"/>
              <w:right w:val="single" w:sz="4" w:space="0" w:color="auto"/>
            </w:tcBorders>
            <w:shd w:val="clear" w:color="000000" w:fill="DDDDDD"/>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2.019</w:t>
            </w:r>
          </w:p>
        </w:tc>
        <w:tc>
          <w:tcPr>
            <w:tcW w:w="485" w:type="pct"/>
            <w:tcBorders>
              <w:top w:val="nil"/>
              <w:left w:val="nil"/>
              <w:bottom w:val="single" w:sz="4" w:space="0" w:color="auto"/>
              <w:right w:val="single" w:sz="4" w:space="0" w:color="auto"/>
            </w:tcBorders>
            <w:shd w:val="clear" w:color="000000" w:fill="DDDDDD"/>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3.045</w:t>
            </w:r>
          </w:p>
        </w:tc>
        <w:tc>
          <w:tcPr>
            <w:tcW w:w="486" w:type="pct"/>
            <w:tcBorders>
              <w:top w:val="nil"/>
              <w:left w:val="nil"/>
              <w:bottom w:val="single" w:sz="4" w:space="0" w:color="auto"/>
              <w:right w:val="single" w:sz="4" w:space="0" w:color="auto"/>
            </w:tcBorders>
            <w:shd w:val="clear" w:color="000000" w:fill="DDDDDD"/>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12.385</w:t>
            </w:r>
          </w:p>
        </w:tc>
        <w:tc>
          <w:tcPr>
            <w:tcW w:w="486" w:type="pct"/>
            <w:tcBorders>
              <w:top w:val="nil"/>
              <w:left w:val="nil"/>
              <w:bottom w:val="single" w:sz="4" w:space="0" w:color="auto"/>
              <w:right w:val="single" w:sz="4" w:space="0" w:color="auto"/>
            </w:tcBorders>
            <w:shd w:val="clear" w:color="000000" w:fill="DDDDDD"/>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13.769</w:t>
            </w:r>
          </w:p>
        </w:tc>
        <w:tc>
          <w:tcPr>
            <w:tcW w:w="486" w:type="pct"/>
            <w:tcBorders>
              <w:top w:val="nil"/>
              <w:left w:val="nil"/>
              <w:bottom w:val="single" w:sz="4" w:space="0" w:color="auto"/>
              <w:right w:val="single" w:sz="4" w:space="0" w:color="auto"/>
            </w:tcBorders>
            <w:shd w:val="clear" w:color="000000" w:fill="DDDDDD"/>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13.763</w:t>
            </w:r>
          </w:p>
        </w:tc>
        <w:tc>
          <w:tcPr>
            <w:tcW w:w="486" w:type="pct"/>
            <w:tcBorders>
              <w:top w:val="nil"/>
              <w:left w:val="nil"/>
              <w:bottom w:val="single" w:sz="4" w:space="0" w:color="auto"/>
              <w:right w:val="single" w:sz="4" w:space="0" w:color="auto"/>
            </w:tcBorders>
            <w:shd w:val="clear" w:color="000000" w:fill="DDDDDD"/>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14.332</w:t>
            </w:r>
          </w:p>
        </w:tc>
        <w:tc>
          <w:tcPr>
            <w:tcW w:w="486" w:type="pct"/>
            <w:tcBorders>
              <w:top w:val="nil"/>
              <w:left w:val="nil"/>
              <w:bottom w:val="single" w:sz="4" w:space="0" w:color="auto"/>
              <w:right w:val="single" w:sz="4" w:space="0" w:color="auto"/>
            </w:tcBorders>
            <w:shd w:val="clear" w:color="000000" w:fill="DDDDDD"/>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15.491</w:t>
            </w:r>
          </w:p>
        </w:tc>
        <w:tc>
          <w:tcPr>
            <w:tcW w:w="618" w:type="pct"/>
            <w:tcBorders>
              <w:top w:val="nil"/>
              <w:left w:val="nil"/>
              <w:bottom w:val="single" w:sz="4" w:space="0" w:color="auto"/>
              <w:right w:val="single" w:sz="4" w:space="0" w:color="auto"/>
            </w:tcBorders>
            <w:shd w:val="clear" w:color="000000" w:fill="DDDDDD"/>
            <w:vAlign w:val="center"/>
            <w:hideMark/>
          </w:tcPr>
          <w:p w:rsidR="006A0BBC" w:rsidRPr="002844B1" w:rsidRDefault="006A0BBC">
            <w:pPr>
              <w:jc w:val="center"/>
              <w:rPr>
                <w:rFonts w:ascii="Trebuchet MS" w:hAnsi="Trebuchet MS" w:cs="Calibri"/>
                <w:color w:val="000000"/>
                <w:sz w:val="16"/>
                <w:szCs w:val="16"/>
              </w:rPr>
            </w:pPr>
            <w:r w:rsidRPr="002844B1">
              <w:rPr>
                <w:rFonts w:ascii="Trebuchet MS" w:hAnsi="Trebuchet MS" w:cs="Calibri"/>
                <w:color w:val="000000"/>
                <w:sz w:val="16"/>
                <w:szCs w:val="16"/>
              </w:rPr>
              <w:t>1112%</w:t>
            </w:r>
          </w:p>
        </w:tc>
      </w:tr>
      <w:bookmarkEnd w:id="9"/>
    </w:tbl>
    <w:p w:rsidR="008440F2" w:rsidRPr="002844B1" w:rsidRDefault="008440F2">
      <w:pPr>
        <w:pStyle w:val="BodyText"/>
      </w:pPr>
    </w:p>
    <w:p w:rsidR="005B279D" w:rsidRPr="002844B1" w:rsidRDefault="00000000" w:rsidP="008440F2">
      <w:pPr>
        <w:pStyle w:val="BodyText"/>
        <w:jc w:val="both"/>
        <w:rPr>
          <w:sz w:val="21"/>
          <w:szCs w:val="21"/>
        </w:rPr>
      </w:pPr>
      <w:r w:rsidRPr="002844B1">
        <w:rPr>
          <w:sz w:val="21"/>
          <w:szCs w:val="21"/>
        </w:rPr>
        <w:t xml:space="preserve">Le Royaume doit se succès à la rigueur de son dispositif prudentiel qui se consolide de plus en plus. La SBR (Solvabilité basée sur les risques) est une réforme prudentielle qui vient en ce sens renforcer cette dynamique. </w:t>
      </w:r>
      <w:r w:rsidR="00AA7351" w:rsidRPr="002844B1">
        <w:rPr>
          <w:sz w:val="21"/>
          <w:szCs w:val="21"/>
        </w:rPr>
        <w:t xml:space="preserve"> </w:t>
      </w:r>
      <w:r w:rsidR="00AA7351" w:rsidRPr="002844B1">
        <w:rPr>
          <w:sz w:val="21"/>
          <w:szCs w:val="21"/>
        </w:rPr>
        <w:lastRenderedPageBreak/>
        <w:t>E</w:t>
      </w:r>
      <w:r w:rsidRPr="002844B1">
        <w:rPr>
          <w:sz w:val="21"/>
          <w:szCs w:val="21"/>
        </w:rPr>
        <w:t>lle vise à consolider la résilience des compagnies d’assurances face aux différents risques qu’elles encourent. Elle repose sur trois piliers : le pilier quantitatif, le pilier qualitatif et le pilier informatif</w:t>
      </w:r>
      <w:r w:rsidRPr="002844B1">
        <w:rPr>
          <w:rStyle w:val="FootnoteReference"/>
          <w:sz w:val="20"/>
          <w:szCs w:val="20"/>
        </w:rPr>
        <w:footnoteReference w:id="3"/>
      </w:r>
      <w:r w:rsidRPr="002844B1">
        <w:rPr>
          <w:sz w:val="21"/>
          <w:szCs w:val="21"/>
        </w:rPr>
        <w:t>.</w:t>
      </w:r>
    </w:p>
    <w:p w:rsidR="005B279D" w:rsidRPr="002844B1" w:rsidRDefault="00000000" w:rsidP="008440F2">
      <w:pPr>
        <w:pStyle w:val="BodyText"/>
        <w:jc w:val="both"/>
        <w:rPr>
          <w:sz w:val="21"/>
          <w:szCs w:val="21"/>
        </w:rPr>
      </w:pPr>
      <w:r w:rsidRPr="002844B1">
        <w:rPr>
          <w:sz w:val="21"/>
          <w:szCs w:val="21"/>
        </w:rPr>
        <w:t>Le pilier quantitatif définit de nouvelles règles pour calculer le niveau de fonds propres minimum que les assureurs doivent détenir, en fonction de l’ensemble de leur activité et des risques associés. Il introduit également un bilan prudentiel, basé sur la valeur de marché des actifs et des passifs, et une classification des fonds propres éligibles</w:t>
      </w:r>
      <w:r w:rsidRPr="002844B1">
        <w:rPr>
          <w:rStyle w:val="FootnoteReference"/>
          <w:sz w:val="20"/>
          <w:szCs w:val="20"/>
        </w:rPr>
        <w:footnoteReference w:id="4"/>
      </w:r>
      <w:r w:rsidRPr="002844B1">
        <w:rPr>
          <w:sz w:val="21"/>
          <w:szCs w:val="21"/>
        </w:rPr>
        <w:t>.</w:t>
      </w:r>
    </w:p>
    <w:p w:rsidR="005B279D" w:rsidRPr="002844B1" w:rsidRDefault="00000000" w:rsidP="008440F2">
      <w:pPr>
        <w:pStyle w:val="BodyText"/>
        <w:jc w:val="both"/>
        <w:rPr>
          <w:sz w:val="21"/>
          <w:szCs w:val="21"/>
        </w:rPr>
      </w:pPr>
      <w:r w:rsidRPr="002844B1">
        <w:rPr>
          <w:sz w:val="21"/>
          <w:szCs w:val="21"/>
        </w:rPr>
        <w:t>Le pilier qualitatif concerne la gouvernance et le contrôle interne des assureurs, ainsi que la gestion des risques. Il impose aux assureurs de mettre en place des fonctions clés, comme la fonction actuarielle ou la fonction de conformité, et de réaliser une évaluation interne des risques et de la solvabilité (ORSA</w:t>
      </w:r>
      <w:r w:rsidRPr="002844B1">
        <w:rPr>
          <w:rStyle w:val="FootnoteReference"/>
          <w:sz w:val="20"/>
          <w:szCs w:val="20"/>
        </w:rPr>
        <w:footnoteReference w:id="5"/>
      </w:r>
      <w:r w:rsidRPr="002844B1">
        <w:rPr>
          <w:sz w:val="21"/>
          <w:szCs w:val="21"/>
        </w:rPr>
        <w:t>). Il applique aussi le principe de « personne prudente » pour la politique d’investissement des assureurs.</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2844B1" w:rsidTr="005B279D">
        <w:trPr>
          <w:cantSplit/>
        </w:trPr>
        <w:tc>
          <w:tcPr>
            <w:tcW w:w="0" w:type="auto"/>
            <w:shd w:val="clear" w:color="auto" w:fill="CCF1E3"/>
            <w:tcMar>
              <w:top w:w="92" w:type="dxa"/>
              <w:bottom w:w="92" w:type="dxa"/>
            </w:tcMar>
          </w:tcPr>
          <w:p w:rsidR="005B279D" w:rsidRPr="002844B1" w:rsidRDefault="00000000">
            <w:pPr>
              <w:pStyle w:val="BodyText"/>
              <w:spacing w:before="0" w:after="0"/>
              <w:textAlignment w:val="center"/>
            </w:pPr>
            <w:r w:rsidRPr="002844B1">
              <w:rPr>
                <w:noProof/>
              </w:rPr>
              <w:drawing>
                <wp:inline distT="0" distB="0" distL="0" distR="0">
                  <wp:extent cx="152400" cy="1524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Applications/quarto/share/formats/docx/tip.png"/>
                          <pic:cNvPicPr>
                            <a:picLocks noChangeAspect="1" noChangeArrowheads="1"/>
                          </pic:cNvPicPr>
                        </pic:nvPicPr>
                        <pic:blipFill>
                          <a:blip r:embed="rId9"/>
                          <a:stretch>
                            <a:fillRect/>
                          </a:stretch>
                        </pic:blipFill>
                        <pic:spPr bwMode="auto">
                          <a:xfrm>
                            <a:off x="0" y="0"/>
                            <a:ext cx="152400" cy="152400"/>
                          </a:xfrm>
                          <a:prstGeom prst="rect">
                            <a:avLst/>
                          </a:prstGeom>
                          <a:noFill/>
                          <a:ln w="9525">
                            <a:noFill/>
                            <a:headEnd/>
                            <a:tailEnd/>
                          </a:ln>
                        </pic:spPr>
                      </pic:pic>
                    </a:graphicData>
                  </a:graphic>
                </wp:inline>
              </w:drawing>
            </w:r>
            <w:r w:rsidRPr="002844B1">
              <w:t xml:space="preserve">  Le principe de « personne prudente »</w:t>
            </w:r>
          </w:p>
        </w:tc>
      </w:tr>
      <w:tr w:rsidR="005B279D" w:rsidRPr="002844B1" w:rsidTr="005B279D">
        <w:trPr>
          <w:cantSplit/>
        </w:trPr>
        <w:tc>
          <w:tcPr>
            <w:tcW w:w="0" w:type="auto"/>
            <w:tcMar>
              <w:top w:w="108" w:type="dxa"/>
              <w:bottom w:w="108" w:type="dxa"/>
            </w:tcMar>
          </w:tcPr>
          <w:p w:rsidR="005B279D" w:rsidRPr="002844B1" w:rsidRDefault="00000000" w:rsidP="008440F2">
            <w:pPr>
              <w:pStyle w:val="BodyText"/>
              <w:spacing w:before="16" w:after="16"/>
              <w:jc w:val="both"/>
              <w:rPr>
                <w:sz w:val="21"/>
                <w:szCs w:val="21"/>
              </w:rPr>
            </w:pPr>
            <w:r w:rsidRPr="002844B1">
              <w:rPr>
                <w:sz w:val="21"/>
                <w:szCs w:val="21"/>
              </w:rPr>
              <w:t>Le principe de « personne prudente » est un principe qui s’applique à la politique d’investissement des entreprises d’assurance et de réassurance. Il signifie que les assureurs ne doivent investir que dans des actifs dont ils peuvent correctement identifier, mesurer, suivre, gérer, contrôler et déclarer les risques. Ce principe remplace les limitations d’actif qui existaient auparavant dans le cadre réglementaire. Il vise à garantir l’adéquation des actifs aux engagements envers les assurés, en tenant compte des critères de sécurité, qualité, liquidité et rentabilité.</w:t>
            </w:r>
          </w:p>
        </w:tc>
      </w:tr>
    </w:tbl>
    <w:p w:rsidR="008440F2" w:rsidRPr="002844B1" w:rsidRDefault="008440F2">
      <w:pPr>
        <w:pStyle w:val="BodyText"/>
      </w:pPr>
    </w:p>
    <w:p w:rsidR="005B279D" w:rsidRPr="002844B1" w:rsidRDefault="00000000" w:rsidP="008440F2">
      <w:pPr>
        <w:pStyle w:val="BodyText"/>
        <w:jc w:val="both"/>
        <w:rPr>
          <w:sz w:val="21"/>
          <w:szCs w:val="21"/>
        </w:rPr>
      </w:pPr>
      <w:r w:rsidRPr="002844B1">
        <w:rPr>
          <w:sz w:val="21"/>
          <w:szCs w:val="21"/>
        </w:rPr>
        <w:t>Le pilier informatif porte sur le reporting et la publication d’information par les assureurs. Il vise à renforcer la transparence et la discipline de marché, en imposant aux assureurs de communiquer au régulateur et au public des informations sur leur situation financière, leur profil de risque et leur système de gouvernance.</w:t>
      </w:r>
    </w:p>
    <w:p w:rsidR="005B279D" w:rsidRPr="002844B1" w:rsidRDefault="00000000" w:rsidP="008440F2">
      <w:pPr>
        <w:pStyle w:val="BodyText"/>
        <w:jc w:val="both"/>
        <w:rPr>
          <w:sz w:val="21"/>
          <w:szCs w:val="21"/>
        </w:rPr>
      </w:pPr>
      <w:r w:rsidRPr="002844B1">
        <w:rPr>
          <w:sz w:val="21"/>
          <w:szCs w:val="21"/>
        </w:rPr>
        <w:t>La réforme SBR est entrée en vigueur progressivement au Maroc depuis 2019. Le régulateur du secteur, l’ACAPS (Autorité de contrôle des assurances et de la prévoyance sociale), a élaboré plusieurs textes réglementaires pour accompagner sa mise œuvre. Le dernier projet de circulaire en date concerne le second pilier relatif à la gouvernance</w:t>
      </w:r>
      <w:r w:rsidRPr="002844B1">
        <w:rPr>
          <w:rStyle w:val="FootnoteReference"/>
          <w:sz w:val="20"/>
          <w:szCs w:val="20"/>
        </w:rPr>
        <w:footnoteReference w:id="6"/>
      </w:r>
      <w:r w:rsidRPr="002844B1">
        <w:rPr>
          <w:sz w:val="21"/>
          <w:szCs w:val="21"/>
        </w:rPr>
        <w:t>.</w:t>
      </w:r>
    </w:p>
    <w:tbl>
      <w:tblPr>
        <w:tblStyle w:val="Table"/>
        <w:tblW w:w="5000" w:type="pct"/>
        <w:tblLook w:val="0000" w:firstRow="0" w:lastRow="0" w:firstColumn="0" w:lastColumn="0" w:noHBand="0" w:noVBand="0"/>
      </w:tblPr>
      <w:tblGrid>
        <w:gridCol w:w="9360"/>
      </w:tblGrid>
      <w:tr w:rsidR="005B279D" w:rsidRPr="002844B1">
        <w:tc>
          <w:tcPr>
            <w:tcW w:w="0" w:type="auto"/>
          </w:tcPr>
          <w:p w:rsidR="005B279D" w:rsidRPr="002844B1" w:rsidRDefault="00000000" w:rsidP="008440F2">
            <w:pPr>
              <w:keepNext/>
              <w:jc w:val="center"/>
            </w:pPr>
            <w:r w:rsidRPr="002844B1">
              <w:rPr>
                <w:noProof/>
              </w:rPr>
              <w:lastRenderedPageBreak/>
              <w:drawing>
                <wp:inline distT="0" distB="0" distL="0" distR="0">
                  <wp:extent cx="5334000" cy="3000375"/>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Rapport-PFE_files/figure-html/piliers.png"/>
                          <pic:cNvPicPr>
                            <a:picLocks noChangeAspect="1" noChangeArrowheads="1"/>
                          </pic:cNvPicPr>
                        </pic:nvPicPr>
                        <pic:blipFill>
                          <a:blip r:embed="rId10"/>
                          <a:stretch>
                            <a:fillRect/>
                          </a:stretch>
                        </pic:blipFill>
                        <pic:spPr bwMode="auto">
                          <a:xfrm>
                            <a:off x="0" y="0"/>
                            <a:ext cx="5334000" cy="3000375"/>
                          </a:xfrm>
                          <a:prstGeom prst="rect">
                            <a:avLst/>
                          </a:prstGeom>
                          <a:noFill/>
                          <a:ln w="9525">
                            <a:noFill/>
                            <a:headEnd/>
                            <a:tailEnd/>
                          </a:ln>
                        </pic:spPr>
                      </pic:pic>
                    </a:graphicData>
                  </a:graphic>
                </wp:inline>
              </w:drawing>
            </w:r>
          </w:p>
        </w:tc>
      </w:tr>
    </w:tbl>
    <w:p w:rsidR="008440F2" w:rsidRPr="002844B1" w:rsidRDefault="008440F2">
      <w:pPr>
        <w:pStyle w:val="Caption"/>
      </w:pPr>
      <w:bookmarkStart w:id="10" w:name="_Toc137650999"/>
      <w:bookmarkEnd w:id="8"/>
      <w:r w:rsidRPr="002844B1">
        <w:t xml:space="preserve">Figure </w:t>
      </w:r>
      <w:r w:rsidR="007521DB" w:rsidRPr="002844B1">
        <w:fldChar w:fldCharType="begin"/>
      </w:r>
      <w:r w:rsidR="007521DB" w:rsidRPr="002844B1">
        <w:instrText xml:space="preserve"> SEQ Figure \* ARABIC </w:instrText>
      </w:r>
      <w:r w:rsidR="007521DB" w:rsidRPr="002844B1">
        <w:fldChar w:fldCharType="separate"/>
      </w:r>
      <w:r w:rsidR="008E2C01" w:rsidRPr="002844B1">
        <w:rPr>
          <w:noProof/>
        </w:rPr>
        <w:t>1</w:t>
      </w:r>
      <w:r w:rsidR="007521DB" w:rsidRPr="002844B1">
        <w:fldChar w:fldCharType="end"/>
      </w:r>
      <w:r w:rsidRPr="002844B1">
        <w:t>: Les 3 piliers de la SBR</w:t>
      </w:r>
    </w:p>
    <w:p w:rsidR="008440F2" w:rsidRPr="002844B1" w:rsidRDefault="008440F2" w:rsidP="008440F2"/>
    <w:p w:rsidR="005B279D" w:rsidRPr="002844B1" w:rsidRDefault="00000000">
      <w:pPr>
        <w:pStyle w:val="Heading2"/>
      </w:pPr>
      <w:r w:rsidRPr="002844B1">
        <w:t>1.2 Piliers 1: Exigences quantitatives :</w:t>
      </w:r>
      <w:bookmarkStart w:id="11" w:name="chapitre-i-cadre-réglementaire-marocain"/>
      <w:bookmarkStart w:id="12" w:name="piliers-1-exigences-quantitatives"/>
      <w:bookmarkEnd w:id="10"/>
    </w:p>
    <w:p w:rsidR="005B279D" w:rsidRPr="002844B1" w:rsidRDefault="00000000" w:rsidP="008440F2">
      <w:pPr>
        <w:pStyle w:val="FirstParagraph"/>
        <w:jc w:val="both"/>
        <w:rPr>
          <w:sz w:val="21"/>
          <w:szCs w:val="21"/>
        </w:rPr>
      </w:pPr>
      <w:r w:rsidRPr="002844B1">
        <w:rPr>
          <w:sz w:val="21"/>
          <w:szCs w:val="21"/>
        </w:rPr>
        <w:t>Sur les trois piliers de la normes SBR, notre rapport de stage se concentre essentiellement sur le pilier 1. Ce dernier spécifie toutes les dispositions réglementaires afin de satisfaire les exigences quantitatives de la norme. La détermination du capital de solvabilité requis (</w:t>
      </w:r>
      <m:oMath>
        <m:r>
          <w:rPr>
            <w:rFonts w:ascii="Cambria Math" w:hAnsi="Cambria Math"/>
            <w:sz w:val="21"/>
            <w:szCs w:val="21"/>
          </w:rPr>
          <m:t>CSR</m:t>
        </m:r>
      </m:oMath>
      <w:r w:rsidRPr="002844B1">
        <w:rPr>
          <w:sz w:val="21"/>
          <w:szCs w:val="21"/>
        </w:rPr>
        <w:t>) et la fixation des Fonds propres (</w:t>
      </w:r>
      <m:oMath>
        <m:r>
          <w:rPr>
            <w:rFonts w:ascii="Cambria Math" w:hAnsi="Cambria Math"/>
            <w:sz w:val="21"/>
            <w:szCs w:val="21"/>
          </w:rPr>
          <m:t>FP</m:t>
        </m:r>
      </m:oMath>
      <w:r w:rsidRPr="002844B1">
        <w:rPr>
          <w:sz w:val="21"/>
          <w:szCs w:val="21"/>
        </w:rPr>
        <w:t xml:space="preserve">) nécessite une analyse économique annuel du bilan prudentiel. L’organisme d’assurance ou de réassurance doit disposer d’une richesse nette suffisante pour faire face à ses risques dans </w:t>
      </w:r>
      <m:oMath>
        <m:r>
          <w:rPr>
            <w:rFonts w:ascii="Cambria Math" w:hAnsi="Cambria Math"/>
            <w:sz w:val="21"/>
            <w:szCs w:val="21"/>
          </w:rPr>
          <m:t>X%</m:t>
        </m:r>
      </m:oMath>
      <w:r w:rsidRPr="002844B1">
        <w:rPr>
          <w:rStyle w:val="FootnoteReference"/>
          <w:sz w:val="20"/>
          <w:szCs w:val="20"/>
        </w:rPr>
        <w:footnoteReference w:id="7"/>
      </w:r>
      <w:r w:rsidRPr="002844B1">
        <w:rPr>
          <w:sz w:val="21"/>
          <w:szCs w:val="21"/>
        </w:rPr>
        <w:t xml:space="preserve"> des situations possibles. Cela implique que sa richesse nette soit supérieure ou égale à l’exigence de solvabilité. Le bilan prudentiel SBR est un bilan qui reflète la situation économique des assureurs, et non pas uniquement leur situation comptable. Il se base sur une valorisation des actifs à leur prix de marché, c’est-à-dire le prix auquel ils pourraient être vendus ou transférés. Les passifs sont constitués essentiellement de dettes et des provisions techniques, qui représentent le coût estimé des engagements pris par les assureurs envers les assurés. Les provisions techniques se décomposent en deux éléments :</w:t>
      </w:r>
    </w:p>
    <w:p w:rsidR="005B279D" w:rsidRPr="002844B1" w:rsidRDefault="00000000" w:rsidP="008440F2">
      <w:pPr>
        <w:numPr>
          <w:ilvl w:val="0"/>
          <w:numId w:val="5"/>
        </w:numPr>
        <w:jc w:val="both"/>
        <w:rPr>
          <w:sz w:val="21"/>
          <w:szCs w:val="21"/>
        </w:rPr>
      </w:pPr>
      <w:r w:rsidRPr="002844B1">
        <w:rPr>
          <w:sz w:val="21"/>
          <w:szCs w:val="21"/>
        </w:rPr>
        <w:t>Le Best Estimate, qui n’est rien d’autre que la valeur actualisée des flux futurs attendus liés aux contrats en cours. L’actualisation se fait en utilisant une courbe de taux sans risque de référence, qui reflète les conditions du marché.</w:t>
      </w:r>
    </w:p>
    <w:p w:rsidR="005B279D" w:rsidRPr="002844B1" w:rsidRDefault="00000000" w:rsidP="008440F2">
      <w:pPr>
        <w:numPr>
          <w:ilvl w:val="0"/>
          <w:numId w:val="5"/>
        </w:numPr>
        <w:jc w:val="both"/>
        <w:rPr>
          <w:sz w:val="21"/>
          <w:szCs w:val="21"/>
        </w:rPr>
      </w:pPr>
      <w:r w:rsidRPr="002844B1">
        <w:rPr>
          <w:sz w:val="21"/>
          <w:szCs w:val="21"/>
        </w:rPr>
        <w:lastRenderedPageBreak/>
        <w:t>La marge de risque, qui correspond au coût du capital nécessaire pour couvrir les risques liés aux passifs jusqu’à leur extinction. Le coût du capital est calculé en appliquant un taux fixe aux exigences de fonds propres futures.</w:t>
      </w:r>
    </w:p>
    <w:p w:rsidR="008440F2" w:rsidRPr="002844B1" w:rsidRDefault="008440F2" w:rsidP="008440F2">
      <w:pPr>
        <w:jc w:val="both"/>
        <w:rPr>
          <w:sz w:val="21"/>
          <w:szCs w:val="21"/>
        </w:rPr>
      </w:pPr>
    </w:p>
    <w:p w:rsidR="005B279D" w:rsidRPr="002844B1" w:rsidRDefault="00000000" w:rsidP="008440F2">
      <w:pPr>
        <w:pStyle w:val="FirstParagraph"/>
        <w:jc w:val="both"/>
        <w:rPr>
          <w:sz w:val="21"/>
          <w:szCs w:val="21"/>
        </w:rPr>
      </w:pPr>
      <w:r w:rsidRPr="002844B1">
        <w:rPr>
          <w:sz w:val="21"/>
          <w:szCs w:val="21"/>
        </w:rPr>
        <w:t>Le montant des provisions techniques à une influence importante sur la solvabilité des assureurs et sur leurs fonds propres. Plus les provisions techniques sont élevées, plus les assureurs doivent avoir de fonds propres pour couvrir leurs risques.</w:t>
      </w:r>
    </w:p>
    <w:tbl>
      <w:tblPr>
        <w:tblStyle w:val="Table"/>
        <w:tblW w:w="5000" w:type="pct"/>
        <w:jc w:val="center"/>
        <w:tblLook w:val="0000" w:firstRow="0" w:lastRow="0" w:firstColumn="0" w:lastColumn="0" w:noHBand="0" w:noVBand="0"/>
      </w:tblPr>
      <w:tblGrid>
        <w:gridCol w:w="9360"/>
      </w:tblGrid>
      <w:tr w:rsidR="005B279D" w:rsidRPr="002844B1" w:rsidTr="008440F2">
        <w:trPr>
          <w:jc w:val="center"/>
        </w:trPr>
        <w:tc>
          <w:tcPr>
            <w:tcW w:w="0" w:type="auto"/>
          </w:tcPr>
          <w:p w:rsidR="005B279D" w:rsidRPr="002844B1" w:rsidRDefault="00000000">
            <w:pPr>
              <w:jc w:val="center"/>
            </w:pPr>
            <w:bookmarkStart w:id="13" w:name="fig-bilan"/>
            <w:r w:rsidRPr="002844B1">
              <w:rPr>
                <w:noProof/>
              </w:rPr>
              <w:drawing>
                <wp:inline distT="0" distB="0" distL="0" distR="0">
                  <wp:extent cx="5334000" cy="299301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Rapport-PFE_files/figure-html/Bilan.png"/>
                          <pic:cNvPicPr>
                            <a:picLocks noChangeAspect="1" noChangeArrowheads="1"/>
                          </pic:cNvPicPr>
                        </pic:nvPicPr>
                        <pic:blipFill>
                          <a:blip r:embed="rId11"/>
                          <a:stretch>
                            <a:fillRect/>
                          </a:stretch>
                        </pic:blipFill>
                        <pic:spPr bwMode="auto">
                          <a:xfrm>
                            <a:off x="0" y="0"/>
                            <a:ext cx="5334000" cy="2993010"/>
                          </a:xfrm>
                          <a:prstGeom prst="rect">
                            <a:avLst/>
                          </a:prstGeom>
                          <a:noFill/>
                          <a:ln w="9525">
                            <a:noFill/>
                            <a:headEnd/>
                            <a:tailEnd/>
                          </a:ln>
                        </pic:spPr>
                      </pic:pic>
                    </a:graphicData>
                  </a:graphic>
                </wp:inline>
              </w:drawing>
            </w:r>
          </w:p>
          <w:p w:rsidR="005B279D" w:rsidRPr="002844B1" w:rsidRDefault="005B279D" w:rsidP="008440F2">
            <w:pPr>
              <w:pStyle w:val="ImageCaption"/>
              <w:keepNext/>
              <w:spacing w:before="200"/>
            </w:pPr>
          </w:p>
        </w:tc>
        <w:bookmarkEnd w:id="13"/>
      </w:tr>
    </w:tbl>
    <w:p w:rsidR="008440F2" w:rsidRPr="002844B1" w:rsidRDefault="008440F2">
      <w:pPr>
        <w:pStyle w:val="Caption"/>
      </w:pPr>
      <w:r w:rsidRPr="002844B1">
        <w:t xml:space="preserve">Figure </w:t>
      </w:r>
      <w:r w:rsidR="007521DB" w:rsidRPr="002844B1">
        <w:fldChar w:fldCharType="begin"/>
      </w:r>
      <w:r w:rsidR="007521DB" w:rsidRPr="002844B1">
        <w:instrText xml:space="preserve"> SEQ Figure \* ARABIC </w:instrText>
      </w:r>
      <w:r w:rsidR="007521DB" w:rsidRPr="002844B1">
        <w:fldChar w:fldCharType="separate"/>
      </w:r>
      <w:r w:rsidR="008E2C01" w:rsidRPr="002844B1">
        <w:rPr>
          <w:noProof/>
        </w:rPr>
        <w:t>2</w:t>
      </w:r>
      <w:r w:rsidR="007521DB" w:rsidRPr="002844B1">
        <w:fldChar w:fldCharType="end"/>
      </w:r>
      <w:r w:rsidRPr="002844B1">
        <w:t>:  Structure d’un bilan</w:t>
      </w:r>
    </w:p>
    <w:p w:rsidR="008440F2" w:rsidRPr="002844B1" w:rsidRDefault="008440F2">
      <w:pPr>
        <w:pStyle w:val="BodyText"/>
      </w:pPr>
    </w:p>
    <w:p w:rsidR="005B279D" w:rsidRPr="002844B1" w:rsidRDefault="00000000" w:rsidP="008440F2">
      <w:pPr>
        <w:pStyle w:val="BodyText"/>
        <w:jc w:val="both"/>
        <w:rPr>
          <w:sz w:val="21"/>
          <w:szCs w:val="21"/>
        </w:rPr>
      </w:pPr>
      <w:r w:rsidRPr="002844B1">
        <w:rPr>
          <w:sz w:val="21"/>
          <w:szCs w:val="21"/>
        </w:rPr>
        <w:t>Le calcul du capital de solvabilité requis (SCR) se fait selon une formule standard qui prend en compte les différents types de risques auxquels les assureurs sont exposés. Il s’agit d’une méthode qui part du niveau le plus bas (les risques individuels) et qui remonte au niveau le plus haut (le risque global).</w:t>
      </w:r>
    </w:p>
    <w:p w:rsidR="005B279D" w:rsidRPr="002844B1" w:rsidRDefault="00000000" w:rsidP="008440F2">
      <w:pPr>
        <w:pStyle w:val="BodyText"/>
        <w:jc w:val="both"/>
        <w:rPr>
          <w:sz w:val="21"/>
          <w:szCs w:val="21"/>
        </w:rPr>
      </w:pPr>
      <w:r w:rsidRPr="002844B1">
        <w:rPr>
          <w:sz w:val="21"/>
          <w:szCs w:val="21"/>
        </w:rPr>
        <w:t>Les risques quantifiables sont regroupés en quatre catégories : les risques de marché, les risques de souscription, les risques de défaut et les risques opérationnels. Pour chaque catégorie, il existe deux façons de mesurer l’impact des risques sur les fonds propres des assureurs :</w:t>
      </w:r>
    </w:p>
    <w:p w:rsidR="005B279D" w:rsidRPr="002844B1" w:rsidRDefault="00000000" w:rsidP="008440F2">
      <w:pPr>
        <w:numPr>
          <w:ilvl w:val="0"/>
          <w:numId w:val="6"/>
        </w:numPr>
        <w:jc w:val="both"/>
        <w:rPr>
          <w:sz w:val="21"/>
          <w:szCs w:val="21"/>
        </w:rPr>
      </w:pPr>
      <w:r w:rsidRPr="002844B1">
        <w:rPr>
          <w:sz w:val="21"/>
          <w:szCs w:val="21"/>
        </w:rPr>
        <w:t>L’approche par scénario, qui consiste à appliquer des chocs soudains et extrêmes sur les actifs et les passifs des assureurs, et à observer la variation de leur valeur nette. Par exemple, on peut simuler une baisse des actions, une baisse des taux d’intérêt, un choc de mortalité, une hausse de la sinistralité, etc.</w:t>
      </w:r>
    </w:p>
    <w:p w:rsidR="005B279D" w:rsidRPr="002844B1" w:rsidRDefault="00000000" w:rsidP="008440F2">
      <w:pPr>
        <w:numPr>
          <w:ilvl w:val="0"/>
          <w:numId w:val="6"/>
        </w:numPr>
        <w:jc w:val="both"/>
        <w:rPr>
          <w:sz w:val="21"/>
          <w:szCs w:val="21"/>
        </w:rPr>
      </w:pPr>
      <w:r w:rsidRPr="002844B1">
        <w:rPr>
          <w:sz w:val="21"/>
          <w:szCs w:val="21"/>
        </w:rPr>
        <w:lastRenderedPageBreak/>
        <w:t>L’approche par facteurs, qui consiste à appliquer une formule mathématique qui détermine la charge en capital en fonction de paramètres prédéfinis. Par exemple, on peut utiliser un pourcentage des primes ou des provisions pour calculer le risque de souscription.</w:t>
      </w:r>
    </w:p>
    <w:p w:rsidR="005B279D" w:rsidRPr="002844B1" w:rsidRDefault="00000000" w:rsidP="008440F2">
      <w:pPr>
        <w:pStyle w:val="FirstParagraph"/>
        <w:jc w:val="both"/>
        <w:rPr>
          <w:sz w:val="21"/>
          <w:szCs w:val="21"/>
        </w:rPr>
      </w:pPr>
      <w:r w:rsidRPr="002844B1">
        <w:rPr>
          <w:sz w:val="21"/>
          <w:szCs w:val="21"/>
        </w:rPr>
        <w:t>Les risques ne sont pas indépendants les uns des autres. Il faut donc tenir compte de la diversification entre les risques, c’est-à-dire du fait que certains risques peuvent se compenser ou s’atténuer mutuellement. Pour cela, on utilise des matrices de corrélation qui permettent d’agréger le SCR de chaque module et de chaque sous-module.</w:t>
      </w:r>
    </w:p>
    <w:p w:rsidR="005B279D" w:rsidRPr="002844B1" w:rsidRDefault="00000000" w:rsidP="008440F2">
      <w:pPr>
        <w:pStyle w:val="BodyText"/>
        <w:jc w:val="both"/>
        <w:rPr>
          <w:sz w:val="21"/>
          <w:szCs w:val="21"/>
        </w:rPr>
      </w:pPr>
      <w:r w:rsidRPr="002844B1">
        <w:rPr>
          <w:sz w:val="21"/>
          <w:szCs w:val="21"/>
        </w:rPr>
        <w:t>La réassurance est un moyen pour les assureurs de transférer une partie de leurs risques à un autre assureur. Elle réduit donc le SCR des assureurs cédants. Mais elle crée aussi un risque de contrepartie, c’est-à-dire le risque que l’assureur réassureur ne puisse pas honorer ses engagements en cas de sinistre. Il faut donc prendre en compte la réassurance dans la variation des fonds propres après choc.</w:t>
      </w:r>
    </w:p>
    <w:p w:rsidR="005B279D" w:rsidRPr="002844B1" w:rsidRDefault="00000000" w:rsidP="008440F2">
      <w:pPr>
        <w:pStyle w:val="BodyText"/>
        <w:jc w:val="both"/>
        <w:rPr>
          <w:sz w:val="21"/>
          <w:szCs w:val="21"/>
        </w:rPr>
      </w:pPr>
      <w:r w:rsidRPr="002844B1">
        <w:rPr>
          <w:sz w:val="21"/>
          <w:szCs w:val="21"/>
        </w:rPr>
        <w:t>Les assureurs peuvent aussi mettre en œuvre des actions de gestion pour limiter l’impact des chocs sur leurs passifs. Par exemple, ils peuvent modifier la tarification ou la distribution de leurs produits, ou ajuster leurs garanties ou leurs options. Ces actions de gestion sont prises en compte dans le calcul des provisions techniques après choc.</w:t>
      </w:r>
    </w:p>
    <w:p w:rsidR="005B279D" w:rsidRPr="002844B1" w:rsidRDefault="00000000" w:rsidP="008440F2">
      <w:pPr>
        <w:pStyle w:val="BodyText"/>
        <w:jc w:val="both"/>
        <w:rPr>
          <w:sz w:val="21"/>
          <w:szCs w:val="21"/>
        </w:rPr>
      </w:pPr>
      <w:r w:rsidRPr="002844B1">
        <w:rPr>
          <w:sz w:val="21"/>
          <w:szCs w:val="21"/>
        </w:rPr>
        <w:t>Enfin, les assureurs peuvent bénéficier d’un ajustement pour augmenter leur capacité d’absorption des pertes par les impôts différés. Cela signifie qu’en cas de perte, ils peuvent réduire leur base imposable et donc leur impôt à payer. Cet ajustement diminue le SCR des assureurs.</w:t>
      </w:r>
    </w:p>
    <w:p w:rsidR="005B279D" w:rsidRPr="002844B1" w:rsidRDefault="00000000" w:rsidP="008440F2">
      <w:pPr>
        <w:pStyle w:val="BodyText"/>
        <w:jc w:val="both"/>
        <w:rPr>
          <w:sz w:val="21"/>
          <w:szCs w:val="21"/>
        </w:rPr>
      </w:pPr>
      <w:r w:rsidRPr="002844B1">
        <w:rPr>
          <w:sz w:val="21"/>
          <w:szCs w:val="21"/>
        </w:rPr>
        <w:t>L’évaluation des provisions techniques est une étape importante du bilan prudentiel, car elle détermine le coût estimé des engagements pris par les assureurs envers les assurés. Il faut donc que cette évaluation soit encadrée par des règles et des principes, qui garantissent sa fiabilité et sa cohérence. Parmi ces règles et principes, on peut citer :</w:t>
      </w:r>
    </w:p>
    <w:p w:rsidR="005B279D" w:rsidRPr="002844B1" w:rsidRDefault="00000000" w:rsidP="008440F2">
      <w:pPr>
        <w:pStyle w:val="Compact"/>
        <w:numPr>
          <w:ilvl w:val="0"/>
          <w:numId w:val="7"/>
        </w:numPr>
        <w:jc w:val="both"/>
        <w:rPr>
          <w:sz w:val="21"/>
          <w:szCs w:val="21"/>
        </w:rPr>
      </w:pPr>
      <w:r w:rsidRPr="002844B1">
        <w:rPr>
          <w:sz w:val="21"/>
          <w:szCs w:val="21"/>
        </w:rPr>
        <w:t>L’approche réglementaire vs la liberté de modélisation : il s’agit du choix entre utiliser une méthode standardisée définie par le régulateur, ou utiliser une méthode propre à l’assureur, qui doit être validée par le régulateur.</w:t>
      </w:r>
    </w:p>
    <w:p w:rsidR="005B279D" w:rsidRPr="002844B1" w:rsidRDefault="00000000" w:rsidP="008440F2">
      <w:pPr>
        <w:pStyle w:val="Compact"/>
        <w:numPr>
          <w:ilvl w:val="0"/>
          <w:numId w:val="7"/>
        </w:numPr>
        <w:jc w:val="both"/>
        <w:rPr>
          <w:sz w:val="21"/>
          <w:szCs w:val="21"/>
        </w:rPr>
      </w:pPr>
      <w:r w:rsidRPr="002844B1">
        <w:rPr>
          <w:sz w:val="21"/>
          <w:szCs w:val="21"/>
        </w:rPr>
        <w:t>La qualité des données et la segmentation : il s’agit de s’assurer que les données utilisées pour l’évaluation sont complètes, exactes et pertinentes, et qu’elles permettent de distinguer les différents types de contrats et de risques.</w:t>
      </w:r>
    </w:p>
    <w:p w:rsidR="005B279D" w:rsidRPr="002844B1" w:rsidRDefault="00000000" w:rsidP="008440F2">
      <w:pPr>
        <w:pStyle w:val="Compact"/>
        <w:numPr>
          <w:ilvl w:val="0"/>
          <w:numId w:val="7"/>
        </w:numPr>
        <w:jc w:val="both"/>
        <w:rPr>
          <w:sz w:val="21"/>
          <w:szCs w:val="21"/>
        </w:rPr>
      </w:pPr>
      <w:r w:rsidRPr="002844B1">
        <w:rPr>
          <w:sz w:val="21"/>
          <w:szCs w:val="21"/>
        </w:rPr>
        <w:t>La cohérence des hypothèses avec l’expérience et la situation propre de l’institution : il s’agit de vérifier que les hypothèses retenues pour l’évaluation sont basées sur les données historiques et les caractéristiques spécifiques de l’assureur, et qu’elles sont sensibles aux variations des paramètres.</w:t>
      </w:r>
    </w:p>
    <w:p w:rsidR="005B279D" w:rsidRPr="002844B1" w:rsidRDefault="00000000" w:rsidP="008440F2">
      <w:pPr>
        <w:pStyle w:val="Compact"/>
        <w:numPr>
          <w:ilvl w:val="0"/>
          <w:numId w:val="7"/>
        </w:numPr>
        <w:jc w:val="both"/>
        <w:rPr>
          <w:sz w:val="21"/>
          <w:szCs w:val="21"/>
        </w:rPr>
      </w:pPr>
      <w:r w:rsidRPr="002844B1">
        <w:rPr>
          <w:sz w:val="21"/>
          <w:szCs w:val="21"/>
        </w:rPr>
        <w:t>La possibilité de recourir aux “dires d’experts” : il s’agit de la possibilité d’utiliser le jugement professionnel des experts actuariels pour compléter ou ajuster les données ou les hypothèses, en cas de manque d’information ou d’incertitude.</w:t>
      </w:r>
    </w:p>
    <w:p w:rsidR="005B279D" w:rsidRPr="002844B1" w:rsidRDefault="00000000" w:rsidP="008440F2">
      <w:pPr>
        <w:pStyle w:val="Compact"/>
        <w:numPr>
          <w:ilvl w:val="0"/>
          <w:numId w:val="7"/>
        </w:numPr>
        <w:jc w:val="both"/>
        <w:rPr>
          <w:sz w:val="21"/>
          <w:szCs w:val="21"/>
        </w:rPr>
      </w:pPr>
      <w:r w:rsidRPr="002844B1">
        <w:rPr>
          <w:sz w:val="21"/>
          <w:szCs w:val="21"/>
        </w:rPr>
        <w:t>La modélisation des frais récurrents en adéquation avec les frontières des contrats : il s’agit de prendre en compte les frais liés à la gestion des contrats, en fonction de leur durée et de leur contenu.</w:t>
      </w:r>
    </w:p>
    <w:p w:rsidR="005B279D" w:rsidRPr="002844B1" w:rsidRDefault="00000000" w:rsidP="008440F2">
      <w:pPr>
        <w:pStyle w:val="Compact"/>
        <w:numPr>
          <w:ilvl w:val="0"/>
          <w:numId w:val="7"/>
        </w:numPr>
        <w:jc w:val="both"/>
        <w:rPr>
          <w:sz w:val="21"/>
          <w:szCs w:val="21"/>
        </w:rPr>
      </w:pPr>
      <w:r w:rsidRPr="002844B1">
        <w:rPr>
          <w:sz w:val="21"/>
          <w:szCs w:val="21"/>
        </w:rPr>
        <w:t xml:space="preserve">L’intégration des “management actions” dans l’évaluation des risques Vie : il s’agit de prendre en compte les actions que l’assureur peut mettre en œuvre pour limiter l’impact des chocs sur ses passifs, </w:t>
      </w:r>
      <w:r w:rsidRPr="002844B1">
        <w:rPr>
          <w:sz w:val="21"/>
          <w:szCs w:val="21"/>
        </w:rPr>
        <w:lastRenderedPageBreak/>
        <w:t>comme par exemple modifier la tarification ou la distribution de ses produits, ou ajuster ses garanties ou ses options.</w:t>
      </w:r>
    </w:p>
    <w:p w:rsidR="005B279D" w:rsidRPr="002844B1" w:rsidRDefault="00000000" w:rsidP="008440F2">
      <w:pPr>
        <w:pStyle w:val="Compact"/>
        <w:numPr>
          <w:ilvl w:val="0"/>
          <w:numId w:val="7"/>
        </w:numPr>
        <w:jc w:val="both"/>
        <w:rPr>
          <w:sz w:val="21"/>
          <w:szCs w:val="21"/>
        </w:rPr>
      </w:pPr>
      <w:r w:rsidRPr="002844B1">
        <w:rPr>
          <w:sz w:val="21"/>
          <w:szCs w:val="21"/>
        </w:rPr>
        <w:t>La difficulté de contrôler les approches stochastiques : il s’agit de la difficulté à vérifier la pertinence et la robustesse des méthodes qui utilisent des simulations aléatoires pour évaluer les provisions techniques, notamment en ce qui concerne le générateur de scénarios économiques, l’estimation des paramètres, etc.</w:t>
      </w:r>
    </w:p>
    <w:p w:rsidR="005B279D" w:rsidRPr="002844B1" w:rsidRDefault="00000000" w:rsidP="008440F2">
      <w:pPr>
        <w:pStyle w:val="FirstParagraph"/>
        <w:jc w:val="both"/>
        <w:rPr>
          <w:sz w:val="21"/>
          <w:szCs w:val="21"/>
        </w:rPr>
      </w:pPr>
      <w:r w:rsidRPr="002844B1">
        <w:rPr>
          <w:sz w:val="21"/>
          <w:szCs w:val="21"/>
        </w:rPr>
        <w:t>L’évaluation des risques financiers est aussi une étape importante du bilan prudentiel, car elle évalue la valeur de marché des actifs détenus par les assureurs. Ainsi, cette évaluation repose sur un certain nombre de principes parmi lesquels nous pouvons citer :</w:t>
      </w:r>
    </w:p>
    <w:p w:rsidR="005B279D" w:rsidRPr="002844B1" w:rsidRDefault="00000000" w:rsidP="008440F2">
      <w:pPr>
        <w:pStyle w:val="Compact"/>
        <w:numPr>
          <w:ilvl w:val="0"/>
          <w:numId w:val="8"/>
        </w:numPr>
        <w:jc w:val="both"/>
        <w:rPr>
          <w:sz w:val="21"/>
          <w:szCs w:val="21"/>
        </w:rPr>
      </w:pPr>
      <w:r w:rsidRPr="002844B1">
        <w:rPr>
          <w:sz w:val="21"/>
          <w:szCs w:val="21"/>
        </w:rPr>
        <w:t>La valorisation de l’immobilier et du non coté : il s’agit de déterminer le prix auquel les actifs immobiliers ou non cotés en bourse pourraient être vendus ou transférés sur le marché.</w:t>
      </w:r>
    </w:p>
    <w:p w:rsidR="005B279D" w:rsidRPr="002844B1" w:rsidRDefault="00000000" w:rsidP="008440F2">
      <w:pPr>
        <w:pStyle w:val="Compact"/>
        <w:numPr>
          <w:ilvl w:val="0"/>
          <w:numId w:val="8"/>
        </w:numPr>
        <w:jc w:val="both"/>
        <w:rPr>
          <w:sz w:val="21"/>
          <w:szCs w:val="21"/>
        </w:rPr>
      </w:pPr>
      <w:r w:rsidRPr="002844B1">
        <w:rPr>
          <w:sz w:val="21"/>
          <w:szCs w:val="21"/>
        </w:rPr>
        <w:t>La mise en transparence des OPCVM : connaître la composition détaillée des organismes de placement collectif en valeurs mobilières (OPCVM), qui sont des fonds d’investissement regroupant plusieurs actifs financiers.</w:t>
      </w:r>
    </w:p>
    <w:p w:rsidR="005B279D" w:rsidRPr="002844B1" w:rsidRDefault="00000000" w:rsidP="008440F2">
      <w:pPr>
        <w:pStyle w:val="Compact"/>
        <w:numPr>
          <w:ilvl w:val="0"/>
          <w:numId w:val="8"/>
        </w:numPr>
        <w:jc w:val="both"/>
        <w:rPr>
          <w:sz w:val="21"/>
          <w:szCs w:val="21"/>
        </w:rPr>
      </w:pPr>
      <w:r w:rsidRPr="002844B1">
        <w:rPr>
          <w:sz w:val="21"/>
          <w:szCs w:val="21"/>
        </w:rPr>
        <w:t>L’ajustement des chocs en fonction de la situation du marché financier et de la géographie du capital : il s’agit d’adapter l’intensité des chocs appliqués aux actifs financiers en fonction du contexte économique et du lieu où ils sont investis.</w:t>
      </w:r>
    </w:p>
    <w:p w:rsidR="005B279D" w:rsidRPr="002844B1" w:rsidRDefault="00000000" w:rsidP="008440F2">
      <w:pPr>
        <w:pStyle w:val="Compact"/>
        <w:numPr>
          <w:ilvl w:val="0"/>
          <w:numId w:val="8"/>
        </w:numPr>
        <w:jc w:val="both"/>
        <w:rPr>
          <w:sz w:val="21"/>
          <w:szCs w:val="21"/>
        </w:rPr>
      </w:pPr>
      <w:r w:rsidRPr="002844B1">
        <w:rPr>
          <w:sz w:val="21"/>
          <w:szCs w:val="21"/>
        </w:rPr>
        <w:t>La problématique des notations externes : il s’agit du problème lié à l’utilisation des notations attribuées par les agences externes pour évaluer le risque de défaut des actifs financiers, qui peuvent être biaisées ou imprécises.</w:t>
      </w:r>
    </w:p>
    <w:p w:rsidR="005B279D" w:rsidRPr="002844B1" w:rsidRDefault="00000000" w:rsidP="008440F2">
      <w:pPr>
        <w:pStyle w:val="Compact"/>
        <w:numPr>
          <w:ilvl w:val="0"/>
          <w:numId w:val="8"/>
        </w:numPr>
        <w:jc w:val="both"/>
        <w:rPr>
          <w:sz w:val="21"/>
          <w:szCs w:val="21"/>
        </w:rPr>
      </w:pPr>
      <w:r w:rsidRPr="002844B1">
        <w:rPr>
          <w:sz w:val="21"/>
          <w:szCs w:val="21"/>
        </w:rPr>
        <w:t>La définition des “groupes” et actifs “stratégiques” : il s’agit de définir quels sont les groupes ou les actifs financiers qui ont une importance particulière pour l’assureur, et qui doivent donc être traités différemment.</w:t>
      </w:r>
    </w:p>
    <w:p w:rsidR="005B279D" w:rsidRPr="002844B1" w:rsidRDefault="00000000" w:rsidP="008440F2">
      <w:pPr>
        <w:pStyle w:val="FirstParagraph"/>
        <w:jc w:val="both"/>
        <w:rPr>
          <w:sz w:val="21"/>
          <w:szCs w:val="21"/>
        </w:rPr>
      </w:pPr>
      <w:r w:rsidRPr="002844B1">
        <w:rPr>
          <w:sz w:val="21"/>
          <w:szCs w:val="21"/>
        </w:rPr>
        <w:t xml:space="preserve">L’évaluation des impôts différés détermine le montant d’impôt que l’assureur peut économiser ou payer en cas de perte ou de bénéfice. </w:t>
      </w:r>
      <w:r w:rsidR="002844B1" w:rsidRPr="002844B1">
        <w:rPr>
          <w:sz w:val="21"/>
          <w:szCs w:val="21"/>
        </w:rPr>
        <w:t xml:space="preserve">L’évaluation passe par un test de </w:t>
      </w:r>
      <w:r w:rsidR="002844B1">
        <w:rPr>
          <w:sz w:val="21"/>
          <w:szCs w:val="21"/>
        </w:rPr>
        <w:t>re</w:t>
      </w:r>
      <w:r w:rsidR="002844B1" w:rsidRPr="002844B1">
        <w:rPr>
          <w:sz w:val="21"/>
          <w:szCs w:val="21"/>
        </w:rPr>
        <w:t xml:space="preserve">couvrabilité et la capacité d’absorption des pertes par les impôts différés. </w:t>
      </w:r>
      <w:r w:rsidRPr="002844B1">
        <w:rPr>
          <w:sz w:val="21"/>
          <w:szCs w:val="21"/>
        </w:rPr>
        <w:t>L’objectif est de vérifier que l’assureur dispose d’un bénéfice futur suffisant pour utiliser ses impôts différés actifs, c’est-à-dire le montant d’impôt qu’il peut économiser grâce à ses pertes passées ou présentes. Par contraposée, cela revient aussi de vérifier que l’assureur peut bénéficier d’un ajustement pour</w:t>
      </w:r>
      <w:r w:rsidR="002844B1" w:rsidRPr="002844B1">
        <w:rPr>
          <w:sz w:val="21"/>
          <w:szCs w:val="21"/>
        </w:rPr>
        <w:t xml:space="preserve"> augmenter la</w:t>
      </w:r>
      <w:r w:rsidRPr="002844B1">
        <w:rPr>
          <w:sz w:val="21"/>
          <w:szCs w:val="21"/>
        </w:rPr>
        <w:t xml:space="preserve"> capacité d’absorption des pertes par les impôts différés, c’est-à-dire le montant d’impôt qu’il peut économiser grâce à ses pertes futures.</w:t>
      </w:r>
    </w:p>
    <w:p w:rsidR="005B279D" w:rsidRPr="002844B1" w:rsidRDefault="00000000" w:rsidP="008440F2">
      <w:pPr>
        <w:pStyle w:val="BodyText"/>
        <w:jc w:val="both"/>
        <w:rPr>
          <w:sz w:val="21"/>
          <w:szCs w:val="21"/>
        </w:rPr>
      </w:pPr>
      <w:r w:rsidRPr="002844B1">
        <w:rPr>
          <w:sz w:val="21"/>
          <w:szCs w:val="21"/>
        </w:rPr>
        <w:t>L’évaluation du capital de solvabilité requis (SCR) est la dernière étape du bilan prudentiel, elle détermine le montant minimum de fonds propres que l’assureur doit avoir pour couvrir ses risques. Il existe deux approches possibles pour calculer le SCR :</w:t>
      </w:r>
    </w:p>
    <w:p w:rsidR="005B279D" w:rsidRPr="002844B1" w:rsidRDefault="00000000" w:rsidP="008440F2">
      <w:pPr>
        <w:numPr>
          <w:ilvl w:val="0"/>
          <w:numId w:val="9"/>
        </w:numPr>
        <w:jc w:val="both"/>
        <w:rPr>
          <w:sz w:val="21"/>
          <w:szCs w:val="21"/>
        </w:rPr>
      </w:pPr>
      <w:r w:rsidRPr="002844B1">
        <w:rPr>
          <w:sz w:val="21"/>
          <w:szCs w:val="21"/>
        </w:rPr>
        <w:t>La formule standard, qui est une méthode standardisée définie par le régulateur, qui prend en compte les différents types de risques auxquels les assureurs sont exposés, et qui utilise des paramètres prédéfinis.</w:t>
      </w:r>
    </w:p>
    <w:p w:rsidR="005B279D" w:rsidRPr="002844B1" w:rsidRDefault="00000000" w:rsidP="008440F2">
      <w:pPr>
        <w:numPr>
          <w:ilvl w:val="0"/>
          <w:numId w:val="9"/>
        </w:numPr>
        <w:jc w:val="both"/>
        <w:rPr>
          <w:sz w:val="21"/>
          <w:szCs w:val="21"/>
        </w:rPr>
      </w:pPr>
      <w:r w:rsidRPr="002844B1">
        <w:rPr>
          <w:sz w:val="21"/>
          <w:szCs w:val="21"/>
        </w:rPr>
        <w:t>Le modèle interne, qui est une méthode propre à l’assureur, qui prend en compte les spécificités de son profil de risque, et qui utilise ses propres paramètres. Le modèle interne doit être validé par le régulateur.</w:t>
      </w:r>
    </w:p>
    <w:p w:rsidR="005B279D" w:rsidRPr="002844B1" w:rsidRDefault="00000000" w:rsidP="00AA7351">
      <w:pPr>
        <w:pStyle w:val="headAOD"/>
      </w:pPr>
      <w:bookmarkStart w:id="14" w:name="_Toc137651000"/>
      <w:bookmarkEnd w:id="11"/>
      <w:bookmarkEnd w:id="12"/>
      <w:r w:rsidRPr="002844B1">
        <w:lastRenderedPageBreak/>
        <w:t>2. CHAPITRE II : Construction de la courbe des taux</w:t>
      </w:r>
      <w:bookmarkEnd w:id="14"/>
    </w:p>
    <w:p w:rsidR="008440F2" w:rsidRPr="002844B1" w:rsidRDefault="008440F2" w:rsidP="008440F2">
      <w:bookmarkStart w:id="15" w:name="_Toc137651001"/>
    </w:p>
    <w:p w:rsidR="005B279D" w:rsidRPr="002844B1" w:rsidRDefault="00000000">
      <w:pPr>
        <w:pStyle w:val="Heading2"/>
      </w:pPr>
      <w:r w:rsidRPr="002844B1">
        <w:t>2.1 La construction de la courbe des taux zéro-coupon</w:t>
      </w:r>
      <w:bookmarkStart w:id="16" w:name="X2550295fbb3cfba728df7be700e79e4d4dd16d7"/>
      <w:bookmarkStart w:id="17" w:name="sec-courbe_zc"/>
      <w:bookmarkEnd w:id="15"/>
    </w:p>
    <w:p w:rsidR="005B279D" w:rsidRPr="002844B1" w:rsidRDefault="00000000" w:rsidP="008440F2">
      <w:pPr>
        <w:pStyle w:val="FirstParagraph"/>
        <w:jc w:val="both"/>
        <w:rPr>
          <w:sz w:val="21"/>
          <w:szCs w:val="21"/>
        </w:rPr>
      </w:pPr>
      <w:r w:rsidRPr="002844B1">
        <w:rPr>
          <w:sz w:val="21"/>
          <w:szCs w:val="21"/>
        </w:rPr>
        <w:t xml:space="preserve">Dans cette partie nous nous intéressons à la construction de la courbe des taux zéro-coupon dont nous avons besoin dans le reste de ce </w:t>
      </w:r>
      <w:r w:rsidR="002844B1" w:rsidRPr="002844B1">
        <w:rPr>
          <w:sz w:val="21"/>
          <w:szCs w:val="21"/>
        </w:rPr>
        <w:t>travail</w:t>
      </w:r>
      <w:r w:rsidRPr="002844B1">
        <w:rPr>
          <w:sz w:val="21"/>
          <w:szCs w:val="21"/>
        </w:rPr>
        <w:t xml:space="preserve"> afin d’actualiser les flux futurs entrant dans le calcul des différentes Best Estimate. Les taux zéro coupons sont extraits des taux moyens pondérés des transactions des bons de trésor publiées par la </w:t>
      </w:r>
      <w:hyperlink r:id="rId12" w:anchor="address-c3367fcefc5f524397748201aee5dab8-e1d6b9bbf87f86f8ba53e8518e882982">
        <w:r w:rsidRPr="002844B1">
          <w:rPr>
            <w:rStyle w:val="Hyperlink"/>
            <w:sz w:val="20"/>
            <w:szCs w:val="20"/>
          </w:rPr>
          <w:t>BANK AL MAGHRIB</w:t>
        </w:r>
      </w:hyperlink>
      <w:r w:rsidRPr="002844B1">
        <w:rPr>
          <w:sz w:val="21"/>
          <w:szCs w:val="21"/>
        </w:rPr>
        <w:t>. Ces taux, sont en effet des taux monétaires pour les maturités inférieures ou égales à un an, alors qu’ils représentent un taux actuariel pour les maturités supérieures à un an. De plus, ils ne sont disponibles que pour certaines maturités.</w:t>
      </w:r>
      <w:bookmarkStart w:id="18" w:name="tbl-taux_ref"/>
    </w:p>
    <w:p w:rsidR="008440F2" w:rsidRPr="002844B1" w:rsidRDefault="008440F2" w:rsidP="008440F2">
      <w:pPr>
        <w:pStyle w:val="BodyText"/>
      </w:pPr>
    </w:p>
    <w:p w:rsidR="008440F2" w:rsidRPr="002844B1" w:rsidRDefault="008440F2" w:rsidP="008440F2">
      <w:pPr>
        <w:pStyle w:val="Caption"/>
        <w:keepNext/>
      </w:pPr>
      <w:r w:rsidRPr="002844B1">
        <w:t xml:space="preserve">Table </w:t>
      </w:r>
      <w:r w:rsidRPr="002844B1">
        <w:fldChar w:fldCharType="begin"/>
      </w:r>
      <w:r w:rsidRPr="002844B1">
        <w:instrText xml:space="preserve"> SEQ Table \* ARABIC </w:instrText>
      </w:r>
      <w:r w:rsidRPr="002844B1">
        <w:fldChar w:fldCharType="separate"/>
      </w:r>
      <w:r w:rsidR="008E2C01" w:rsidRPr="002844B1">
        <w:rPr>
          <w:noProof/>
        </w:rPr>
        <w:t>2</w:t>
      </w:r>
      <w:r w:rsidRPr="002844B1">
        <w:fldChar w:fldCharType="end"/>
      </w:r>
      <w:r w:rsidRPr="002844B1">
        <w:t>: Taux de référence des bons du Trésor du 30/12/2022</w:t>
      </w:r>
    </w:p>
    <w:tbl>
      <w:tblPr>
        <w:tblStyle w:val="GridTable4-Accent3"/>
        <w:tblW w:w="9358" w:type="dxa"/>
        <w:jc w:val="center"/>
        <w:tblLook w:val="0020" w:firstRow="1" w:lastRow="0" w:firstColumn="0" w:lastColumn="0" w:noHBand="0" w:noVBand="0"/>
      </w:tblPr>
      <w:tblGrid>
        <w:gridCol w:w="1520"/>
        <w:gridCol w:w="1201"/>
        <w:gridCol w:w="1889"/>
        <w:gridCol w:w="2240"/>
        <w:gridCol w:w="1579"/>
        <w:gridCol w:w="929"/>
      </w:tblGrid>
      <w:tr w:rsidR="005B279D" w:rsidRPr="002844B1" w:rsidTr="008440F2">
        <w:trPr>
          <w:cnfStyle w:val="100000000000" w:firstRow="1" w:lastRow="0" w:firstColumn="0" w:lastColumn="0" w:oddVBand="0" w:evenVBand="0" w:oddHBand="0" w:evenHBand="0" w:firstRowFirstColumn="0" w:firstRowLastColumn="0" w:lastRowFirstColumn="0" w:lastRowLastColumn="0"/>
          <w:trHeight w:val="4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Date d'échéance</w:t>
            </w:r>
          </w:p>
        </w:tc>
        <w:tc>
          <w:tcPr>
            <w:tcW w:w="0" w:type="auto"/>
          </w:tcPr>
          <w:p w:rsidR="005B279D" w:rsidRPr="002844B1" w:rsidRDefault="00000000">
            <w:pPr>
              <w:pStyle w:val="Compact"/>
              <w:cnfStyle w:val="100000000000" w:firstRow="1" w:lastRow="0" w:firstColumn="0" w:lastColumn="0" w:oddVBand="0" w:evenVBand="0" w:oddHBand="0" w:evenHBand="0" w:firstRowFirstColumn="0" w:firstRowLastColumn="0" w:lastRowFirstColumn="0" w:lastRowLastColumn="0"/>
              <w:rPr>
                <w:sz w:val="18"/>
                <w:szCs w:val="18"/>
              </w:rPr>
            </w:pPr>
            <w:r w:rsidRPr="002844B1">
              <w:rPr>
                <w:sz w:val="18"/>
                <w:szCs w:val="18"/>
              </w:rPr>
              <w:t>Transaction</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8"/>
                <w:szCs w:val="18"/>
              </w:rPr>
            </w:pPr>
            <w:r w:rsidRPr="002844B1">
              <w:rPr>
                <w:sz w:val="18"/>
                <w:szCs w:val="18"/>
              </w:rPr>
              <w:t>Taux moyen pondéré</w:t>
            </w:r>
          </w:p>
        </w:tc>
        <w:tc>
          <w:tcPr>
            <w:tcW w:w="0" w:type="auto"/>
          </w:tcPr>
          <w:p w:rsidR="005B279D" w:rsidRPr="002844B1" w:rsidRDefault="00000000">
            <w:pPr>
              <w:pStyle w:val="Compact"/>
              <w:cnfStyle w:val="100000000000" w:firstRow="1" w:lastRow="0" w:firstColumn="0" w:lastColumn="0" w:oddVBand="0" w:evenVBand="0" w:oddHBand="0" w:evenHBand="0" w:firstRowFirstColumn="0" w:firstRowLastColumn="0" w:lastRowFirstColumn="0" w:lastRowLastColumn="0"/>
              <w:rPr>
                <w:sz w:val="18"/>
                <w:szCs w:val="18"/>
              </w:rPr>
            </w:pPr>
            <w:r w:rsidRPr="002844B1">
              <w:rPr>
                <w:sz w:val="18"/>
                <w:szCs w:val="18"/>
              </w:rPr>
              <w:t>Taux moyen pondéré (%)</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Date de la valeur</w:t>
            </w:r>
          </w:p>
        </w:tc>
        <w:tc>
          <w:tcPr>
            <w:tcW w:w="0" w:type="auto"/>
          </w:tcPr>
          <w:p w:rsidR="005B279D" w:rsidRPr="002844B1" w:rsidRDefault="00000000">
            <w:pPr>
              <w:pStyle w:val="Compact"/>
              <w:jc w:val="right"/>
              <w:cnfStyle w:val="100000000000" w:firstRow="1" w:lastRow="0" w:firstColumn="0" w:lastColumn="0" w:oddVBand="0" w:evenVBand="0" w:oddHBand="0" w:evenHBand="0" w:firstRowFirstColumn="0" w:firstRowLastColumn="0" w:lastRowFirstColumn="0" w:lastRowLastColumn="0"/>
              <w:rPr>
                <w:sz w:val="18"/>
                <w:szCs w:val="18"/>
              </w:rPr>
            </w:pPr>
            <w:r w:rsidRPr="002844B1">
              <w:rPr>
                <w:sz w:val="18"/>
                <w:szCs w:val="18"/>
              </w:rPr>
              <w:t>Maturité</w:t>
            </w:r>
          </w:p>
        </w:tc>
      </w:tr>
      <w:tr w:rsidR="005B279D" w:rsidRPr="002844B1"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13/01/2023</w:t>
            </w:r>
          </w:p>
        </w:tc>
        <w:tc>
          <w:tcPr>
            <w:tcW w:w="0" w:type="auto"/>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322,40</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8"/>
                <w:szCs w:val="18"/>
              </w:rPr>
            </w:pPr>
            <w:r w:rsidRPr="002844B1">
              <w:rPr>
                <w:sz w:val="18"/>
                <w:szCs w:val="18"/>
              </w:rPr>
              <w:t>0.02948</w:t>
            </w:r>
          </w:p>
        </w:tc>
        <w:tc>
          <w:tcPr>
            <w:tcW w:w="0" w:type="auto"/>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2,948 %</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30/12/2022</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0.039</w:t>
            </w:r>
          </w:p>
        </w:tc>
      </w:tr>
      <w:tr w:rsidR="005B279D" w:rsidRPr="002844B1"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23/01/2023</w:t>
            </w:r>
          </w:p>
        </w:tc>
        <w:tc>
          <w:tcPr>
            <w:tcW w:w="0" w:type="auto"/>
          </w:tcPr>
          <w:p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120,47</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8"/>
                <w:szCs w:val="18"/>
              </w:rPr>
            </w:pPr>
            <w:r w:rsidRPr="002844B1">
              <w:rPr>
                <w:sz w:val="18"/>
                <w:szCs w:val="18"/>
              </w:rPr>
              <w:t>0.02930</w:t>
            </w:r>
          </w:p>
        </w:tc>
        <w:tc>
          <w:tcPr>
            <w:tcW w:w="0" w:type="auto"/>
          </w:tcPr>
          <w:p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2,930 %</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30/12/2022</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0.067</w:t>
            </w:r>
          </w:p>
        </w:tc>
      </w:tr>
      <w:tr w:rsidR="005B279D" w:rsidRPr="002844B1"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06/03/2023</w:t>
            </w:r>
          </w:p>
        </w:tc>
        <w:tc>
          <w:tcPr>
            <w:tcW w:w="0" w:type="auto"/>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30,15</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8"/>
                <w:szCs w:val="18"/>
              </w:rPr>
            </w:pPr>
            <w:r w:rsidRPr="002844B1">
              <w:rPr>
                <w:sz w:val="18"/>
                <w:szCs w:val="18"/>
              </w:rPr>
              <w:t>0.02942</w:t>
            </w:r>
          </w:p>
        </w:tc>
        <w:tc>
          <w:tcPr>
            <w:tcW w:w="0" w:type="auto"/>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2,942 %</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30/12/2022</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0.183</w:t>
            </w:r>
          </w:p>
        </w:tc>
      </w:tr>
      <w:tr w:rsidR="005B279D" w:rsidRPr="002844B1"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22/05/2023</w:t>
            </w:r>
          </w:p>
        </w:tc>
        <w:tc>
          <w:tcPr>
            <w:tcW w:w="0" w:type="auto"/>
          </w:tcPr>
          <w:p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168,01</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8"/>
                <w:szCs w:val="18"/>
              </w:rPr>
            </w:pPr>
            <w:r w:rsidRPr="002844B1">
              <w:rPr>
                <w:sz w:val="18"/>
                <w:szCs w:val="18"/>
              </w:rPr>
              <w:t>0.03172</w:t>
            </w:r>
          </w:p>
        </w:tc>
        <w:tc>
          <w:tcPr>
            <w:tcW w:w="0" w:type="auto"/>
          </w:tcPr>
          <w:p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3,172 %</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30/12/2022</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0.397</w:t>
            </w:r>
          </w:p>
        </w:tc>
      </w:tr>
      <w:tr w:rsidR="005B279D" w:rsidRPr="002844B1"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19/06/2023</w:t>
            </w:r>
          </w:p>
        </w:tc>
        <w:tc>
          <w:tcPr>
            <w:tcW w:w="0" w:type="auto"/>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829,46</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8"/>
                <w:szCs w:val="18"/>
              </w:rPr>
            </w:pPr>
            <w:r w:rsidRPr="002844B1">
              <w:rPr>
                <w:sz w:val="18"/>
                <w:szCs w:val="18"/>
              </w:rPr>
              <w:t>0.03008</w:t>
            </w:r>
          </w:p>
        </w:tc>
        <w:tc>
          <w:tcPr>
            <w:tcW w:w="0" w:type="auto"/>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3,008 %</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30/12/2022</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0.475</w:t>
            </w:r>
          </w:p>
        </w:tc>
      </w:tr>
      <w:tr w:rsidR="005B279D" w:rsidRPr="002844B1"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17/07/2023</w:t>
            </w:r>
          </w:p>
        </w:tc>
        <w:tc>
          <w:tcPr>
            <w:tcW w:w="0" w:type="auto"/>
          </w:tcPr>
          <w:p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210,28</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8"/>
                <w:szCs w:val="18"/>
              </w:rPr>
            </w:pPr>
            <w:r w:rsidRPr="002844B1">
              <w:rPr>
                <w:sz w:val="18"/>
                <w:szCs w:val="18"/>
              </w:rPr>
              <w:t>0.03002</w:t>
            </w:r>
          </w:p>
        </w:tc>
        <w:tc>
          <w:tcPr>
            <w:tcW w:w="0" w:type="auto"/>
          </w:tcPr>
          <w:p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3,002 %</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30/12/2022</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0.553</w:t>
            </w:r>
          </w:p>
        </w:tc>
      </w:tr>
      <w:tr w:rsidR="005B279D" w:rsidRPr="002844B1"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05/08/2023</w:t>
            </w:r>
          </w:p>
        </w:tc>
        <w:tc>
          <w:tcPr>
            <w:tcW w:w="0" w:type="auto"/>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116,18</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8"/>
                <w:szCs w:val="18"/>
              </w:rPr>
            </w:pPr>
            <w:r w:rsidRPr="002844B1">
              <w:rPr>
                <w:sz w:val="18"/>
                <w:szCs w:val="18"/>
              </w:rPr>
              <w:t>0.03016</w:t>
            </w:r>
          </w:p>
        </w:tc>
        <w:tc>
          <w:tcPr>
            <w:tcW w:w="0" w:type="auto"/>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3,016 %</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30/12/2022</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0.606</w:t>
            </w:r>
          </w:p>
        </w:tc>
      </w:tr>
      <w:tr w:rsidR="005B279D" w:rsidRPr="002844B1"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11/09/2023</w:t>
            </w:r>
          </w:p>
        </w:tc>
        <w:tc>
          <w:tcPr>
            <w:tcW w:w="0" w:type="auto"/>
          </w:tcPr>
          <w:p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349,31</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8"/>
                <w:szCs w:val="18"/>
              </w:rPr>
            </w:pPr>
            <w:r w:rsidRPr="002844B1">
              <w:rPr>
                <w:sz w:val="18"/>
                <w:szCs w:val="18"/>
              </w:rPr>
              <w:t>0.03045</w:t>
            </w:r>
          </w:p>
        </w:tc>
        <w:tc>
          <w:tcPr>
            <w:tcW w:w="0" w:type="auto"/>
          </w:tcPr>
          <w:p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3,045 %</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30/12/2022</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0.708</w:t>
            </w:r>
          </w:p>
        </w:tc>
      </w:tr>
      <w:tr w:rsidR="005B279D" w:rsidRPr="002844B1"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16/10/2023</w:t>
            </w:r>
          </w:p>
        </w:tc>
        <w:tc>
          <w:tcPr>
            <w:tcW w:w="0" w:type="auto"/>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57,86</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8"/>
                <w:szCs w:val="18"/>
              </w:rPr>
            </w:pPr>
            <w:r w:rsidRPr="002844B1">
              <w:rPr>
                <w:sz w:val="18"/>
                <w:szCs w:val="18"/>
              </w:rPr>
              <w:t>0.03130</w:t>
            </w:r>
          </w:p>
        </w:tc>
        <w:tc>
          <w:tcPr>
            <w:tcW w:w="0" w:type="auto"/>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3,130 %</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30/12/2022</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0.806</w:t>
            </w:r>
          </w:p>
        </w:tc>
      </w:tr>
      <w:tr w:rsidR="005B279D" w:rsidRPr="002844B1"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15/01/2024</w:t>
            </w:r>
          </w:p>
        </w:tc>
        <w:tc>
          <w:tcPr>
            <w:tcW w:w="0" w:type="auto"/>
          </w:tcPr>
          <w:p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62,41</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8"/>
                <w:szCs w:val="18"/>
              </w:rPr>
            </w:pPr>
            <w:r w:rsidRPr="002844B1">
              <w:rPr>
                <w:sz w:val="18"/>
                <w:szCs w:val="18"/>
              </w:rPr>
              <w:t>0.02967</w:t>
            </w:r>
          </w:p>
        </w:tc>
        <w:tc>
          <w:tcPr>
            <w:tcW w:w="0" w:type="auto"/>
          </w:tcPr>
          <w:p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2,967 %</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30/12/2022</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1.058</w:t>
            </w:r>
          </w:p>
        </w:tc>
      </w:tr>
      <w:tr w:rsidR="005B279D" w:rsidRPr="002844B1"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18/03/2024</w:t>
            </w:r>
          </w:p>
        </w:tc>
        <w:tc>
          <w:tcPr>
            <w:tcW w:w="0" w:type="auto"/>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100,37</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8"/>
                <w:szCs w:val="18"/>
              </w:rPr>
            </w:pPr>
            <w:r w:rsidRPr="002844B1">
              <w:rPr>
                <w:sz w:val="18"/>
                <w:szCs w:val="18"/>
              </w:rPr>
              <w:t>0.02987</w:t>
            </w:r>
          </w:p>
        </w:tc>
        <w:tc>
          <w:tcPr>
            <w:tcW w:w="0" w:type="auto"/>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2,987 %</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30/12/2022</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1.233</w:t>
            </w:r>
          </w:p>
        </w:tc>
      </w:tr>
      <w:tr w:rsidR="005B279D" w:rsidRPr="002844B1"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15/04/2024</w:t>
            </w:r>
          </w:p>
        </w:tc>
        <w:tc>
          <w:tcPr>
            <w:tcW w:w="0" w:type="auto"/>
          </w:tcPr>
          <w:p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261,82</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8"/>
                <w:szCs w:val="18"/>
              </w:rPr>
            </w:pPr>
            <w:r w:rsidRPr="002844B1">
              <w:rPr>
                <w:sz w:val="18"/>
                <w:szCs w:val="18"/>
              </w:rPr>
              <w:t>0.02961</w:t>
            </w:r>
          </w:p>
        </w:tc>
        <w:tc>
          <w:tcPr>
            <w:tcW w:w="0" w:type="auto"/>
          </w:tcPr>
          <w:p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2,961 %</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30/12/2022</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1.311</w:t>
            </w:r>
          </w:p>
        </w:tc>
      </w:tr>
      <w:tr w:rsidR="005B279D" w:rsidRPr="002844B1"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17/06/2024</w:t>
            </w:r>
          </w:p>
        </w:tc>
        <w:tc>
          <w:tcPr>
            <w:tcW w:w="0" w:type="auto"/>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53,19</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8"/>
                <w:szCs w:val="18"/>
              </w:rPr>
            </w:pPr>
            <w:r w:rsidRPr="002844B1">
              <w:rPr>
                <w:sz w:val="18"/>
                <w:szCs w:val="18"/>
              </w:rPr>
              <w:t>0.02991</w:t>
            </w:r>
          </w:p>
        </w:tc>
        <w:tc>
          <w:tcPr>
            <w:tcW w:w="0" w:type="auto"/>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2,991 %</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30/12/2022</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1.486</w:t>
            </w:r>
          </w:p>
        </w:tc>
      </w:tr>
      <w:tr w:rsidR="005B279D" w:rsidRPr="002844B1"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15/07/2024</w:t>
            </w:r>
          </w:p>
        </w:tc>
        <w:tc>
          <w:tcPr>
            <w:tcW w:w="0" w:type="auto"/>
          </w:tcPr>
          <w:p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149,79</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8"/>
                <w:szCs w:val="18"/>
              </w:rPr>
            </w:pPr>
            <w:r w:rsidRPr="002844B1">
              <w:rPr>
                <w:sz w:val="18"/>
                <w:szCs w:val="18"/>
              </w:rPr>
              <w:t>0.02989</w:t>
            </w:r>
          </w:p>
        </w:tc>
        <w:tc>
          <w:tcPr>
            <w:tcW w:w="0" w:type="auto"/>
          </w:tcPr>
          <w:p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2,989 %</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30/12/2022</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1.564</w:t>
            </w:r>
          </w:p>
        </w:tc>
      </w:tr>
      <w:tr w:rsidR="005B279D" w:rsidRPr="002844B1" w:rsidTr="008440F2">
        <w:trPr>
          <w:cnfStyle w:val="000000100000" w:firstRow="0" w:lastRow="0" w:firstColumn="0" w:lastColumn="0" w:oddVBand="0" w:evenVBand="0" w:oddHBand="1" w:evenHBand="0" w:firstRowFirstColumn="0" w:firstRowLastColumn="0" w:lastRowFirstColumn="0" w:lastRowLastColumn="0"/>
          <w:trHeight w:val="24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16/09/2024</w:t>
            </w:r>
          </w:p>
        </w:tc>
        <w:tc>
          <w:tcPr>
            <w:tcW w:w="0" w:type="auto"/>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69,58</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8"/>
                <w:szCs w:val="18"/>
              </w:rPr>
            </w:pPr>
            <w:r w:rsidRPr="002844B1">
              <w:rPr>
                <w:sz w:val="18"/>
                <w:szCs w:val="18"/>
              </w:rPr>
              <w:t>0.03050</w:t>
            </w:r>
          </w:p>
        </w:tc>
        <w:tc>
          <w:tcPr>
            <w:tcW w:w="0" w:type="auto"/>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3,050 %</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30/12/2022</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1.739</w:t>
            </w:r>
          </w:p>
        </w:tc>
      </w:tr>
      <w:tr w:rsidR="005B279D" w:rsidRPr="002844B1"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20/10/2025</w:t>
            </w:r>
          </w:p>
        </w:tc>
        <w:tc>
          <w:tcPr>
            <w:tcW w:w="0" w:type="auto"/>
          </w:tcPr>
          <w:p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100,50</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8"/>
                <w:szCs w:val="18"/>
              </w:rPr>
            </w:pPr>
            <w:r w:rsidRPr="002844B1">
              <w:rPr>
                <w:sz w:val="18"/>
                <w:szCs w:val="18"/>
              </w:rPr>
              <w:t>0.02980</w:t>
            </w:r>
          </w:p>
        </w:tc>
        <w:tc>
          <w:tcPr>
            <w:tcW w:w="0" w:type="auto"/>
          </w:tcPr>
          <w:p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2,980 %</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30/12/2022</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2.847</w:t>
            </w:r>
          </w:p>
        </w:tc>
      </w:tr>
      <w:tr w:rsidR="005B279D" w:rsidRPr="002844B1"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20/04/2026</w:t>
            </w:r>
          </w:p>
        </w:tc>
        <w:tc>
          <w:tcPr>
            <w:tcW w:w="0" w:type="auto"/>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138,51</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8"/>
                <w:szCs w:val="18"/>
              </w:rPr>
            </w:pPr>
            <w:r w:rsidRPr="002844B1">
              <w:rPr>
                <w:sz w:val="18"/>
                <w:szCs w:val="18"/>
              </w:rPr>
              <w:t>0.02941</w:t>
            </w:r>
          </w:p>
        </w:tc>
        <w:tc>
          <w:tcPr>
            <w:tcW w:w="0" w:type="auto"/>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2,941 %</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30/12/2022</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3.353</w:t>
            </w:r>
          </w:p>
        </w:tc>
      </w:tr>
      <w:tr w:rsidR="005B279D" w:rsidRPr="002844B1"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16/04/2029</w:t>
            </w:r>
          </w:p>
        </w:tc>
        <w:tc>
          <w:tcPr>
            <w:tcW w:w="0" w:type="auto"/>
          </w:tcPr>
          <w:p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118,63</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8"/>
                <w:szCs w:val="18"/>
              </w:rPr>
            </w:pPr>
            <w:r w:rsidRPr="002844B1">
              <w:rPr>
                <w:sz w:val="18"/>
                <w:szCs w:val="18"/>
              </w:rPr>
              <w:t>0.03003</w:t>
            </w:r>
          </w:p>
        </w:tc>
        <w:tc>
          <w:tcPr>
            <w:tcW w:w="0" w:type="auto"/>
          </w:tcPr>
          <w:p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3,003 %</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30/12/2022</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6.386</w:t>
            </w:r>
          </w:p>
        </w:tc>
      </w:tr>
      <w:tr w:rsidR="005B279D" w:rsidRPr="002844B1"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18/06/2029</w:t>
            </w:r>
          </w:p>
        </w:tc>
        <w:tc>
          <w:tcPr>
            <w:tcW w:w="0" w:type="auto"/>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115,57</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8"/>
                <w:szCs w:val="18"/>
              </w:rPr>
            </w:pPr>
            <w:r w:rsidRPr="002844B1">
              <w:rPr>
                <w:sz w:val="18"/>
                <w:szCs w:val="18"/>
              </w:rPr>
              <w:t>0.03011</w:t>
            </w:r>
          </w:p>
        </w:tc>
        <w:tc>
          <w:tcPr>
            <w:tcW w:w="0" w:type="auto"/>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3,011 %</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30/12/2022</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6.561</w:t>
            </w:r>
          </w:p>
        </w:tc>
      </w:tr>
      <w:tr w:rsidR="005B279D" w:rsidRPr="002844B1"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16/06/2031</w:t>
            </w:r>
          </w:p>
        </w:tc>
        <w:tc>
          <w:tcPr>
            <w:tcW w:w="0" w:type="auto"/>
          </w:tcPr>
          <w:p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274,67</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8"/>
                <w:szCs w:val="18"/>
              </w:rPr>
            </w:pPr>
            <w:r w:rsidRPr="002844B1">
              <w:rPr>
                <w:sz w:val="18"/>
                <w:szCs w:val="18"/>
              </w:rPr>
              <w:t>0.03126</w:t>
            </w:r>
          </w:p>
        </w:tc>
        <w:tc>
          <w:tcPr>
            <w:tcW w:w="0" w:type="auto"/>
          </w:tcPr>
          <w:p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3,126 %</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30/12/2022</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8.583</w:t>
            </w:r>
          </w:p>
        </w:tc>
      </w:tr>
      <w:tr w:rsidR="005B279D" w:rsidRPr="002844B1"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18/07/2033</w:t>
            </w:r>
          </w:p>
        </w:tc>
        <w:tc>
          <w:tcPr>
            <w:tcW w:w="0" w:type="auto"/>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317,93</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8"/>
                <w:szCs w:val="18"/>
              </w:rPr>
            </w:pPr>
            <w:r w:rsidRPr="002844B1">
              <w:rPr>
                <w:sz w:val="18"/>
                <w:szCs w:val="18"/>
              </w:rPr>
              <w:t>0.03211</w:t>
            </w:r>
          </w:p>
        </w:tc>
        <w:tc>
          <w:tcPr>
            <w:tcW w:w="0" w:type="auto"/>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3,211 %</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30/12/2022</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10.703</w:t>
            </w:r>
          </w:p>
        </w:tc>
      </w:tr>
      <w:tr w:rsidR="005B279D" w:rsidRPr="002844B1"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17/07/2034</w:t>
            </w:r>
          </w:p>
        </w:tc>
        <w:tc>
          <w:tcPr>
            <w:tcW w:w="0" w:type="auto"/>
          </w:tcPr>
          <w:p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61,82</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8"/>
                <w:szCs w:val="18"/>
              </w:rPr>
            </w:pPr>
            <w:r w:rsidRPr="002844B1">
              <w:rPr>
                <w:sz w:val="18"/>
                <w:szCs w:val="18"/>
              </w:rPr>
              <w:t>0.03346</w:t>
            </w:r>
          </w:p>
        </w:tc>
        <w:tc>
          <w:tcPr>
            <w:tcW w:w="0" w:type="auto"/>
          </w:tcPr>
          <w:p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3,346 %</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30/12/2022</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11.714</w:t>
            </w:r>
          </w:p>
        </w:tc>
      </w:tr>
      <w:tr w:rsidR="005B279D" w:rsidRPr="002844B1"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16/07/2035</w:t>
            </w:r>
          </w:p>
        </w:tc>
        <w:tc>
          <w:tcPr>
            <w:tcW w:w="0" w:type="auto"/>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356,46</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8"/>
                <w:szCs w:val="18"/>
              </w:rPr>
            </w:pPr>
            <w:r w:rsidRPr="002844B1">
              <w:rPr>
                <w:sz w:val="18"/>
                <w:szCs w:val="18"/>
              </w:rPr>
              <w:t>0.03279</w:t>
            </w:r>
          </w:p>
        </w:tc>
        <w:tc>
          <w:tcPr>
            <w:tcW w:w="0" w:type="auto"/>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3,279 %</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30/12/2022</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12.725</w:t>
            </w:r>
          </w:p>
        </w:tc>
      </w:tr>
      <w:tr w:rsidR="005B279D" w:rsidRPr="002844B1"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18/08/2036</w:t>
            </w:r>
          </w:p>
        </w:tc>
        <w:tc>
          <w:tcPr>
            <w:tcW w:w="0" w:type="auto"/>
          </w:tcPr>
          <w:p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36,32</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8"/>
                <w:szCs w:val="18"/>
              </w:rPr>
            </w:pPr>
            <w:r w:rsidRPr="002844B1">
              <w:rPr>
                <w:sz w:val="18"/>
                <w:szCs w:val="18"/>
              </w:rPr>
              <w:t>0.03374</w:t>
            </w:r>
          </w:p>
        </w:tc>
        <w:tc>
          <w:tcPr>
            <w:tcW w:w="0" w:type="auto"/>
          </w:tcPr>
          <w:p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3,374 %</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30/12/2022</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13.833</w:t>
            </w:r>
          </w:p>
        </w:tc>
      </w:tr>
      <w:tr w:rsidR="005B279D" w:rsidRPr="002844B1"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16/08/2038</w:t>
            </w:r>
          </w:p>
        </w:tc>
        <w:tc>
          <w:tcPr>
            <w:tcW w:w="0" w:type="auto"/>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135,19</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8"/>
                <w:szCs w:val="18"/>
              </w:rPr>
            </w:pPr>
            <w:r w:rsidRPr="002844B1">
              <w:rPr>
                <w:sz w:val="18"/>
                <w:szCs w:val="18"/>
              </w:rPr>
              <w:t>0.03433</w:t>
            </w:r>
          </w:p>
        </w:tc>
        <w:tc>
          <w:tcPr>
            <w:tcW w:w="0" w:type="auto"/>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3,433 %</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30/12/2022</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15.856</w:t>
            </w:r>
          </w:p>
        </w:tc>
      </w:tr>
      <w:tr w:rsidR="005B279D" w:rsidRPr="002844B1"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16/04/2040</w:t>
            </w:r>
          </w:p>
        </w:tc>
        <w:tc>
          <w:tcPr>
            <w:tcW w:w="0" w:type="auto"/>
          </w:tcPr>
          <w:p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15,09</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8"/>
                <w:szCs w:val="18"/>
              </w:rPr>
            </w:pPr>
            <w:r w:rsidRPr="002844B1">
              <w:rPr>
                <w:sz w:val="18"/>
                <w:szCs w:val="18"/>
              </w:rPr>
              <w:t>0.03488</w:t>
            </w:r>
          </w:p>
        </w:tc>
        <w:tc>
          <w:tcPr>
            <w:tcW w:w="0" w:type="auto"/>
          </w:tcPr>
          <w:p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3,488 %</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30/12/2022</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17.547</w:t>
            </w:r>
          </w:p>
        </w:tc>
      </w:tr>
      <w:tr w:rsidR="005B279D" w:rsidRPr="002844B1"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19/02/2046</w:t>
            </w:r>
          </w:p>
        </w:tc>
        <w:tc>
          <w:tcPr>
            <w:tcW w:w="0" w:type="auto"/>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21,09</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8"/>
                <w:szCs w:val="18"/>
              </w:rPr>
            </w:pPr>
            <w:r w:rsidRPr="002844B1">
              <w:rPr>
                <w:sz w:val="18"/>
                <w:szCs w:val="18"/>
              </w:rPr>
              <w:t>0.03614</w:t>
            </w:r>
          </w:p>
        </w:tc>
        <w:tc>
          <w:tcPr>
            <w:tcW w:w="0" w:type="auto"/>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3,614 %</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30/12/2022</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23.478</w:t>
            </w:r>
          </w:p>
        </w:tc>
      </w:tr>
      <w:tr w:rsidR="005B279D" w:rsidRPr="002844B1"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lastRenderedPageBreak/>
              <w:t>14/02/2050</w:t>
            </w:r>
          </w:p>
        </w:tc>
        <w:tc>
          <w:tcPr>
            <w:tcW w:w="0" w:type="auto"/>
          </w:tcPr>
          <w:p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13,91</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8"/>
                <w:szCs w:val="18"/>
              </w:rPr>
            </w:pPr>
            <w:r w:rsidRPr="002844B1">
              <w:rPr>
                <w:sz w:val="18"/>
                <w:szCs w:val="18"/>
              </w:rPr>
              <w:t>0.03789</w:t>
            </w:r>
          </w:p>
        </w:tc>
        <w:tc>
          <w:tcPr>
            <w:tcW w:w="0" w:type="auto"/>
          </w:tcPr>
          <w:p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3,789 %</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30/12/2022</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8"/>
                <w:szCs w:val="18"/>
              </w:rPr>
            </w:pPr>
            <w:r w:rsidRPr="002844B1">
              <w:rPr>
                <w:sz w:val="18"/>
                <w:szCs w:val="18"/>
              </w:rPr>
              <w:t>27.522</w:t>
            </w:r>
          </w:p>
        </w:tc>
      </w:tr>
      <w:tr w:rsidR="005B279D" w:rsidRPr="002844B1"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20/02/2051</w:t>
            </w:r>
          </w:p>
        </w:tc>
        <w:tc>
          <w:tcPr>
            <w:tcW w:w="0" w:type="auto"/>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135,76</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8"/>
                <w:szCs w:val="18"/>
              </w:rPr>
            </w:pPr>
            <w:r w:rsidRPr="002844B1">
              <w:rPr>
                <w:sz w:val="18"/>
                <w:szCs w:val="18"/>
              </w:rPr>
              <w:t>0.03612</w:t>
            </w:r>
          </w:p>
        </w:tc>
        <w:tc>
          <w:tcPr>
            <w:tcW w:w="0" w:type="auto"/>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3,612 %</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rPr>
                <w:sz w:val="18"/>
                <w:szCs w:val="18"/>
              </w:rPr>
            </w:pPr>
            <w:r w:rsidRPr="002844B1">
              <w:rPr>
                <w:sz w:val="18"/>
                <w:szCs w:val="18"/>
              </w:rPr>
              <w:t>30/12/2022</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8"/>
                <w:szCs w:val="18"/>
              </w:rPr>
            </w:pPr>
            <w:r w:rsidRPr="002844B1">
              <w:rPr>
                <w:sz w:val="18"/>
                <w:szCs w:val="18"/>
              </w:rPr>
              <w:t>28.553</w:t>
            </w:r>
          </w:p>
        </w:tc>
      </w:tr>
      <w:bookmarkEnd w:id="18"/>
    </w:tbl>
    <w:p w:rsidR="008440F2" w:rsidRPr="002844B1" w:rsidRDefault="008440F2">
      <w:pPr>
        <w:pStyle w:val="BodyText"/>
      </w:pPr>
    </w:p>
    <w:p w:rsidR="005B279D" w:rsidRPr="002844B1" w:rsidRDefault="00000000" w:rsidP="008440F2">
      <w:pPr>
        <w:pStyle w:val="BodyText"/>
        <w:jc w:val="both"/>
        <w:rPr>
          <w:sz w:val="21"/>
          <w:szCs w:val="21"/>
        </w:rPr>
      </w:pPr>
      <w:r w:rsidRPr="002844B1">
        <w:rPr>
          <w:sz w:val="21"/>
          <w:szCs w:val="21"/>
        </w:rPr>
        <w:t>La construction de la courbe des taux zéro-coupon passe par les étapes suivantes :</w:t>
      </w:r>
    </w:p>
    <w:p w:rsidR="005B279D" w:rsidRPr="002844B1" w:rsidRDefault="00000000" w:rsidP="008440F2">
      <w:pPr>
        <w:pStyle w:val="Compact"/>
        <w:numPr>
          <w:ilvl w:val="0"/>
          <w:numId w:val="10"/>
        </w:numPr>
        <w:jc w:val="both"/>
        <w:rPr>
          <w:sz w:val="21"/>
          <w:szCs w:val="21"/>
        </w:rPr>
      </w:pPr>
      <w:r w:rsidRPr="002844B1">
        <w:rPr>
          <w:sz w:val="21"/>
          <w:szCs w:val="21"/>
        </w:rPr>
        <w:t>1-ère étape : Transformation des taux monétaires en taux actuariels.</w:t>
      </w:r>
    </w:p>
    <w:p w:rsidR="005B279D" w:rsidRPr="002844B1" w:rsidRDefault="00000000" w:rsidP="008440F2">
      <w:pPr>
        <w:pStyle w:val="Compact"/>
        <w:numPr>
          <w:ilvl w:val="0"/>
          <w:numId w:val="10"/>
        </w:numPr>
        <w:jc w:val="both"/>
        <w:rPr>
          <w:sz w:val="21"/>
          <w:szCs w:val="21"/>
        </w:rPr>
      </w:pPr>
      <w:r w:rsidRPr="002844B1">
        <w:rPr>
          <w:sz w:val="21"/>
          <w:szCs w:val="21"/>
        </w:rPr>
        <w:t>2-ème étape : Interpolation linéaire afin d’obtenir des taux actuariels pour des maturités pleines.</w:t>
      </w:r>
    </w:p>
    <w:p w:rsidR="005B279D" w:rsidRPr="002844B1" w:rsidRDefault="00000000" w:rsidP="008440F2">
      <w:pPr>
        <w:pStyle w:val="Compact"/>
        <w:numPr>
          <w:ilvl w:val="0"/>
          <w:numId w:val="10"/>
        </w:numPr>
        <w:jc w:val="both"/>
        <w:rPr>
          <w:sz w:val="21"/>
          <w:szCs w:val="21"/>
        </w:rPr>
      </w:pPr>
      <w:r w:rsidRPr="002844B1">
        <w:rPr>
          <w:sz w:val="21"/>
          <w:szCs w:val="21"/>
        </w:rPr>
        <w:t>3-ème étape : Calcule des taux zéro coupons à partir des taux actuariels des maturités pleines par la Méthode du Bootstrap.</w:t>
      </w:r>
    </w:p>
    <w:p w:rsidR="005B279D" w:rsidRPr="002844B1" w:rsidRDefault="00000000" w:rsidP="008440F2">
      <w:pPr>
        <w:pStyle w:val="Compact"/>
        <w:numPr>
          <w:ilvl w:val="0"/>
          <w:numId w:val="10"/>
        </w:numPr>
        <w:jc w:val="both"/>
        <w:rPr>
          <w:sz w:val="21"/>
          <w:szCs w:val="21"/>
        </w:rPr>
      </w:pPr>
      <w:r w:rsidRPr="002844B1">
        <w:rPr>
          <w:sz w:val="21"/>
          <w:szCs w:val="21"/>
        </w:rPr>
        <w:t>4-ème étape : Extrapolation de la courbe des taux zéro-coupon pour des maturités non observées lointaines par la méthode de Smith-Wilson.</w:t>
      </w:r>
    </w:p>
    <w:p w:rsidR="008440F2" w:rsidRPr="002844B1" w:rsidRDefault="008440F2" w:rsidP="008440F2">
      <w:pPr>
        <w:pStyle w:val="Compact"/>
        <w:jc w:val="both"/>
        <w:rPr>
          <w:sz w:val="21"/>
          <w:szCs w:val="21"/>
        </w:rPr>
      </w:pPr>
    </w:p>
    <w:p w:rsidR="005B279D" w:rsidRPr="002844B1" w:rsidRDefault="00000000">
      <w:pPr>
        <w:pStyle w:val="Heading3"/>
      </w:pPr>
      <w:bookmarkStart w:id="19" w:name="Xcbe522a13d0cf3ed962fdea859902dd7c035635"/>
      <w:bookmarkStart w:id="20" w:name="_Toc137651002"/>
      <w:r w:rsidRPr="002844B1">
        <w:t>Transformation des taux monétaires en taux actuariels</w:t>
      </w:r>
      <w:bookmarkEnd w:id="20"/>
    </w:p>
    <w:p w:rsidR="005B279D" w:rsidRPr="002844B1" w:rsidRDefault="00000000" w:rsidP="00A92406">
      <w:pPr>
        <w:pStyle w:val="FirstParagraph"/>
        <w:jc w:val="both"/>
        <w:rPr>
          <w:sz w:val="21"/>
          <w:szCs w:val="21"/>
        </w:rPr>
      </w:pPr>
      <w:r w:rsidRPr="002844B1">
        <w:rPr>
          <w:sz w:val="21"/>
          <w:szCs w:val="21"/>
        </w:rPr>
        <w:t>Cette étape consiste à transformer les taux monétaires à des taux actuariels en utilisant la relation suivante</w:t>
      </w:r>
      <w:r w:rsidR="00A92406" w:rsidRPr="002844B1">
        <w:rPr>
          <w:sz w:val="21"/>
          <w:szCs w:val="21"/>
        </w:rPr>
        <w:t xml:space="preserve"> </w:t>
      </w:r>
      <w:r w:rsidRPr="002844B1">
        <w:rPr>
          <w:sz w:val="21"/>
          <w:szCs w:val="21"/>
        </w:rPr>
        <w:t>:</w:t>
      </w:r>
    </w:p>
    <w:bookmarkStart w:id="21" w:name="eq-tm_to_ta"/>
    <w:p w:rsidR="005B279D" w:rsidRPr="002844B1" w:rsidRDefault="00000000">
      <w:pPr>
        <w:pStyle w:val="BodyText"/>
      </w:pPr>
      <m:oMathPara>
        <m:oMathParaPr>
          <m:jc m:val="center"/>
        </m:oMathParaPr>
        <m:oMath>
          <m:sSub>
            <m:sSubPr>
              <m:ctrlPr>
                <w:rPr>
                  <w:rFonts w:ascii="Cambria Math" w:hAnsi="Cambria Math"/>
                </w:rPr>
              </m:ctrlPr>
            </m:sSubPr>
            <m:e>
              <m:r>
                <w:rPr>
                  <w:rFonts w:ascii="Cambria Math" w:hAnsi="Cambria Math"/>
                </w:rPr>
                <m:t>T</m:t>
              </m:r>
            </m:e>
            <m:sub>
              <m:r>
                <w:rPr>
                  <w:rFonts w:ascii="Cambria Math" w:hAnsi="Cambria Math"/>
                </w:rPr>
                <m:t>a</m:t>
              </m:r>
            </m:sub>
          </m:sSub>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n</m:t>
                      </m:r>
                    </m:num>
                    <m:den>
                      <m:r>
                        <w:rPr>
                          <w:rFonts w:ascii="Cambria Math" w:hAnsi="Cambria Math"/>
                        </w:rPr>
                        <m:t>365</m:t>
                      </m:r>
                    </m:den>
                  </m:f>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m</m:t>
                      </m:r>
                    </m:sub>
                  </m:sSub>
                </m:e>
              </m:d>
            </m:e>
            <m:sup>
              <m:f>
                <m:fPr>
                  <m:ctrlPr>
                    <w:rPr>
                      <w:rFonts w:ascii="Cambria Math" w:hAnsi="Cambria Math"/>
                    </w:rPr>
                  </m:ctrlPr>
                </m:fPr>
                <m:num>
                  <m:r>
                    <w:rPr>
                      <w:rFonts w:ascii="Cambria Math" w:hAnsi="Cambria Math"/>
                    </w:rPr>
                    <m:t>365</m:t>
                  </m:r>
                </m:num>
                <m:den>
                  <m:r>
                    <w:rPr>
                      <w:rFonts w:ascii="Cambria Math" w:hAnsi="Cambria Math"/>
                    </w:rPr>
                    <m:t>n</m:t>
                  </m:r>
                </m:den>
              </m:f>
            </m:sup>
          </m:sSup>
          <m:r>
            <w:rPr>
              <w:rFonts w:ascii="Cambria Math" w:hAnsi="Cambria Math"/>
            </w:rPr>
            <m:t>-1,  </m:t>
          </m:r>
          <m:d>
            <m:dPr>
              <m:ctrlPr>
                <w:rPr>
                  <w:rFonts w:ascii="Cambria Math" w:hAnsi="Cambria Math"/>
                </w:rPr>
              </m:ctrlPr>
            </m:dPr>
            <m:e>
              <m:r>
                <w:rPr>
                  <w:rFonts w:ascii="Cambria Math" w:hAnsi="Cambria Math"/>
                </w:rPr>
                <m:t>1</m:t>
              </m:r>
            </m:e>
          </m:d>
        </m:oMath>
      </m:oMathPara>
      <w:bookmarkEnd w:id="21"/>
    </w:p>
    <w:p w:rsidR="005B279D" w:rsidRPr="002844B1" w:rsidRDefault="00000000" w:rsidP="00A92406">
      <w:pPr>
        <w:pStyle w:val="FirstParagraph"/>
        <w:jc w:val="both"/>
        <w:rPr>
          <w:sz w:val="21"/>
          <w:szCs w:val="21"/>
        </w:rPr>
      </w:pPr>
      <w:r w:rsidRPr="002844B1">
        <w:rPr>
          <w:sz w:val="21"/>
          <w:szCs w:val="21"/>
        </w:rPr>
        <w:t>avec :</w:t>
      </w:r>
    </w:p>
    <w:p w:rsidR="005B279D" w:rsidRPr="002844B1" w:rsidRDefault="00000000" w:rsidP="00A92406">
      <w:pPr>
        <w:numPr>
          <w:ilvl w:val="0"/>
          <w:numId w:val="11"/>
        </w:numPr>
        <w:jc w:val="both"/>
        <w:rPr>
          <w:sz w:val="21"/>
          <w:szCs w:val="21"/>
        </w:rPr>
      </w:pPr>
      <m:oMath>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a</m:t>
            </m:r>
          </m:sub>
        </m:sSub>
      </m:oMath>
      <w:r w:rsidRPr="002844B1">
        <w:rPr>
          <w:sz w:val="21"/>
          <w:szCs w:val="21"/>
        </w:rPr>
        <w:t xml:space="preserve"> : Le taux actuariel.</w:t>
      </w:r>
    </w:p>
    <w:p w:rsidR="005B279D" w:rsidRPr="002844B1" w:rsidRDefault="00000000" w:rsidP="00A92406">
      <w:pPr>
        <w:numPr>
          <w:ilvl w:val="0"/>
          <w:numId w:val="11"/>
        </w:numPr>
        <w:jc w:val="both"/>
        <w:rPr>
          <w:sz w:val="21"/>
          <w:szCs w:val="21"/>
        </w:rPr>
      </w:pPr>
      <m:oMath>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m</m:t>
            </m:r>
          </m:sub>
        </m:sSub>
      </m:oMath>
      <w:r w:rsidRPr="002844B1">
        <w:rPr>
          <w:sz w:val="21"/>
          <w:szCs w:val="21"/>
        </w:rPr>
        <w:t xml:space="preserve"> : Le taux monétaire.</w:t>
      </w:r>
    </w:p>
    <w:p w:rsidR="005B279D" w:rsidRPr="002844B1" w:rsidRDefault="00000000" w:rsidP="00A92406">
      <w:pPr>
        <w:numPr>
          <w:ilvl w:val="0"/>
          <w:numId w:val="11"/>
        </w:numPr>
        <w:jc w:val="both"/>
        <w:rPr>
          <w:sz w:val="21"/>
          <w:szCs w:val="21"/>
        </w:rPr>
      </w:pPr>
      <m:oMath>
        <m:r>
          <w:rPr>
            <w:rFonts w:ascii="Cambria Math" w:hAnsi="Cambria Math"/>
            <w:sz w:val="21"/>
            <w:szCs w:val="21"/>
          </w:rPr>
          <m:t>n</m:t>
        </m:r>
      </m:oMath>
      <w:r w:rsidRPr="002844B1">
        <w:rPr>
          <w:sz w:val="21"/>
          <w:szCs w:val="21"/>
        </w:rPr>
        <w:t xml:space="preserve"> : Le nombre de jours entre la date de valeur et la date d’échéance.</w:t>
      </w:r>
    </w:p>
    <w:p w:rsidR="005B279D" w:rsidRPr="002844B1" w:rsidRDefault="00000000" w:rsidP="00A92406">
      <w:pPr>
        <w:numPr>
          <w:ilvl w:val="0"/>
          <w:numId w:val="11"/>
        </w:numPr>
        <w:jc w:val="both"/>
        <w:rPr>
          <w:sz w:val="21"/>
          <w:szCs w:val="21"/>
        </w:rPr>
      </w:pPr>
      <m:oMath>
        <m:f>
          <m:fPr>
            <m:ctrlPr>
              <w:rPr>
                <w:rFonts w:ascii="Cambria Math" w:hAnsi="Cambria Math"/>
                <w:sz w:val="21"/>
                <w:szCs w:val="21"/>
              </w:rPr>
            </m:ctrlPr>
          </m:fPr>
          <m:num>
            <m:r>
              <w:rPr>
                <w:rFonts w:ascii="Cambria Math" w:hAnsi="Cambria Math"/>
                <w:sz w:val="21"/>
                <w:szCs w:val="21"/>
              </w:rPr>
              <m:t>365</m:t>
            </m:r>
          </m:num>
          <m:den>
            <m:r>
              <w:rPr>
                <w:rFonts w:ascii="Cambria Math" w:hAnsi="Cambria Math"/>
                <w:sz w:val="21"/>
                <w:szCs w:val="21"/>
              </w:rPr>
              <m:t>n</m:t>
            </m:r>
          </m:den>
        </m:f>
      </m:oMath>
      <w:r w:rsidRPr="002844B1">
        <w:rPr>
          <w:sz w:val="21"/>
          <w:szCs w:val="21"/>
        </w:rPr>
        <w:t xml:space="preserve"> : La maturité.</w:t>
      </w:r>
    </w:p>
    <w:p w:rsidR="005B279D" w:rsidRPr="002844B1" w:rsidRDefault="00000000" w:rsidP="00A92406">
      <w:pPr>
        <w:pStyle w:val="FirstParagraph"/>
        <w:jc w:val="both"/>
        <w:rPr>
          <w:sz w:val="21"/>
          <w:szCs w:val="21"/>
        </w:rPr>
      </w:pPr>
      <w:r w:rsidRPr="002844B1">
        <w:rPr>
          <w:sz w:val="21"/>
          <w:szCs w:val="21"/>
        </w:rPr>
        <w:t>Après l’application de cette formule sur Les données de marché marocain (publiées par la BAM), nous avons obtenu les résultats cités dans le tableau suivant :</w:t>
      </w:r>
    </w:p>
    <w:p w:rsidR="005B279D" w:rsidRPr="002844B1" w:rsidRDefault="005B279D">
      <w:pPr>
        <w:pStyle w:val="TableCaption"/>
      </w:pPr>
      <w:bookmarkStart w:id="22" w:name="tbl-taux_act"/>
    </w:p>
    <w:p w:rsidR="00A92406" w:rsidRPr="002844B1" w:rsidRDefault="00A92406" w:rsidP="00A92406">
      <w:pPr>
        <w:pStyle w:val="Caption"/>
        <w:keepNext/>
      </w:pPr>
      <w:r w:rsidRPr="002844B1">
        <w:t xml:space="preserve">Table </w:t>
      </w:r>
      <w:r w:rsidRPr="002844B1">
        <w:fldChar w:fldCharType="begin"/>
      </w:r>
      <w:r w:rsidRPr="002844B1">
        <w:instrText xml:space="preserve"> SEQ Table \* ARABIC </w:instrText>
      </w:r>
      <w:r w:rsidRPr="002844B1">
        <w:fldChar w:fldCharType="separate"/>
      </w:r>
      <w:r w:rsidR="008E2C01" w:rsidRPr="002844B1">
        <w:rPr>
          <w:noProof/>
        </w:rPr>
        <w:t>3</w:t>
      </w:r>
      <w:r w:rsidRPr="002844B1">
        <w:fldChar w:fldCharType="end"/>
      </w:r>
      <w:r w:rsidRPr="002844B1">
        <w:t>: Conversion du taux monétaire en taux actuariel</w:t>
      </w:r>
    </w:p>
    <w:tbl>
      <w:tblPr>
        <w:tblStyle w:val="GridTable4-Accent2"/>
        <w:tblW w:w="0" w:type="auto"/>
        <w:jc w:val="center"/>
        <w:tblLook w:val="0020" w:firstRow="1" w:lastRow="0" w:firstColumn="0" w:lastColumn="0" w:noHBand="0" w:noVBand="0"/>
      </w:tblPr>
      <w:tblGrid>
        <w:gridCol w:w="1008"/>
        <w:gridCol w:w="1924"/>
      </w:tblGrid>
      <w:tr w:rsidR="00A92406" w:rsidRPr="002844B1"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rsidP="00A92406">
            <w:pPr>
              <w:pStyle w:val="Compact"/>
            </w:pPr>
            <w:r w:rsidRPr="002844B1">
              <w:t>Maturité</w:t>
            </w:r>
          </w:p>
        </w:tc>
        <w:tc>
          <w:tcPr>
            <w:tcW w:w="0" w:type="auto"/>
          </w:tcPr>
          <w:p w:rsidR="00A92406" w:rsidRPr="002844B1" w:rsidRDefault="00A92406">
            <w:pPr>
              <w:pStyle w:val="Compact"/>
              <w:cnfStyle w:val="100000000000" w:firstRow="1" w:lastRow="0" w:firstColumn="0" w:lastColumn="0" w:oddVBand="0" w:evenVBand="0" w:oddHBand="0" w:evenHBand="0" w:firstRowFirstColumn="0" w:firstRowLastColumn="0" w:lastRowFirstColumn="0" w:lastRowLastColumn="0"/>
            </w:pPr>
            <w:r w:rsidRPr="002844B1">
              <w:t>Taux actuariel (%)</w:t>
            </w:r>
          </w:p>
        </w:tc>
      </w:tr>
      <w:tr w:rsidR="00A92406" w:rsidRPr="002844B1"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0.039</w:t>
            </w:r>
          </w:p>
        </w:tc>
        <w:tc>
          <w:tcPr>
            <w:tcW w:w="0" w:type="auto"/>
          </w:tcPr>
          <w:p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3,032%</w:t>
            </w:r>
          </w:p>
        </w:tc>
      </w:tr>
      <w:tr w:rsidR="00A92406" w:rsidRPr="002844B1"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0.067</w:t>
            </w:r>
          </w:p>
        </w:tc>
        <w:tc>
          <w:tcPr>
            <w:tcW w:w="0" w:type="auto"/>
          </w:tcPr>
          <w:p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3,012%</w:t>
            </w:r>
          </w:p>
        </w:tc>
      </w:tr>
      <w:tr w:rsidR="00A92406" w:rsidRPr="002844B1"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0.183</w:t>
            </w:r>
          </w:p>
        </w:tc>
        <w:tc>
          <w:tcPr>
            <w:tcW w:w="0" w:type="auto"/>
          </w:tcPr>
          <w:p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3,02%</w:t>
            </w:r>
          </w:p>
        </w:tc>
      </w:tr>
      <w:tr w:rsidR="00A92406" w:rsidRPr="002844B1"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0.397</w:t>
            </w:r>
          </w:p>
        </w:tc>
        <w:tc>
          <w:tcPr>
            <w:tcW w:w="0" w:type="auto"/>
          </w:tcPr>
          <w:p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3,248%</w:t>
            </w:r>
          </w:p>
        </w:tc>
      </w:tr>
      <w:tr w:rsidR="00A92406" w:rsidRPr="002844B1"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0.475</w:t>
            </w:r>
          </w:p>
        </w:tc>
        <w:tc>
          <w:tcPr>
            <w:tcW w:w="0" w:type="auto"/>
          </w:tcPr>
          <w:p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3,075%</w:t>
            </w:r>
          </w:p>
        </w:tc>
      </w:tr>
      <w:tr w:rsidR="00A92406" w:rsidRPr="002844B1"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0.553</w:t>
            </w:r>
          </w:p>
        </w:tc>
        <w:tc>
          <w:tcPr>
            <w:tcW w:w="0" w:type="auto"/>
          </w:tcPr>
          <w:p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3,065%</w:t>
            </w:r>
          </w:p>
        </w:tc>
      </w:tr>
      <w:tr w:rsidR="00A92406" w:rsidRPr="002844B1"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0.606</w:t>
            </w:r>
          </w:p>
        </w:tc>
        <w:tc>
          <w:tcPr>
            <w:tcW w:w="0" w:type="auto"/>
          </w:tcPr>
          <w:p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3,077%</w:t>
            </w:r>
          </w:p>
        </w:tc>
      </w:tr>
      <w:tr w:rsidR="00A92406" w:rsidRPr="002844B1"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lastRenderedPageBreak/>
              <w:t>0.708</w:t>
            </w:r>
          </w:p>
        </w:tc>
        <w:tc>
          <w:tcPr>
            <w:tcW w:w="0" w:type="auto"/>
          </w:tcPr>
          <w:p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3,102%</w:t>
            </w:r>
          </w:p>
        </w:tc>
      </w:tr>
      <w:tr w:rsidR="00A92406" w:rsidRPr="002844B1"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0.806</w:t>
            </w:r>
          </w:p>
        </w:tc>
        <w:tc>
          <w:tcPr>
            <w:tcW w:w="0" w:type="auto"/>
          </w:tcPr>
          <w:p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3,184%</w:t>
            </w:r>
          </w:p>
        </w:tc>
      </w:tr>
      <w:tr w:rsidR="00A92406" w:rsidRPr="002844B1"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1.058</w:t>
            </w:r>
          </w:p>
        </w:tc>
        <w:tc>
          <w:tcPr>
            <w:tcW w:w="0" w:type="auto"/>
          </w:tcPr>
          <w:p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2,967%</w:t>
            </w:r>
          </w:p>
        </w:tc>
      </w:tr>
      <w:tr w:rsidR="00A92406" w:rsidRPr="002844B1"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1.233</w:t>
            </w:r>
          </w:p>
        </w:tc>
        <w:tc>
          <w:tcPr>
            <w:tcW w:w="0" w:type="auto"/>
          </w:tcPr>
          <w:p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2,987%</w:t>
            </w:r>
          </w:p>
        </w:tc>
      </w:tr>
      <w:tr w:rsidR="00A92406" w:rsidRPr="002844B1"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1.311</w:t>
            </w:r>
          </w:p>
        </w:tc>
        <w:tc>
          <w:tcPr>
            <w:tcW w:w="0" w:type="auto"/>
          </w:tcPr>
          <w:p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2,961%</w:t>
            </w:r>
          </w:p>
        </w:tc>
      </w:tr>
      <w:tr w:rsidR="00A92406" w:rsidRPr="002844B1"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1.486</w:t>
            </w:r>
          </w:p>
        </w:tc>
        <w:tc>
          <w:tcPr>
            <w:tcW w:w="0" w:type="auto"/>
          </w:tcPr>
          <w:p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2,991%</w:t>
            </w:r>
          </w:p>
        </w:tc>
      </w:tr>
      <w:tr w:rsidR="00A92406" w:rsidRPr="002844B1"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1.564</w:t>
            </w:r>
          </w:p>
        </w:tc>
        <w:tc>
          <w:tcPr>
            <w:tcW w:w="0" w:type="auto"/>
          </w:tcPr>
          <w:p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2,989%</w:t>
            </w:r>
          </w:p>
        </w:tc>
      </w:tr>
      <w:tr w:rsidR="00A92406" w:rsidRPr="002844B1"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1.739</w:t>
            </w:r>
          </w:p>
        </w:tc>
        <w:tc>
          <w:tcPr>
            <w:tcW w:w="0" w:type="auto"/>
          </w:tcPr>
          <w:p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3,05%</w:t>
            </w:r>
          </w:p>
        </w:tc>
      </w:tr>
      <w:tr w:rsidR="00A92406" w:rsidRPr="002844B1"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2.847</w:t>
            </w:r>
          </w:p>
        </w:tc>
        <w:tc>
          <w:tcPr>
            <w:tcW w:w="0" w:type="auto"/>
          </w:tcPr>
          <w:p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2,98%</w:t>
            </w:r>
          </w:p>
        </w:tc>
      </w:tr>
      <w:tr w:rsidR="00A92406" w:rsidRPr="002844B1"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3.353</w:t>
            </w:r>
          </w:p>
        </w:tc>
        <w:tc>
          <w:tcPr>
            <w:tcW w:w="0" w:type="auto"/>
          </w:tcPr>
          <w:p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2,941%</w:t>
            </w:r>
          </w:p>
        </w:tc>
      </w:tr>
      <w:tr w:rsidR="00A92406" w:rsidRPr="002844B1"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6.386</w:t>
            </w:r>
          </w:p>
        </w:tc>
        <w:tc>
          <w:tcPr>
            <w:tcW w:w="0" w:type="auto"/>
          </w:tcPr>
          <w:p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3,003%</w:t>
            </w:r>
          </w:p>
        </w:tc>
      </w:tr>
      <w:tr w:rsidR="00A92406" w:rsidRPr="002844B1"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6.561</w:t>
            </w:r>
          </w:p>
        </w:tc>
        <w:tc>
          <w:tcPr>
            <w:tcW w:w="0" w:type="auto"/>
          </w:tcPr>
          <w:p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3,011%</w:t>
            </w:r>
          </w:p>
        </w:tc>
      </w:tr>
      <w:tr w:rsidR="00A92406" w:rsidRPr="002844B1"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8.583</w:t>
            </w:r>
          </w:p>
        </w:tc>
        <w:tc>
          <w:tcPr>
            <w:tcW w:w="0" w:type="auto"/>
          </w:tcPr>
          <w:p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3,126%</w:t>
            </w:r>
          </w:p>
        </w:tc>
      </w:tr>
      <w:tr w:rsidR="00A92406" w:rsidRPr="002844B1"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10.703</w:t>
            </w:r>
          </w:p>
        </w:tc>
        <w:tc>
          <w:tcPr>
            <w:tcW w:w="0" w:type="auto"/>
          </w:tcPr>
          <w:p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3,211%</w:t>
            </w:r>
          </w:p>
        </w:tc>
      </w:tr>
      <w:tr w:rsidR="00A92406" w:rsidRPr="002844B1"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11.714</w:t>
            </w:r>
          </w:p>
        </w:tc>
        <w:tc>
          <w:tcPr>
            <w:tcW w:w="0" w:type="auto"/>
          </w:tcPr>
          <w:p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3,346%</w:t>
            </w:r>
          </w:p>
        </w:tc>
      </w:tr>
      <w:tr w:rsidR="00A92406" w:rsidRPr="002844B1"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12.725</w:t>
            </w:r>
          </w:p>
        </w:tc>
        <w:tc>
          <w:tcPr>
            <w:tcW w:w="0" w:type="auto"/>
          </w:tcPr>
          <w:p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3,279%</w:t>
            </w:r>
          </w:p>
        </w:tc>
      </w:tr>
      <w:tr w:rsidR="00A92406" w:rsidRPr="002844B1"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13.833</w:t>
            </w:r>
          </w:p>
        </w:tc>
        <w:tc>
          <w:tcPr>
            <w:tcW w:w="0" w:type="auto"/>
          </w:tcPr>
          <w:p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3,374%</w:t>
            </w:r>
          </w:p>
        </w:tc>
      </w:tr>
      <w:tr w:rsidR="00A92406" w:rsidRPr="002844B1"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15.856</w:t>
            </w:r>
          </w:p>
        </w:tc>
        <w:tc>
          <w:tcPr>
            <w:tcW w:w="0" w:type="auto"/>
          </w:tcPr>
          <w:p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3,433%</w:t>
            </w:r>
          </w:p>
        </w:tc>
      </w:tr>
      <w:tr w:rsidR="00A92406" w:rsidRPr="002844B1"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17.547</w:t>
            </w:r>
          </w:p>
        </w:tc>
        <w:tc>
          <w:tcPr>
            <w:tcW w:w="0" w:type="auto"/>
          </w:tcPr>
          <w:p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3,488%</w:t>
            </w:r>
          </w:p>
        </w:tc>
      </w:tr>
      <w:tr w:rsidR="00A92406" w:rsidRPr="002844B1"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23.478</w:t>
            </w:r>
          </w:p>
        </w:tc>
        <w:tc>
          <w:tcPr>
            <w:tcW w:w="0" w:type="auto"/>
          </w:tcPr>
          <w:p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3,614%</w:t>
            </w:r>
          </w:p>
        </w:tc>
      </w:tr>
      <w:tr w:rsidR="00A92406" w:rsidRPr="002844B1"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27.522</w:t>
            </w:r>
          </w:p>
        </w:tc>
        <w:tc>
          <w:tcPr>
            <w:tcW w:w="0" w:type="auto"/>
          </w:tcPr>
          <w:p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3,789%</w:t>
            </w:r>
          </w:p>
        </w:tc>
      </w:tr>
      <w:tr w:rsidR="00A92406" w:rsidRPr="002844B1"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28.553</w:t>
            </w:r>
          </w:p>
        </w:tc>
        <w:tc>
          <w:tcPr>
            <w:tcW w:w="0" w:type="auto"/>
          </w:tcPr>
          <w:p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3,612%</w:t>
            </w:r>
          </w:p>
        </w:tc>
      </w:tr>
    </w:tbl>
    <w:p w:rsidR="00A92406" w:rsidRPr="002844B1" w:rsidRDefault="00A92406" w:rsidP="00A92406">
      <w:pPr>
        <w:pStyle w:val="FirstParagraph"/>
      </w:pPr>
      <w:bookmarkStart w:id="23" w:name="X96b896b92b42645ba88a707007c4252bf9e5cd7"/>
      <w:bookmarkStart w:id="24" w:name="_Toc137651003"/>
      <w:bookmarkEnd w:id="19"/>
      <w:bookmarkEnd w:id="22"/>
    </w:p>
    <w:p w:rsidR="00A92406" w:rsidRPr="002844B1" w:rsidRDefault="00A92406" w:rsidP="00A92406">
      <w:pPr>
        <w:pStyle w:val="BodyText"/>
      </w:pPr>
    </w:p>
    <w:p w:rsidR="005B279D" w:rsidRPr="002844B1" w:rsidRDefault="00000000" w:rsidP="00A92406">
      <w:pPr>
        <w:pStyle w:val="Heading3"/>
        <w:ind w:left="0"/>
      </w:pPr>
      <w:r w:rsidRPr="002844B1">
        <w:t>Interpolation linéaire de la courbe des taux actuariels</w:t>
      </w:r>
      <w:bookmarkEnd w:id="24"/>
    </w:p>
    <w:p w:rsidR="005B279D" w:rsidRPr="002844B1" w:rsidRDefault="00000000" w:rsidP="00A92406">
      <w:pPr>
        <w:pStyle w:val="FirstParagraph"/>
        <w:jc w:val="both"/>
        <w:rPr>
          <w:sz w:val="21"/>
          <w:szCs w:val="21"/>
        </w:rPr>
      </w:pPr>
      <w:r w:rsidRPr="002844B1">
        <w:rPr>
          <w:sz w:val="21"/>
          <w:szCs w:val="21"/>
        </w:rPr>
        <w:t>En réalité, nous ne disposons que des taux actuariels de maturités ayant des valeurs décimales, le but de cette étape est donc la détermination des taux actuariels avec des maturités pleines en utilisant une interpolation linéaire.</w:t>
      </w:r>
    </w:p>
    <w:p w:rsidR="005B279D" w:rsidRPr="002844B1" w:rsidRDefault="00000000" w:rsidP="00A92406">
      <w:pPr>
        <w:pStyle w:val="BodyText"/>
        <w:jc w:val="both"/>
        <w:rPr>
          <w:sz w:val="21"/>
          <w:szCs w:val="21"/>
        </w:rPr>
      </w:pPr>
      <w:r w:rsidRPr="002844B1">
        <w:rPr>
          <w:sz w:val="21"/>
          <w:szCs w:val="21"/>
        </w:rPr>
        <w:t xml:space="preserve">Cette opération consiste à déterminer le </w:t>
      </w:r>
      <m:oMath>
        <m:r>
          <w:rPr>
            <w:rFonts w:ascii="Cambria Math" w:hAnsi="Cambria Math"/>
            <w:sz w:val="21"/>
            <w:szCs w:val="21"/>
          </w:rPr>
          <m:t>DPL</m:t>
        </m:r>
      </m:oMath>
      <w:r w:rsidRPr="002844B1">
        <w:rPr>
          <w:sz w:val="21"/>
          <w:szCs w:val="21"/>
        </w:rPr>
        <w:t xml:space="preserve"> qui correspond au dernier point liquide. Il est déterminé de sorte que le volume cumulé des obligations dont les échéances sont supérieures au DPL et inférieur à </w:t>
      </w:r>
      <m:oMath>
        <m:r>
          <w:rPr>
            <w:rFonts w:ascii="Cambria Math" w:hAnsi="Cambria Math"/>
            <w:sz w:val="21"/>
            <w:szCs w:val="21"/>
          </w:rPr>
          <m:t>6%</m:t>
        </m:r>
      </m:oMath>
      <w:r w:rsidRPr="002844B1">
        <w:rPr>
          <w:sz w:val="21"/>
          <w:szCs w:val="21"/>
        </w:rPr>
        <w:t xml:space="preserve"> du volume total des transactions prises en compte pour la construction de la courbe des taux zéro-coupon. Il correspond aussi à dernière maturité observable.</w:t>
      </w:r>
    </w:p>
    <w:p w:rsidR="005B279D" w:rsidRPr="002844B1" w:rsidRDefault="00000000" w:rsidP="00A92406">
      <w:pPr>
        <w:pStyle w:val="BodyText"/>
        <w:jc w:val="both"/>
        <w:rPr>
          <w:sz w:val="21"/>
          <w:szCs w:val="21"/>
        </w:rPr>
      </w:pPr>
      <w:r w:rsidRPr="002844B1">
        <w:rPr>
          <w:sz w:val="21"/>
          <w:szCs w:val="21"/>
        </w:rPr>
        <w:t xml:space="preserve">La formule d’interpolation pour toute maturité </w:t>
      </w:r>
      <m:oMath>
        <m:r>
          <w:rPr>
            <w:rFonts w:ascii="Cambria Math" w:hAnsi="Cambria Math"/>
            <w:sz w:val="21"/>
            <w:szCs w:val="21"/>
          </w:rPr>
          <m:t>j</m:t>
        </m:r>
      </m:oMath>
      <w:r w:rsidRPr="002844B1">
        <w:rPr>
          <w:sz w:val="21"/>
          <w:szCs w:val="21"/>
        </w:rPr>
        <w:t xml:space="preserve"> allant de </w:t>
      </w:r>
      <m:oMath>
        <m:r>
          <w:rPr>
            <w:rFonts w:ascii="Cambria Math" w:hAnsi="Cambria Math"/>
            <w:sz w:val="21"/>
            <w:szCs w:val="21"/>
          </w:rPr>
          <m:t>1,2,…,DPL</m:t>
        </m:r>
      </m:oMath>
      <w:r w:rsidRPr="002844B1">
        <w:rPr>
          <w:sz w:val="21"/>
          <w:szCs w:val="21"/>
        </w:rPr>
        <w:t xml:space="preserve"> est la suivante :</w:t>
      </w:r>
    </w:p>
    <w:bookmarkStart w:id="25" w:name="eq-dpl"/>
    <w:p w:rsidR="005B279D" w:rsidRPr="002844B1" w:rsidRDefault="00000000" w:rsidP="00A92406">
      <w:pPr>
        <w:pStyle w:val="BodyText"/>
        <w:jc w:val="both"/>
        <w:rPr>
          <w:sz w:val="21"/>
          <w:szCs w:val="21"/>
        </w:rPr>
      </w:pPr>
      <m:oMathPara>
        <m:oMathParaPr>
          <m:jc m:val="center"/>
        </m:oMathParaPr>
        <m:oMath>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i</m:t>
              </m:r>
            </m:sub>
          </m:sSub>
          <m:r>
            <w:rPr>
              <w:rFonts w:ascii="Cambria Math" w:hAnsi="Cambria Math"/>
              <w:sz w:val="21"/>
              <w:szCs w:val="21"/>
            </w:rPr>
            <m:t>+</m:t>
          </m:r>
          <m:f>
            <m:fPr>
              <m:ctrlPr>
                <w:rPr>
                  <w:rFonts w:ascii="Cambria Math" w:hAnsi="Cambria Math"/>
                  <w:sz w:val="21"/>
                  <w:szCs w:val="21"/>
                </w:rPr>
              </m:ctrlPr>
            </m:fPr>
            <m:num>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i</m:t>
                  </m:r>
                </m:sub>
              </m:sSub>
            </m:num>
            <m:den>
              <m:sSub>
                <m:sSubPr>
                  <m:ctrlPr>
                    <w:rPr>
                      <w:rFonts w:ascii="Cambria Math" w:hAnsi="Cambria Math"/>
                      <w:sz w:val="21"/>
                      <w:szCs w:val="21"/>
                    </w:rPr>
                  </m:ctrlPr>
                </m:sSubPr>
                <m:e>
                  <m:r>
                    <w:rPr>
                      <w:rFonts w:ascii="Cambria Math" w:hAnsi="Cambria Math"/>
                      <w:sz w:val="21"/>
                      <w:szCs w:val="21"/>
                    </w:rPr>
                    <m:t>n</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n</m:t>
                  </m:r>
                </m:e>
                <m:sub>
                  <m:r>
                    <w:rPr>
                      <w:rFonts w:ascii="Cambria Math" w:hAnsi="Cambria Math"/>
                      <w:sz w:val="21"/>
                      <w:szCs w:val="21"/>
                    </w:rPr>
                    <m:t>i</m:t>
                  </m:r>
                </m:sub>
              </m:sSub>
            </m:den>
          </m:f>
          <m:r>
            <w:rPr>
              <w:rFonts w:ascii="Cambria Math" w:hAnsi="Cambria Math"/>
              <w:sz w:val="21"/>
              <w:szCs w:val="21"/>
            </w:rPr>
            <m:t>×</m:t>
          </m:r>
          <m:d>
            <m:dPr>
              <m:ctrlPr>
                <w:rPr>
                  <w:rFonts w:ascii="Cambria Math" w:hAnsi="Cambria Math"/>
                  <w:sz w:val="21"/>
                  <w:szCs w:val="21"/>
                </w:rPr>
              </m:ctrlPr>
            </m:dPr>
            <m:e>
              <m:r>
                <w:rPr>
                  <w:rFonts w:ascii="Cambria Math" w:hAnsi="Cambria Math"/>
                  <w:sz w:val="21"/>
                  <w:szCs w:val="21"/>
                </w:rPr>
                <m:t>j-</m:t>
              </m:r>
              <m:sSub>
                <m:sSubPr>
                  <m:ctrlPr>
                    <w:rPr>
                      <w:rFonts w:ascii="Cambria Math" w:hAnsi="Cambria Math"/>
                      <w:sz w:val="21"/>
                      <w:szCs w:val="21"/>
                    </w:rPr>
                  </m:ctrlPr>
                </m:sSubPr>
                <m:e>
                  <m:r>
                    <w:rPr>
                      <w:rFonts w:ascii="Cambria Math" w:hAnsi="Cambria Math"/>
                      <w:sz w:val="21"/>
                      <w:szCs w:val="21"/>
                    </w:rPr>
                    <m:t>n</m:t>
                  </m:r>
                </m:e>
                <m:sub>
                  <m:r>
                    <w:rPr>
                      <w:rFonts w:ascii="Cambria Math" w:hAnsi="Cambria Math"/>
                      <w:sz w:val="21"/>
                      <w:szCs w:val="21"/>
                    </w:rPr>
                    <m:t>i</m:t>
                  </m:r>
                </m:sub>
              </m:sSub>
            </m:e>
          </m:d>
          <m:r>
            <w:rPr>
              <w:rFonts w:ascii="Cambria Math" w:hAnsi="Cambria Math"/>
              <w:sz w:val="21"/>
              <w:szCs w:val="21"/>
            </w:rPr>
            <m:t> ,  </m:t>
          </m:r>
          <m:d>
            <m:dPr>
              <m:ctrlPr>
                <w:rPr>
                  <w:rFonts w:ascii="Cambria Math" w:hAnsi="Cambria Math"/>
                  <w:sz w:val="21"/>
                  <w:szCs w:val="21"/>
                </w:rPr>
              </m:ctrlPr>
            </m:dPr>
            <m:e>
              <m:r>
                <w:rPr>
                  <w:rFonts w:ascii="Cambria Math" w:hAnsi="Cambria Math"/>
                  <w:sz w:val="21"/>
                  <w:szCs w:val="21"/>
                </w:rPr>
                <m:t>2</m:t>
              </m:r>
            </m:e>
          </m:d>
        </m:oMath>
      </m:oMathPara>
      <w:bookmarkEnd w:id="25"/>
    </w:p>
    <w:p w:rsidR="005B279D" w:rsidRPr="002844B1" w:rsidRDefault="00000000" w:rsidP="00A92406">
      <w:pPr>
        <w:pStyle w:val="FirstParagraph"/>
        <w:jc w:val="both"/>
        <w:rPr>
          <w:sz w:val="21"/>
          <w:szCs w:val="21"/>
        </w:rPr>
      </w:pPr>
      <w:r w:rsidRPr="002844B1">
        <w:rPr>
          <w:sz w:val="21"/>
          <w:szCs w:val="21"/>
        </w:rPr>
        <w:t>avec :</w:t>
      </w:r>
    </w:p>
    <w:p w:rsidR="005B279D" w:rsidRPr="002844B1" w:rsidRDefault="00000000" w:rsidP="00A92406">
      <w:pPr>
        <w:pStyle w:val="Compact"/>
        <w:numPr>
          <w:ilvl w:val="0"/>
          <w:numId w:val="12"/>
        </w:numPr>
        <w:jc w:val="both"/>
        <w:rPr>
          <w:sz w:val="21"/>
          <w:szCs w:val="21"/>
        </w:rPr>
      </w:pPr>
      <m:oMath>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j</m:t>
            </m:r>
          </m:sub>
        </m:sSub>
      </m:oMath>
      <w:r w:rsidRPr="002844B1">
        <w:rPr>
          <w:sz w:val="21"/>
          <w:szCs w:val="21"/>
        </w:rPr>
        <w:t xml:space="preserve"> : Taux actuariels de maturité pleine j compris entre les maturités n_i et n_(i+1),</w:t>
      </w:r>
    </w:p>
    <w:p w:rsidR="005B279D" w:rsidRPr="002844B1" w:rsidRDefault="00000000" w:rsidP="00A92406">
      <w:pPr>
        <w:pStyle w:val="Compact"/>
        <w:numPr>
          <w:ilvl w:val="0"/>
          <w:numId w:val="12"/>
        </w:numPr>
        <w:jc w:val="both"/>
        <w:rPr>
          <w:sz w:val="21"/>
          <w:szCs w:val="21"/>
        </w:rPr>
      </w:pPr>
      <m:oMath>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i</m:t>
            </m:r>
          </m:sub>
        </m:sSub>
      </m:oMath>
      <w:r w:rsidRPr="002844B1">
        <w:rPr>
          <w:sz w:val="21"/>
          <w:szCs w:val="21"/>
        </w:rPr>
        <w:t xml:space="preserve"> : Taux actuariels de maturités n_i.</w:t>
      </w:r>
    </w:p>
    <w:p w:rsidR="005B279D" w:rsidRPr="002844B1" w:rsidRDefault="005B279D">
      <w:pPr>
        <w:pStyle w:val="TableCaption"/>
      </w:pPr>
      <w:bookmarkStart w:id="26" w:name="tbl-taux_inter"/>
    </w:p>
    <w:p w:rsidR="00A92406" w:rsidRPr="002844B1" w:rsidRDefault="00A92406" w:rsidP="00A92406">
      <w:pPr>
        <w:pStyle w:val="Caption"/>
        <w:keepNext/>
      </w:pPr>
      <w:r w:rsidRPr="002844B1">
        <w:t xml:space="preserve">Table </w:t>
      </w:r>
      <w:r w:rsidRPr="002844B1">
        <w:fldChar w:fldCharType="begin"/>
      </w:r>
      <w:r w:rsidRPr="002844B1">
        <w:instrText xml:space="preserve"> SEQ Table \* ARABIC </w:instrText>
      </w:r>
      <w:r w:rsidRPr="002844B1">
        <w:fldChar w:fldCharType="separate"/>
      </w:r>
      <w:r w:rsidR="008E2C01" w:rsidRPr="002844B1">
        <w:rPr>
          <w:noProof/>
        </w:rPr>
        <w:t>4</w:t>
      </w:r>
      <w:r w:rsidRPr="002844B1">
        <w:fldChar w:fldCharType="end"/>
      </w:r>
      <w:r w:rsidRPr="002844B1">
        <w:t>: Interpolation des taux actuariels pour avoir des taux de maturités pleines</w:t>
      </w:r>
    </w:p>
    <w:tbl>
      <w:tblPr>
        <w:tblStyle w:val="GridTable4-Accent2"/>
        <w:tblW w:w="0" w:type="auto"/>
        <w:jc w:val="center"/>
        <w:tblLook w:val="0020" w:firstRow="1" w:lastRow="0" w:firstColumn="0" w:lastColumn="0" w:noHBand="0" w:noVBand="0"/>
      </w:tblPr>
      <w:tblGrid>
        <w:gridCol w:w="1008"/>
        <w:gridCol w:w="1924"/>
      </w:tblGrid>
      <w:tr w:rsidR="00A92406" w:rsidRPr="002844B1"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Maturité</w:t>
            </w:r>
          </w:p>
        </w:tc>
        <w:tc>
          <w:tcPr>
            <w:tcW w:w="0" w:type="auto"/>
          </w:tcPr>
          <w:p w:rsidR="00A92406" w:rsidRPr="002844B1" w:rsidRDefault="00A92406">
            <w:pPr>
              <w:pStyle w:val="Compact"/>
              <w:cnfStyle w:val="100000000000" w:firstRow="1" w:lastRow="0" w:firstColumn="0" w:lastColumn="0" w:oddVBand="0" w:evenVBand="0" w:oddHBand="0" w:evenHBand="0" w:firstRowFirstColumn="0" w:firstRowLastColumn="0" w:lastRowFirstColumn="0" w:lastRowLastColumn="0"/>
            </w:pPr>
            <w:r w:rsidRPr="002844B1">
              <w:t>Taux actuariel (%)</w:t>
            </w:r>
          </w:p>
        </w:tc>
      </w:tr>
      <w:tr w:rsidR="00A92406" w:rsidRPr="002844B1"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1</w:t>
            </w:r>
          </w:p>
        </w:tc>
        <w:tc>
          <w:tcPr>
            <w:tcW w:w="0" w:type="auto"/>
          </w:tcPr>
          <w:p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3,017%</w:t>
            </w:r>
          </w:p>
        </w:tc>
      </w:tr>
      <w:tr w:rsidR="00A92406" w:rsidRPr="002844B1"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2</w:t>
            </w:r>
          </w:p>
        </w:tc>
        <w:tc>
          <w:tcPr>
            <w:tcW w:w="0" w:type="auto"/>
          </w:tcPr>
          <w:p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3,034%</w:t>
            </w:r>
          </w:p>
        </w:tc>
      </w:tr>
      <w:tr w:rsidR="00A92406" w:rsidRPr="002844B1"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3</w:t>
            </w:r>
          </w:p>
        </w:tc>
        <w:tc>
          <w:tcPr>
            <w:tcW w:w="0" w:type="auto"/>
          </w:tcPr>
          <w:p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2,968%</w:t>
            </w:r>
          </w:p>
        </w:tc>
      </w:tr>
      <w:tr w:rsidR="00A92406" w:rsidRPr="002844B1"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4</w:t>
            </w:r>
          </w:p>
        </w:tc>
        <w:tc>
          <w:tcPr>
            <w:tcW w:w="0" w:type="auto"/>
          </w:tcPr>
          <w:p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2,954%</w:t>
            </w:r>
          </w:p>
        </w:tc>
      </w:tr>
      <w:tr w:rsidR="00A92406" w:rsidRPr="002844B1"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5</w:t>
            </w:r>
          </w:p>
        </w:tc>
        <w:tc>
          <w:tcPr>
            <w:tcW w:w="0" w:type="auto"/>
          </w:tcPr>
          <w:p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2,975%</w:t>
            </w:r>
          </w:p>
        </w:tc>
      </w:tr>
      <w:tr w:rsidR="00A92406" w:rsidRPr="002844B1"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6</w:t>
            </w:r>
          </w:p>
        </w:tc>
        <w:tc>
          <w:tcPr>
            <w:tcW w:w="0" w:type="auto"/>
          </w:tcPr>
          <w:p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2,995%</w:t>
            </w:r>
          </w:p>
        </w:tc>
      </w:tr>
      <w:tr w:rsidR="00A92406" w:rsidRPr="002844B1"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7</w:t>
            </w:r>
          </w:p>
        </w:tc>
        <w:tc>
          <w:tcPr>
            <w:tcW w:w="0" w:type="auto"/>
          </w:tcPr>
          <w:p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3,036%</w:t>
            </w:r>
          </w:p>
        </w:tc>
      </w:tr>
      <w:tr w:rsidR="00A92406" w:rsidRPr="002844B1"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8</w:t>
            </w:r>
          </w:p>
        </w:tc>
        <w:tc>
          <w:tcPr>
            <w:tcW w:w="0" w:type="auto"/>
          </w:tcPr>
          <w:p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3,093%</w:t>
            </w:r>
          </w:p>
        </w:tc>
      </w:tr>
      <w:tr w:rsidR="00A92406" w:rsidRPr="002844B1"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9</w:t>
            </w:r>
          </w:p>
        </w:tc>
        <w:tc>
          <w:tcPr>
            <w:tcW w:w="0" w:type="auto"/>
          </w:tcPr>
          <w:p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3,143%</w:t>
            </w:r>
          </w:p>
        </w:tc>
      </w:tr>
      <w:tr w:rsidR="00A92406" w:rsidRPr="002844B1"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10</w:t>
            </w:r>
          </w:p>
        </w:tc>
        <w:tc>
          <w:tcPr>
            <w:tcW w:w="0" w:type="auto"/>
          </w:tcPr>
          <w:p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3,183%</w:t>
            </w:r>
          </w:p>
        </w:tc>
      </w:tr>
      <w:tr w:rsidR="00A92406" w:rsidRPr="002844B1"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11</w:t>
            </w:r>
          </w:p>
        </w:tc>
        <w:tc>
          <w:tcPr>
            <w:tcW w:w="0" w:type="auto"/>
          </w:tcPr>
          <w:p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3,251%</w:t>
            </w:r>
          </w:p>
        </w:tc>
      </w:tr>
      <w:tr w:rsidR="00A92406" w:rsidRPr="002844B1"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12</w:t>
            </w:r>
          </w:p>
        </w:tc>
        <w:tc>
          <w:tcPr>
            <w:tcW w:w="0" w:type="auto"/>
          </w:tcPr>
          <w:p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3,327%</w:t>
            </w:r>
          </w:p>
        </w:tc>
      </w:tr>
      <w:tr w:rsidR="00A92406" w:rsidRPr="002844B1"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13</w:t>
            </w:r>
          </w:p>
        </w:tc>
        <w:tc>
          <w:tcPr>
            <w:tcW w:w="0" w:type="auto"/>
          </w:tcPr>
          <w:p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3,303%</w:t>
            </w:r>
          </w:p>
        </w:tc>
      </w:tr>
      <w:tr w:rsidR="00A92406" w:rsidRPr="002844B1"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14</w:t>
            </w:r>
          </w:p>
        </w:tc>
        <w:tc>
          <w:tcPr>
            <w:tcW w:w="0" w:type="auto"/>
          </w:tcPr>
          <w:p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3,379%</w:t>
            </w:r>
          </w:p>
        </w:tc>
      </w:tr>
      <w:tr w:rsidR="00A92406" w:rsidRPr="002844B1"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15</w:t>
            </w:r>
          </w:p>
        </w:tc>
        <w:tc>
          <w:tcPr>
            <w:tcW w:w="0" w:type="auto"/>
          </w:tcPr>
          <w:p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3,408%</w:t>
            </w:r>
          </w:p>
        </w:tc>
      </w:tr>
      <w:tr w:rsidR="00A92406" w:rsidRPr="002844B1"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16</w:t>
            </w:r>
          </w:p>
        </w:tc>
        <w:tc>
          <w:tcPr>
            <w:tcW w:w="0" w:type="auto"/>
          </w:tcPr>
          <w:p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3,438%</w:t>
            </w:r>
          </w:p>
        </w:tc>
      </w:tr>
      <w:tr w:rsidR="00A92406" w:rsidRPr="002844B1"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17</w:t>
            </w:r>
          </w:p>
        </w:tc>
        <w:tc>
          <w:tcPr>
            <w:tcW w:w="0" w:type="auto"/>
          </w:tcPr>
          <w:p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3,47%</w:t>
            </w:r>
          </w:p>
        </w:tc>
      </w:tr>
      <w:tr w:rsidR="00A92406" w:rsidRPr="002844B1"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18</w:t>
            </w:r>
          </w:p>
        </w:tc>
        <w:tc>
          <w:tcPr>
            <w:tcW w:w="0" w:type="auto"/>
          </w:tcPr>
          <w:p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3,498%</w:t>
            </w:r>
          </w:p>
        </w:tc>
      </w:tr>
      <w:tr w:rsidR="00A92406" w:rsidRPr="002844B1"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19</w:t>
            </w:r>
          </w:p>
        </w:tc>
        <w:tc>
          <w:tcPr>
            <w:tcW w:w="0" w:type="auto"/>
          </w:tcPr>
          <w:p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3,519%</w:t>
            </w:r>
          </w:p>
        </w:tc>
      </w:tr>
      <w:tr w:rsidR="00A92406" w:rsidRPr="002844B1"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20</w:t>
            </w:r>
          </w:p>
        </w:tc>
        <w:tc>
          <w:tcPr>
            <w:tcW w:w="0" w:type="auto"/>
          </w:tcPr>
          <w:p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3,54%</w:t>
            </w:r>
          </w:p>
        </w:tc>
      </w:tr>
      <w:tr w:rsidR="00A92406" w:rsidRPr="002844B1"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21</w:t>
            </w:r>
          </w:p>
        </w:tc>
        <w:tc>
          <w:tcPr>
            <w:tcW w:w="0" w:type="auto"/>
          </w:tcPr>
          <w:p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3,561%</w:t>
            </w:r>
          </w:p>
        </w:tc>
      </w:tr>
      <w:tr w:rsidR="00A92406" w:rsidRPr="002844B1"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22</w:t>
            </w:r>
          </w:p>
        </w:tc>
        <w:tc>
          <w:tcPr>
            <w:tcW w:w="0" w:type="auto"/>
          </w:tcPr>
          <w:p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3,583%</w:t>
            </w:r>
          </w:p>
        </w:tc>
      </w:tr>
      <w:tr w:rsidR="00A92406" w:rsidRPr="002844B1"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23</w:t>
            </w:r>
          </w:p>
        </w:tc>
        <w:tc>
          <w:tcPr>
            <w:tcW w:w="0" w:type="auto"/>
          </w:tcPr>
          <w:p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3,604%</w:t>
            </w:r>
          </w:p>
        </w:tc>
      </w:tr>
      <w:tr w:rsidR="00A92406" w:rsidRPr="002844B1"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24</w:t>
            </w:r>
          </w:p>
        </w:tc>
        <w:tc>
          <w:tcPr>
            <w:tcW w:w="0" w:type="auto"/>
          </w:tcPr>
          <w:p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3,637%</w:t>
            </w:r>
          </w:p>
        </w:tc>
      </w:tr>
      <w:tr w:rsidR="00A92406" w:rsidRPr="002844B1"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25</w:t>
            </w:r>
          </w:p>
        </w:tc>
        <w:tc>
          <w:tcPr>
            <w:tcW w:w="0" w:type="auto"/>
          </w:tcPr>
          <w:p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3,68%</w:t>
            </w:r>
          </w:p>
        </w:tc>
      </w:tr>
      <w:tr w:rsidR="00A92406" w:rsidRPr="002844B1"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26</w:t>
            </w:r>
          </w:p>
        </w:tc>
        <w:tc>
          <w:tcPr>
            <w:tcW w:w="0" w:type="auto"/>
          </w:tcPr>
          <w:p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3,723%</w:t>
            </w:r>
          </w:p>
        </w:tc>
      </w:tr>
      <w:tr w:rsidR="00A92406" w:rsidRPr="002844B1"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27</w:t>
            </w:r>
          </w:p>
        </w:tc>
        <w:tc>
          <w:tcPr>
            <w:tcW w:w="0" w:type="auto"/>
          </w:tcPr>
          <w:p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3,766%</w:t>
            </w:r>
          </w:p>
        </w:tc>
      </w:tr>
      <w:tr w:rsidR="00A92406" w:rsidRPr="002844B1"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28</w:t>
            </w:r>
          </w:p>
        </w:tc>
        <w:tc>
          <w:tcPr>
            <w:tcW w:w="0" w:type="auto"/>
          </w:tcPr>
          <w:p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3,707%</w:t>
            </w:r>
          </w:p>
        </w:tc>
      </w:tr>
    </w:tbl>
    <w:p w:rsidR="00A92406" w:rsidRPr="002844B1" w:rsidRDefault="00A92406" w:rsidP="00A92406">
      <w:pPr>
        <w:pStyle w:val="FirstParagraph"/>
      </w:pPr>
      <w:bookmarkStart w:id="27" w:name="la-méthode-de-bootstrap"/>
      <w:bookmarkStart w:id="28" w:name="_Toc137651004"/>
      <w:bookmarkEnd w:id="23"/>
      <w:bookmarkEnd w:id="26"/>
    </w:p>
    <w:p w:rsidR="00A92406" w:rsidRPr="002844B1" w:rsidRDefault="00A92406" w:rsidP="00A92406">
      <w:pPr>
        <w:pStyle w:val="BodyText"/>
      </w:pPr>
    </w:p>
    <w:p w:rsidR="005B279D" w:rsidRPr="002844B1" w:rsidRDefault="00A92406" w:rsidP="00A92406">
      <w:pPr>
        <w:pStyle w:val="Heading3"/>
        <w:ind w:left="0"/>
      </w:pPr>
      <w:r w:rsidRPr="002844B1">
        <w:t>L</w:t>
      </w:r>
      <w:r w:rsidR="00000000" w:rsidRPr="002844B1">
        <w:t>a méthode de Bootstrap</w:t>
      </w:r>
      <w:bookmarkEnd w:id="28"/>
    </w:p>
    <w:p w:rsidR="005B279D" w:rsidRPr="002844B1" w:rsidRDefault="00000000" w:rsidP="00A92406">
      <w:pPr>
        <w:pStyle w:val="FirstParagraph"/>
        <w:jc w:val="both"/>
        <w:rPr>
          <w:sz w:val="21"/>
          <w:szCs w:val="21"/>
        </w:rPr>
      </w:pPr>
      <w:r w:rsidRPr="002844B1">
        <w:rPr>
          <w:sz w:val="21"/>
          <w:szCs w:val="21"/>
        </w:rPr>
        <w:t xml:space="preserve">La méthode Bootstrap est une technique de reconstitution de la courbe zéro-coupon pas à pas, en déterminant les taux zéro-coupon à partir des taux actuariels, en faisant l’hypothèse que le prix théorique d’une obligation correspond à la somme de ses flux futures actualisés aux taux zéro-coupon de l’échéance de </w:t>
      </w:r>
      <w:r w:rsidRPr="002844B1">
        <w:rPr>
          <w:sz w:val="21"/>
          <w:szCs w:val="21"/>
        </w:rPr>
        <w:lastRenderedPageBreak/>
        <w:t>chaque flux. Ainsi, on suppose que les prix des obligations des Bons du trésor sont au pair, c’est-à-dire que le prix d’émission des obligations des bons du trésor et leur valeur nominale sont égaux.</w:t>
      </w:r>
    </w:p>
    <w:p w:rsidR="005B279D" w:rsidRPr="002844B1" w:rsidRDefault="00000000" w:rsidP="00A92406">
      <w:pPr>
        <w:pStyle w:val="Compact"/>
        <w:numPr>
          <w:ilvl w:val="0"/>
          <w:numId w:val="13"/>
        </w:numPr>
        <w:jc w:val="both"/>
        <w:rPr>
          <w:sz w:val="21"/>
          <w:szCs w:val="21"/>
        </w:rPr>
      </w:pPr>
      <w:r w:rsidRPr="002844B1">
        <w:rPr>
          <w:b/>
          <w:bCs/>
          <w:sz w:val="21"/>
          <w:szCs w:val="21"/>
        </w:rPr>
        <w:t xml:space="preserve">Pour une maturité inférieure ou égale </w:t>
      </w:r>
      <w:r w:rsidR="002844B1" w:rsidRPr="002844B1">
        <w:rPr>
          <w:b/>
          <w:bCs/>
          <w:sz w:val="21"/>
          <w:szCs w:val="21"/>
        </w:rPr>
        <w:t>à</w:t>
      </w:r>
      <w:r w:rsidRPr="002844B1">
        <w:rPr>
          <w:b/>
          <w:bCs/>
          <w:sz w:val="21"/>
          <w:szCs w:val="21"/>
        </w:rPr>
        <w:t xml:space="preserve"> un an</w:t>
      </w:r>
      <w:r w:rsidRPr="002844B1">
        <w:rPr>
          <w:sz w:val="21"/>
          <w:szCs w:val="21"/>
        </w:rPr>
        <w:t xml:space="preserve"> :</w:t>
      </w:r>
    </w:p>
    <w:p w:rsidR="005B279D" w:rsidRPr="002844B1" w:rsidRDefault="00000000" w:rsidP="00A92406">
      <w:pPr>
        <w:pStyle w:val="FirstParagraph"/>
        <w:jc w:val="both"/>
        <w:rPr>
          <w:sz w:val="21"/>
          <w:szCs w:val="21"/>
        </w:rPr>
      </w:pPr>
      <w:r w:rsidRPr="002844B1">
        <w:rPr>
          <w:sz w:val="21"/>
          <w:szCs w:val="21"/>
        </w:rPr>
        <w:t>Le taux zéro-coupon est donc le taux actuariel de même maturité. Car aucun coupon n’est payé avant l’échéance.</w:t>
      </w:r>
    </w:p>
    <w:p w:rsidR="005B279D" w:rsidRPr="002844B1" w:rsidRDefault="00000000" w:rsidP="00A92406">
      <w:pPr>
        <w:pStyle w:val="Compact"/>
        <w:numPr>
          <w:ilvl w:val="0"/>
          <w:numId w:val="14"/>
        </w:numPr>
        <w:jc w:val="both"/>
        <w:rPr>
          <w:sz w:val="21"/>
          <w:szCs w:val="21"/>
        </w:rPr>
      </w:pPr>
      <w:r w:rsidRPr="002844B1">
        <w:rPr>
          <w:b/>
          <w:bCs/>
          <w:sz w:val="21"/>
          <w:szCs w:val="21"/>
        </w:rPr>
        <w:t>Pour une maturité supérieure à un an</w:t>
      </w:r>
      <w:r w:rsidRPr="002844B1">
        <w:rPr>
          <w:sz w:val="21"/>
          <w:szCs w:val="21"/>
        </w:rPr>
        <w:t xml:space="preserve"> :</w:t>
      </w:r>
    </w:p>
    <w:p w:rsidR="005B279D" w:rsidRPr="002844B1" w:rsidRDefault="00000000" w:rsidP="00A92406">
      <w:pPr>
        <w:pStyle w:val="FirstParagraph"/>
        <w:jc w:val="both"/>
        <w:rPr>
          <w:sz w:val="21"/>
          <w:szCs w:val="21"/>
        </w:rPr>
      </w:pPr>
      <w:r w:rsidRPr="002844B1">
        <w:rPr>
          <w:sz w:val="21"/>
          <w:szCs w:val="21"/>
        </w:rPr>
        <w:t>Le taux zéro-coupon est calculé par la formule suivante :</w:t>
      </w:r>
    </w:p>
    <w:p w:rsidR="005B279D" w:rsidRPr="002844B1" w:rsidRDefault="00000000" w:rsidP="00A92406">
      <w:pPr>
        <w:pStyle w:val="BodyText"/>
        <w:jc w:val="both"/>
        <w:rPr>
          <w:sz w:val="21"/>
          <w:szCs w:val="21"/>
        </w:rPr>
      </w:pPr>
      <m:oMathPara>
        <m:oMathParaPr>
          <m:jc m:val="center"/>
        </m:oMathParaP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m:t>
              </m:r>
            </m:sub>
          </m:sSub>
          <m:r>
            <w:rPr>
              <w:rFonts w:ascii="Cambria Math" w:hAnsi="Cambria Math"/>
              <w:sz w:val="21"/>
              <w:szCs w:val="21"/>
            </w:rPr>
            <m:t>=</m:t>
          </m:r>
          <m:rad>
            <m:radPr>
              <m:ctrlPr>
                <w:rPr>
                  <w:rFonts w:ascii="Cambria Math" w:hAnsi="Cambria Math"/>
                  <w:sz w:val="21"/>
                  <w:szCs w:val="21"/>
                </w:rPr>
              </m:ctrlPr>
            </m:radPr>
            <m:deg>
              <m:r>
                <w:rPr>
                  <w:rFonts w:ascii="Cambria Math" w:hAnsi="Cambria Math"/>
                  <w:sz w:val="21"/>
                  <w:szCs w:val="21"/>
                </w:rPr>
                <m:t>n</m:t>
              </m:r>
            </m:deg>
            <m:e>
              <m:f>
                <m:fPr>
                  <m:ctrlPr>
                    <w:rPr>
                      <w:rFonts w:ascii="Cambria Math" w:hAnsi="Cambria Math"/>
                      <w:sz w:val="21"/>
                      <w:szCs w:val="21"/>
                    </w:rPr>
                  </m:ctrlPr>
                </m:fPr>
                <m:num>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n</m:t>
                      </m:r>
                    </m:sub>
                  </m:sSub>
                </m:num>
                <m:den>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n</m:t>
                      </m:r>
                    </m:sub>
                  </m:sSub>
                  <m:r>
                    <w:rPr>
                      <w:rFonts w:ascii="Cambria Math" w:hAnsi="Cambria Math"/>
                      <w:sz w:val="21"/>
                      <w:szCs w:val="21"/>
                    </w:rPr>
                    <m:t>×</m:t>
                  </m:r>
                  <m:nary>
                    <m:naryPr>
                      <m:chr m:val="∑"/>
                      <m:limLoc m:val="undOvr"/>
                      <m:ctrlPr>
                        <w:rPr>
                          <w:rFonts w:ascii="Cambria Math" w:hAnsi="Cambria Math"/>
                          <w:sz w:val="21"/>
                          <w:szCs w:val="21"/>
                        </w:rPr>
                      </m:ctrlPr>
                    </m:naryPr>
                    <m:sub>
                      <m:r>
                        <w:rPr>
                          <w:rFonts w:ascii="Cambria Math" w:hAnsi="Cambria Math"/>
                          <w:sz w:val="21"/>
                          <w:szCs w:val="21"/>
                        </w:rPr>
                        <m:t>i=1</m:t>
                      </m:r>
                    </m:sub>
                    <m:sup>
                      <m:r>
                        <w:rPr>
                          <w:rFonts w:ascii="Cambria Math" w:hAnsi="Cambria Math"/>
                          <w:sz w:val="21"/>
                          <w:szCs w:val="21"/>
                        </w:rPr>
                        <m:t>n-1</m:t>
                      </m:r>
                    </m:sup>
                    <m:e>
                      <m:f>
                        <m:fPr>
                          <m:ctrlPr>
                            <w:rPr>
                              <w:rFonts w:ascii="Cambria Math" w:hAnsi="Cambria Math"/>
                              <w:sz w:val="21"/>
                              <w:szCs w:val="21"/>
                            </w:rPr>
                          </m:ctrlPr>
                        </m:fPr>
                        <m:num>
                          <m:r>
                            <w:rPr>
                              <w:rFonts w:ascii="Cambria Math" w:hAnsi="Cambria Math"/>
                              <w:sz w:val="21"/>
                              <w:szCs w:val="21"/>
                            </w:rPr>
                            <m:t>1</m:t>
                          </m:r>
                        </m:num>
                        <m:den>
                          <m:sSup>
                            <m:sSupPr>
                              <m:ctrlPr>
                                <w:rPr>
                                  <w:rFonts w:ascii="Cambria Math" w:hAnsi="Cambria Math"/>
                                  <w:sz w:val="21"/>
                                  <w:szCs w:val="21"/>
                                </w:rPr>
                              </m:ctrlPr>
                            </m:sSupPr>
                            <m:e>
                              <m:d>
                                <m:dPr>
                                  <m:ctrlPr>
                                    <w:rPr>
                                      <w:rFonts w:ascii="Cambria Math" w:hAnsi="Cambria Math"/>
                                      <w:sz w:val="21"/>
                                      <w:szCs w:val="21"/>
                                    </w:rPr>
                                  </m:ctrlPr>
                                </m:dPr>
                                <m:e>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e>
                            <m:sup>
                              <m:r>
                                <w:rPr>
                                  <w:rFonts w:ascii="Cambria Math" w:hAnsi="Cambria Math"/>
                                  <w:sz w:val="21"/>
                                  <w:szCs w:val="21"/>
                                </w:rPr>
                                <m:t>i</m:t>
                              </m:r>
                            </m:sup>
                          </m:sSup>
                        </m:den>
                      </m:f>
                    </m:e>
                  </m:nary>
                </m:den>
              </m:f>
            </m:e>
          </m:rad>
          <m:r>
            <w:rPr>
              <w:rFonts w:ascii="Cambria Math" w:hAnsi="Cambria Math"/>
              <w:sz w:val="21"/>
              <w:szCs w:val="21"/>
            </w:rPr>
            <m:t>-1 .  </m:t>
          </m:r>
          <m:d>
            <m:dPr>
              <m:ctrlPr>
                <w:rPr>
                  <w:rFonts w:ascii="Cambria Math" w:hAnsi="Cambria Math"/>
                  <w:sz w:val="21"/>
                  <w:szCs w:val="21"/>
                </w:rPr>
              </m:ctrlPr>
            </m:dPr>
            <m:e>
              <m:r>
                <w:rPr>
                  <w:rFonts w:ascii="Cambria Math" w:hAnsi="Cambria Math"/>
                  <w:sz w:val="21"/>
                  <w:szCs w:val="21"/>
                </w:rPr>
                <m:t>3</m:t>
              </m:r>
            </m:e>
          </m:d>
        </m:oMath>
      </m:oMathPara>
    </w:p>
    <w:p w:rsidR="005B279D" w:rsidRPr="002844B1" w:rsidRDefault="00000000" w:rsidP="00A92406">
      <w:pPr>
        <w:pStyle w:val="FirstParagraph"/>
        <w:jc w:val="both"/>
        <w:rPr>
          <w:sz w:val="21"/>
          <w:szCs w:val="21"/>
        </w:rPr>
      </w:pPr>
      <w:r w:rsidRPr="002844B1">
        <w:rPr>
          <w:sz w:val="21"/>
          <w:szCs w:val="21"/>
        </w:rPr>
        <w:t>En effet, on a supposé que le prix théorique d’une obligation correspond à la somme de ses flux futures actualisés aux taux zéro-coupon de l’échéance de chaque flux:</w:t>
      </w:r>
    </w:p>
    <w:p w:rsidR="005B279D" w:rsidRPr="002844B1" w:rsidRDefault="00000000" w:rsidP="00A92406">
      <w:pPr>
        <w:pStyle w:val="BodyText"/>
        <w:jc w:val="both"/>
        <w:rPr>
          <w:sz w:val="21"/>
          <w:szCs w:val="21"/>
        </w:rPr>
      </w:pPr>
      <m:oMathPara>
        <m:oMathParaPr>
          <m:jc m:val="center"/>
        </m:oMathParaPr>
        <m:oMath>
          <m:r>
            <w:rPr>
              <w:rFonts w:ascii="Cambria Math" w:hAnsi="Cambria Math"/>
              <w:sz w:val="21"/>
              <w:szCs w:val="21"/>
            </w:rPr>
            <m:t>P=</m:t>
          </m:r>
          <m:f>
            <m:fPr>
              <m:ctrlPr>
                <w:rPr>
                  <w:rFonts w:ascii="Cambria Math" w:hAnsi="Cambria Math"/>
                  <w:sz w:val="21"/>
                  <w:szCs w:val="21"/>
                </w:rPr>
              </m:ctrlPr>
            </m:fPr>
            <m:num>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n</m:t>
                  </m:r>
                </m:sub>
              </m:sSub>
              <m:r>
                <w:rPr>
                  <w:rFonts w:ascii="Cambria Math" w:hAnsi="Cambria Math"/>
                  <w:sz w:val="21"/>
                  <w:szCs w:val="21"/>
                </w:rPr>
                <m:t>*N</m:t>
              </m:r>
            </m:num>
            <m:den>
              <m:d>
                <m:dPr>
                  <m:ctrlPr>
                    <w:rPr>
                      <w:rFonts w:ascii="Cambria Math" w:hAnsi="Cambria Math"/>
                      <w:sz w:val="21"/>
                      <w:szCs w:val="21"/>
                    </w:rPr>
                  </m:ctrlPr>
                </m:dPr>
                <m:e>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1</m:t>
                      </m:r>
                    </m:sub>
                  </m:sSub>
                </m:e>
              </m:d>
            </m:den>
          </m:f>
          <m:r>
            <w:rPr>
              <w:rFonts w:ascii="Cambria Math" w:hAnsi="Cambria Math"/>
              <w:sz w:val="21"/>
              <w:szCs w:val="21"/>
            </w:rPr>
            <m:t>+</m:t>
          </m:r>
          <m:f>
            <m:fPr>
              <m:ctrlPr>
                <w:rPr>
                  <w:rFonts w:ascii="Cambria Math" w:hAnsi="Cambria Math"/>
                  <w:sz w:val="21"/>
                  <w:szCs w:val="21"/>
                </w:rPr>
              </m:ctrlPr>
            </m:fPr>
            <m:num>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n</m:t>
                  </m:r>
                </m:sub>
              </m:sSub>
              <m:r>
                <w:rPr>
                  <w:rFonts w:ascii="Cambria Math" w:hAnsi="Cambria Math"/>
                  <w:sz w:val="21"/>
                  <w:szCs w:val="21"/>
                </w:rPr>
                <m:t>*N</m:t>
              </m:r>
            </m:num>
            <m:den>
              <m:sSup>
                <m:sSupPr>
                  <m:ctrlPr>
                    <w:rPr>
                      <w:rFonts w:ascii="Cambria Math" w:hAnsi="Cambria Math"/>
                      <w:sz w:val="21"/>
                      <w:szCs w:val="21"/>
                    </w:rPr>
                  </m:ctrlPr>
                </m:sSupPr>
                <m:e>
                  <m:d>
                    <m:dPr>
                      <m:ctrlPr>
                        <w:rPr>
                          <w:rFonts w:ascii="Cambria Math" w:hAnsi="Cambria Math"/>
                          <w:sz w:val="21"/>
                          <w:szCs w:val="21"/>
                        </w:rPr>
                      </m:ctrlPr>
                    </m:dPr>
                    <m:e>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2</m:t>
                          </m:r>
                        </m:sub>
                      </m:sSub>
                    </m:e>
                  </m:d>
                </m:e>
                <m:sup>
                  <m:r>
                    <w:rPr>
                      <w:rFonts w:ascii="Cambria Math" w:hAnsi="Cambria Math"/>
                      <w:sz w:val="21"/>
                      <w:szCs w:val="21"/>
                    </w:rPr>
                    <m:t>2</m:t>
                  </m:r>
                </m:sup>
              </m:sSup>
            </m:den>
          </m:f>
          <m: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N+</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n</m:t>
                  </m:r>
                </m:sub>
              </m:sSub>
              <m:r>
                <w:rPr>
                  <w:rFonts w:ascii="Cambria Math" w:hAnsi="Cambria Math"/>
                  <w:sz w:val="21"/>
                  <w:szCs w:val="21"/>
                </w:rPr>
                <m:t>*N</m:t>
              </m:r>
            </m:num>
            <m:den>
              <m:sSup>
                <m:sSupPr>
                  <m:ctrlPr>
                    <w:rPr>
                      <w:rFonts w:ascii="Cambria Math" w:hAnsi="Cambria Math"/>
                      <w:sz w:val="21"/>
                      <w:szCs w:val="21"/>
                    </w:rPr>
                  </m:ctrlPr>
                </m:sSupPr>
                <m:e>
                  <m:d>
                    <m:dPr>
                      <m:ctrlPr>
                        <w:rPr>
                          <w:rFonts w:ascii="Cambria Math" w:hAnsi="Cambria Math"/>
                          <w:sz w:val="21"/>
                          <w:szCs w:val="21"/>
                        </w:rPr>
                      </m:ctrlPr>
                    </m:dPr>
                    <m:e>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m:t>
                          </m:r>
                        </m:sub>
                      </m:sSub>
                    </m:e>
                  </m:d>
                </m:e>
                <m:sup>
                  <m:r>
                    <w:rPr>
                      <w:rFonts w:ascii="Cambria Math" w:hAnsi="Cambria Math"/>
                      <w:sz w:val="21"/>
                      <w:szCs w:val="21"/>
                    </w:rPr>
                    <m:t>n</m:t>
                  </m:r>
                </m:sup>
              </m:sSup>
            </m:den>
          </m:f>
          <m:r>
            <w:rPr>
              <w:rFonts w:ascii="Cambria Math" w:hAnsi="Cambria Math"/>
              <w:sz w:val="21"/>
              <w:szCs w:val="21"/>
            </w:rPr>
            <m:t>,  </m:t>
          </m:r>
          <m:d>
            <m:dPr>
              <m:ctrlPr>
                <w:rPr>
                  <w:rFonts w:ascii="Cambria Math" w:hAnsi="Cambria Math"/>
                  <w:sz w:val="21"/>
                  <w:szCs w:val="21"/>
                </w:rPr>
              </m:ctrlPr>
            </m:dPr>
            <m:e>
              <m:r>
                <w:rPr>
                  <w:rFonts w:ascii="Cambria Math" w:hAnsi="Cambria Math"/>
                  <w:sz w:val="21"/>
                  <w:szCs w:val="21"/>
                </w:rPr>
                <m:t>4</m:t>
              </m:r>
            </m:e>
          </m:d>
        </m:oMath>
      </m:oMathPara>
    </w:p>
    <w:p w:rsidR="005B279D" w:rsidRPr="002844B1" w:rsidRDefault="00000000" w:rsidP="00A92406">
      <w:pPr>
        <w:pStyle w:val="FirstParagraph"/>
        <w:jc w:val="both"/>
        <w:rPr>
          <w:sz w:val="21"/>
          <w:szCs w:val="21"/>
        </w:rPr>
      </w:pPr>
      <w:r w:rsidRPr="002844B1">
        <w:rPr>
          <w:sz w:val="21"/>
          <w:szCs w:val="21"/>
        </w:rPr>
        <w:t>avec :</w:t>
      </w:r>
    </w:p>
    <w:p w:rsidR="005B279D" w:rsidRPr="002844B1" w:rsidRDefault="00000000" w:rsidP="00A92406">
      <w:pPr>
        <w:numPr>
          <w:ilvl w:val="0"/>
          <w:numId w:val="15"/>
        </w:numPr>
        <w:jc w:val="both"/>
        <w:rPr>
          <w:sz w:val="21"/>
          <w:szCs w:val="21"/>
        </w:rPr>
      </w:pPr>
      <m:oMath>
        <m:r>
          <w:rPr>
            <w:rFonts w:ascii="Cambria Math" w:hAnsi="Cambria Math"/>
            <w:sz w:val="21"/>
            <w:szCs w:val="21"/>
          </w:rPr>
          <m:t>P</m:t>
        </m:r>
      </m:oMath>
      <w:r w:rsidRPr="002844B1">
        <w:rPr>
          <w:sz w:val="21"/>
          <w:szCs w:val="21"/>
        </w:rPr>
        <w:t xml:space="preserve"> : Prix d’émission du bon de trésor,</w:t>
      </w:r>
    </w:p>
    <w:p w:rsidR="005B279D" w:rsidRPr="002844B1" w:rsidRDefault="00000000" w:rsidP="00A92406">
      <w:pPr>
        <w:numPr>
          <w:ilvl w:val="0"/>
          <w:numId w:val="15"/>
        </w:numPr>
        <w:jc w:val="both"/>
        <w:rPr>
          <w:sz w:val="21"/>
          <w:szCs w:val="21"/>
        </w:rPr>
      </w:pPr>
      <m:oMath>
        <m:r>
          <w:rPr>
            <w:rFonts w:ascii="Cambria Math" w:hAnsi="Cambria Math"/>
            <w:sz w:val="21"/>
            <w:szCs w:val="21"/>
          </w:rPr>
          <m:t>N</m:t>
        </m:r>
      </m:oMath>
      <w:r w:rsidRPr="002844B1">
        <w:rPr>
          <w:sz w:val="21"/>
          <w:szCs w:val="21"/>
        </w:rPr>
        <w:t xml:space="preserve"> : Valeur Nominale du bon de trésor.</w:t>
      </w:r>
    </w:p>
    <w:p w:rsidR="005B279D" w:rsidRPr="002844B1" w:rsidRDefault="00000000" w:rsidP="00A92406">
      <w:pPr>
        <w:pStyle w:val="FirstParagraph"/>
        <w:jc w:val="both"/>
        <w:rPr>
          <w:sz w:val="21"/>
          <w:szCs w:val="21"/>
        </w:rPr>
      </w:pPr>
      <w:r w:rsidRPr="002844B1">
        <w:rPr>
          <w:sz w:val="21"/>
          <w:szCs w:val="21"/>
        </w:rPr>
        <w:t xml:space="preserve">Et puisque nous avons supposé que les obligations des Bons du trésor </w:t>
      </w:r>
      <w:r w:rsidR="002844B1" w:rsidRPr="002844B1">
        <w:rPr>
          <w:sz w:val="21"/>
          <w:szCs w:val="21"/>
        </w:rPr>
        <w:t>soient</w:t>
      </w:r>
      <w:r w:rsidRPr="002844B1">
        <w:rPr>
          <w:sz w:val="21"/>
          <w:szCs w:val="21"/>
        </w:rPr>
        <w:t xml:space="preserve"> émises au pair, c’est-à-dire que le prix d’émission des obligations des bons du trésor et leur valeur nominale sont égaux </w:t>
      </w:r>
      <m:oMath>
        <m:d>
          <m:dPr>
            <m:ctrlPr>
              <w:rPr>
                <w:rFonts w:ascii="Cambria Math" w:hAnsi="Cambria Math"/>
                <w:sz w:val="21"/>
                <w:szCs w:val="21"/>
              </w:rPr>
            </m:ctrlPr>
          </m:dPr>
          <m:e>
            <m:r>
              <w:rPr>
                <w:rFonts w:ascii="Cambria Math" w:hAnsi="Cambria Math"/>
                <w:sz w:val="21"/>
                <w:szCs w:val="21"/>
              </w:rPr>
              <m:t>P=N</m:t>
            </m:r>
          </m:e>
        </m:d>
      </m:oMath>
      <w:r w:rsidRPr="002844B1">
        <w:rPr>
          <w:sz w:val="21"/>
          <w:szCs w:val="21"/>
        </w:rPr>
        <w:t>, on en déduit l’expression:</w:t>
      </w:r>
    </w:p>
    <w:p w:rsidR="005B279D" w:rsidRPr="002844B1" w:rsidRDefault="00000000" w:rsidP="00A92406">
      <w:pPr>
        <w:pStyle w:val="BodyText"/>
        <w:jc w:val="both"/>
        <w:rPr>
          <w:sz w:val="21"/>
          <w:szCs w:val="21"/>
        </w:rPr>
      </w:pPr>
      <m:oMathPara>
        <m:oMathParaPr>
          <m:jc m:val="center"/>
        </m:oMathParaPr>
        <m:oMath>
          <m:r>
            <w:rPr>
              <w:rFonts w:ascii="Cambria Math" w:hAnsi="Cambria Math"/>
              <w:sz w:val="21"/>
              <w:szCs w:val="21"/>
            </w:rPr>
            <m:t>1=</m:t>
          </m:r>
          <m:f>
            <m:fPr>
              <m:ctrlPr>
                <w:rPr>
                  <w:rFonts w:ascii="Cambria Math" w:hAnsi="Cambria Math"/>
                  <w:sz w:val="21"/>
                  <w:szCs w:val="21"/>
                </w:rPr>
              </m:ctrlPr>
            </m:fPr>
            <m:num>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n</m:t>
                  </m:r>
                </m:sub>
              </m:sSub>
            </m:num>
            <m:den>
              <m:d>
                <m:dPr>
                  <m:ctrlPr>
                    <w:rPr>
                      <w:rFonts w:ascii="Cambria Math" w:hAnsi="Cambria Math"/>
                      <w:sz w:val="21"/>
                      <w:szCs w:val="21"/>
                    </w:rPr>
                  </m:ctrlPr>
                </m:dPr>
                <m:e>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1</m:t>
                      </m:r>
                    </m:sub>
                  </m:sSub>
                </m:e>
              </m:d>
            </m:den>
          </m:f>
          <m:r>
            <w:rPr>
              <w:rFonts w:ascii="Cambria Math" w:hAnsi="Cambria Math"/>
              <w:sz w:val="21"/>
              <w:szCs w:val="21"/>
            </w:rPr>
            <m:t>+</m:t>
          </m:r>
          <m:f>
            <m:fPr>
              <m:ctrlPr>
                <w:rPr>
                  <w:rFonts w:ascii="Cambria Math" w:hAnsi="Cambria Math"/>
                  <w:sz w:val="21"/>
                  <w:szCs w:val="21"/>
                </w:rPr>
              </m:ctrlPr>
            </m:fPr>
            <m:num>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n</m:t>
                  </m:r>
                </m:sub>
              </m:sSub>
            </m:num>
            <m:den>
              <m:sSup>
                <m:sSupPr>
                  <m:ctrlPr>
                    <w:rPr>
                      <w:rFonts w:ascii="Cambria Math" w:hAnsi="Cambria Math"/>
                      <w:sz w:val="21"/>
                      <w:szCs w:val="21"/>
                    </w:rPr>
                  </m:ctrlPr>
                </m:sSupPr>
                <m:e>
                  <m:d>
                    <m:dPr>
                      <m:ctrlPr>
                        <w:rPr>
                          <w:rFonts w:ascii="Cambria Math" w:hAnsi="Cambria Math"/>
                          <w:sz w:val="21"/>
                          <w:szCs w:val="21"/>
                        </w:rPr>
                      </m:ctrlPr>
                    </m:dPr>
                    <m:e>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2</m:t>
                          </m:r>
                        </m:sub>
                      </m:sSub>
                    </m:e>
                  </m:d>
                </m:e>
                <m:sup>
                  <m:r>
                    <w:rPr>
                      <w:rFonts w:ascii="Cambria Math" w:hAnsi="Cambria Math"/>
                      <w:sz w:val="21"/>
                      <w:szCs w:val="21"/>
                    </w:rPr>
                    <m:t>2</m:t>
                  </m:r>
                </m:sup>
              </m:sSup>
            </m:den>
          </m:f>
          <m: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n</m:t>
                  </m:r>
                </m:sub>
              </m:sSub>
            </m:num>
            <m:den>
              <m:sSup>
                <m:sSupPr>
                  <m:ctrlPr>
                    <w:rPr>
                      <w:rFonts w:ascii="Cambria Math" w:hAnsi="Cambria Math"/>
                      <w:sz w:val="21"/>
                      <w:szCs w:val="21"/>
                    </w:rPr>
                  </m:ctrlPr>
                </m:sSupPr>
                <m:e>
                  <m:d>
                    <m:dPr>
                      <m:ctrlPr>
                        <w:rPr>
                          <w:rFonts w:ascii="Cambria Math" w:hAnsi="Cambria Math"/>
                          <w:sz w:val="21"/>
                          <w:szCs w:val="21"/>
                        </w:rPr>
                      </m:ctrlPr>
                    </m:dPr>
                    <m:e>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m:t>
                          </m:r>
                        </m:sub>
                      </m:sSub>
                    </m:e>
                  </m:d>
                </m:e>
                <m:sup>
                  <m:r>
                    <w:rPr>
                      <w:rFonts w:ascii="Cambria Math" w:hAnsi="Cambria Math"/>
                      <w:sz w:val="21"/>
                      <w:szCs w:val="21"/>
                    </w:rPr>
                    <m:t>n</m:t>
                  </m:r>
                </m:sup>
              </m:sSup>
            </m:den>
          </m:f>
        </m:oMath>
      </m:oMathPara>
    </w:p>
    <w:p w:rsidR="005B279D" w:rsidRPr="002844B1" w:rsidRDefault="00000000" w:rsidP="00A92406">
      <w:pPr>
        <w:pStyle w:val="FirstParagraph"/>
        <w:jc w:val="both"/>
        <w:rPr>
          <w:sz w:val="21"/>
          <w:szCs w:val="21"/>
        </w:rPr>
      </w:pPr>
      <m:oMathPara>
        <m:oMathParaPr>
          <m:jc m:val="center"/>
        </m:oMathParaPr>
        <m:oMath>
          <m: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n</m:t>
                  </m:r>
                </m:sub>
              </m:sSub>
            </m:num>
            <m:den>
              <m:sSup>
                <m:sSupPr>
                  <m:ctrlPr>
                    <w:rPr>
                      <w:rFonts w:ascii="Cambria Math" w:hAnsi="Cambria Math"/>
                      <w:sz w:val="21"/>
                      <w:szCs w:val="21"/>
                    </w:rPr>
                  </m:ctrlPr>
                </m:sSupPr>
                <m:e>
                  <m:d>
                    <m:dPr>
                      <m:ctrlPr>
                        <w:rPr>
                          <w:rFonts w:ascii="Cambria Math" w:hAnsi="Cambria Math"/>
                          <w:sz w:val="21"/>
                          <w:szCs w:val="21"/>
                        </w:rPr>
                      </m:ctrlPr>
                    </m:dPr>
                    <m:e>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m:t>
                          </m:r>
                        </m:sub>
                      </m:sSub>
                    </m:e>
                  </m:d>
                </m:e>
                <m:sup>
                  <m:r>
                    <w:rPr>
                      <w:rFonts w:ascii="Cambria Math" w:hAnsi="Cambria Math"/>
                      <w:sz w:val="21"/>
                      <w:szCs w:val="21"/>
                    </w:rPr>
                    <m:t>n</m:t>
                  </m:r>
                </m:sup>
              </m:sSup>
            </m:den>
          </m:f>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n</m:t>
              </m:r>
            </m:sub>
          </m:sSub>
          <m:r>
            <w:rPr>
              <w:rFonts w:ascii="Cambria Math" w:hAnsi="Cambria Math"/>
              <w:sz w:val="21"/>
              <w:szCs w:val="21"/>
            </w:rPr>
            <m:t>*</m:t>
          </m:r>
          <m:nary>
            <m:naryPr>
              <m:chr m:val="∑"/>
              <m:limLoc m:val="undOvr"/>
              <m:ctrlPr>
                <w:rPr>
                  <w:rFonts w:ascii="Cambria Math" w:hAnsi="Cambria Math"/>
                  <w:sz w:val="21"/>
                  <w:szCs w:val="21"/>
                </w:rPr>
              </m:ctrlPr>
            </m:naryPr>
            <m:sub>
              <m:r>
                <w:rPr>
                  <w:rFonts w:ascii="Cambria Math" w:hAnsi="Cambria Math"/>
                  <w:sz w:val="21"/>
                  <w:szCs w:val="21"/>
                </w:rPr>
                <m:t>i=1</m:t>
              </m:r>
            </m:sub>
            <m:sup>
              <m:r>
                <w:rPr>
                  <w:rFonts w:ascii="Cambria Math" w:hAnsi="Cambria Math"/>
                  <w:sz w:val="21"/>
                  <w:szCs w:val="21"/>
                </w:rPr>
                <m:t>n-1</m:t>
              </m:r>
            </m:sup>
            <m:e>
              <m:f>
                <m:fPr>
                  <m:ctrlPr>
                    <w:rPr>
                      <w:rFonts w:ascii="Cambria Math" w:hAnsi="Cambria Math"/>
                      <w:sz w:val="21"/>
                      <w:szCs w:val="21"/>
                    </w:rPr>
                  </m:ctrlPr>
                </m:fPr>
                <m:num>
                  <m:r>
                    <w:rPr>
                      <w:rFonts w:ascii="Cambria Math" w:hAnsi="Cambria Math"/>
                      <w:sz w:val="21"/>
                      <w:szCs w:val="21"/>
                    </w:rPr>
                    <m:t>1</m:t>
                  </m:r>
                </m:num>
                <m:den>
                  <m:sSup>
                    <m:sSupPr>
                      <m:ctrlPr>
                        <w:rPr>
                          <w:rFonts w:ascii="Cambria Math" w:hAnsi="Cambria Math"/>
                          <w:sz w:val="21"/>
                          <w:szCs w:val="21"/>
                        </w:rPr>
                      </m:ctrlPr>
                    </m:sSupPr>
                    <m:e>
                      <m:d>
                        <m:dPr>
                          <m:ctrlPr>
                            <w:rPr>
                              <w:rFonts w:ascii="Cambria Math" w:hAnsi="Cambria Math"/>
                              <w:sz w:val="21"/>
                              <w:szCs w:val="21"/>
                            </w:rPr>
                          </m:ctrlPr>
                        </m:dPr>
                        <m:e>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e>
                    <m:sup>
                      <m:r>
                        <w:rPr>
                          <w:rFonts w:ascii="Cambria Math" w:hAnsi="Cambria Math"/>
                          <w:sz w:val="21"/>
                          <w:szCs w:val="21"/>
                        </w:rPr>
                        <m:t>i</m:t>
                      </m:r>
                    </m:sup>
                  </m:sSup>
                </m:den>
              </m:f>
            </m:e>
          </m:nary>
        </m:oMath>
      </m:oMathPara>
    </w:p>
    <w:p w:rsidR="005B279D" w:rsidRPr="002844B1" w:rsidRDefault="00000000" w:rsidP="00A92406">
      <w:pPr>
        <w:pStyle w:val="FirstParagraph"/>
        <w:jc w:val="both"/>
        <w:rPr>
          <w:sz w:val="21"/>
          <w:szCs w:val="21"/>
        </w:rPr>
      </w:pPr>
      <m:oMathPara>
        <m:oMathParaPr>
          <m:jc m:val="center"/>
        </m:oMathParaPr>
        <m:oMath>
          <m:r>
            <w:rPr>
              <w:rFonts w:ascii="Cambria Math" w:hAnsi="Cambria Math"/>
              <w:sz w:val="21"/>
              <w:szCs w:val="21"/>
            </w:rPr>
            <m:t>⟹</m:t>
          </m:r>
          <m:sSup>
            <m:sSupPr>
              <m:ctrlPr>
                <w:rPr>
                  <w:rFonts w:ascii="Cambria Math" w:hAnsi="Cambria Math"/>
                  <w:sz w:val="21"/>
                  <w:szCs w:val="21"/>
                </w:rPr>
              </m:ctrlPr>
            </m:sSupPr>
            <m:e>
              <m:d>
                <m:dPr>
                  <m:ctrlPr>
                    <w:rPr>
                      <w:rFonts w:ascii="Cambria Math" w:hAnsi="Cambria Math"/>
                      <w:sz w:val="21"/>
                      <w:szCs w:val="21"/>
                    </w:rPr>
                  </m:ctrlPr>
                </m:dPr>
                <m:e>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m:t>
                      </m:r>
                    </m:sub>
                  </m:sSub>
                </m:e>
              </m:d>
            </m:e>
            <m:sup>
              <m:r>
                <w:rPr>
                  <w:rFonts w:ascii="Cambria Math" w:hAnsi="Cambria Math"/>
                  <w:sz w:val="21"/>
                  <w:szCs w:val="21"/>
                </w:rPr>
                <m:t>n</m:t>
              </m:r>
            </m:sup>
          </m:sSup>
          <m: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n</m:t>
                  </m:r>
                </m:sub>
              </m:sSub>
            </m:num>
            <m:den>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n</m:t>
                  </m:r>
                </m:sub>
              </m:sSub>
              <m:r>
                <w:rPr>
                  <w:rFonts w:ascii="Cambria Math" w:hAnsi="Cambria Math"/>
                  <w:sz w:val="21"/>
                  <w:szCs w:val="21"/>
                </w:rPr>
                <m:t>*</m:t>
              </m:r>
              <m:nary>
                <m:naryPr>
                  <m:chr m:val="∑"/>
                  <m:limLoc m:val="undOvr"/>
                  <m:ctrlPr>
                    <w:rPr>
                      <w:rFonts w:ascii="Cambria Math" w:hAnsi="Cambria Math"/>
                      <w:sz w:val="21"/>
                      <w:szCs w:val="21"/>
                    </w:rPr>
                  </m:ctrlPr>
                </m:naryPr>
                <m:sub>
                  <m:r>
                    <w:rPr>
                      <w:rFonts w:ascii="Cambria Math" w:hAnsi="Cambria Math"/>
                      <w:sz w:val="21"/>
                      <w:szCs w:val="21"/>
                    </w:rPr>
                    <m:t>i=1</m:t>
                  </m:r>
                </m:sub>
                <m:sup>
                  <m:r>
                    <w:rPr>
                      <w:rFonts w:ascii="Cambria Math" w:hAnsi="Cambria Math"/>
                      <w:sz w:val="21"/>
                      <w:szCs w:val="21"/>
                    </w:rPr>
                    <m:t>n-1</m:t>
                  </m:r>
                </m:sup>
                <m:e>
                  <m:f>
                    <m:fPr>
                      <m:ctrlPr>
                        <w:rPr>
                          <w:rFonts w:ascii="Cambria Math" w:hAnsi="Cambria Math"/>
                          <w:sz w:val="21"/>
                          <w:szCs w:val="21"/>
                        </w:rPr>
                      </m:ctrlPr>
                    </m:fPr>
                    <m:num>
                      <m:r>
                        <w:rPr>
                          <w:rFonts w:ascii="Cambria Math" w:hAnsi="Cambria Math"/>
                          <w:sz w:val="21"/>
                          <w:szCs w:val="21"/>
                        </w:rPr>
                        <m:t>1</m:t>
                      </m:r>
                    </m:num>
                    <m:den>
                      <m:sSup>
                        <m:sSupPr>
                          <m:ctrlPr>
                            <w:rPr>
                              <w:rFonts w:ascii="Cambria Math" w:hAnsi="Cambria Math"/>
                              <w:sz w:val="21"/>
                              <w:szCs w:val="21"/>
                            </w:rPr>
                          </m:ctrlPr>
                        </m:sSupPr>
                        <m:e>
                          <m:d>
                            <m:dPr>
                              <m:ctrlPr>
                                <w:rPr>
                                  <w:rFonts w:ascii="Cambria Math" w:hAnsi="Cambria Math"/>
                                  <w:sz w:val="21"/>
                                  <w:szCs w:val="21"/>
                                </w:rPr>
                              </m:ctrlPr>
                            </m:dPr>
                            <m:e>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e>
                        <m:sup>
                          <m:r>
                            <w:rPr>
                              <w:rFonts w:ascii="Cambria Math" w:hAnsi="Cambria Math"/>
                              <w:sz w:val="21"/>
                              <w:szCs w:val="21"/>
                            </w:rPr>
                            <m:t>i</m:t>
                          </m:r>
                        </m:sup>
                      </m:sSup>
                    </m:den>
                  </m:f>
                </m:e>
              </m:nary>
            </m:den>
          </m:f>
          <m:r>
            <w:rPr>
              <w:rFonts w:ascii="Cambria Math" w:hAnsi="Cambria Math"/>
              <w:sz w:val="21"/>
              <w:szCs w:val="21"/>
            </w:rPr>
            <m:t> .</m:t>
          </m:r>
        </m:oMath>
      </m:oMathPara>
    </w:p>
    <w:p w:rsidR="005B279D" w:rsidRPr="002844B1" w:rsidRDefault="00000000" w:rsidP="00A92406">
      <w:pPr>
        <w:pStyle w:val="FirstParagraph"/>
        <w:jc w:val="both"/>
        <w:rPr>
          <w:sz w:val="21"/>
          <w:szCs w:val="21"/>
        </w:rPr>
      </w:pPr>
      <w:r w:rsidRPr="002844B1">
        <w:rPr>
          <w:sz w:val="21"/>
          <w:szCs w:val="21"/>
        </w:rPr>
        <w:t>On en arrive à la conclusion :</w:t>
      </w:r>
    </w:p>
    <w:p w:rsidR="005B279D" w:rsidRPr="002844B1" w:rsidRDefault="00000000" w:rsidP="00A92406">
      <w:pPr>
        <w:pStyle w:val="BodyText"/>
        <w:jc w:val="both"/>
        <w:rPr>
          <w:sz w:val="21"/>
          <w:szCs w:val="21"/>
        </w:rPr>
      </w:pPr>
      <m:oMathPara>
        <m:oMathParaPr>
          <m:jc m:val="center"/>
        </m:oMathParaP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m:t>
              </m:r>
            </m:sub>
          </m:sSub>
          <m:r>
            <w:rPr>
              <w:rFonts w:ascii="Cambria Math" w:hAnsi="Cambria Math"/>
              <w:sz w:val="21"/>
              <w:szCs w:val="21"/>
            </w:rPr>
            <m:t>=</m:t>
          </m:r>
          <m:rad>
            <m:radPr>
              <m:ctrlPr>
                <w:rPr>
                  <w:rFonts w:ascii="Cambria Math" w:hAnsi="Cambria Math"/>
                  <w:sz w:val="21"/>
                  <w:szCs w:val="21"/>
                </w:rPr>
              </m:ctrlPr>
            </m:radPr>
            <m:deg>
              <m:r>
                <w:rPr>
                  <w:rFonts w:ascii="Cambria Math" w:hAnsi="Cambria Math"/>
                  <w:sz w:val="21"/>
                  <w:szCs w:val="21"/>
                </w:rPr>
                <m:t>n</m:t>
              </m:r>
            </m:deg>
            <m:e>
              <m:f>
                <m:fPr>
                  <m:ctrlPr>
                    <w:rPr>
                      <w:rFonts w:ascii="Cambria Math" w:hAnsi="Cambria Math"/>
                      <w:sz w:val="21"/>
                      <w:szCs w:val="21"/>
                    </w:rPr>
                  </m:ctrlPr>
                </m:fPr>
                <m:num>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n</m:t>
                      </m:r>
                    </m:sub>
                  </m:sSub>
                </m:num>
                <m:den>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n</m:t>
                      </m:r>
                    </m:sub>
                  </m:sSub>
                  <m:r>
                    <w:rPr>
                      <w:rFonts w:ascii="Cambria Math" w:hAnsi="Cambria Math"/>
                      <w:sz w:val="21"/>
                      <w:szCs w:val="21"/>
                    </w:rPr>
                    <m:t>*</m:t>
                  </m:r>
                  <m:nary>
                    <m:naryPr>
                      <m:chr m:val="∑"/>
                      <m:limLoc m:val="undOvr"/>
                      <m:ctrlPr>
                        <w:rPr>
                          <w:rFonts w:ascii="Cambria Math" w:hAnsi="Cambria Math"/>
                          <w:sz w:val="21"/>
                          <w:szCs w:val="21"/>
                        </w:rPr>
                      </m:ctrlPr>
                    </m:naryPr>
                    <m:sub>
                      <m:r>
                        <w:rPr>
                          <w:rFonts w:ascii="Cambria Math" w:hAnsi="Cambria Math"/>
                          <w:sz w:val="21"/>
                          <w:szCs w:val="21"/>
                        </w:rPr>
                        <m:t>i=1</m:t>
                      </m:r>
                    </m:sub>
                    <m:sup>
                      <m:r>
                        <w:rPr>
                          <w:rFonts w:ascii="Cambria Math" w:hAnsi="Cambria Math"/>
                          <w:sz w:val="21"/>
                          <w:szCs w:val="21"/>
                        </w:rPr>
                        <m:t>n-1</m:t>
                      </m:r>
                    </m:sup>
                    <m:e>
                      <m:f>
                        <m:fPr>
                          <m:ctrlPr>
                            <w:rPr>
                              <w:rFonts w:ascii="Cambria Math" w:hAnsi="Cambria Math"/>
                              <w:sz w:val="21"/>
                              <w:szCs w:val="21"/>
                            </w:rPr>
                          </m:ctrlPr>
                        </m:fPr>
                        <m:num>
                          <m:r>
                            <w:rPr>
                              <w:rFonts w:ascii="Cambria Math" w:hAnsi="Cambria Math"/>
                              <w:sz w:val="21"/>
                              <w:szCs w:val="21"/>
                            </w:rPr>
                            <m:t>1</m:t>
                          </m:r>
                        </m:num>
                        <m:den>
                          <m:sSup>
                            <m:sSupPr>
                              <m:ctrlPr>
                                <w:rPr>
                                  <w:rFonts w:ascii="Cambria Math" w:hAnsi="Cambria Math"/>
                                  <w:sz w:val="21"/>
                                  <w:szCs w:val="21"/>
                                </w:rPr>
                              </m:ctrlPr>
                            </m:sSupPr>
                            <m:e>
                              <m:d>
                                <m:dPr>
                                  <m:ctrlPr>
                                    <w:rPr>
                                      <w:rFonts w:ascii="Cambria Math" w:hAnsi="Cambria Math"/>
                                      <w:sz w:val="21"/>
                                      <w:szCs w:val="21"/>
                                    </w:rPr>
                                  </m:ctrlPr>
                                </m:dPr>
                                <m:e>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e>
                            <m:sup>
                              <m:r>
                                <w:rPr>
                                  <w:rFonts w:ascii="Cambria Math" w:hAnsi="Cambria Math"/>
                                  <w:sz w:val="21"/>
                                  <w:szCs w:val="21"/>
                                </w:rPr>
                                <m:t>i</m:t>
                              </m:r>
                            </m:sup>
                          </m:sSup>
                        </m:den>
                      </m:f>
                    </m:e>
                  </m:nary>
                </m:den>
              </m:f>
            </m:e>
          </m:rad>
          <m:r>
            <w:rPr>
              <w:rFonts w:ascii="Cambria Math" w:hAnsi="Cambria Math"/>
              <w:sz w:val="21"/>
              <w:szCs w:val="21"/>
            </w:rPr>
            <m:t>-1</m:t>
          </m:r>
        </m:oMath>
      </m:oMathPara>
    </w:p>
    <w:p w:rsidR="005B279D" w:rsidRPr="002844B1" w:rsidRDefault="005B279D">
      <w:pPr>
        <w:pStyle w:val="TableCaption"/>
      </w:pPr>
      <w:bookmarkStart w:id="29" w:name="tbl-taux_zc"/>
    </w:p>
    <w:p w:rsidR="00A92406" w:rsidRPr="002844B1" w:rsidRDefault="00A92406" w:rsidP="00A92406">
      <w:pPr>
        <w:pStyle w:val="Caption"/>
        <w:keepNext/>
      </w:pPr>
      <w:r w:rsidRPr="002844B1">
        <w:t xml:space="preserve">Table </w:t>
      </w:r>
      <w:r w:rsidRPr="002844B1">
        <w:fldChar w:fldCharType="begin"/>
      </w:r>
      <w:r w:rsidRPr="002844B1">
        <w:instrText xml:space="preserve"> SEQ Table \* ARABIC </w:instrText>
      </w:r>
      <w:r w:rsidRPr="002844B1">
        <w:fldChar w:fldCharType="separate"/>
      </w:r>
      <w:r w:rsidR="008E2C01" w:rsidRPr="002844B1">
        <w:rPr>
          <w:noProof/>
        </w:rPr>
        <w:t>5</w:t>
      </w:r>
      <w:r w:rsidRPr="002844B1">
        <w:fldChar w:fldCharType="end"/>
      </w:r>
      <w:r w:rsidRPr="002844B1">
        <w:t>: Transformation du taux actuariel en taux ZC avec la méthode Bootstrap</w:t>
      </w:r>
    </w:p>
    <w:tbl>
      <w:tblPr>
        <w:tblStyle w:val="GridTable4-Accent2"/>
        <w:tblW w:w="0" w:type="auto"/>
        <w:jc w:val="center"/>
        <w:tblLook w:val="0020" w:firstRow="1" w:lastRow="0" w:firstColumn="0" w:lastColumn="0" w:noHBand="0" w:noVBand="0"/>
      </w:tblPr>
      <w:tblGrid>
        <w:gridCol w:w="1008"/>
        <w:gridCol w:w="2198"/>
      </w:tblGrid>
      <w:tr w:rsidR="00A92406" w:rsidRPr="002844B1"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Maturité</w:t>
            </w:r>
          </w:p>
        </w:tc>
        <w:tc>
          <w:tcPr>
            <w:tcW w:w="0" w:type="auto"/>
          </w:tcPr>
          <w:p w:rsidR="00A92406" w:rsidRPr="002844B1" w:rsidRDefault="00A92406">
            <w:pPr>
              <w:pStyle w:val="Compact"/>
              <w:cnfStyle w:val="100000000000" w:firstRow="1" w:lastRow="0" w:firstColumn="0" w:lastColumn="0" w:oddVBand="0" w:evenVBand="0" w:oddHBand="0" w:evenHBand="0" w:firstRowFirstColumn="0" w:firstRowLastColumn="0" w:lastRowFirstColumn="0" w:lastRowLastColumn="0"/>
            </w:pPr>
            <w:r w:rsidRPr="002844B1">
              <w:t>Taux zéro coupon (%)</w:t>
            </w:r>
          </w:p>
        </w:tc>
      </w:tr>
      <w:tr w:rsidR="00A92406" w:rsidRPr="002844B1"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1</w:t>
            </w:r>
          </w:p>
        </w:tc>
        <w:tc>
          <w:tcPr>
            <w:tcW w:w="0" w:type="auto"/>
          </w:tcPr>
          <w:p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3,017%</w:t>
            </w:r>
          </w:p>
        </w:tc>
      </w:tr>
      <w:tr w:rsidR="00A92406" w:rsidRPr="002844B1"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2</w:t>
            </w:r>
          </w:p>
        </w:tc>
        <w:tc>
          <w:tcPr>
            <w:tcW w:w="0" w:type="auto"/>
          </w:tcPr>
          <w:p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3,034%</w:t>
            </w:r>
          </w:p>
        </w:tc>
      </w:tr>
      <w:tr w:rsidR="00A92406" w:rsidRPr="002844B1"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3</w:t>
            </w:r>
          </w:p>
        </w:tc>
        <w:tc>
          <w:tcPr>
            <w:tcW w:w="0" w:type="auto"/>
          </w:tcPr>
          <w:p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2,966%</w:t>
            </w:r>
          </w:p>
        </w:tc>
      </w:tr>
      <w:tr w:rsidR="00A92406" w:rsidRPr="002844B1"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4</w:t>
            </w:r>
          </w:p>
        </w:tc>
        <w:tc>
          <w:tcPr>
            <w:tcW w:w="0" w:type="auto"/>
          </w:tcPr>
          <w:p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2,952%</w:t>
            </w:r>
          </w:p>
        </w:tc>
      </w:tr>
      <w:tr w:rsidR="00A92406" w:rsidRPr="002844B1"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5</w:t>
            </w:r>
          </w:p>
        </w:tc>
        <w:tc>
          <w:tcPr>
            <w:tcW w:w="0" w:type="auto"/>
          </w:tcPr>
          <w:p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2,975%</w:t>
            </w:r>
          </w:p>
        </w:tc>
      </w:tr>
      <w:tr w:rsidR="00A92406" w:rsidRPr="002844B1"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6</w:t>
            </w:r>
          </w:p>
        </w:tc>
        <w:tc>
          <w:tcPr>
            <w:tcW w:w="0" w:type="auto"/>
          </w:tcPr>
          <w:p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2,996%</w:t>
            </w:r>
          </w:p>
        </w:tc>
      </w:tr>
      <w:tr w:rsidR="00A92406" w:rsidRPr="002844B1"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7</w:t>
            </w:r>
          </w:p>
        </w:tc>
        <w:tc>
          <w:tcPr>
            <w:tcW w:w="0" w:type="auto"/>
          </w:tcPr>
          <w:p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3,041%</w:t>
            </w:r>
          </w:p>
        </w:tc>
      </w:tr>
      <w:tr w:rsidR="00A92406" w:rsidRPr="002844B1"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8</w:t>
            </w:r>
          </w:p>
        </w:tc>
        <w:tc>
          <w:tcPr>
            <w:tcW w:w="0" w:type="auto"/>
          </w:tcPr>
          <w:p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3,104%</w:t>
            </w:r>
          </w:p>
        </w:tc>
      </w:tr>
      <w:tr w:rsidR="00A92406" w:rsidRPr="002844B1"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9</w:t>
            </w:r>
          </w:p>
        </w:tc>
        <w:tc>
          <w:tcPr>
            <w:tcW w:w="0" w:type="auto"/>
          </w:tcPr>
          <w:p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3,16%</w:t>
            </w:r>
          </w:p>
        </w:tc>
      </w:tr>
      <w:tr w:rsidR="00A92406" w:rsidRPr="002844B1"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10</w:t>
            </w:r>
          </w:p>
        </w:tc>
        <w:tc>
          <w:tcPr>
            <w:tcW w:w="0" w:type="auto"/>
          </w:tcPr>
          <w:p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3,205%</w:t>
            </w:r>
          </w:p>
        </w:tc>
      </w:tr>
      <w:tr w:rsidR="00A92406" w:rsidRPr="002844B1"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11</w:t>
            </w:r>
          </w:p>
        </w:tc>
        <w:tc>
          <w:tcPr>
            <w:tcW w:w="0" w:type="auto"/>
          </w:tcPr>
          <w:p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3,284%</w:t>
            </w:r>
          </w:p>
        </w:tc>
      </w:tr>
      <w:tr w:rsidR="00A92406" w:rsidRPr="002844B1"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12</w:t>
            </w:r>
          </w:p>
        </w:tc>
        <w:tc>
          <w:tcPr>
            <w:tcW w:w="0" w:type="auto"/>
          </w:tcPr>
          <w:p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3,374%</w:t>
            </w:r>
          </w:p>
        </w:tc>
      </w:tr>
      <w:tr w:rsidR="00A92406" w:rsidRPr="002844B1"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13</w:t>
            </w:r>
          </w:p>
        </w:tc>
        <w:tc>
          <w:tcPr>
            <w:tcW w:w="0" w:type="auto"/>
          </w:tcPr>
          <w:p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3,34%</w:t>
            </w:r>
          </w:p>
        </w:tc>
      </w:tr>
      <w:tr w:rsidR="00A92406" w:rsidRPr="002844B1"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14</w:t>
            </w:r>
          </w:p>
        </w:tc>
        <w:tc>
          <w:tcPr>
            <w:tcW w:w="0" w:type="auto"/>
          </w:tcPr>
          <w:p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3,434%</w:t>
            </w:r>
          </w:p>
        </w:tc>
      </w:tr>
      <w:tr w:rsidR="00A92406" w:rsidRPr="002844B1"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15</w:t>
            </w:r>
          </w:p>
        </w:tc>
        <w:tc>
          <w:tcPr>
            <w:tcW w:w="0" w:type="auto"/>
          </w:tcPr>
          <w:p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3,468%</w:t>
            </w:r>
          </w:p>
        </w:tc>
      </w:tr>
      <w:tr w:rsidR="00A92406" w:rsidRPr="002844B1"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16</w:t>
            </w:r>
          </w:p>
        </w:tc>
        <w:tc>
          <w:tcPr>
            <w:tcW w:w="0" w:type="auto"/>
          </w:tcPr>
          <w:p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3,504%</w:t>
            </w:r>
          </w:p>
        </w:tc>
      </w:tr>
      <w:tr w:rsidR="00A92406" w:rsidRPr="002844B1"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17</w:t>
            </w:r>
          </w:p>
        </w:tc>
        <w:tc>
          <w:tcPr>
            <w:tcW w:w="0" w:type="auto"/>
          </w:tcPr>
          <w:p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3,544%</w:t>
            </w:r>
          </w:p>
        </w:tc>
      </w:tr>
      <w:tr w:rsidR="00A92406" w:rsidRPr="002844B1"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18</w:t>
            </w:r>
          </w:p>
        </w:tc>
        <w:tc>
          <w:tcPr>
            <w:tcW w:w="0" w:type="auto"/>
          </w:tcPr>
          <w:p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3,579%</w:t>
            </w:r>
          </w:p>
        </w:tc>
      </w:tr>
      <w:tr w:rsidR="00A92406" w:rsidRPr="002844B1"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19</w:t>
            </w:r>
          </w:p>
        </w:tc>
        <w:tc>
          <w:tcPr>
            <w:tcW w:w="0" w:type="auto"/>
          </w:tcPr>
          <w:p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3,605%</w:t>
            </w:r>
          </w:p>
        </w:tc>
      </w:tr>
      <w:tr w:rsidR="00A92406" w:rsidRPr="002844B1"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20</w:t>
            </w:r>
          </w:p>
        </w:tc>
        <w:tc>
          <w:tcPr>
            <w:tcW w:w="0" w:type="auto"/>
          </w:tcPr>
          <w:p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3,632%</w:t>
            </w:r>
          </w:p>
        </w:tc>
      </w:tr>
      <w:tr w:rsidR="00A92406" w:rsidRPr="002844B1"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21</w:t>
            </w:r>
          </w:p>
        </w:tc>
        <w:tc>
          <w:tcPr>
            <w:tcW w:w="0" w:type="auto"/>
          </w:tcPr>
          <w:p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3,659%</w:t>
            </w:r>
          </w:p>
        </w:tc>
      </w:tr>
      <w:tr w:rsidR="00A92406" w:rsidRPr="002844B1"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22</w:t>
            </w:r>
          </w:p>
        </w:tc>
        <w:tc>
          <w:tcPr>
            <w:tcW w:w="0" w:type="auto"/>
          </w:tcPr>
          <w:p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3,688%</w:t>
            </w:r>
          </w:p>
        </w:tc>
      </w:tr>
      <w:tr w:rsidR="00A92406" w:rsidRPr="002844B1"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23</w:t>
            </w:r>
          </w:p>
        </w:tc>
        <w:tc>
          <w:tcPr>
            <w:tcW w:w="0" w:type="auto"/>
          </w:tcPr>
          <w:p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3,717%</w:t>
            </w:r>
          </w:p>
        </w:tc>
      </w:tr>
      <w:tr w:rsidR="00A92406" w:rsidRPr="002844B1"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24</w:t>
            </w:r>
          </w:p>
        </w:tc>
        <w:tc>
          <w:tcPr>
            <w:tcW w:w="0" w:type="auto"/>
          </w:tcPr>
          <w:p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3,766%</w:t>
            </w:r>
          </w:p>
        </w:tc>
      </w:tr>
      <w:tr w:rsidR="00A92406" w:rsidRPr="002844B1"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25</w:t>
            </w:r>
          </w:p>
        </w:tc>
        <w:tc>
          <w:tcPr>
            <w:tcW w:w="0" w:type="auto"/>
          </w:tcPr>
          <w:p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3,833%</w:t>
            </w:r>
          </w:p>
        </w:tc>
      </w:tr>
      <w:tr w:rsidR="00A92406" w:rsidRPr="002844B1"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26</w:t>
            </w:r>
          </w:p>
        </w:tc>
        <w:tc>
          <w:tcPr>
            <w:tcW w:w="0" w:type="auto"/>
          </w:tcPr>
          <w:p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3,902%</w:t>
            </w:r>
          </w:p>
        </w:tc>
      </w:tr>
      <w:tr w:rsidR="00A92406" w:rsidRPr="002844B1"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27</w:t>
            </w:r>
          </w:p>
        </w:tc>
        <w:tc>
          <w:tcPr>
            <w:tcW w:w="0" w:type="auto"/>
          </w:tcPr>
          <w:p w:rsidR="00A92406" w:rsidRPr="002844B1" w:rsidRDefault="00A92406">
            <w:pPr>
              <w:pStyle w:val="Compact"/>
              <w:cnfStyle w:val="000000100000" w:firstRow="0" w:lastRow="0" w:firstColumn="0" w:lastColumn="0" w:oddVBand="0" w:evenVBand="0" w:oddHBand="1" w:evenHBand="0" w:firstRowFirstColumn="0" w:firstRowLastColumn="0" w:lastRowFirstColumn="0" w:lastRowLastColumn="0"/>
            </w:pPr>
            <w:r w:rsidRPr="002844B1">
              <w:t>3,974%</w:t>
            </w:r>
          </w:p>
        </w:tc>
      </w:tr>
      <w:tr w:rsidR="00A92406" w:rsidRPr="002844B1"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rsidR="00A92406" w:rsidRPr="002844B1" w:rsidRDefault="00A92406">
            <w:pPr>
              <w:pStyle w:val="Compact"/>
              <w:jc w:val="right"/>
            </w:pPr>
            <w:r w:rsidRPr="002844B1">
              <w:t>28</w:t>
            </w:r>
          </w:p>
        </w:tc>
        <w:tc>
          <w:tcPr>
            <w:tcW w:w="0" w:type="auto"/>
          </w:tcPr>
          <w:p w:rsidR="00A92406" w:rsidRPr="002844B1" w:rsidRDefault="00A92406">
            <w:pPr>
              <w:pStyle w:val="Compact"/>
              <w:cnfStyle w:val="000000000000" w:firstRow="0" w:lastRow="0" w:firstColumn="0" w:lastColumn="0" w:oddVBand="0" w:evenVBand="0" w:oddHBand="0" w:evenHBand="0" w:firstRowFirstColumn="0" w:firstRowLastColumn="0" w:lastRowFirstColumn="0" w:lastRowLastColumn="0"/>
            </w:pPr>
            <w:r w:rsidRPr="002844B1">
              <w:t>3,858%</w:t>
            </w:r>
          </w:p>
        </w:tc>
      </w:tr>
    </w:tbl>
    <w:p w:rsidR="00A92406" w:rsidRPr="002844B1" w:rsidRDefault="00A92406" w:rsidP="00A92406">
      <w:pPr>
        <w:pStyle w:val="FirstParagraph"/>
      </w:pPr>
      <w:bookmarkStart w:id="30" w:name="X336f36db0687334b747abecf8d379445810500d"/>
      <w:bookmarkStart w:id="31" w:name="_Toc137651005"/>
      <w:bookmarkEnd w:id="27"/>
      <w:bookmarkEnd w:id="29"/>
    </w:p>
    <w:p w:rsidR="00A92406" w:rsidRPr="002844B1" w:rsidRDefault="00A92406" w:rsidP="00A92406">
      <w:pPr>
        <w:pStyle w:val="BodyText"/>
      </w:pPr>
    </w:p>
    <w:p w:rsidR="005B279D" w:rsidRPr="002844B1" w:rsidRDefault="00000000" w:rsidP="00A92406">
      <w:pPr>
        <w:pStyle w:val="Heading3"/>
        <w:ind w:left="0"/>
      </w:pPr>
      <w:r w:rsidRPr="002844B1">
        <w:t>Extrapolation de la courbe des taux zéro-coupon : Méthode de Smith-Wilson</w:t>
      </w:r>
      <w:bookmarkEnd w:id="31"/>
    </w:p>
    <w:p w:rsidR="005B279D" w:rsidRPr="002844B1" w:rsidRDefault="00000000" w:rsidP="00A92406">
      <w:pPr>
        <w:pStyle w:val="FirstParagraph"/>
        <w:jc w:val="both"/>
        <w:rPr>
          <w:sz w:val="21"/>
          <w:szCs w:val="21"/>
        </w:rPr>
      </w:pPr>
      <w:r w:rsidRPr="002844B1">
        <w:rPr>
          <w:sz w:val="21"/>
          <w:szCs w:val="21"/>
        </w:rPr>
        <w:t xml:space="preserve">La méthode Smith-Wilson est une méthode d’extrapolation de la courbe des taux d’intérêt développée par les chercheurs Smith et Wilson en 1995, et est utilisée pour extrapoler les taux à long terme. Son principe est d’ajuster une courbe mathématique à la courbe des taux observée sur le marché, en utilisant une fonction spécifique appelée “fonction de Smith-Wilson”. Cette fonction est une combinaison de deux termes : le premier </w:t>
      </w:r>
      <w:r w:rsidRPr="002844B1">
        <w:rPr>
          <w:sz w:val="21"/>
          <w:szCs w:val="21"/>
        </w:rPr>
        <w:lastRenderedPageBreak/>
        <w:t>terme représente une fonction de décroissance exponentielle, qui est utilisée pour modéliser la partie courte de la courbe des taux ; le second terme est une fonction polynomiale qui est utilisée pour modéliser la partie longue de la courbe des taux.</w:t>
      </w:r>
    </w:p>
    <w:p w:rsidR="005B279D" w:rsidRPr="002844B1" w:rsidRDefault="00000000" w:rsidP="00A92406">
      <w:pPr>
        <w:pStyle w:val="BodyText"/>
        <w:jc w:val="both"/>
        <w:rPr>
          <w:sz w:val="21"/>
          <w:szCs w:val="21"/>
        </w:rPr>
      </w:pPr>
      <w:r w:rsidRPr="002844B1">
        <w:rPr>
          <w:sz w:val="21"/>
          <w:szCs w:val="21"/>
        </w:rPr>
        <w:t>Une fois que la fonction de Smith-Wilson a été ajustée à la courbe des taux, elle peut être utilisée pour extrapoler les taux pour des maturités plus longues que celles disponibles sur le marché. Cette extrapolation est possible car la fonction de Smith-Wilson est conçue pour s’adapter de manière continue à la fois à la partie courte et à la partie longue de la courbe des taux.</w:t>
      </w:r>
    </w:p>
    <w:p w:rsidR="005B279D" w:rsidRPr="002844B1" w:rsidRDefault="00000000" w:rsidP="00A92406">
      <w:pPr>
        <w:pStyle w:val="BodyText"/>
        <w:jc w:val="both"/>
        <w:rPr>
          <w:sz w:val="21"/>
          <w:szCs w:val="21"/>
        </w:rPr>
      </w:pPr>
      <w:r w:rsidRPr="002844B1">
        <w:rPr>
          <w:sz w:val="21"/>
          <w:szCs w:val="21"/>
        </w:rPr>
        <w:t>dans ce modèle le taux à terme à long terme est un paramètre d’entrée fixe qui ne varie pas dans le temps à mesure qu’évoluent les prix des obligations. Elle permet aux taux à terme à long terme de converger vers le taux « infini »(Ultimate Forward Rate) choisi et elle offre une base solide pour couvrir le risque de taux d’intérêt à long terme.</w:t>
      </w:r>
    </w:p>
    <w:p w:rsidR="005B279D" w:rsidRPr="002844B1" w:rsidRDefault="00000000" w:rsidP="00A92406">
      <w:pPr>
        <w:pStyle w:val="BodyText"/>
        <w:jc w:val="both"/>
        <w:rPr>
          <w:sz w:val="21"/>
          <w:szCs w:val="21"/>
        </w:rPr>
      </w:pPr>
      <w:r w:rsidRPr="002844B1">
        <w:rPr>
          <w:sz w:val="21"/>
          <w:szCs w:val="21"/>
        </w:rPr>
        <w:t>Les paramètres d’entrée sont les suivants :</w:t>
      </w:r>
    </w:p>
    <w:p w:rsidR="005B279D" w:rsidRPr="002844B1" w:rsidRDefault="00000000" w:rsidP="00A92406">
      <w:pPr>
        <w:pStyle w:val="Compact"/>
        <w:numPr>
          <w:ilvl w:val="0"/>
          <w:numId w:val="16"/>
        </w:numPr>
        <w:jc w:val="both"/>
        <w:rPr>
          <w:sz w:val="21"/>
          <w:szCs w:val="21"/>
        </w:rPr>
      </w:pPr>
      <w:r w:rsidRPr="002844B1">
        <w:rPr>
          <w:sz w:val="21"/>
          <w:szCs w:val="21"/>
        </w:rPr>
        <w:t>le UFR (Ultimate Forward Rate)</w:t>
      </w:r>
    </w:p>
    <w:p w:rsidR="005B279D" w:rsidRPr="002844B1" w:rsidRDefault="00000000" w:rsidP="00A92406">
      <w:pPr>
        <w:pStyle w:val="Compact"/>
        <w:numPr>
          <w:ilvl w:val="0"/>
          <w:numId w:val="16"/>
        </w:numPr>
        <w:jc w:val="both"/>
        <w:rPr>
          <w:sz w:val="21"/>
          <w:szCs w:val="21"/>
        </w:rPr>
      </w:pPr>
      <m:oMath>
        <m:r>
          <w:rPr>
            <w:rFonts w:ascii="Cambria Math" w:hAnsi="Cambria Math"/>
            <w:sz w:val="21"/>
            <w:szCs w:val="21"/>
          </w:rPr>
          <m:t>α</m:t>
        </m:r>
      </m:oMath>
      <w:r w:rsidRPr="002844B1">
        <w:rPr>
          <w:sz w:val="21"/>
          <w:szCs w:val="21"/>
        </w:rPr>
        <w:t xml:space="preserve"> la vitesse de convergence vers le UFR.</w:t>
      </w:r>
    </w:p>
    <w:p w:rsidR="005B279D" w:rsidRPr="002844B1" w:rsidRDefault="00000000" w:rsidP="00A92406">
      <w:pPr>
        <w:pStyle w:val="FirstParagraph"/>
        <w:jc w:val="both"/>
        <w:rPr>
          <w:sz w:val="21"/>
          <w:szCs w:val="21"/>
        </w:rPr>
      </w:pPr>
      <w:r w:rsidRPr="002844B1">
        <w:rPr>
          <w:sz w:val="21"/>
          <w:szCs w:val="21"/>
        </w:rPr>
        <w:t xml:space="preserve">En fait, sur le marché on observe les prix zéro-coupons de différentes maturités </w:t>
      </w:r>
      <m:oMath>
        <m:sSub>
          <m:sSubPr>
            <m:ctrlPr>
              <w:rPr>
                <w:rFonts w:ascii="Cambria Math" w:hAnsi="Cambria Math"/>
                <w:sz w:val="21"/>
                <w:szCs w:val="21"/>
              </w:rPr>
            </m:ctrlPr>
          </m:sSubPr>
          <m:e>
            <m:r>
              <w:rPr>
                <w:rFonts w:ascii="Cambria Math" w:hAnsi="Cambria Math"/>
                <w:sz w:val="21"/>
                <w:szCs w:val="21"/>
              </w:rPr>
              <m:t>u</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u</m:t>
            </m:r>
          </m:e>
          <m:sub>
            <m:r>
              <w:rPr>
                <w:rFonts w:ascii="Cambria Math" w:hAnsi="Cambria Math"/>
                <w:sz w:val="21"/>
                <w:szCs w:val="21"/>
              </w:rPr>
              <m:t>2</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u</m:t>
            </m:r>
          </m:e>
          <m:sub>
            <m:r>
              <w:rPr>
                <w:rFonts w:ascii="Cambria Math" w:hAnsi="Cambria Math"/>
                <w:sz w:val="21"/>
                <w:szCs w:val="21"/>
              </w:rPr>
              <m:t>N</m:t>
            </m:r>
          </m:sub>
        </m:sSub>
      </m:oMath>
      <w:r w:rsidRPr="002844B1">
        <w:rPr>
          <w:sz w:val="21"/>
          <w:szCs w:val="21"/>
        </w:rPr>
        <w:t xml:space="preserve"> alors Smith-Wilson suppose que le facteur d’actualisation $P() $ est déterminé par:</w:t>
      </w:r>
    </w:p>
    <w:p w:rsidR="005B279D" w:rsidRPr="002844B1" w:rsidRDefault="00000000" w:rsidP="00A92406">
      <w:pPr>
        <w:pStyle w:val="BodyText"/>
        <w:jc w:val="both"/>
        <w:rPr>
          <w:sz w:val="21"/>
          <w:szCs w:val="21"/>
        </w:rPr>
      </w:pPr>
      <m:oMathPara>
        <m:oMathParaPr>
          <m:jc m:val="center"/>
        </m:oMathParaPr>
        <m:oMath>
          <m:r>
            <w:rPr>
              <w:rFonts w:ascii="Cambria Math" w:hAnsi="Cambria Math"/>
              <w:sz w:val="21"/>
              <w:szCs w:val="21"/>
            </w:rPr>
            <m:t>P</m:t>
          </m:r>
          <m:d>
            <m:dPr>
              <m:ctrlPr>
                <w:rPr>
                  <w:rFonts w:ascii="Cambria Math" w:hAnsi="Cambria Math"/>
                  <w:sz w:val="21"/>
                  <w:szCs w:val="21"/>
                </w:rPr>
              </m:ctrlPr>
            </m:dPr>
            <m:e>
              <m:r>
                <w:rPr>
                  <w:rFonts w:ascii="Cambria Math" w:hAnsi="Cambria Math"/>
                  <w:sz w:val="21"/>
                  <w:szCs w:val="21"/>
                </w:rPr>
                <m:t>τ</m:t>
              </m:r>
            </m:e>
          </m:d>
          <m:r>
            <w:rPr>
              <w:rFonts w:ascii="Cambria Math" w:hAnsi="Cambria Math"/>
              <w:sz w:val="21"/>
              <w:szCs w:val="21"/>
            </w:rPr>
            <m:t>=</m:t>
          </m:r>
          <m:sSup>
            <m:sSupPr>
              <m:ctrlPr>
                <w:rPr>
                  <w:rFonts w:ascii="Cambria Math" w:hAnsi="Cambria Math"/>
                  <w:sz w:val="21"/>
                  <w:szCs w:val="21"/>
                </w:rPr>
              </m:ctrlPr>
            </m:sSupPr>
            <m:e>
              <m:r>
                <w:rPr>
                  <w:rFonts w:ascii="Cambria Math" w:hAnsi="Cambria Math"/>
                  <w:sz w:val="21"/>
                  <w:szCs w:val="21"/>
                </w:rPr>
                <m:t>e</m:t>
              </m:r>
            </m:e>
            <m:sup>
              <m:r>
                <w:rPr>
                  <w:rFonts w:ascii="Cambria Math" w:hAnsi="Cambria Math"/>
                  <w:sz w:val="21"/>
                  <w:szCs w:val="21"/>
                </w:rPr>
                <m:t>-UFR*τ</m:t>
              </m:r>
            </m:sup>
          </m:sSup>
          <m:r>
            <w:rPr>
              <w:rFonts w:ascii="Cambria Math" w:hAnsi="Cambria Math"/>
              <w:sz w:val="21"/>
              <w:szCs w:val="21"/>
            </w:rPr>
            <m:t>+</m:t>
          </m:r>
          <m:nary>
            <m:naryPr>
              <m:chr m:val="∑"/>
              <m:limLoc m:val="undOvr"/>
              <m:ctrlPr>
                <w:rPr>
                  <w:rFonts w:ascii="Cambria Math" w:hAnsi="Cambria Math"/>
                  <w:sz w:val="21"/>
                  <w:szCs w:val="21"/>
                </w:rPr>
              </m:ctrlPr>
            </m:naryPr>
            <m:sub>
              <m:r>
                <w:rPr>
                  <w:rFonts w:ascii="Cambria Math" w:hAnsi="Cambria Math"/>
                  <w:sz w:val="21"/>
                  <w:szCs w:val="21"/>
                </w:rPr>
                <m:t>j=1</m:t>
              </m:r>
            </m:sub>
            <m:sup>
              <m:r>
                <w:rPr>
                  <w:rFonts w:ascii="Cambria Math" w:hAnsi="Cambria Math"/>
                  <w:sz w:val="21"/>
                  <w:szCs w:val="21"/>
                </w:rPr>
                <m:t>N</m:t>
              </m:r>
            </m:sup>
            <m:e>
              <m:sSub>
                <m:sSubPr>
                  <m:ctrlPr>
                    <w:rPr>
                      <w:rFonts w:ascii="Cambria Math" w:hAnsi="Cambria Math"/>
                      <w:sz w:val="21"/>
                      <w:szCs w:val="21"/>
                    </w:rPr>
                  </m:ctrlPr>
                </m:sSubPr>
                <m:e>
                  <m:r>
                    <w:rPr>
                      <w:rFonts w:ascii="Cambria Math" w:hAnsi="Cambria Math"/>
                      <w:sz w:val="21"/>
                      <w:szCs w:val="21"/>
                    </w:rPr>
                    <m:t>γ</m:t>
                  </m:r>
                </m:e>
                <m:sub>
                  <m:r>
                    <w:rPr>
                      <w:rFonts w:ascii="Cambria Math" w:hAnsi="Cambria Math"/>
                      <w:sz w:val="21"/>
                      <w:szCs w:val="21"/>
                    </w:rPr>
                    <m:t>j</m:t>
                  </m:r>
                </m:sub>
              </m:sSub>
            </m:e>
          </m:nary>
          <m:r>
            <w:rPr>
              <w:rFonts w:ascii="Cambria Math" w:hAnsi="Cambria Math"/>
              <w:sz w:val="21"/>
              <w:szCs w:val="21"/>
            </w:rPr>
            <m:t>*W</m:t>
          </m:r>
          <m:d>
            <m:dPr>
              <m:ctrlPr>
                <w:rPr>
                  <w:rFonts w:ascii="Cambria Math" w:hAnsi="Cambria Math"/>
                  <w:sz w:val="21"/>
                  <w:szCs w:val="21"/>
                </w:rPr>
              </m:ctrlPr>
            </m:dPr>
            <m:e>
              <m:r>
                <w:rPr>
                  <w:rFonts w:ascii="Cambria Math" w:hAnsi="Cambria Math"/>
                  <w:sz w:val="21"/>
                  <w:szCs w:val="21"/>
                </w:rPr>
                <m:t>τ,</m:t>
              </m:r>
              <m:sSub>
                <m:sSubPr>
                  <m:ctrlPr>
                    <w:rPr>
                      <w:rFonts w:ascii="Cambria Math" w:hAnsi="Cambria Math"/>
                      <w:sz w:val="21"/>
                      <w:szCs w:val="21"/>
                    </w:rPr>
                  </m:ctrlPr>
                </m:sSubPr>
                <m:e>
                  <m:r>
                    <w:rPr>
                      <w:rFonts w:ascii="Cambria Math" w:hAnsi="Cambria Math"/>
                      <w:sz w:val="21"/>
                      <w:szCs w:val="21"/>
                    </w:rPr>
                    <m:t>μ</m:t>
                  </m:r>
                </m:e>
                <m:sub>
                  <m:r>
                    <w:rPr>
                      <w:rFonts w:ascii="Cambria Math" w:hAnsi="Cambria Math"/>
                      <w:sz w:val="21"/>
                      <w:szCs w:val="21"/>
                    </w:rPr>
                    <m:t>j</m:t>
                  </m:r>
                </m:sub>
              </m:sSub>
            </m:e>
          </m:d>
          <m:r>
            <w:rPr>
              <w:rFonts w:ascii="Cambria Math" w:hAnsi="Cambria Math"/>
              <w:sz w:val="21"/>
              <w:szCs w:val="21"/>
            </w:rPr>
            <m:t> ,  </m:t>
          </m:r>
          <m:d>
            <m:dPr>
              <m:ctrlPr>
                <w:rPr>
                  <w:rFonts w:ascii="Cambria Math" w:hAnsi="Cambria Math"/>
                  <w:sz w:val="21"/>
                  <w:szCs w:val="21"/>
                </w:rPr>
              </m:ctrlPr>
            </m:dPr>
            <m:e>
              <m:r>
                <w:rPr>
                  <w:rFonts w:ascii="Cambria Math" w:hAnsi="Cambria Math"/>
                  <w:sz w:val="21"/>
                  <w:szCs w:val="21"/>
                </w:rPr>
                <m:t>5</m:t>
              </m:r>
            </m:e>
          </m:d>
        </m:oMath>
      </m:oMathPara>
    </w:p>
    <w:p w:rsidR="005B279D" w:rsidRPr="002844B1" w:rsidRDefault="00000000" w:rsidP="00A92406">
      <w:pPr>
        <w:pStyle w:val="FirstParagraph"/>
        <w:jc w:val="both"/>
        <w:rPr>
          <w:sz w:val="21"/>
          <w:szCs w:val="21"/>
        </w:rPr>
      </w:pPr>
      <w:r w:rsidRPr="002844B1">
        <w:rPr>
          <w:sz w:val="21"/>
          <w:szCs w:val="21"/>
        </w:rPr>
        <w:t>où:</w:t>
      </w:r>
    </w:p>
    <w:p w:rsidR="005B279D" w:rsidRPr="002844B1" w:rsidRDefault="00000000" w:rsidP="00A92406">
      <w:pPr>
        <w:pStyle w:val="BodyText"/>
        <w:jc w:val="both"/>
        <w:rPr>
          <w:sz w:val="21"/>
          <w:szCs w:val="21"/>
        </w:rPr>
      </w:pPr>
      <m:oMathPara>
        <m:oMathParaPr>
          <m:jc m:val="center"/>
        </m:oMathParaPr>
        <m:oMath>
          <m:r>
            <w:rPr>
              <w:rFonts w:ascii="Cambria Math" w:hAnsi="Cambria Math"/>
              <w:sz w:val="21"/>
              <w:szCs w:val="21"/>
            </w:rPr>
            <m:t>W</m:t>
          </m:r>
          <m:d>
            <m:dPr>
              <m:ctrlPr>
                <w:rPr>
                  <w:rFonts w:ascii="Cambria Math" w:hAnsi="Cambria Math"/>
                  <w:sz w:val="21"/>
                  <w:szCs w:val="21"/>
                </w:rPr>
              </m:ctrlPr>
            </m:dPr>
            <m:e>
              <m:r>
                <w:rPr>
                  <w:rFonts w:ascii="Cambria Math" w:hAnsi="Cambria Math"/>
                  <w:sz w:val="21"/>
                  <w:szCs w:val="21"/>
                </w:rPr>
                <m:t>τ,</m:t>
              </m:r>
              <m:sSub>
                <m:sSubPr>
                  <m:ctrlPr>
                    <w:rPr>
                      <w:rFonts w:ascii="Cambria Math" w:hAnsi="Cambria Math"/>
                      <w:sz w:val="21"/>
                      <w:szCs w:val="21"/>
                    </w:rPr>
                  </m:ctrlPr>
                </m:sSubPr>
                <m:e>
                  <m:r>
                    <w:rPr>
                      <w:rFonts w:ascii="Cambria Math" w:hAnsi="Cambria Math"/>
                      <w:sz w:val="21"/>
                      <w:szCs w:val="21"/>
                    </w:rPr>
                    <m:t>μ</m:t>
                  </m:r>
                </m:e>
                <m:sub>
                  <m:r>
                    <w:rPr>
                      <w:rFonts w:ascii="Cambria Math" w:hAnsi="Cambria Math"/>
                      <w:sz w:val="21"/>
                      <w:szCs w:val="21"/>
                    </w:rPr>
                    <m:t>j</m:t>
                  </m:r>
                </m:sub>
              </m:sSub>
            </m:e>
          </m:d>
          <m:r>
            <w:rPr>
              <w:rFonts w:ascii="Cambria Math" w:hAnsi="Cambria Math"/>
              <w:sz w:val="21"/>
              <w:szCs w:val="21"/>
            </w:rPr>
            <m:t>=</m:t>
          </m:r>
          <m:sSup>
            <m:sSupPr>
              <m:ctrlPr>
                <w:rPr>
                  <w:rFonts w:ascii="Cambria Math" w:hAnsi="Cambria Math"/>
                  <w:sz w:val="21"/>
                  <w:szCs w:val="21"/>
                </w:rPr>
              </m:ctrlPr>
            </m:sSupPr>
            <m:e>
              <m:r>
                <w:rPr>
                  <w:rFonts w:ascii="Cambria Math" w:hAnsi="Cambria Math"/>
                  <w:sz w:val="21"/>
                  <w:szCs w:val="21"/>
                </w:rPr>
                <m:t>e</m:t>
              </m:r>
            </m:e>
            <m:sup>
              <m:r>
                <w:rPr>
                  <w:rFonts w:ascii="Cambria Math" w:hAnsi="Cambria Math"/>
                  <w:sz w:val="21"/>
                  <w:szCs w:val="21"/>
                </w:rPr>
                <m:t>-UFR*</m:t>
              </m:r>
              <m:d>
                <m:dPr>
                  <m:ctrlPr>
                    <w:rPr>
                      <w:rFonts w:ascii="Cambria Math" w:hAnsi="Cambria Math"/>
                      <w:sz w:val="21"/>
                      <w:szCs w:val="21"/>
                    </w:rPr>
                  </m:ctrlPr>
                </m:dPr>
                <m:e>
                  <m:r>
                    <w:rPr>
                      <w:rFonts w:ascii="Cambria Math" w:hAnsi="Cambria Math"/>
                      <w:sz w:val="21"/>
                      <w:szCs w:val="21"/>
                    </w:rPr>
                    <m:t>τ+</m:t>
                  </m:r>
                  <m:sSub>
                    <m:sSubPr>
                      <m:ctrlPr>
                        <w:rPr>
                          <w:rFonts w:ascii="Cambria Math" w:hAnsi="Cambria Math"/>
                          <w:sz w:val="21"/>
                          <w:szCs w:val="21"/>
                        </w:rPr>
                      </m:ctrlPr>
                    </m:sSubPr>
                    <m:e>
                      <m:r>
                        <w:rPr>
                          <w:rFonts w:ascii="Cambria Math" w:hAnsi="Cambria Math"/>
                          <w:sz w:val="21"/>
                          <w:szCs w:val="21"/>
                        </w:rPr>
                        <m:t>μ</m:t>
                      </m:r>
                    </m:e>
                    <m:sub>
                      <m:r>
                        <w:rPr>
                          <w:rFonts w:ascii="Cambria Math" w:hAnsi="Cambria Math"/>
                          <w:sz w:val="21"/>
                          <w:szCs w:val="21"/>
                        </w:rPr>
                        <m:t>j</m:t>
                      </m:r>
                    </m:sub>
                  </m:sSub>
                </m:e>
              </m:d>
            </m:sup>
          </m:sSup>
          <m:r>
            <w:rPr>
              <w:rFonts w:ascii="Cambria Math" w:hAnsi="Cambria Math"/>
              <w:sz w:val="21"/>
              <w:szCs w:val="21"/>
            </w:rPr>
            <m:t>*</m:t>
          </m:r>
          <m:d>
            <m:dPr>
              <m:begChr m:val="["/>
              <m:endChr m:val="]"/>
              <m:ctrlPr>
                <w:rPr>
                  <w:rFonts w:ascii="Cambria Math" w:hAnsi="Cambria Math"/>
                  <w:sz w:val="21"/>
                  <w:szCs w:val="21"/>
                </w:rPr>
              </m:ctrlPr>
            </m:dPr>
            <m:e>
              <m:r>
                <w:rPr>
                  <w:rFonts w:ascii="Cambria Math" w:hAnsi="Cambria Math"/>
                  <w:sz w:val="21"/>
                  <w:szCs w:val="21"/>
                </w:rPr>
                <m:t>α*min</m:t>
              </m:r>
              <m:d>
                <m:dPr>
                  <m:ctrlPr>
                    <w:rPr>
                      <w:rFonts w:ascii="Cambria Math" w:hAnsi="Cambria Math"/>
                      <w:sz w:val="21"/>
                      <w:szCs w:val="21"/>
                    </w:rPr>
                  </m:ctrlPr>
                </m:dPr>
                <m:e>
                  <m:r>
                    <w:rPr>
                      <w:rFonts w:ascii="Cambria Math" w:hAnsi="Cambria Math"/>
                      <w:sz w:val="21"/>
                      <w:szCs w:val="21"/>
                    </w:rPr>
                    <m:t>τ,</m:t>
                  </m:r>
                  <m:sSub>
                    <m:sSubPr>
                      <m:ctrlPr>
                        <w:rPr>
                          <w:rFonts w:ascii="Cambria Math" w:hAnsi="Cambria Math"/>
                          <w:sz w:val="21"/>
                          <w:szCs w:val="21"/>
                        </w:rPr>
                      </m:ctrlPr>
                    </m:sSubPr>
                    <m:e>
                      <m:r>
                        <w:rPr>
                          <w:rFonts w:ascii="Cambria Math" w:hAnsi="Cambria Math"/>
                          <w:sz w:val="21"/>
                          <w:szCs w:val="21"/>
                        </w:rPr>
                        <m:t>μ</m:t>
                      </m:r>
                    </m:e>
                    <m:sub>
                      <m:r>
                        <w:rPr>
                          <w:rFonts w:ascii="Cambria Math" w:hAnsi="Cambria Math"/>
                          <w:sz w:val="21"/>
                          <w:szCs w:val="21"/>
                        </w:rPr>
                        <m:t>j</m:t>
                      </m:r>
                    </m:sub>
                  </m:sSub>
                </m:e>
              </m:d>
              <m:r>
                <w:rPr>
                  <w:rFonts w:ascii="Cambria Math" w:hAnsi="Cambria Math"/>
                  <w:sz w:val="21"/>
                  <w:szCs w:val="21"/>
                </w:rPr>
                <m:t>-0,5*</m:t>
              </m:r>
              <m:sSup>
                <m:sSupPr>
                  <m:ctrlPr>
                    <w:rPr>
                      <w:rFonts w:ascii="Cambria Math" w:hAnsi="Cambria Math"/>
                      <w:sz w:val="21"/>
                      <w:szCs w:val="21"/>
                    </w:rPr>
                  </m:ctrlPr>
                </m:sSupPr>
                <m:e>
                  <m:r>
                    <w:rPr>
                      <w:rFonts w:ascii="Cambria Math" w:hAnsi="Cambria Math"/>
                      <w:sz w:val="21"/>
                      <w:szCs w:val="21"/>
                    </w:rPr>
                    <m:t>e</m:t>
                  </m:r>
                </m:e>
                <m:sup>
                  <m:r>
                    <w:rPr>
                      <w:rFonts w:ascii="Cambria Math" w:hAnsi="Cambria Math"/>
                      <w:sz w:val="21"/>
                      <w:szCs w:val="21"/>
                    </w:rPr>
                    <m:t>-α*max</m:t>
                  </m:r>
                  <m:d>
                    <m:dPr>
                      <m:ctrlPr>
                        <w:rPr>
                          <w:rFonts w:ascii="Cambria Math" w:hAnsi="Cambria Math"/>
                          <w:sz w:val="21"/>
                          <w:szCs w:val="21"/>
                        </w:rPr>
                      </m:ctrlPr>
                    </m:dPr>
                    <m:e>
                      <m:r>
                        <w:rPr>
                          <w:rFonts w:ascii="Cambria Math" w:hAnsi="Cambria Math"/>
                          <w:sz w:val="21"/>
                          <w:szCs w:val="21"/>
                        </w:rPr>
                        <m:t>τ,</m:t>
                      </m:r>
                      <m:sSub>
                        <m:sSubPr>
                          <m:ctrlPr>
                            <w:rPr>
                              <w:rFonts w:ascii="Cambria Math" w:hAnsi="Cambria Math"/>
                              <w:sz w:val="21"/>
                              <w:szCs w:val="21"/>
                            </w:rPr>
                          </m:ctrlPr>
                        </m:sSubPr>
                        <m:e>
                          <m:r>
                            <w:rPr>
                              <w:rFonts w:ascii="Cambria Math" w:hAnsi="Cambria Math"/>
                              <w:sz w:val="21"/>
                              <w:szCs w:val="21"/>
                            </w:rPr>
                            <m:t>μ</m:t>
                          </m:r>
                        </m:e>
                        <m:sub>
                          <m:r>
                            <w:rPr>
                              <w:rFonts w:ascii="Cambria Math" w:hAnsi="Cambria Math"/>
                              <w:sz w:val="21"/>
                              <w:szCs w:val="21"/>
                            </w:rPr>
                            <m:t>j</m:t>
                          </m:r>
                        </m:sub>
                      </m:sSub>
                    </m:e>
                  </m:d>
                </m:sup>
              </m:sSup>
              <m:r>
                <w:rPr>
                  <w:rFonts w:ascii="Cambria Math" w:hAnsi="Cambria Math"/>
                  <w:sz w:val="21"/>
                  <w:szCs w:val="21"/>
                </w:rPr>
                <m:t>*</m:t>
              </m:r>
              <m:d>
                <m:dPr>
                  <m:ctrlPr>
                    <w:rPr>
                      <w:rFonts w:ascii="Cambria Math" w:hAnsi="Cambria Math"/>
                      <w:sz w:val="21"/>
                      <w:szCs w:val="21"/>
                    </w:rPr>
                  </m:ctrlPr>
                </m:dPr>
                <m:e>
                  <m:sSup>
                    <m:sSupPr>
                      <m:ctrlPr>
                        <w:rPr>
                          <w:rFonts w:ascii="Cambria Math" w:hAnsi="Cambria Math"/>
                          <w:sz w:val="21"/>
                          <w:szCs w:val="21"/>
                        </w:rPr>
                      </m:ctrlPr>
                    </m:sSupPr>
                    <m:e>
                      <m:r>
                        <w:rPr>
                          <w:rFonts w:ascii="Cambria Math" w:hAnsi="Cambria Math"/>
                          <w:sz w:val="21"/>
                          <w:szCs w:val="21"/>
                        </w:rPr>
                        <m:t>e</m:t>
                      </m:r>
                    </m:e>
                    <m:sup>
                      <m:r>
                        <w:rPr>
                          <w:rFonts w:ascii="Cambria Math" w:hAnsi="Cambria Math"/>
                          <w:sz w:val="21"/>
                          <w:szCs w:val="21"/>
                        </w:rPr>
                        <m:t>α*min</m:t>
                      </m:r>
                      <m:d>
                        <m:dPr>
                          <m:ctrlPr>
                            <w:rPr>
                              <w:rFonts w:ascii="Cambria Math" w:hAnsi="Cambria Math"/>
                              <w:sz w:val="21"/>
                              <w:szCs w:val="21"/>
                            </w:rPr>
                          </m:ctrlPr>
                        </m:dPr>
                        <m:e>
                          <m:r>
                            <w:rPr>
                              <w:rFonts w:ascii="Cambria Math" w:hAnsi="Cambria Math"/>
                              <w:sz w:val="21"/>
                              <w:szCs w:val="21"/>
                            </w:rPr>
                            <m:t>τ,</m:t>
                          </m:r>
                          <m:sSub>
                            <m:sSubPr>
                              <m:ctrlPr>
                                <w:rPr>
                                  <w:rFonts w:ascii="Cambria Math" w:hAnsi="Cambria Math"/>
                                  <w:sz w:val="21"/>
                                  <w:szCs w:val="21"/>
                                </w:rPr>
                              </m:ctrlPr>
                            </m:sSubPr>
                            <m:e>
                              <m:r>
                                <w:rPr>
                                  <w:rFonts w:ascii="Cambria Math" w:hAnsi="Cambria Math"/>
                                  <w:sz w:val="21"/>
                                  <w:szCs w:val="21"/>
                                </w:rPr>
                                <m:t>μ</m:t>
                              </m:r>
                            </m:e>
                            <m:sub>
                              <m:r>
                                <w:rPr>
                                  <w:rFonts w:ascii="Cambria Math" w:hAnsi="Cambria Math"/>
                                  <w:sz w:val="21"/>
                                  <w:szCs w:val="21"/>
                                </w:rPr>
                                <m:t>j</m:t>
                              </m:r>
                            </m:sub>
                          </m:sSub>
                        </m:e>
                      </m:d>
                    </m:sup>
                  </m:sSup>
                  <m:r>
                    <w:rPr>
                      <w:rFonts w:ascii="Cambria Math" w:hAnsi="Cambria Math"/>
                      <w:sz w:val="21"/>
                      <w:szCs w:val="21"/>
                    </w:rPr>
                    <m:t>-</m:t>
                  </m:r>
                  <m:sSup>
                    <m:sSupPr>
                      <m:ctrlPr>
                        <w:rPr>
                          <w:rFonts w:ascii="Cambria Math" w:hAnsi="Cambria Math"/>
                          <w:sz w:val="21"/>
                          <w:szCs w:val="21"/>
                        </w:rPr>
                      </m:ctrlPr>
                    </m:sSupPr>
                    <m:e>
                      <m:r>
                        <w:rPr>
                          <w:rFonts w:ascii="Cambria Math" w:hAnsi="Cambria Math"/>
                          <w:sz w:val="21"/>
                          <w:szCs w:val="21"/>
                        </w:rPr>
                        <m:t>e</m:t>
                      </m:r>
                    </m:e>
                    <m:sup>
                      <m:r>
                        <w:rPr>
                          <w:rFonts w:ascii="Cambria Math" w:hAnsi="Cambria Math"/>
                          <w:sz w:val="21"/>
                          <w:szCs w:val="21"/>
                        </w:rPr>
                        <m:t>-α*max</m:t>
                      </m:r>
                      <m:d>
                        <m:dPr>
                          <m:ctrlPr>
                            <w:rPr>
                              <w:rFonts w:ascii="Cambria Math" w:hAnsi="Cambria Math"/>
                              <w:sz w:val="21"/>
                              <w:szCs w:val="21"/>
                            </w:rPr>
                          </m:ctrlPr>
                        </m:dPr>
                        <m:e>
                          <m:r>
                            <w:rPr>
                              <w:rFonts w:ascii="Cambria Math" w:hAnsi="Cambria Math"/>
                              <w:sz w:val="21"/>
                              <w:szCs w:val="21"/>
                            </w:rPr>
                            <m:t>τ,</m:t>
                          </m:r>
                          <m:sSub>
                            <m:sSubPr>
                              <m:ctrlPr>
                                <w:rPr>
                                  <w:rFonts w:ascii="Cambria Math" w:hAnsi="Cambria Math"/>
                                  <w:sz w:val="21"/>
                                  <w:szCs w:val="21"/>
                                </w:rPr>
                              </m:ctrlPr>
                            </m:sSubPr>
                            <m:e>
                              <m:r>
                                <w:rPr>
                                  <w:rFonts w:ascii="Cambria Math" w:hAnsi="Cambria Math"/>
                                  <w:sz w:val="21"/>
                                  <w:szCs w:val="21"/>
                                </w:rPr>
                                <m:t>μ</m:t>
                              </m:r>
                            </m:e>
                            <m:sub>
                              <m:r>
                                <w:rPr>
                                  <w:rFonts w:ascii="Cambria Math" w:hAnsi="Cambria Math"/>
                                  <w:sz w:val="21"/>
                                  <w:szCs w:val="21"/>
                                </w:rPr>
                                <m:t>j</m:t>
                              </m:r>
                            </m:sub>
                          </m:sSub>
                        </m:e>
                      </m:d>
                    </m:sup>
                  </m:sSup>
                </m:e>
              </m:d>
            </m:e>
          </m:d>
          <m:r>
            <w:rPr>
              <w:rFonts w:ascii="Cambria Math" w:hAnsi="Cambria Math"/>
              <w:sz w:val="21"/>
              <w:szCs w:val="21"/>
            </w:rPr>
            <m:t> ,</m:t>
          </m:r>
        </m:oMath>
      </m:oMathPara>
    </w:p>
    <w:p w:rsidR="005B279D" w:rsidRPr="002844B1" w:rsidRDefault="00000000" w:rsidP="00A92406">
      <w:pPr>
        <w:pStyle w:val="FirstParagraph"/>
        <w:jc w:val="both"/>
        <w:rPr>
          <w:sz w:val="21"/>
          <w:szCs w:val="21"/>
        </w:rPr>
      </w:pPr>
      <w:r w:rsidRPr="002844B1">
        <w:rPr>
          <w:sz w:val="21"/>
          <w:szCs w:val="21"/>
        </w:rPr>
        <w:t>avec :</w:t>
      </w:r>
    </w:p>
    <w:p w:rsidR="005B279D" w:rsidRPr="002844B1" w:rsidRDefault="00000000" w:rsidP="00A92406">
      <w:pPr>
        <w:pStyle w:val="Compact"/>
        <w:numPr>
          <w:ilvl w:val="0"/>
          <w:numId w:val="17"/>
        </w:numPr>
        <w:jc w:val="both"/>
        <w:rPr>
          <w:sz w:val="21"/>
          <w:szCs w:val="21"/>
        </w:rPr>
      </w:pPr>
      <m:oMath>
        <m:r>
          <w:rPr>
            <w:rFonts w:ascii="Cambria Math" w:hAnsi="Cambria Math"/>
            <w:sz w:val="21"/>
            <w:szCs w:val="21"/>
          </w:rPr>
          <m:t>W</m:t>
        </m:r>
      </m:oMath>
      <w:r w:rsidRPr="002844B1">
        <w:rPr>
          <w:sz w:val="21"/>
          <w:szCs w:val="21"/>
        </w:rPr>
        <w:t xml:space="preserve"> représente un ensemble de fonctions à noyau pour chaque prix d’obligation observable d’entrée.</w:t>
      </w:r>
    </w:p>
    <w:p w:rsidR="005B279D" w:rsidRPr="002844B1" w:rsidRDefault="00000000" w:rsidP="00A92406">
      <w:pPr>
        <w:pStyle w:val="Compact"/>
        <w:numPr>
          <w:ilvl w:val="0"/>
          <w:numId w:val="17"/>
        </w:numPr>
        <w:jc w:val="both"/>
        <w:rPr>
          <w:sz w:val="21"/>
          <w:szCs w:val="21"/>
        </w:rPr>
      </w:pPr>
      <m:oMath>
        <m:r>
          <w:rPr>
            <w:rFonts w:ascii="Cambria Math" w:hAnsi="Cambria Math"/>
            <w:sz w:val="21"/>
            <w:szCs w:val="21"/>
          </w:rPr>
          <m:t>α</m:t>
        </m:r>
      </m:oMath>
      <w:r w:rsidRPr="002844B1">
        <w:rPr>
          <w:sz w:val="21"/>
          <w:szCs w:val="21"/>
        </w:rPr>
        <w:t xml:space="preserve"> : la vitesse de convergence vers le UFR.</w:t>
      </w:r>
    </w:p>
    <w:p w:rsidR="005B279D" w:rsidRPr="002844B1" w:rsidRDefault="00000000" w:rsidP="00A92406">
      <w:pPr>
        <w:pStyle w:val="Compact"/>
        <w:numPr>
          <w:ilvl w:val="0"/>
          <w:numId w:val="17"/>
        </w:numPr>
        <w:jc w:val="both"/>
        <w:rPr>
          <w:sz w:val="21"/>
          <w:szCs w:val="21"/>
        </w:rPr>
      </w:pPr>
      <m:oMath>
        <m:r>
          <w:rPr>
            <w:rFonts w:ascii="Cambria Math" w:hAnsi="Cambria Math"/>
            <w:sz w:val="21"/>
            <w:szCs w:val="21"/>
          </w:rPr>
          <m:t>N</m:t>
        </m:r>
      </m:oMath>
      <w:r w:rsidRPr="002844B1">
        <w:rPr>
          <w:sz w:val="21"/>
          <w:szCs w:val="21"/>
        </w:rPr>
        <w:t>: le nombre d’obligations ZC dont le prix est observé sur le marché.</w:t>
      </w:r>
    </w:p>
    <w:p w:rsidR="005B279D" w:rsidRPr="002844B1" w:rsidRDefault="00000000" w:rsidP="00A92406">
      <w:pPr>
        <w:pStyle w:val="Compact"/>
        <w:numPr>
          <w:ilvl w:val="0"/>
          <w:numId w:val="17"/>
        </w:numPr>
        <w:jc w:val="both"/>
        <w:rPr>
          <w:sz w:val="21"/>
          <w:szCs w:val="21"/>
        </w:rPr>
      </w:pPr>
      <m:oMath>
        <m:sSub>
          <m:sSubPr>
            <m:ctrlPr>
              <w:rPr>
                <w:rFonts w:ascii="Cambria Math" w:hAnsi="Cambria Math"/>
                <w:sz w:val="21"/>
                <w:szCs w:val="21"/>
              </w:rPr>
            </m:ctrlPr>
          </m:sSubPr>
          <m:e>
            <m:r>
              <w:rPr>
                <w:rFonts w:ascii="Cambria Math" w:hAnsi="Cambria Math"/>
                <w:sz w:val="21"/>
                <w:szCs w:val="21"/>
              </w:rPr>
              <m:t>u</m:t>
            </m:r>
          </m:e>
          <m:sub>
            <m:r>
              <w:rPr>
                <w:rFonts w:ascii="Cambria Math" w:hAnsi="Cambria Math"/>
                <w:sz w:val="21"/>
                <w:szCs w:val="21"/>
              </w:rPr>
              <m:t>j</m:t>
            </m:r>
          </m:sub>
        </m:sSub>
      </m:oMath>
      <w:r w:rsidRPr="002844B1">
        <w:rPr>
          <w:sz w:val="21"/>
          <w:szCs w:val="21"/>
        </w:rPr>
        <w:t>: la j-ème maturité disponible. .</w:t>
      </w:r>
    </w:p>
    <w:p w:rsidR="005B279D" w:rsidRPr="002844B1" w:rsidRDefault="00000000" w:rsidP="00A92406">
      <w:pPr>
        <w:pStyle w:val="Compact"/>
        <w:numPr>
          <w:ilvl w:val="0"/>
          <w:numId w:val="17"/>
        </w:numPr>
        <w:jc w:val="both"/>
        <w:rPr>
          <w:sz w:val="21"/>
          <w:szCs w:val="21"/>
        </w:rPr>
      </w:pPr>
      <m:oMath>
        <m:sSub>
          <m:sSubPr>
            <m:ctrlPr>
              <w:rPr>
                <w:rFonts w:ascii="Cambria Math" w:hAnsi="Cambria Math"/>
                <w:sz w:val="21"/>
                <w:szCs w:val="21"/>
              </w:rPr>
            </m:ctrlPr>
          </m:sSubPr>
          <m:e>
            <m:r>
              <w:rPr>
                <w:rFonts w:ascii="Cambria Math" w:hAnsi="Cambria Math"/>
                <w:sz w:val="21"/>
                <w:szCs w:val="21"/>
              </w:rPr>
              <m:t>γ</m:t>
            </m:r>
          </m:e>
          <m:sub>
            <m:r>
              <w:rPr>
                <w:rFonts w:ascii="Cambria Math" w:hAnsi="Cambria Math"/>
                <w:sz w:val="21"/>
                <w:szCs w:val="21"/>
              </w:rPr>
              <m:t>j</m:t>
            </m:r>
          </m:sub>
        </m:sSub>
      </m:oMath>
      <w:r w:rsidRPr="002844B1">
        <w:rPr>
          <w:sz w:val="21"/>
          <w:szCs w:val="21"/>
        </w:rPr>
        <w:t xml:space="preserve"> : les inconnus à ajuster par rapport à la courbe des taux zéro-coupon disponible avant extrapolation.</w:t>
      </w:r>
    </w:p>
    <w:p w:rsidR="005B279D" w:rsidRPr="002844B1" w:rsidRDefault="00000000" w:rsidP="00A92406">
      <w:pPr>
        <w:pStyle w:val="FirstParagraph"/>
        <w:jc w:val="both"/>
        <w:rPr>
          <w:sz w:val="21"/>
          <w:szCs w:val="21"/>
        </w:rPr>
      </w:pPr>
      <w:r w:rsidRPr="002844B1">
        <w:rPr>
          <w:sz w:val="21"/>
          <w:szCs w:val="21"/>
        </w:rPr>
        <w:t xml:space="preserve">Pour déterminer ces inconnus, on fixe d’abord </w:t>
      </w:r>
      <m:oMath>
        <m:r>
          <w:rPr>
            <w:rFonts w:ascii="Cambria Math" w:hAnsi="Cambria Math"/>
            <w:sz w:val="21"/>
            <w:szCs w:val="21"/>
          </w:rPr>
          <m:t>UFR</m:t>
        </m:r>
      </m:oMath>
      <w:r w:rsidRPr="002844B1">
        <w:rPr>
          <w:sz w:val="21"/>
          <w:szCs w:val="21"/>
        </w:rPr>
        <w:t xml:space="preserve"> et </w:t>
      </w:r>
      <m:oMath>
        <m:r>
          <w:rPr>
            <w:rFonts w:ascii="Cambria Math" w:hAnsi="Cambria Math"/>
            <w:sz w:val="21"/>
            <w:szCs w:val="21"/>
          </w:rPr>
          <m:t>α</m:t>
        </m:r>
      </m:oMath>
      <w:r w:rsidRPr="002844B1">
        <w:rPr>
          <w:sz w:val="21"/>
          <w:szCs w:val="21"/>
        </w:rPr>
        <w:t xml:space="preserve">,le vecteur </w:t>
      </w:r>
      <m:oMath>
        <m:r>
          <w:rPr>
            <w:rFonts w:ascii="Cambria Math" w:hAnsi="Cambria Math"/>
            <w:sz w:val="21"/>
            <w:szCs w:val="21"/>
          </w:rPr>
          <m:t>γ</m:t>
        </m:r>
      </m:oMath>
      <w:r w:rsidRPr="002844B1">
        <w:rPr>
          <w:sz w:val="21"/>
          <w:szCs w:val="21"/>
        </w:rPr>
        <w:t xml:space="preserve"> s’obtient comme solution d’un système d’équations linéaires définies par l’expression du prix de chaque obligation ZC considérée.</w:t>
      </w:r>
    </w:p>
    <w:p w:rsidR="005B279D" w:rsidRPr="002844B1" w:rsidRDefault="00000000" w:rsidP="00A92406">
      <w:pPr>
        <w:pStyle w:val="BodyText"/>
        <w:jc w:val="both"/>
        <w:rPr>
          <w:sz w:val="21"/>
          <w:szCs w:val="21"/>
        </w:rPr>
      </w:pPr>
      <w:r w:rsidRPr="002844B1">
        <w:rPr>
          <w:sz w:val="21"/>
          <w:szCs w:val="21"/>
        </w:rPr>
        <w:t>Soit :</w:t>
      </w:r>
    </w:p>
    <w:p w:rsidR="005B279D" w:rsidRPr="002844B1" w:rsidRDefault="00000000" w:rsidP="00A92406">
      <w:pPr>
        <w:pStyle w:val="BodyText"/>
        <w:jc w:val="both"/>
        <w:rPr>
          <w:sz w:val="21"/>
          <w:szCs w:val="21"/>
        </w:rPr>
      </w:pPr>
      <m:oMathPara>
        <m:oMathParaPr>
          <m:jc m:val="center"/>
        </m:oMathParaPr>
        <m:oMath>
          <m:sSub>
            <m:sSubPr>
              <m:ctrlPr>
                <w:rPr>
                  <w:rFonts w:ascii="Cambria Math" w:hAnsi="Cambria Math"/>
                  <w:sz w:val="21"/>
                  <w:szCs w:val="21"/>
                </w:rPr>
              </m:ctrlPr>
            </m:sSubPr>
            <m:e>
              <m:r>
                <w:rPr>
                  <w:rFonts w:ascii="Cambria Math" w:hAnsi="Cambria Math"/>
                  <w:sz w:val="21"/>
                  <w:szCs w:val="21"/>
                </w:rPr>
                <m:t>m</m:t>
              </m:r>
            </m:e>
            <m:sub>
              <m:r>
                <w:rPr>
                  <w:rFonts w:ascii="Cambria Math" w:hAnsi="Cambria Math"/>
                  <w:sz w:val="21"/>
                  <w:szCs w:val="21"/>
                </w:rPr>
                <m:t>j</m:t>
              </m:r>
            </m:sub>
          </m:sSub>
          <m:r>
            <w:rPr>
              <w:rFonts w:ascii="Cambria Math" w:hAnsi="Cambria Math"/>
              <w:sz w:val="21"/>
              <w:szCs w:val="21"/>
            </w:rPr>
            <m:t>=P</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μ</m:t>
                  </m:r>
                </m:e>
                <m:sub>
                  <m:r>
                    <w:rPr>
                      <w:rFonts w:ascii="Cambria Math" w:hAnsi="Cambria Math"/>
                      <w:sz w:val="21"/>
                      <w:szCs w:val="21"/>
                    </w:rPr>
                    <m:t>j</m:t>
                  </m:r>
                </m:sub>
              </m:sSub>
            </m:e>
          </m:d>
          <m:r>
            <w:rPr>
              <w:rFonts w:ascii="Cambria Math" w:hAnsi="Cambria Math"/>
              <w:sz w:val="21"/>
              <w:szCs w:val="21"/>
            </w:rPr>
            <m:t>=</m:t>
          </m:r>
          <m:sSup>
            <m:sSupPr>
              <m:ctrlPr>
                <w:rPr>
                  <w:rFonts w:ascii="Cambria Math" w:hAnsi="Cambria Math"/>
                  <w:sz w:val="21"/>
                  <w:szCs w:val="21"/>
                </w:rPr>
              </m:ctrlPr>
            </m:sSupPr>
            <m:e>
              <m:r>
                <w:rPr>
                  <w:rFonts w:ascii="Cambria Math" w:hAnsi="Cambria Math"/>
                  <w:sz w:val="21"/>
                  <w:szCs w:val="21"/>
                </w:rPr>
                <m:t>e</m:t>
              </m:r>
            </m:e>
            <m:sup>
              <m:r>
                <w:rPr>
                  <w:rFonts w:ascii="Cambria Math" w:hAnsi="Cambria Math"/>
                  <w:sz w:val="21"/>
                  <w:szCs w:val="21"/>
                </w:rPr>
                <m:t>-UFR*</m:t>
              </m:r>
              <m:sSub>
                <m:sSubPr>
                  <m:ctrlPr>
                    <w:rPr>
                      <w:rFonts w:ascii="Cambria Math" w:hAnsi="Cambria Math"/>
                      <w:sz w:val="21"/>
                      <w:szCs w:val="21"/>
                    </w:rPr>
                  </m:ctrlPr>
                </m:sSubPr>
                <m:e>
                  <m:r>
                    <w:rPr>
                      <w:rFonts w:ascii="Cambria Math" w:hAnsi="Cambria Math"/>
                      <w:sz w:val="21"/>
                      <w:szCs w:val="21"/>
                    </w:rPr>
                    <m:t>μ</m:t>
                  </m:r>
                </m:e>
                <m:sub>
                  <m:r>
                    <w:rPr>
                      <w:rFonts w:ascii="Cambria Math" w:hAnsi="Cambria Math"/>
                      <w:sz w:val="21"/>
                      <w:szCs w:val="21"/>
                    </w:rPr>
                    <m:t>j</m:t>
                  </m:r>
                </m:sub>
              </m:sSub>
            </m:sup>
          </m:sSup>
          <m:r>
            <w:rPr>
              <w:rFonts w:ascii="Cambria Math" w:hAnsi="Cambria Math"/>
              <w:sz w:val="21"/>
              <w:szCs w:val="21"/>
            </w:rPr>
            <m:t>+</m:t>
          </m:r>
          <m:nary>
            <m:naryPr>
              <m:chr m:val="∑"/>
              <m:limLoc m:val="undOvr"/>
              <m:ctrlPr>
                <w:rPr>
                  <w:rFonts w:ascii="Cambria Math" w:hAnsi="Cambria Math"/>
                  <w:sz w:val="21"/>
                  <w:szCs w:val="21"/>
                </w:rPr>
              </m:ctrlPr>
            </m:naryPr>
            <m:sub>
              <m:r>
                <w:rPr>
                  <w:rFonts w:ascii="Cambria Math" w:hAnsi="Cambria Math"/>
                  <w:sz w:val="21"/>
                  <w:szCs w:val="21"/>
                </w:rPr>
                <m:t>j=1</m:t>
              </m:r>
            </m:sub>
            <m:sup>
              <m:r>
                <w:rPr>
                  <w:rFonts w:ascii="Cambria Math" w:hAnsi="Cambria Math"/>
                  <w:sz w:val="21"/>
                  <w:szCs w:val="21"/>
                </w:rPr>
                <m:t>N</m:t>
              </m:r>
            </m:sup>
            <m:e>
              <m:sSub>
                <m:sSubPr>
                  <m:ctrlPr>
                    <w:rPr>
                      <w:rFonts w:ascii="Cambria Math" w:hAnsi="Cambria Math"/>
                      <w:sz w:val="21"/>
                      <w:szCs w:val="21"/>
                    </w:rPr>
                  </m:ctrlPr>
                </m:sSubPr>
                <m:e>
                  <m:r>
                    <w:rPr>
                      <w:rFonts w:ascii="Cambria Math" w:hAnsi="Cambria Math"/>
                      <w:sz w:val="21"/>
                      <w:szCs w:val="21"/>
                    </w:rPr>
                    <m:t>γ</m:t>
                  </m:r>
                </m:e>
                <m:sub>
                  <m:r>
                    <w:rPr>
                      <w:rFonts w:ascii="Cambria Math" w:hAnsi="Cambria Math"/>
                      <w:sz w:val="21"/>
                      <w:szCs w:val="21"/>
                    </w:rPr>
                    <m:t>j</m:t>
                  </m:r>
                </m:sub>
              </m:sSub>
            </m:e>
          </m:nary>
          <m:r>
            <w:rPr>
              <w:rFonts w:ascii="Cambria Math" w:hAnsi="Cambria Math"/>
              <w:sz w:val="21"/>
              <w:szCs w:val="21"/>
            </w:rPr>
            <m:t>*W</m:t>
          </m:r>
          <m:d>
            <m:dPr>
              <m:ctrlPr>
                <w:rPr>
                  <w:rFonts w:ascii="Cambria Math" w:hAnsi="Cambria Math"/>
                  <w:sz w:val="21"/>
                  <w:szCs w:val="21"/>
                </w:rPr>
              </m:ctrlPr>
            </m:dPr>
            <m:e>
              <m:r>
                <w:rPr>
                  <w:rFonts w:ascii="Cambria Math" w:hAnsi="Cambria Math"/>
                  <w:sz w:val="21"/>
                  <w:szCs w:val="21"/>
                </w:rPr>
                <m:t>τ,</m:t>
              </m:r>
              <m:sSub>
                <m:sSubPr>
                  <m:ctrlPr>
                    <w:rPr>
                      <w:rFonts w:ascii="Cambria Math" w:hAnsi="Cambria Math"/>
                      <w:sz w:val="21"/>
                      <w:szCs w:val="21"/>
                    </w:rPr>
                  </m:ctrlPr>
                </m:sSubPr>
                <m:e>
                  <m:r>
                    <w:rPr>
                      <w:rFonts w:ascii="Cambria Math" w:hAnsi="Cambria Math"/>
                      <w:sz w:val="21"/>
                      <w:szCs w:val="21"/>
                    </w:rPr>
                    <m:t>μ</m:t>
                  </m:r>
                </m:e>
                <m:sub>
                  <m:r>
                    <w:rPr>
                      <w:rFonts w:ascii="Cambria Math" w:hAnsi="Cambria Math"/>
                      <w:sz w:val="21"/>
                      <w:szCs w:val="21"/>
                    </w:rPr>
                    <m:t>j</m:t>
                  </m:r>
                </m:sub>
              </m:sSub>
            </m:e>
          </m:d>
          <m:r>
            <w:rPr>
              <w:rFonts w:ascii="Cambria Math" w:hAnsi="Cambria Math"/>
              <w:sz w:val="21"/>
              <w:szCs w:val="21"/>
            </w:rPr>
            <m:t> ,</m:t>
          </m:r>
        </m:oMath>
      </m:oMathPara>
    </w:p>
    <w:p w:rsidR="005B279D" w:rsidRPr="002844B1" w:rsidRDefault="00000000" w:rsidP="00A92406">
      <w:pPr>
        <w:pStyle w:val="FirstParagraph"/>
        <w:jc w:val="both"/>
        <w:rPr>
          <w:sz w:val="21"/>
          <w:szCs w:val="21"/>
        </w:rPr>
      </w:pPr>
      <w:r w:rsidRPr="002844B1">
        <w:rPr>
          <w:sz w:val="21"/>
          <w:szCs w:val="21"/>
        </w:rPr>
        <w:t>sous forme matricielle :</w:t>
      </w:r>
    </w:p>
    <w:p w:rsidR="005B279D" w:rsidRPr="002844B1" w:rsidRDefault="00000000" w:rsidP="00A92406">
      <w:pPr>
        <w:pStyle w:val="BodyText"/>
        <w:jc w:val="both"/>
        <w:rPr>
          <w:sz w:val="21"/>
          <w:szCs w:val="21"/>
        </w:rPr>
      </w:pPr>
      <m:oMathPara>
        <m:oMathParaPr>
          <m:jc m:val="center"/>
        </m:oMathParaPr>
        <m:oMath>
          <m:r>
            <w:rPr>
              <w:rFonts w:ascii="Cambria Math" w:hAnsi="Cambria Math"/>
              <w:sz w:val="21"/>
              <w:szCs w:val="21"/>
            </w:rPr>
            <w:lastRenderedPageBreak/>
            <m:t>m=P=µ+γ*W⇒γ=</m:t>
          </m:r>
          <m:sSup>
            <m:sSupPr>
              <m:ctrlPr>
                <w:rPr>
                  <w:rFonts w:ascii="Cambria Math" w:hAnsi="Cambria Math"/>
                  <w:sz w:val="21"/>
                  <w:szCs w:val="21"/>
                </w:rPr>
              </m:ctrlPr>
            </m:sSupPr>
            <m:e>
              <m:r>
                <w:rPr>
                  <w:rFonts w:ascii="Cambria Math" w:hAnsi="Cambria Math"/>
                  <w:sz w:val="21"/>
                  <w:szCs w:val="21"/>
                </w:rPr>
                <m:t>W</m:t>
              </m:r>
            </m:e>
            <m:sup>
              <m:r>
                <w:rPr>
                  <w:rFonts w:ascii="Cambria Math" w:hAnsi="Cambria Math"/>
                  <w:sz w:val="21"/>
                  <w:szCs w:val="21"/>
                </w:rPr>
                <m:t>-1</m:t>
              </m:r>
            </m:sup>
          </m:sSup>
          <m:d>
            <m:dPr>
              <m:ctrlPr>
                <w:rPr>
                  <w:rFonts w:ascii="Cambria Math" w:hAnsi="Cambria Math"/>
                  <w:sz w:val="21"/>
                  <w:szCs w:val="21"/>
                </w:rPr>
              </m:ctrlPr>
            </m:dPr>
            <m:e>
              <m:r>
                <w:rPr>
                  <w:rFonts w:ascii="Cambria Math" w:hAnsi="Cambria Math"/>
                  <w:sz w:val="21"/>
                  <w:szCs w:val="21"/>
                </w:rPr>
                <m:t>P-µ</m:t>
              </m:r>
            </m:e>
          </m:d>
          <m:r>
            <w:rPr>
              <w:rFonts w:ascii="Cambria Math" w:hAnsi="Cambria Math"/>
              <w:sz w:val="21"/>
              <w:szCs w:val="21"/>
            </w:rPr>
            <m:t>,</m:t>
          </m:r>
        </m:oMath>
      </m:oMathPara>
    </w:p>
    <w:p w:rsidR="005B279D" w:rsidRPr="002844B1" w:rsidRDefault="00000000" w:rsidP="00A92406">
      <w:pPr>
        <w:pStyle w:val="FirstParagraph"/>
        <w:jc w:val="both"/>
        <w:rPr>
          <w:sz w:val="21"/>
          <w:szCs w:val="21"/>
        </w:rPr>
      </w:pPr>
      <w:r w:rsidRPr="002844B1">
        <w:rPr>
          <w:sz w:val="21"/>
          <w:szCs w:val="21"/>
        </w:rPr>
        <w:t>avec:</w:t>
      </w:r>
    </w:p>
    <w:p w:rsidR="005B279D" w:rsidRPr="002844B1" w:rsidRDefault="00000000" w:rsidP="00A92406">
      <w:pPr>
        <w:pStyle w:val="BodyText"/>
        <w:jc w:val="both"/>
        <w:rPr>
          <w:sz w:val="21"/>
          <w:szCs w:val="21"/>
        </w:rPr>
      </w:pPr>
      <m:oMathPara>
        <m:oMath>
          <m:r>
            <w:rPr>
              <w:rFonts w:ascii="Cambria Math" w:hAnsi="Cambria Math"/>
              <w:sz w:val="21"/>
              <w:szCs w:val="21"/>
            </w:rPr>
            <m:t>m=</m:t>
          </m:r>
          <m:sSup>
            <m:sSupPr>
              <m:ctrlPr>
                <w:rPr>
                  <w:rFonts w:ascii="Cambria Math" w:hAnsi="Cambria Math"/>
                  <w:sz w:val="21"/>
                  <w:szCs w:val="21"/>
                </w:rPr>
              </m:ctrlPr>
            </m:sSupPr>
            <m:e>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m</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m</m:t>
                      </m:r>
                    </m:e>
                    <m:sub>
                      <m:r>
                        <w:rPr>
                          <w:rFonts w:ascii="Cambria Math" w:hAnsi="Cambria Math"/>
                          <w:sz w:val="21"/>
                          <w:szCs w:val="21"/>
                        </w:rPr>
                        <m:t>2</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m</m:t>
                      </m:r>
                    </m:e>
                    <m:sub>
                      <m:r>
                        <w:rPr>
                          <w:rFonts w:ascii="Cambria Math" w:hAnsi="Cambria Math"/>
                          <w:sz w:val="21"/>
                          <w:szCs w:val="21"/>
                        </w:rPr>
                        <m:t>N</m:t>
                      </m:r>
                    </m:sub>
                  </m:sSub>
                </m:e>
              </m:d>
            </m:e>
            <m:sup>
              <m:r>
                <w:rPr>
                  <w:rFonts w:ascii="Cambria Math" w:hAnsi="Cambria Math"/>
                  <w:sz w:val="21"/>
                  <w:szCs w:val="21"/>
                </w:rPr>
                <m:t>T</m:t>
              </m:r>
            </m:sup>
          </m:sSup>
        </m:oMath>
      </m:oMathPara>
    </w:p>
    <w:p w:rsidR="005B279D" w:rsidRPr="002844B1" w:rsidRDefault="00000000" w:rsidP="00A92406">
      <w:pPr>
        <w:pStyle w:val="BodyText"/>
        <w:jc w:val="both"/>
        <w:rPr>
          <w:sz w:val="21"/>
          <w:szCs w:val="21"/>
        </w:rPr>
      </w:pPr>
      <m:oMathPara>
        <m:oMath>
          <m:r>
            <w:rPr>
              <w:rFonts w:ascii="Cambria Math" w:hAnsi="Cambria Math"/>
              <w:sz w:val="21"/>
              <w:szCs w:val="21"/>
            </w:rPr>
            <m:t>P=</m:t>
          </m:r>
          <m:sSup>
            <m:sSupPr>
              <m:ctrlPr>
                <w:rPr>
                  <w:rFonts w:ascii="Cambria Math" w:hAnsi="Cambria Math"/>
                  <w:sz w:val="21"/>
                  <w:szCs w:val="21"/>
                </w:rPr>
              </m:ctrlPr>
            </m:sSupPr>
            <m:e>
              <m:d>
                <m:dPr>
                  <m:ctrlPr>
                    <w:rPr>
                      <w:rFonts w:ascii="Cambria Math" w:hAnsi="Cambria Math"/>
                      <w:sz w:val="21"/>
                      <w:szCs w:val="21"/>
                    </w:rPr>
                  </m:ctrlPr>
                </m:dPr>
                <m:e>
                  <m:r>
                    <w:rPr>
                      <w:rFonts w:ascii="Cambria Math" w:hAnsi="Cambria Math"/>
                      <w:sz w:val="21"/>
                      <w:szCs w:val="21"/>
                    </w:rPr>
                    <m:t>P</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u</m:t>
                          </m:r>
                        </m:e>
                        <m:sub>
                          <m:r>
                            <w:rPr>
                              <w:rFonts w:ascii="Cambria Math" w:hAnsi="Cambria Math"/>
                              <w:sz w:val="21"/>
                              <w:szCs w:val="21"/>
                            </w:rPr>
                            <m:t>1</m:t>
                          </m:r>
                        </m:sub>
                      </m:sSub>
                    </m:e>
                  </m:d>
                  <m:r>
                    <w:rPr>
                      <w:rFonts w:ascii="Cambria Math" w:hAnsi="Cambria Math"/>
                      <w:sz w:val="21"/>
                      <w:szCs w:val="21"/>
                    </w:rPr>
                    <m:t>,P</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u</m:t>
                          </m:r>
                        </m:e>
                        <m:sub>
                          <m:r>
                            <w:rPr>
                              <w:rFonts w:ascii="Cambria Math" w:hAnsi="Cambria Math"/>
                              <w:sz w:val="21"/>
                              <w:szCs w:val="21"/>
                            </w:rPr>
                            <m:t>2</m:t>
                          </m:r>
                        </m:sub>
                      </m:sSub>
                    </m:e>
                  </m:d>
                  <m:r>
                    <w:rPr>
                      <w:rFonts w:ascii="Cambria Math" w:hAnsi="Cambria Math"/>
                      <w:sz w:val="21"/>
                      <w:szCs w:val="21"/>
                    </w:rPr>
                    <m:t>,…,P</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u</m:t>
                          </m:r>
                        </m:e>
                        <m:sub>
                          <m:r>
                            <w:rPr>
                              <w:rFonts w:ascii="Cambria Math" w:hAnsi="Cambria Math"/>
                              <w:sz w:val="21"/>
                              <w:szCs w:val="21"/>
                            </w:rPr>
                            <m:t>N</m:t>
                          </m:r>
                        </m:sub>
                      </m:sSub>
                    </m:e>
                  </m:d>
                </m:e>
              </m:d>
            </m:e>
            <m:sup>
              <m:r>
                <w:rPr>
                  <w:rFonts w:ascii="Cambria Math" w:hAnsi="Cambria Math"/>
                  <w:sz w:val="21"/>
                  <w:szCs w:val="21"/>
                </w:rPr>
                <m:t>T</m:t>
              </m:r>
            </m:sup>
          </m:sSup>
        </m:oMath>
      </m:oMathPara>
    </w:p>
    <w:p w:rsidR="00263816" w:rsidRPr="002844B1" w:rsidRDefault="00000000" w:rsidP="00263816">
      <w:pPr>
        <w:pStyle w:val="BodyText"/>
        <w:jc w:val="both"/>
        <w:rPr>
          <w:sz w:val="21"/>
          <w:szCs w:val="21"/>
        </w:rPr>
      </w:pPr>
      <m:oMathPara>
        <m:oMath>
          <m:r>
            <w:rPr>
              <w:rFonts w:ascii="Cambria Math" w:hAnsi="Cambria Math"/>
              <w:sz w:val="21"/>
              <w:szCs w:val="21"/>
            </w:rPr>
            <m:t>µ=</m:t>
          </m:r>
          <m:sSup>
            <m:sSupPr>
              <m:ctrlPr>
                <w:rPr>
                  <w:rFonts w:ascii="Cambria Math" w:hAnsi="Cambria Math"/>
                  <w:sz w:val="21"/>
                  <w:szCs w:val="21"/>
                </w:rPr>
              </m:ctrlPr>
            </m:sSupPr>
            <m:e>
              <m:d>
                <m:dPr>
                  <m:ctrlPr>
                    <w:rPr>
                      <w:rFonts w:ascii="Cambria Math" w:hAnsi="Cambria Math"/>
                      <w:sz w:val="21"/>
                      <w:szCs w:val="21"/>
                    </w:rPr>
                  </m:ctrlPr>
                </m:dPr>
                <m:e>
                  <m:sSup>
                    <m:sSupPr>
                      <m:ctrlPr>
                        <w:rPr>
                          <w:rFonts w:ascii="Cambria Math" w:hAnsi="Cambria Math"/>
                          <w:sz w:val="21"/>
                          <w:szCs w:val="21"/>
                        </w:rPr>
                      </m:ctrlPr>
                    </m:sSupPr>
                    <m:e>
                      <m:r>
                        <w:rPr>
                          <w:rFonts w:ascii="Cambria Math" w:hAnsi="Cambria Math"/>
                          <w:sz w:val="21"/>
                          <w:szCs w:val="21"/>
                        </w:rPr>
                        <m:t>e</m:t>
                      </m:r>
                    </m:e>
                    <m:sup>
                      <m:r>
                        <w:rPr>
                          <w:rFonts w:ascii="Cambria Math" w:hAnsi="Cambria Math"/>
                          <w:sz w:val="21"/>
                          <w:szCs w:val="21"/>
                        </w:rPr>
                        <m:t>-UFR*</m:t>
                      </m:r>
                      <m:sSub>
                        <m:sSubPr>
                          <m:ctrlPr>
                            <w:rPr>
                              <w:rFonts w:ascii="Cambria Math" w:hAnsi="Cambria Math"/>
                              <w:sz w:val="21"/>
                              <w:szCs w:val="21"/>
                            </w:rPr>
                          </m:ctrlPr>
                        </m:sSubPr>
                        <m:e>
                          <m:r>
                            <w:rPr>
                              <w:rFonts w:ascii="Cambria Math" w:hAnsi="Cambria Math"/>
                              <w:sz w:val="21"/>
                              <w:szCs w:val="21"/>
                            </w:rPr>
                            <m:t>u</m:t>
                          </m:r>
                        </m:e>
                        <m:sub>
                          <m:r>
                            <w:rPr>
                              <w:rFonts w:ascii="Cambria Math" w:hAnsi="Cambria Math"/>
                              <w:sz w:val="21"/>
                              <w:szCs w:val="21"/>
                            </w:rPr>
                            <m:t>1</m:t>
                          </m:r>
                        </m:sub>
                      </m:sSub>
                    </m:sup>
                  </m:sSup>
                  <m:r>
                    <w:rPr>
                      <w:rFonts w:ascii="Cambria Math" w:hAnsi="Cambria Math"/>
                      <w:sz w:val="21"/>
                      <w:szCs w:val="21"/>
                    </w:rPr>
                    <m:t>,</m:t>
                  </m:r>
                  <m:sSup>
                    <m:sSupPr>
                      <m:ctrlPr>
                        <w:rPr>
                          <w:rFonts w:ascii="Cambria Math" w:hAnsi="Cambria Math"/>
                          <w:sz w:val="21"/>
                          <w:szCs w:val="21"/>
                        </w:rPr>
                      </m:ctrlPr>
                    </m:sSupPr>
                    <m:e>
                      <m:r>
                        <w:rPr>
                          <w:rFonts w:ascii="Cambria Math" w:hAnsi="Cambria Math"/>
                          <w:sz w:val="21"/>
                          <w:szCs w:val="21"/>
                        </w:rPr>
                        <m:t>e</m:t>
                      </m:r>
                    </m:e>
                    <m:sup>
                      <m:r>
                        <w:rPr>
                          <w:rFonts w:ascii="Cambria Math" w:hAnsi="Cambria Math"/>
                          <w:sz w:val="21"/>
                          <w:szCs w:val="21"/>
                        </w:rPr>
                        <m:t>-UFR*</m:t>
                      </m:r>
                      <m:sSub>
                        <m:sSubPr>
                          <m:ctrlPr>
                            <w:rPr>
                              <w:rFonts w:ascii="Cambria Math" w:hAnsi="Cambria Math"/>
                              <w:sz w:val="21"/>
                              <w:szCs w:val="21"/>
                            </w:rPr>
                          </m:ctrlPr>
                        </m:sSubPr>
                        <m:e>
                          <m:r>
                            <w:rPr>
                              <w:rFonts w:ascii="Cambria Math" w:hAnsi="Cambria Math"/>
                              <w:sz w:val="21"/>
                              <w:szCs w:val="21"/>
                            </w:rPr>
                            <m:t>u</m:t>
                          </m:r>
                        </m:e>
                        <m:sub>
                          <m:r>
                            <w:rPr>
                              <w:rFonts w:ascii="Cambria Math" w:hAnsi="Cambria Math"/>
                              <w:sz w:val="21"/>
                              <w:szCs w:val="21"/>
                            </w:rPr>
                            <m:t>2</m:t>
                          </m:r>
                        </m:sub>
                      </m:sSub>
                    </m:sup>
                  </m:sSup>
                  <m:r>
                    <w:rPr>
                      <w:rFonts w:ascii="Cambria Math" w:hAnsi="Cambria Math"/>
                      <w:sz w:val="21"/>
                      <w:szCs w:val="21"/>
                    </w:rPr>
                    <m:t>,…,</m:t>
                  </m:r>
                  <m:sSup>
                    <m:sSupPr>
                      <m:ctrlPr>
                        <w:rPr>
                          <w:rFonts w:ascii="Cambria Math" w:hAnsi="Cambria Math"/>
                          <w:sz w:val="21"/>
                          <w:szCs w:val="21"/>
                        </w:rPr>
                      </m:ctrlPr>
                    </m:sSupPr>
                    <m:e>
                      <m:r>
                        <w:rPr>
                          <w:rFonts w:ascii="Cambria Math" w:hAnsi="Cambria Math"/>
                          <w:sz w:val="21"/>
                          <w:szCs w:val="21"/>
                        </w:rPr>
                        <m:t>e</m:t>
                      </m:r>
                    </m:e>
                    <m:sup>
                      <m:r>
                        <w:rPr>
                          <w:rFonts w:ascii="Cambria Math" w:hAnsi="Cambria Math"/>
                          <w:sz w:val="21"/>
                          <w:szCs w:val="21"/>
                        </w:rPr>
                        <m:t>-UFR*</m:t>
                      </m:r>
                      <m:sSub>
                        <m:sSubPr>
                          <m:ctrlPr>
                            <w:rPr>
                              <w:rFonts w:ascii="Cambria Math" w:hAnsi="Cambria Math"/>
                              <w:sz w:val="21"/>
                              <w:szCs w:val="21"/>
                            </w:rPr>
                          </m:ctrlPr>
                        </m:sSubPr>
                        <m:e>
                          <m:r>
                            <w:rPr>
                              <w:rFonts w:ascii="Cambria Math" w:hAnsi="Cambria Math"/>
                              <w:sz w:val="21"/>
                              <w:szCs w:val="21"/>
                            </w:rPr>
                            <m:t>u</m:t>
                          </m:r>
                        </m:e>
                        <m:sub>
                          <m:r>
                            <w:rPr>
                              <w:rFonts w:ascii="Cambria Math" w:hAnsi="Cambria Math"/>
                              <w:sz w:val="21"/>
                              <w:szCs w:val="21"/>
                            </w:rPr>
                            <m:t>N</m:t>
                          </m:r>
                        </m:sub>
                      </m:sSub>
                    </m:sup>
                  </m:sSup>
                </m:e>
              </m:d>
            </m:e>
            <m:sup>
              <m:r>
                <w:rPr>
                  <w:rFonts w:ascii="Cambria Math" w:hAnsi="Cambria Math"/>
                  <w:sz w:val="21"/>
                  <w:szCs w:val="21"/>
                </w:rPr>
                <m:t>T</m:t>
              </m:r>
            </m:sup>
          </m:sSup>
        </m:oMath>
      </m:oMathPara>
    </w:p>
    <w:p w:rsidR="00263816" w:rsidRPr="002844B1" w:rsidRDefault="00263816" w:rsidP="00263816">
      <w:pPr>
        <w:pStyle w:val="BodyText"/>
        <w:jc w:val="both"/>
        <w:rPr>
          <w:sz w:val="21"/>
          <w:szCs w:val="21"/>
        </w:rPr>
      </w:pPr>
      <m:oMathPara>
        <m:oMath>
          <m:r>
            <w:rPr>
              <w:rFonts w:ascii="Cambria Math" w:hAnsi="Cambria Math"/>
              <w:sz w:val="21"/>
              <w:szCs w:val="21"/>
            </w:rPr>
            <m:t xml:space="preserve">W= </m:t>
          </m:r>
          <m:d>
            <m:dPr>
              <m:ctrlPr>
                <w:rPr>
                  <w:rFonts w:ascii="Cambria Math" w:hAnsi="Cambria Math"/>
                  <w:sz w:val="21"/>
                  <w:szCs w:val="21"/>
                </w:rPr>
              </m:ctrlPr>
            </m:dPr>
            <m:e>
              <m:m>
                <m:mPr>
                  <m:mcs>
                    <m:mc>
                      <m:mcPr>
                        <m:count m:val="3"/>
                        <m:mcJc m:val="center"/>
                      </m:mcPr>
                    </m:mc>
                  </m:mcs>
                  <m:ctrlPr>
                    <w:rPr>
                      <w:rFonts w:ascii="Cambria Math" w:hAnsi="Cambria Math"/>
                      <w:sz w:val="21"/>
                      <w:szCs w:val="21"/>
                    </w:rPr>
                  </m:ctrlPr>
                </m:mPr>
                <m:mr>
                  <m:e>
                    <m:sSub>
                      <m:sSubPr>
                        <m:ctrlPr>
                          <w:rPr>
                            <w:rFonts w:ascii="Cambria Math" w:hAnsi="Cambria Math"/>
                            <w:sz w:val="21"/>
                            <w:szCs w:val="21"/>
                          </w:rPr>
                        </m:ctrlPr>
                      </m:sSubPr>
                      <m:e>
                        <m:r>
                          <w:rPr>
                            <w:rFonts w:ascii="Cambria Math" w:hAnsi="Cambria Math"/>
                            <w:sz w:val="21"/>
                            <w:szCs w:val="21"/>
                          </w:rPr>
                          <m:t>W</m:t>
                        </m:r>
                      </m:e>
                      <m:sub>
                        <m:r>
                          <w:rPr>
                            <w:rFonts w:ascii="Cambria Math" w:hAnsi="Cambria Math"/>
                            <w:sz w:val="21"/>
                            <w:szCs w:val="21"/>
                          </w:rPr>
                          <m:t>1N</m:t>
                        </m:r>
                      </m:sub>
                    </m:sSub>
                  </m:e>
                  <m:e>
                    <m:r>
                      <w:rPr>
                        <w:rFonts w:ascii="Cambria Math" w:hAnsi="Cambria Math"/>
                        <w:sz w:val="21"/>
                        <w:szCs w:val="21"/>
                      </w:rPr>
                      <m:t>⋯</m:t>
                    </m:r>
                  </m:e>
                  <m:e>
                    <m:sSub>
                      <m:sSubPr>
                        <m:ctrlPr>
                          <w:rPr>
                            <w:rFonts w:ascii="Cambria Math" w:hAnsi="Cambria Math"/>
                            <w:sz w:val="21"/>
                            <w:szCs w:val="21"/>
                          </w:rPr>
                        </m:ctrlPr>
                      </m:sSubPr>
                      <m:e>
                        <m:r>
                          <w:rPr>
                            <w:rFonts w:ascii="Cambria Math" w:hAnsi="Cambria Math"/>
                            <w:sz w:val="21"/>
                            <w:szCs w:val="21"/>
                          </w:rPr>
                          <m:t>W</m:t>
                        </m:r>
                      </m:e>
                      <m:sub>
                        <m:r>
                          <w:rPr>
                            <w:rFonts w:ascii="Cambria Math" w:hAnsi="Cambria Math"/>
                            <w:sz w:val="21"/>
                            <w:szCs w:val="21"/>
                          </w:rPr>
                          <m:t>1</m:t>
                        </m:r>
                      </m:sub>
                    </m:sSub>
                    <m:r>
                      <w:rPr>
                        <w:rFonts w:ascii="Cambria Math" w:hAnsi="Cambria Math"/>
                        <w:sz w:val="21"/>
                        <w:szCs w:val="21"/>
                      </w:rPr>
                      <m:t>N</m:t>
                    </m:r>
                  </m:e>
                </m:mr>
                <m:mr>
                  <m:e>
                    <m:r>
                      <w:rPr>
                        <w:rFonts w:ascii="Cambria Math" w:hAnsi="Cambria Math"/>
                        <w:sz w:val="21"/>
                        <w:szCs w:val="21"/>
                      </w:rPr>
                      <m:t>⋮</m:t>
                    </m:r>
                  </m:e>
                  <m:e>
                    <m:r>
                      <w:rPr>
                        <w:rFonts w:ascii="Cambria Math" w:hAnsi="Cambria Math"/>
                        <w:sz w:val="21"/>
                        <w:szCs w:val="21"/>
                      </w:rPr>
                      <m:t>⋱</m:t>
                    </m:r>
                  </m:e>
                  <m:e>
                    <m:r>
                      <w:rPr>
                        <w:rFonts w:ascii="Cambria Math" w:hAnsi="Cambria Math"/>
                        <w:sz w:val="21"/>
                        <w:szCs w:val="21"/>
                      </w:rPr>
                      <m:t>⋮</m:t>
                    </m:r>
                  </m:e>
                </m:mr>
                <m:mr>
                  <m:e>
                    <m:sSub>
                      <m:sSubPr>
                        <m:ctrlPr>
                          <w:rPr>
                            <w:rFonts w:ascii="Cambria Math" w:hAnsi="Cambria Math"/>
                            <w:sz w:val="21"/>
                            <w:szCs w:val="21"/>
                          </w:rPr>
                        </m:ctrlPr>
                      </m:sSubPr>
                      <m:e>
                        <m:r>
                          <w:rPr>
                            <w:rFonts w:ascii="Cambria Math" w:hAnsi="Cambria Math"/>
                            <w:sz w:val="21"/>
                            <w:szCs w:val="21"/>
                          </w:rPr>
                          <m:t>W</m:t>
                        </m:r>
                      </m:e>
                      <m:sub>
                        <m:r>
                          <w:rPr>
                            <w:rFonts w:ascii="Cambria Math" w:hAnsi="Cambria Math"/>
                            <w:sz w:val="21"/>
                            <w:szCs w:val="21"/>
                          </w:rPr>
                          <m:t>N1</m:t>
                        </m:r>
                      </m:sub>
                    </m:sSub>
                  </m:e>
                  <m:e>
                    <m:r>
                      <w:rPr>
                        <w:rFonts w:ascii="Cambria Math" w:hAnsi="Cambria Math"/>
                        <w:sz w:val="21"/>
                        <w:szCs w:val="21"/>
                      </w:rPr>
                      <m:t>⋯</m:t>
                    </m:r>
                  </m:e>
                  <m:e>
                    <m:sSub>
                      <m:sSubPr>
                        <m:ctrlPr>
                          <w:rPr>
                            <w:rFonts w:ascii="Cambria Math" w:hAnsi="Cambria Math"/>
                            <w:sz w:val="21"/>
                            <w:szCs w:val="21"/>
                          </w:rPr>
                        </m:ctrlPr>
                      </m:sSubPr>
                      <m:e>
                        <m:r>
                          <w:rPr>
                            <w:rFonts w:ascii="Cambria Math" w:hAnsi="Cambria Math"/>
                            <w:sz w:val="21"/>
                            <w:szCs w:val="21"/>
                          </w:rPr>
                          <m:t>W</m:t>
                        </m:r>
                      </m:e>
                      <m:sub>
                        <m:r>
                          <w:rPr>
                            <w:rFonts w:ascii="Cambria Math" w:hAnsi="Cambria Math"/>
                            <w:sz w:val="21"/>
                            <w:szCs w:val="21"/>
                          </w:rPr>
                          <m:t>N</m:t>
                        </m:r>
                      </m:sub>
                    </m:sSub>
                    <m:r>
                      <w:rPr>
                        <w:rFonts w:ascii="Cambria Math" w:hAnsi="Cambria Math"/>
                        <w:sz w:val="21"/>
                        <w:szCs w:val="21"/>
                      </w:rPr>
                      <m:t>N</m:t>
                    </m:r>
                  </m:e>
                </m:mr>
              </m:m>
            </m:e>
          </m:d>
        </m:oMath>
      </m:oMathPara>
    </w:p>
    <w:p w:rsidR="005B279D" w:rsidRPr="002844B1" w:rsidRDefault="00000000" w:rsidP="00A92406">
      <w:pPr>
        <w:pStyle w:val="BodyText"/>
        <w:jc w:val="both"/>
        <w:rPr>
          <w:sz w:val="21"/>
          <w:szCs w:val="21"/>
        </w:rPr>
      </w:pPr>
      <m:oMathPara>
        <m:oMathParaPr>
          <m:jc m:val="center"/>
        </m:oMathParaPr>
        <m:oMath>
          <m:r>
            <w:rPr>
              <w:rFonts w:ascii="Cambria Math" w:hAnsi="Cambria Math"/>
              <w:sz w:val="21"/>
              <w:szCs w:val="21"/>
            </w:rPr>
            <m:t>Wij=W</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u</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u</m:t>
                  </m:r>
                </m:e>
                <m:sub>
                  <m:r>
                    <w:rPr>
                      <w:rFonts w:ascii="Cambria Math" w:hAnsi="Cambria Math"/>
                      <w:sz w:val="21"/>
                      <w:szCs w:val="21"/>
                    </w:rPr>
                    <m:t>j</m:t>
                  </m:r>
                </m:sub>
              </m:sSub>
            </m:e>
          </m:d>
          <m:r>
            <w:rPr>
              <w:rFonts w:ascii="Cambria Math" w:hAnsi="Cambria Math"/>
              <w:sz w:val="21"/>
              <w:szCs w:val="21"/>
            </w:rPr>
            <m:t>  i,j=1,…,N  </m:t>
          </m:r>
        </m:oMath>
      </m:oMathPara>
    </w:p>
    <w:p w:rsidR="005B279D" w:rsidRPr="002844B1" w:rsidRDefault="00000000" w:rsidP="00A92406">
      <w:pPr>
        <w:pStyle w:val="FirstParagraph"/>
        <w:jc w:val="both"/>
        <w:rPr>
          <w:sz w:val="21"/>
          <w:szCs w:val="21"/>
        </w:rPr>
      </w:pPr>
      <w:r w:rsidRPr="002844B1">
        <w:rPr>
          <w:sz w:val="21"/>
          <w:szCs w:val="21"/>
        </w:rPr>
        <w:t>Après la détermination des inconnus, on passe au calcul des prix zéro-coupon correspondants aux maturités pleines, et finalement déduire les taux zéro-coupon correspondants à ces maturités par la relation suivante :</w:t>
      </w:r>
    </w:p>
    <w:p w:rsidR="005B279D" w:rsidRPr="002844B1" w:rsidRDefault="00000000" w:rsidP="00A92406">
      <w:pPr>
        <w:pStyle w:val="BodyText"/>
        <w:jc w:val="both"/>
        <w:rPr>
          <w:sz w:val="21"/>
          <w:szCs w:val="21"/>
        </w:rPr>
      </w:pPr>
      <m:oMathPara>
        <m:oMathParaPr>
          <m:jc m:val="center"/>
        </m:oMathParaPr>
        <m:oMath>
          <m: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r>
            <w:rPr>
              <w:rFonts w:ascii="Cambria Math" w:hAnsi="Cambria Math"/>
              <w:sz w:val="21"/>
              <w:szCs w:val="21"/>
            </w:rPr>
            <m:t>=</m:t>
          </m:r>
          <m:sSup>
            <m:sSupPr>
              <m:ctrlPr>
                <w:rPr>
                  <w:rFonts w:ascii="Cambria Math" w:hAnsi="Cambria Math"/>
                  <w:sz w:val="21"/>
                  <w:szCs w:val="21"/>
                </w:rPr>
              </m:ctrlPr>
            </m:sSupPr>
            <m:e>
              <m:d>
                <m:dPr>
                  <m:ctrlPr>
                    <w:rPr>
                      <w:rFonts w:ascii="Cambria Math" w:hAnsi="Cambria Math"/>
                      <w:sz w:val="21"/>
                      <w:szCs w:val="21"/>
                    </w:rPr>
                  </m:ctrlPr>
                </m:dPr>
                <m:e>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P</m:t>
                      </m:r>
                      <m:d>
                        <m:dPr>
                          <m:ctrlPr>
                            <w:rPr>
                              <w:rFonts w:ascii="Cambria Math" w:hAnsi="Cambria Math"/>
                              <w:sz w:val="21"/>
                              <w:szCs w:val="21"/>
                            </w:rPr>
                          </m:ctrlPr>
                        </m:dPr>
                        <m:e>
                          <m:r>
                            <w:rPr>
                              <w:rFonts w:ascii="Cambria Math" w:hAnsi="Cambria Math"/>
                              <w:sz w:val="21"/>
                              <w:szCs w:val="21"/>
                            </w:rPr>
                            <m:t>t</m:t>
                          </m:r>
                        </m:e>
                      </m:d>
                    </m:den>
                  </m:f>
                </m:e>
              </m:d>
            </m:e>
            <m:sup>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t</m:t>
                  </m:r>
                </m:den>
              </m:f>
            </m:sup>
          </m:sSup>
          <m:r>
            <w:rPr>
              <w:rFonts w:ascii="Cambria Math" w:hAnsi="Cambria Math"/>
              <w:sz w:val="21"/>
              <w:szCs w:val="21"/>
            </w:rPr>
            <m:t>-1  </m:t>
          </m:r>
          <m:d>
            <m:dPr>
              <m:ctrlPr>
                <w:rPr>
                  <w:rFonts w:ascii="Cambria Math" w:hAnsi="Cambria Math"/>
                  <w:sz w:val="21"/>
                  <w:szCs w:val="21"/>
                </w:rPr>
              </m:ctrlPr>
            </m:dPr>
            <m:e>
              <m:r>
                <w:rPr>
                  <w:rFonts w:ascii="Cambria Math" w:hAnsi="Cambria Math"/>
                  <w:sz w:val="21"/>
                  <w:szCs w:val="21"/>
                </w:rPr>
                <m:t>6</m:t>
              </m:r>
            </m:e>
          </m:d>
        </m:oMath>
      </m:oMathPara>
    </w:p>
    <w:p w:rsidR="00263816" w:rsidRPr="002844B1" w:rsidRDefault="00263816" w:rsidP="00A92406">
      <w:pPr>
        <w:pStyle w:val="BodyText"/>
        <w:jc w:val="both"/>
        <w:rPr>
          <w:sz w:val="21"/>
          <w:szCs w:val="21"/>
        </w:rPr>
      </w:pPr>
    </w:p>
    <w:p w:rsidR="00263816" w:rsidRPr="002844B1" w:rsidRDefault="00263816">
      <w:pPr>
        <w:rPr>
          <w:sz w:val="21"/>
          <w:szCs w:val="21"/>
        </w:rPr>
      </w:pPr>
      <w:r w:rsidRPr="002844B1">
        <w:rPr>
          <w:sz w:val="21"/>
          <w:szCs w:val="21"/>
        </w:rPr>
        <w:br w:type="page"/>
      </w:r>
    </w:p>
    <w:p w:rsidR="00263816" w:rsidRPr="002844B1" w:rsidRDefault="00263816" w:rsidP="00A92406">
      <w:pPr>
        <w:pStyle w:val="BodyText"/>
        <w:jc w:val="both"/>
        <w:rPr>
          <w:sz w:val="21"/>
          <w:szCs w:val="21"/>
        </w:rPr>
      </w:pPr>
    </w:p>
    <w:p w:rsidR="005B279D" w:rsidRPr="002844B1" w:rsidRDefault="00000000" w:rsidP="00AA7351">
      <w:pPr>
        <w:pStyle w:val="headAOD"/>
      </w:pPr>
      <w:bookmarkStart w:id="32" w:name="_Toc137651006"/>
      <w:bookmarkEnd w:id="16"/>
      <w:bookmarkEnd w:id="17"/>
      <w:bookmarkEnd w:id="30"/>
      <w:r w:rsidRPr="002844B1">
        <w:t>3. CHAPITRE III : Valorisation de l’actif</w:t>
      </w:r>
      <w:bookmarkEnd w:id="32"/>
    </w:p>
    <w:p w:rsidR="00263816" w:rsidRPr="002844B1" w:rsidRDefault="00263816" w:rsidP="00263816">
      <w:pPr>
        <w:pStyle w:val="FirstParagraph"/>
      </w:pPr>
      <w:bookmarkStart w:id="33" w:name="_Toc137651007"/>
    </w:p>
    <w:p w:rsidR="005B279D" w:rsidRPr="002844B1" w:rsidRDefault="00000000">
      <w:pPr>
        <w:pStyle w:val="Heading2"/>
      </w:pPr>
      <w:r w:rsidRPr="002844B1">
        <w:t>3.1 Directives de l’ACAPS</w:t>
      </w:r>
      <w:bookmarkStart w:id="34" w:name="directives-de-lacaps"/>
      <w:bookmarkEnd w:id="33"/>
    </w:p>
    <w:p w:rsidR="005B279D" w:rsidRPr="002844B1" w:rsidRDefault="00000000">
      <w:pPr>
        <w:pStyle w:val="FirstParagraph"/>
      </w:pPr>
      <w:r w:rsidRPr="002844B1">
        <w:t>Selon les directions de l’autorité de contrôle des Assurances et de la Prévoyance Sociale, les actifs doivent être évaluer comme suit :</w:t>
      </w:r>
    </w:p>
    <w:tbl>
      <w:tblPr>
        <w:tblStyle w:val="GridTable4-Accent2"/>
        <w:tblW w:w="0" w:type="auto"/>
        <w:jc w:val="center"/>
        <w:tblLook w:val="0020" w:firstRow="1" w:lastRow="0" w:firstColumn="0" w:lastColumn="0" w:noHBand="0" w:noVBand="0"/>
      </w:tblPr>
      <w:tblGrid>
        <w:gridCol w:w="4430"/>
        <w:gridCol w:w="4238"/>
      </w:tblGrid>
      <w:tr w:rsidR="005B279D" w:rsidRPr="002844B1" w:rsidTr="0026381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Actif</w:t>
            </w:r>
          </w:p>
        </w:tc>
        <w:tc>
          <w:tcPr>
            <w:tcW w:w="0" w:type="auto"/>
          </w:tcPr>
          <w:p w:rsidR="005B279D" w:rsidRPr="002844B1" w:rsidRDefault="00000000">
            <w:pPr>
              <w:pStyle w:val="Compact"/>
              <w:cnfStyle w:val="100000000000" w:firstRow="1" w:lastRow="0" w:firstColumn="0" w:lastColumn="0" w:oddVBand="0" w:evenVBand="0" w:oddHBand="0" w:evenHBand="0" w:firstRowFirstColumn="0" w:firstRowLastColumn="0" w:lastRowFirstColumn="0" w:lastRowLastColumn="0"/>
            </w:pPr>
            <w:r w:rsidRPr="002844B1">
              <w:t>Valorisation</w:t>
            </w:r>
          </w:p>
        </w:tc>
      </w:tr>
      <w:tr w:rsidR="005B279D" w:rsidRPr="002844B1"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Actions cotées à la bourse</w:t>
            </w:r>
          </w:p>
        </w:tc>
        <w:tc>
          <w:tcPr>
            <w:tcW w:w="0" w:type="auto"/>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Dernier cours coté</w:t>
            </w:r>
          </w:p>
        </w:tc>
      </w:tr>
      <w:tr w:rsidR="005B279D" w:rsidRPr="002844B1"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Titres OPCVM et OPCI</w:t>
            </w:r>
          </w:p>
        </w:tc>
        <w:tc>
          <w:tcPr>
            <w:tcW w:w="0" w:type="auto"/>
          </w:tcPr>
          <w:p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pPr>
            <w:r w:rsidRPr="002844B1">
              <w:t>Dernière valeur liquidative</w:t>
            </w:r>
          </w:p>
        </w:tc>
      </w:tr>
      <w:tr w:rsidR="005B279D" w:rsidRPr="002844B1"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Titres OPCC et FPCT</w:t>
            </w:r>
          </w:p>
        </w:tc>
        <w:tc>
          <w:tcPr>
            <w:tcW w:w="0" w:type="auto"/>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Dernière valeur connue</w:t>
            </w:r>
          </w:p>
        </w:tc>
      </w:tr>
      <w:tr w:rsidR="005B279D" w:rsidRPr="002844B1"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Titres de créances négociables , obligations et bons</w:t>
            </w:r>
          </w:p>
        </w:tc>
        <w:tc>
          <w:tcPr>
            <w:tcW w:w="0" w:type="auto"/>
          </w:tcPr>
          <w:p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pPr>
            <w:r w:rsidRPr="002844B1">
              <w:t>Valeur de marché</w:t>
            </w:r>
          </w:p>
        </w:tc>
      </w:tr>
      <w:tr w:rsidR="005B279D" w:rsidRPr="002844B1"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Immobilisations corporelles</w:t>
            </w:r>
          </w:p>
        </w:tc>
        <w:tc>
          <w:tcPr>
            <w:tcW w:w="0" w:type="auto"/>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Valeur comptable</w:t>
            </w:r>
          </w:p>
        </w:tc>
      </w:tr>
      <w:tr w:rsidR="005B279D" w:rsidRPr="002844B1"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Autres créances</w:t>
            </w:r>
          </w:p>
        </w:tc>
        <w:tc>
          <w:tcPr>
            <w:tcW w:w="0" w:type="auto"/>
          </w:tcPr>
          <w:p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pPr>
            <w:r w:rsidRPr="002844B1">
              <w:t>Valeur comptable</w:t>
            </w:r>
          </w:p>
        </w:tc>
      </w:tr>
      <w:tr w:rsidR="005B279D" w:rsidRPr="002844B1"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 xml:space="preserve">Immobilisations en </w:t>
            </w:r>
            <w:r w:rsidR="002844B1" w:rsidRPr="002844B1">
              <w:t>non-valeur</w:t>
            </w:r>
          </w:p>
        </w:tc>
        <w:tc>
          <w:tcPr>
            <w:tcW w:w="0" w:type="auto"/>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Valeur nulle</w:t>
            </w:r>
          </w:p>
        </w:tc>
      </w:tr>
      <w:tr w:rsidR="005B279D" w:rsidRPr="002844B1"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Immobilisations incorporelles</w:t>
            </w:r>
          </w:p>
        </w:tc>
        <w:tc>
          <w:tcPr>
            <w:tcW w:w="0" w:type="auto"/>
          </w:tcPr>
          <w:p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pPr>
            <w:r w:rsidRPr="002844B1">
              <w:t>Valeur nulle</w:t>
            </w:r>
          </w:p>
        </w:tc>
      </w:tr>
      <w:tr w:rsidR="005B279D" w:rsidRPr="002844B1"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Actifs immobiliers hors OPCI</w:t>
            </w:r>
          </w:p>
        </w:tc>
        <w:tc>
          <w:tcPr>
            <w:tcW w:w="0" w:type="auto"/>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Valeur de transaction ( sinon valeur comptable )</w:t>
            </w:r>
          </w:p>
        </w:tc>
      </w:tr>
      <w:tr w:rsidR="005B279D" w:rsidRPr="002844B1"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Autres actifs</w:t>
            </w:r>
          </w:p>
        </w:tc>
        <w:tc>
          <w:tcPr>
            <w:tcW w:w="0" w:type="auto"/>
          </w:tcPr>
          <w:p w:rsidR="005B279D" w:rsidRPr="002844B1" w:rsidRDefault="00000000">
            <w:pPr>
              <w:pStyle w:val="Compact"/>
              <w:cnfStyle w:val="000000000000" w:firstRow="0" w:lastRow="0" w:firstColumn="0" w:lastColumn="0" w:oddVBand="0" w:evenVBand="0" w:oddHBand="0" w:evenHBand="0" w:firstRowFirstColumn="0" w:firstRowLastColumn="0" w:lastRowFirstColumn="0" w:lastRowLastColumn="0"/>
            </w:pPr>
            <w:r w:rsidRPr="002844B1">
              <w:t>Valeur d’expert (sinon valeur comptable )</w:t>
            </w:r>
          </w:p>
        </w:tc>
      </w:tr>
    </w:tbl>
    <w:p w:rsidR="005B279D" w:rsidRPr="002844B1" w:rsidRDefault="00000000" w:rsidP="00263816">
      <w:pPr>
        <w:pStyle w:val="FirstParagraph"/>
        <w:jc w:val="both"/>
        <w:rPr>
          <w:sz w:val="21"/>
          <w:szCs w:val="21"/>
        </w:rPr>
      </w:pPr>
      <w:r w:rsidRPr="002844B1">
        <w:rPr>
          <w:sz w:val="21"/>
          <w:szCs w:val="21"/>
        </w:rPr>
        <w:t xml:space="preserve">Pour les actions cotées à la bourse de Casablanca, ils sont </w:t>
      </w:r>
      <w:r w:rsidR="002844B1" w:rsidRPr="002844B1">
        <w:rPr>
          <w:sz w:val="21"/>
          <w:szCs w:val="21"/>
        </w:rPr>
        <w:t>valorisés</w:t>
      </w:r>
      <w:r w:rsidRPr="002844B1">
        <w:rPr>
          <w:sz w:val="21"/>
          <w:szCs w:val="21"/>
        </w:rPr>
        <w:t xml:space="preserve"> à leur dernier cours coté avant la date d’inventaire, ou le moyenne des cours côtés des trois derniers mois précédant la date d’inventaire, si le volume ou la quantité journaliers moyens des transactions sur les 3 derniers mois précédant la date d’inventaire sont inférieurs aux seuils fixés par L’ACAPS.</w:t>
      </w:r>
    </w:p>
    <w:p w:rsidR="00263816" w:rsidRPr="002844B1" w:rsidRDefault="00263816" w:rsidP="00263816">
      <w:pPr>
        <w:pStyle w:val="BodyText"/>
      </w:pPr>
    </w:p>
    <w:p w:rsidR="005B279D" w:rsidRPr="002844B1" w:rsidRDefault="00000000">
      <w:pPr>
        <w:pStyle w:val="Heading2"/>
      </w:pPr>
      <w:bookmarkStart w:id="35" w:name="_Toc137651008"/>
      <w:bookmarkEnd w:id="34"/>
      <w:r w:rsidRPr="002844B1">
        <w:t>3.2 Modélisation du prix des actions</w:t>
      </w:r>
      <w:bookmarkStart w:id="36" w:name="chapitre-iii-valorisation-de-lactif"/>
      <w:bookmarkStart w:id="37" w:name="modélisation-du-prix-des-actions"/>
      <w:bookmarkEnd w:id="35"/>
    </w:p>
    <w:p w:rsidR="005B279D" w:rsidRPr="002844B1" w:rsidRDefault="00000000" w:rsidP="00263816">
      <w:pPr>
        <w:pStyle w:val="FirstParagraph"/>
        <w:jc w:val="both"/>
        <w:rPr>
          <w:sz w:val="21"/>
          <w:szCs w:val="21"/>
        </w:rPr>
      </w:pPr>
      <w:r w:rsidRPr="002844B1">
        <w:rPr>
          <w:sz w:val="21"/>
          <w:szCs w:val="21"/>
        </w:rPr>
        <w:t>Le prix d’une action ou plus communément appelé cours d’une action représente le prix auquel elle est achetée ou vendue sur un marché boursier. Ce prix fluctue en fonction de l’offre et de la demande pour cette action, ainsi que de nombreux autres facteurs tels que les performances financières de l’entreprise, les conditions économiques générales et les évènements mondiaux. Autrement dit, le cours de l’action représente la valeur perçue de l’entreprise par les investisseurs à un moment.</w:t>
      </w:r>
    </w:p>
    <w:p w:rsidR="005B279D" w:rsidRPr="002844B1" w:rsidRDefault="00000000" w:rsidP="00263816">
      <w:pPr>
        <w:pStyle w:val="BodyText"/>
        <w:jc w:val="both"/>
        <w:rPr>
          <w:sz w:val="21"/>
          <w:szCs w:val="21"/>
        </w:rPr>
      </w:pPr>
      <w:r w:rsidRPr="002844B1">
        <w:rPr>
          <w:sz w:val="21"/>
          <w:szCs w:val="21"/>
        </w:rPr>
        <w:t>Ainsi, si la valeur présente de l’action est une donnée du marché, sa valeur future quant à elle est aléatoire d’où la nécessité de sa modélisation.</w:t>
      </w:r>
    </w:p>
    <w:p w:rsidR="00263816" w:rsidRPr="002844B1" w:rsidRDefault="00263816" w:rsidP="00263816">
      <w:pPr>
        <w:pStyle w:val="BodyText"/>
        <w:jc w:val="both"/>
        <w:rPr>
          <w:sz w:val="21"/>
          <w:szCs w:val="21"/>
        </w:rPr>
      </w:pPr>
    </w:p>
    <w:p w:rsidR="00263816" w:rsidRPr="002844B1" w:rsidRDefault="00263816" w:rsidP="00263816">
      <w:pPr>
        <w:pStyle w:val="BodyText"/>
        <w:jc w:val="both"/>
        <w:rPr>
          <w:sz w:val="21"/>
          <w:szCs w:val="21"/>
        </w:rPr>
      </w:pPr>
    </w:p>
    <w:p w:rsidR="00263816" w:rsidRPr="002844B1" w:rsidRDefault="00263816" w:rsidP="00263816">
      <w:pPr>
        <w:pStyle w:val="BodyText"/>
        <w:jc w:val="both"/>
        <w:rPr>
          <w:sz w:val="21"/>
          <w:szCs w:val="21"/>
        </w:rPr>
      </w:pPr>
    </w:p>
    <w:p w:rsidR="005B279D" w:rsidRPr="002844B1" w:rsidRDefault="00000000">
      <w:pPr>
        <w:pStyle w:val="Heading3"/>
      </w:pPr>
      <w:bookmarkStart w:id="38" w:name="modèle-de-black-scholes"/>
      <w:bookmarkStart w:id="39" w:name="_Toc137651009"/>
      <w:r w:rsidRPr="002844B1">
        <w:lastRenderedPageBreak/>
        <w:t>Modèle de Black-Scholes</w:t>
      </w:r>
      <w:bookmarkEnd w:id="39"/>
    </w:p>
    <w:p w:rsidR="005B279D" w:rsidRPr="002844B1" w:rsidRDefault="00000000" w:rsidP="00263816">
      <w:pPr>
        <w:pStyle w:val="FirstParagraph"/>
        <w:jc w:val="both"/>
        <w:rPr>
          <w:sz w:val="21"/>
          <w:szCs w:val="21"/>
        </w:rPr>
      </w:pPr>
      <w:r w:rsidRPr="002844B1">
        <w:rPr>
          <w:sz w:val="21"/>
          <w:szCs w:val="21"/>
        </w:rPr>
        <w:t>Le modèle de Black-Scholes modèle a été développé en 1973 par Fischer Black, Robert Merton et Myron Scholes, qui ont reçu le prix Nobel d’économie en 1997 pour leurs travaux. Ce modèle est l’un des concepts les plus importants dans la théorie de la finance modèle. Il permet d’évaluer le prix d’une option européenne en fonction de son type et du prix de l’actif sous-jacent. Le modèle repose sur plusieurs hypothèses dont l’une d’entre elle est que le cours de l’actif sous-jacent suit un mouvement géométrique avec une volatilité constante.</w:t>
      </w:r>
    </w:p>
    <w:p w:rsidR="005B279D" w:rsidRPr="002844B1" w:rsidRDefault="00000000" w:rsidP="00263816">
      <w:pPr>
        <w:pStyle w:val="BodyText"/>
        <w:jc w:val="both"/>
        <w:rPr>
          <w:sz w:val="21"/>
          <w:szCs w:val="21"/>
        </w:rPr>
      </w:pPr>
      <w:r w:rsidRPr="002844B1">
        <w:rPr>
          <w:sz w:val="21"/>
          <w:szCs w:val="21"/>
        </w:rPr>
        <w:t xml:space="preserve">En termes mathématiques, le prix d’une action peut donc être représenté comme une fonction scalaire du temps actuel </w:t>
      </w:r>
      <m:oMath>
        <m:r>
          <w:rPr>
            <w:rFonts w:ascii="Cambria Math" w:hAnsi="Cambria Math"/>
            <w:sz w:val="21"/>
            <w:szCs w:val="21"/>
          </w:rPr>
          <m:t>t</m:t>
        </m:r>
      </m:oMath>
      <w:r w:rsidRPr="002844B1">
        <w:rPr>
          <w:sz w:val="21"/>
          <w:szCs w:val="21"/>
        </w:rPr>
        <w:t xml:space="preserve">. Nous noterons cette fonction </w:t>
      </w:r>
      <m:oMath>
        <m:r>
          <w:rPr>
            <w:rFonts w:ascii="Cambria Math" w:hAnsi="Cambria Math"/>
            <w:sz w:val="21"/>
            <w:szCs w:val="21"/>
          </w:rPr>
          <m:t>S</m:t>
        </m:r>
        <m:d>
          <m:dPr>
            <m:ctrlPr>
              <w:rPr>
                <w:rFonts w:ascii="Cambria Math" w:hAnsi="Cambria Math"/>
                <w:sz w:val="21"/>
                <w:szCs w:val="21"/>
              </w:rPr>
            </m:ctrlPr>
          </m:dPr>
          <m:e>
            <m:r>
              <w:rPr>
                <w:rFonts w:ascii="Cambria Math" w:hAnsi="Cambria Math"/>
                <w:sz w:val="21"/>
                <w:szCs w:val="21"/>
              </w:rPr>
              <m:t>t</m:t>
            </m:r>
          </m:e>
        </m:d>
      </m:oMath>
      <w:r w:rsidRPr="002844B1">
        <w:rPr>
          <w:sz w:val="21"/>
          <w:szCs w:val="21"/>
        </w:rPr>
        <w:t xml:space="preserve">. Notons qu’en termes techniques, </w:t>
      </w:r>
      <m:oMath>
        <m:r>
          <w:rPr>
            <w:rFonts w:ascii="Cambria Math" w:hAnsi="Cambria Math"/>
            <w:sz w:val="21"/>
            <w:szCs w:val="21"/>
          </w:rPr>
          <m:t>S</m:t>
        </m:r>
        <m:d>
          <m:dPr>
            <m:ctrlPr>
              <w:rPr>
                <w:rFonts w:ascii="Cambria Math" w:hAnsi="Cambria Math"/>
                <w:sz w:val="21"/>
                <w:szCs w:val="21"/>
              </w:rPr>
            </m:ctrlPr>
          </m:dPr>
          <m:e>
            <m:r>
              <w:rPr>
                <w:rFonts w:ascii="Cambria Math" w:hAnsi="Cambria Math"/>
                <w:sz w:val="21"/>
                <w:szCs w:val="21"/>
              </w:rPr>
              <m:t>t</m:t>
            </m:r>
          </m:e>
        </m:d>
      </m:oMath>
      <w:r w:rsidRPr="002844B1">
        <w:rPr>
          <w:sz w:val="21"/>
          <w:szCs w:val="21"/>
        </w:rPr>
        <w:t xml:space="preserve"> est une série temporelle, qui bien qu’apparemment continue (avec continuité </w:t>
      </w:r>
      <m:oMath>
        <m:r>
          <w:rPr>
            <w:rFonts w:ascii="Cambria Math" w:hAnsi="Cambria Math"/>
            <w:sz w:val="21"/>
            <w:szCs w:val="21"/>
          </w:rPr>
          <m:t>C</m:t>
        </m:r>
        <m:d>
          <m:dPr>
            <m:begChr m:val="["/>
            <m:endChr m:val="]"/>
            <m:ctrlPr>
              <w:rPr>
                <w:rFonts w:ascii="Cambria Math" w:hAnsi="Cambria Math"/>
                <w:sz w:val="21"/>
                <w:szCs w:val="21"/>
              </w:rPr>
            </m:ctrlPr>
          </m:dPr>
          <m:e>
            <m:r>
              <w:rPr>
                <w:rFonts w:ascii="Cambria Math" w:hAnsi="Cambria Math"/>
                <w:sz w:val="21"/>
                <w:szCs w:val="21"/>
              </w:rPr>
              <m:t>0</m:t>
            </m:r>
          </m:e>
        </m:d>
      </m:oMath>
      <w:r w:rsidRPr="002844B1">
        <w:rPr>
          <w:sz w:val="21"/>
          <w:szCs w:val="21"/>
        </w:rPr>
        <w:t>), est en réalité discontinue (sujette de sauts). De plus, ce n’est pas une fonction dont la dérivée première n’existe pas.</w:t>
      </w:r>
    </w:p>
    <w:p w:rsidR="005B279D" w:rsidRPr="002844B1" w:rsidRDefault="00000000" w:rsidP="00263816">
      <w:pPr>
        <w:pStyle w:val="BodyText"/>
        <w:jc w:val="both"/>
        <w:rPr>
          <w:sz w:val="21"/>
          <w:szCs w:val="21"/>
        </w:rPr>
      </w:pPr>
      <w:r w:rsidRPr="002844B1">
        <w:rPr>
          <w:sz w:val="21"/>
          <w:szCs w:val="21"/>
        </w:rPr>
        <w:t xml:space="preserve">Nous allons modéliser </w:t>
      </w:r>
      <m:oMath>
        <m:r>
          <w:rPr>
            <w:rFonts w:ascii="Cambria Math" w:hAnsi="Cambria Math"/>
            <w:sz w:val="21"/>
            <w:szCs w:val="21"/>
          </w:rPr>
          <m:t>S</m:t>
        </m:r>
        <m:d>
          <m:dPr>
            <m:ctrlPr>
              <w:rPr>
                <w:rFonts w:ascii="Cambria Math" w:hAnsi="Cambria Math"/>
                <w:sz w:val="21"/>
                <w:szCs w:val="21"/>
              </w:rPr>
            </m:ctrlPr>
          </m:dPr>
          <m:e>
            <m:r>
              <w:rPr>
                <w:rFonts w:ascii="Cambria Math" w:hAnsi="Cambria Math"/>
                <w:sz w:val="21"/>
                <w:szCs w:val="21"/>
              </w:rPr>
              <m:t>t</m:t>
            </m:r>
          </m:e>
        </m:d>
      </m:oMath>
      <w:r w:rsidRPr="002844B1">
        <w:rPr>
          <w:sz w:val="21"/>
          <w:szCs w:val="21"/>
        </w:rPr>
        <w:t xml:space="preserve"> comme une variable stochastique. Dans cette situation, nous sommes tenus de ne pas utiliser les outils standards de calcul (tels que les séries de Taylor, les dérivées, l’intégrale de Riemann), mais sont plutôt contraints d’utiliser les outils de calculs stochastiques (tels que le lemme d’Itô, la dérivée de Radon-Nikodym, Riemann -Stieltjes intégrale) pour faire avancer notre modélisation.</w:t>
      </w:r>
    </w:p>
    <w:p w:rsidR="005B279D" w:rsidRPr="002844B1" w:rsidRDefault="00000000" w:rsidP="00263816">
      <w:pPr>
        <w:pStyle w:val="BodyText"/>
        <w:jc w:val="both"/>
        <w:rPr>
          <w:sz w:val="21"/>
          <w:szCs w:val="21"/>
        </w:rPr>
      </w:pPr>
      <w:r w:rsidRPr="002844B1">
        <w:rPr>
          <w:sz w:val="21"/>
          <w:szCs w:val="21"/>
        </w:rPr>
        <w:t xml:space="preserve">Dans ce contexte, le comportement de la variable </w:t>
      </w:r>
      <m:oMath>
        <m:r>
          <w:rPr>
            <w:rFonts w:ascii="Cambria Math" w:hAnsi="Cambria Math"/>
            <w:sz w:val="21"/>
            <w:szCs w:val="21"/>
          </w:rPr>
          <m:t>S</m:t>
        </m:r>
        <m:d>
          <m:dPr>
            <m:ctrlPr>
              <w:rPr>
                <w:rFonts w:ascii="Cambria Math" w:hAnsi="Cambria Math"/>
                <w:sz w:val="21"/>
                <w:szCs w:val="21"/>
              </w:rPr>
            </m:ctrlPr>
          </m:dPr>
          <m:e>
            <m:r>
              <w:rPr>
                <w:rFonts w:ascii="Cambria Math" w:hAnsi="Cambria Math"/>
                <w:sz w:val="21"/>
                <w:szCs w:val="21"/>
              </w:rPr>
              <m:t>t</m:t>
            </m:r>
          </m:e>
        </m:d>
      </m:oMath>
      <w:r w:rsidRPr="002844B1">
        <w:rPr>
          <w:sz w:val="21"/>
          <w:szCs w:val="21"/>
        </w:rPr>
        <w:t xml:space="preserve"> peut être décrit pour une Équation Différentielle Stochastique (</w:t>
      </w:r>
      <m:oMath>
        <m:r>
          <w:rPr>
            <w:rFonts w:ascii="Cambria Math" w:hAnsi="Cambria Math"/>
            <w:sz w:val="21"/>
            <w:szCs w:val="21"/>
          </w:rPr>
          <m:t>EDS</m:t>
        </m:r>
      </m:oMath>
      <w:r w:rsidRPr="002844B1">
        <w:rPr>
          <w:sz w:val="21"/>
          <w:szCs w:val="21"/>
        </w:rPr>
        <w:t>). Dans le cas des actions, l’</w:t>
      </w:r>
      <m:oMath>
        <m:r>
          <w:rPr>
            <w:rFonts w:ascii="Cambria Math" w:hAnsi="Cambria Math"/>
            <w:sz w:val="21"/>
            <w:szCs w:val="21"/>
          </w:rPr>
          <m:t>EDS</m:t>
        </m:r>
      </m:oMath>
      <w:r w:rsidRPr="002844B1">
        <w:rPr>
          <w:sz w:val="21"/>
          <w:szCs w:val="21"/>
        </w:rPr>
        <w:t xml:space="preserve"> standard utilisée pour modéliser la trajectoire du cours est appelé Mouvement Brownien Géométrique (</w:t>
      </w:r>
      <m:oMath>
        <m:r>
          <w:rPr>
            <w:rFonts w:ascii="Cambria Math" w:hAnsi="Cambria Math"/>
            <w:sz w:val="21"/>
            <w:szCs w:val="21"/>
          </w:rPr>
          <m:t>GBM</m:t>
        </m:r>
      </m:oMath>
      <w:r w:rsidRPr="002844B1">
        <w:rPr>
          <w:sz w:val="21"/>
          <w:szCs w:val="21"/>
        </w:rPr>
        <w:t xml:space="preserve"> : Geometric Brownian Motion). Sous la mesure de probabilité dite réelle </w:t>
      </w:r>
      <m:oMath>
        <m:r>
          <w:rPr>
            <w:rFonts w:ascii="Cambria Math" w:hAnsi="Cambria Math"/>
            <w:sz w:val="21"/>
            <w:szCs w:val="21"/>
          </w:rPr>
          <m:t>P</m:t>
        </m:r>
      </m:oMath>
      <w:r w:rsidRPr="002844B1">
        <w:rPr>
          <w:sz w:val="21"/>
          <w:szCs w:val="21"/>
        </w:rPr>
        <w:t>, le mouvement brownien géométrique (</w:t>
      </w:r>
      <m:oMath>
        <m:r>
          <w:rPr>
            <w:rFonts w:ascii="Cambria Math" w:hAnsi="Cambria Math"/>
            <w:sz w:val="21"/>
            <w:szCs w:val="21"/>
          </w:rPr>
          <m:t>GBM</m:t>
        </m:r>
      </m:oMath>
      <w:r w:rsidRPr="002844B1">
        <w:rPr>
          <w:sz w:val="21"/>
          <w:szCs w:val="21"/>
        </w:rPr>
        <w:t>) est formellement représenté en temps continu de la manière suivante : (voir l’ouvrage C++ For Quantitative Finance</w:t>
      </w:r>
      <w:r w:rsidRPr="002844B1">
        <w:rPr>
          <w:rStyle w:val="FootnoteReference"/>
          <w:sz w:val="20"/>
          <w:szCs w:val="20"/>
        </w:rPr>
        <w:footnoteReference w:id="8"/>
      </w:r>
      <w:r w:rsidRPr="002844B1">
        <w:rPr>
          <w:sz w:val="21"/>
          <w:szCs w:val="21"/>
        </w:rPr>
        <w:t>)</w:t>
      </w:r>
    </w:p>
    <w:p w:rsidR="005B279D" w:rsidRPr="002844B1" w:rsidRDefault="00000000" w:rsidP="00263816">
      <w:pPr>
        <w:pStyle w:val="BodyText"/>
        <w:jc w:val="both"/>
        <w:rPr>
          <w:sz w:val="21"/>
          <w:szCs w:val="21"/>
        </w:rPr>
      </w:pPr>
      <w:bookmarkStart w:id="40" w:name="eq-gbmp1"/>
      <m:oMathPara>
        <m:oMathParaPr>
          <m:jc m:val="center"/>
        </m:oMathParaPr>
        <m:oMath>
          <m:r>
            <w:rPr>
              <w:rFonts w:ascii="Cambria Math" w:hAnsi="Cambria Math"/>
              <w:sz w:val="21"/>
              <w:szCs w:val="21"/>
            </w:rPr>
            <m:t>d</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t</m:t>
              </m:r>
            </m:sub>
          </m:sSub>
          <m:r>
            <w:rPr>
              <w:rFonts w:ascii="Cambria Math" w:hAnsi="Cambria Math"/>
              <w:sz w:val="21"/>
              <w:szCs w:val="21"/>
            </w:rPr>
            <m:t>=μ</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t</m:t>
              </m:r>
            </m:sub>
          </m:sSub>
          <m:r>
            <w:rPr>
              <w:rFonts w:ascii="Cambria Math" w:hAnsi="Cambria Math"/>
              <w:sz w:val="21"/>
              <w:szCs w:val="21"/>
            </w:rPr>
            <m:t>dt+σ</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t</m:t>
              </m:r>
            </m:sub>
          </m:sSub>
          <m:r>
            <w:rPr>
              <w:rFonts w:ascii="Cambria Math" w:hAnsi="Cambria Math"/>
              <w:sz w:val="21"/>
              <w:szCs w:val="21"/>
            </w:rPr>
            <m:t>d</m:t>
          </m:r>
          <m:sSubSup>
            <m:sSubSupPr>
              <m:ctrlPr>
                <w:rPr>
                  <w:rFonts w:ascii="Cambria Math" w:hAnsi="Cambria Math"/>
                  <w:sz w:val="21"/>
                  <w:szCs w:val="21"/>
                </w:rPr>
              </m:ctrlPr>
            </m:sSubSupPr>
            <m:e>
              <m:r>
                <w:rPr>
                  <w:rFonts w:ascii="Cambria Math" w:hAnsi="Cambria Math"/>
                  <w:sz w:val="21"/>
                  <w:szCs w:val="21"/>
                </w:rPr>
                <m:t>W</m:t>
              </m:r>
            </m:e>
            <m:sub>
              <m:r>
                <w:rPr>
                  <w:rFonts w:ascii="Cambria Math" w:hAnsi="Cambria Math"/>
                  <w:sz w:val="21"/>
                  <w:szCs w:val="21"/>
                </w:rPr>
                <m:t>t</m:t>
              </m:r>
            </m:sub>
            <m:sup>
              <m:r>
                <w:rPr>
                  <w:rFonts w:ascii="Cambria Math" w:hAnsi="Cambria Math"/>
                  <w:sz w:val="21"/>
                  <w:szCs w:val="21"/>
                </w:rPr>
                <m:t>P</m:t>
              </m:r>
            </m:sup>
          </m:sSubSup>
          <m:r>
            <w:rPr>
              <w:rFonts w:ascii="Cambria Math" w:hAnsi="Cambria Math"/>
              <w:sz w:val="21"/>
              <w:szCs w:val="21"/>
            </w:rPr>
            <m:t> ,  </m:t>
          </m:r>
          <m:d>
            <m:dPr>
              <m:ctrlPr>
                <w:rPr>
                  <w:rFonts w:ascii="Cambria Math" w:hAnsi="Cambria Math"/>
                  <w:sz w:val="21"/>
                  <w:szCs w:val="21"/>
                </w:rPr>
              </m:ctrlPr>
            </m:dPr>
            <m:e>
              <m:r>
                <w:rPr>
                  <w:rFonts w:ascii="Cambria Math" w:hAnsi="Cambria Math"/>
                  <w:sz w:val="21"/>
                  <w:szCs w:val="21"/>
                </w:rPr>
                <m:t>7</m:t>
              </m:r>
            </m:e>
          </m:d>
        </m:oMath>
      </m:oMathPara>
      <w:bookmarkEnd w:id="40"/>
    </w:p>
    <w:p w:rsidR="005B279D" w:rsidRPr="002844B1" w:rsidRDefault="00000000" w:rsidP="00263816">
      <w:pPr>
        <w:pStyle w:val="FirstParagraph"/>
        <w:jc w:val="both"/>
        <w:rPr>
          <w:sz w:val="21"/>
          <w:szCs w:val="21"/>
        </w:rPr>
      </w:pPr>
      <w:r w:rsidRPr="002844B1">
        <w:rPr>
          <w:sz w:val="21"/>
          <w:szCs w:val="21"/>
        </w:rPr>
        <w:t xml:space="preserve">où </w:t>
      </w:r>
      <m:oMath>
        <m:r>
          <w:rPr>
            <w:rFonts w:ascii="Cambria Math" w:hAnsi="Cambria Math"/>
            <w:sz w:val="21"/>
            <w:szCs w:val="21"/>
          </w:rPr>
          <m:t>μ</m:t>
        </m:r>
      </m:oMath>
      <w:r w:rsidRPr="002844B1">
        <w:rPr>
          <w:sz w:val="21"/>
          <w:szCs w:val="21"/>
        </w:rPr>
        <w:t xml:space="preserve"> représente le drift, </w:t>
      </w:r>
      <m:oMath>
        <m:r>
          <w:rPr>
            <w:rFonts w:ascii="Cambria Math" w:hAnsi="Cambria Math"/>
            <w:sz w:val="21"/>
            <w:szCs w:val="21"/>
          </w:rPr>
          <m:t>σ</m:t>
        </m:r>
      </m:oMath>
      <w:r w:rsidRPr="002844B1">
        <w:rPr>
          <w:sz w:val="21"/>
          <w:szCs w:val="21"/>
        </w:rPr>
        <w:t xml:space="preserve"> la volatilité et </w:t>
      </w:r>
      <m:oMath>
        <m:sSup>
          <m:sSupPr>
            <m:ctrlPr>
              <w:rPr>
                <w:rFonts w:ascii="Cambria Math" w:hAnsi="Cambria Math"/>
                <w:sz w:val="21"/>
                <w:szCs w:val="21"/>
              </w:rPr>
            </m:ctrlPr>
          </m:sSupPr>
          <m:e>
            <m:r>
              <w:rPr>
                <w:rFonts w:ascii="Cambria Math" w:hAnsi="Cambria Math"/>
                <w:sz w:val="21"/>
                <w:szCs w:val="21"/>
              </w:rPr>
              <m:t>W</m:t>
            </m:r>
          </m:e>
          <m:sup>
            <m:r>
              <w:rPr>
                <w:rFonts w:ascii="Cambria Math" w:hAnsi="Cambria Math"/>
                <w:sz w:val="21"/>
                <w:szCs w:val="21"/>
              </w:rPr>
              <m:t>P</m:t>
            </m:r>
          </m:sup>
        </m:sSup>
      </m:oMath>
      <w:r w:rsidRPr="002844B1">
        <w:rPr>
          <w:sz w:val="21"/>
          <w:szCs w:val="21"/>
        </w:rPr>
        <w:t xml:space="preserve"> est mouvement brownien standard sous la </w:t>
      </w:r>
      <w:r w:rsidR="002844B1" w:rsidRPr="002844B1">
        <w:rPr>
          <w:sz w:val="21"/>
          <w:szCs w:val="21"/>
        </w:rPr>
        <w:t>probabilité</w:t>
      </w:r>
      <w:r w:rsidRPr="002844B1">
        <w:rPr>
          <w:sz w:val="21"/>
          <w:szCs w:val="21"/>
        </w:rPr>
        <w:t xml:space="preserve"> </w:t>
      </w:r>
      <m:oMath>
        <m:r>
          <w:rPr>
            <w:rFonts w:ascii="Cambria Math" w:hAnsi="Cambria Math"/>
            <w:sz w:val="21"/>
            <w:szCs w:val="21"/>
          </w:rPr>
          <m:t>P</m:t>
        </m:r>
      </m:oMath>
      <w:r w:rsidRPr="002844B1">
        <w:rPr>
          <w:sz w:val="21"/>
          <w:szCs w:val="21"/>
        </w:rPr>
        <w:t>.</w:t>
      </w:r>
    </w:p>
    <w:p w:rsidR="005B279D" w:rsidRPr="002844B1" w:rsidRDefault="00000000" w:rsidP="00263816">
      <w:pPr>
        <w:pStyle w:val="BodyText"/>
        <w:jc w:val="both"/>
        <w:rPr>
          <w:sz w:val="21"/>
          <w:szCs w:val="21"/>
        </w:rPr>
      </w:pPr>
      <w:r w:rsidRPr="002844B1">
        <w:rPr>
          <w:sz w:val="21"/>
          <w:szCs w:val="21"/>
        </w:rPr>
        <w:t xml:space="preserve">Cependant, dans la littérature, cette représentation n’est pas utilisée pour la valorisation des produit dérivés. Il est remplacé par la représentation suivante sous la mesure de probabilité neutre au risque </w:t>
      </w:r>
      <m:oMath>
        <m:r>
          <m:rPr>
            <m:scr m:val="double-struck"/>
          </m:rPr>
          <w:rPr>
            <w:rFonts w:ascii="Cambria Math" w:hAnsi="Cambria Math"/>
            <w:sz w:val="21"/>
            <w:szCs w:val="21"/>
          </w:rPr>
          <m:t>Q</m:t>
        </m:r>
      </m:oMath>
      <w:r w:rsidRPr="002844B1">
        <w:rPr>
          <w:sz w:val="21"/>
          <w:szCs w:val="21"/>
        </w:rPr>
        <w:t>:</w:t>
      </w:r>
    </w:p>
    <w:p w:rsidR="005B279D" w:rsidRPr="002844B1" w:rsidRDefault="00000000" w:rsidP="00263816">
      <w:pPr>
        <w:pStyle w:val="BodyText"/>
        <w:jc w:val="both"/>
        <w:rPr>
          <w:sz w:val="21"/>
          <w:szCs w:val="21"/>
        </w:rPr>
      </w:pPr>
      <w:bookmarkStart w:id="41" w:name="eq-gbmq"/>
      <m:oMathPara>
        <m:oMathParaPr>
          <m:jc m:val="center"/>
        </m:oMathParaPr>
        <m:oMath>
          <m:r>
            <w:rPr>
              <w:rFonts w:ascii="Cambria Math" w:hAnsi="Cambria Math"/>
              <w:sz w:val="21"/>
              <w:szCs w:val="21"/>
            </w:rPr>
            <m:t>d</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t</m:t>
              </m:r>
            </m:sub>
          </m:sSub>
          <m:r>
            <w:rPr>
              <w:rFonts w:ascii="Cambria Math" w:hAnsi="Cambria Math"/>
              <w:sz w:val="21"/>
              <w:szCs w:val="21"/>
            </w:rPr>
            <m:t>=r</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t</m:t>
              </m:r>
            </m:sub>
          </m:sSub>
          <m:r>
            <w:rPr>
              <w:rFonts w:ascii="Cambria Math" w:hAnsi="Cambria Math"/>
              <w:sz w:val="21"/>
              <w:szCs w:val="21"/>
            </w:rPr>
            <m:t>dt+σ</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t</m:t>
              </m:r>
            </m:sub>
          </m:sSub>
          <m:r>
            <w:rPr>
              <w:rFonts w:ascii="Cambria Math" w:hAnsi="Cambria Math"/>
              <w:sz w:val="21"/>
              <w:szCs w:val="21"/>
            </w:rPr>
            <m:t>d</m:t>
          </m:r>
          <m:sSubSup>
            <m:sSubSupPr>
              <m:ctrlPr>
                <w:rPr>
                  <w:rFonts w:ascii="Cambria Math" w:hAnsi="Cambria Math"/>
                  <w:sz w:val="21"/>
                  <w:szCs w:val="21"/>
                </w:rPr>
              </m:ctrlPr>
            </m:sSubSupPr>
            <m:e>
              <m:r>
                <w:rPr>
                  <w:rFonts w:ascii="Cambria Math" w:hAnsi="Cambria Math"/>
                  <w:sz w:val="21"/>
                  <w:szCs w:val="21"/>
                </w:rPr>
                <m:t>W</m:t>
              </m:r>
            </m:e>
            <m:sub>
              <m:r>
                <w:rPr>
                  <w:rFonts w:ascii="Cambria Math" w:hAnsi="Cambria Math"/>
                  <w:sz w:val="21"/>
                  <w:szCs w:val="21"/>
                </w:rPr>
                <m:t>t</m:t>
              </m:r>
            </m:sub>
            <m:sup>
              <m:r>
                <m:rPr>
                  <m:scr m:val="double-struck"/>
                </m:rPr>
                <w:rPr>
                  <w:rFonts w:ascii="Cambria Math" w:hAnsi="Cambria Math"/>
                  <w:sz w:val="21"/>
                  <w:szCs w:val="21"/>
                </w:rPr>
                <m:t>Q</m:t>
              </m:r>
            </m:sup>
          </m:sSubSup>
          <m:r>
            <w:rPr>
              <w:rFonts w:ascii="Cambria Math" w:hAnsi="Cambria Math"/>
              <w:sz w:val="21"/>
              <w:szCs w:val="21"/>
            </w:rPr>
            <m:t>  </m:t>
          </m:r>
          <m:d>
            <m:dPr>
              <m:ctrlPr>
                <w:rPr>
                  <w:rFonts w:ascii="Cambria Math" w:hAnsi="Cambria Math"/>
                  <w:sz w:val="21"/>
                  <w:szCs w:val="21"/>
                </w:rPr>
              </m:ctrlPr>
            </m:dPr>
            <m:e>
              <m:r>
                <w:rPr>
                  <w:rFonts w:ascii="Cambria Math" w:hAnsi="Cambria Math"/>
                  <w:sz w:val="21"/>
                  <w:szCs w:val="21"/>
                </w:rPr>
                <m:t>8</m:t>
              </m:r>
            </m:e>
          </m:d>
        </m:oMath>
      </m:oMathPara>
      <w:bookmarkEnd w:id="41"/>
    </w:p>
    <w:p w:rsidR="005B279D" w:rsidRPr="002844B1" w:rsidRDefault="00000000" w:rsidP="00263816">
      <w:pPr>
        <w:pStyle w:val="FirstParagraph"/>
        <w:jc w:val="both"/>
        <w:rPr>
          <w:sz w:val="21"/>
          <w:szCs w:val="21"/>
        </w:rPr>
      </w:pPr>
      <w:r w:rsidRPr="002844B1">
        <w:rPr>
          <w:sz w:val="21"/>
          <w:szCs w:val="21"/>
        </w:rPr>
        <w:t>Dans l’</w:t>
      </w:r>
      <w:hyperlink w:anchor="eq-gbmq">
        <w:r w:rsidRPr="002844B1">
          <w:rPr>
            <w:rStyle w:val="Hyperlink"/>
            <w:sz w:val="20"/>
            <w:szCs w:val="20"/>
          </w:rPr>
          <w:t>Equation 8</w:t>
        </w:r>
      </w:hyperlink>
      <w:r w:rsidRPr="002844B1">
        <w:rPr>
          <w:sz w:val="21"/>
          <w:szCs w:val="21"/>
        </w:rPr>
        <w:t xml:space="preserve"> précédente, nous avons remplacé </w:t>
      </w:r>
      <m:oMath>
        <m:r>
          <w:rPr>
            <w:rFonts w:ascii="Cambria Math" w:hAnsi="Cambria Math"/>
            <w:sz w:val="21"/>
            <w:szCs w:val="21"/>
          </w:rPr>
          <m:t>μ</m:t>
        </m:r>
      </m:oMath>
      <w:r w:rsidRPr="002844B1">
        <w:rPr>
          <w:sz w:val="21"/>
          <w:szCs w:val="21"/>
        </w:rPr>
        <w:t xml:space="preserve"> par le taux d’intérêt sans risque </w:t>
      </w:r>
      <m:oMath>
        <m:r>
          <w:rPr>
            <w:rFonts w:ascii="Cambria Math" w:hAnsi="Cambria Math"/>
            <w:sz w:val="21"/>
            <w:szCs w:val="21"/>
          </w:rPr>
          <m:t>r</m:t>
        </m:r>
      </m:oMath>
      <w:r w:rsidRPr="002844B1">
        <w:rPr>
          <w:sz w:val="21"/>
          <w:szCs w:val="21"/>
        </w:rPr>
        <w:t xml:space="preserve">, </w:t>
      </w:r>
      <m:oMath>
        <m:r>
          <w:rPr>
            <w:rFonts w:ascii="Cambria Math" w:hAnsi="Cambria Math"/>
            <w:sz w:val="21"/>
            <w:szCs w:val="21"/>
          </w:rPr>
          <m:t>σ</m:t>
        </m:r>
      </m:oMath>
      <w:r w:rsidRPr="002844B1">
        <w:rPr>
          <w:sz w:val="21"/>
          <w:szCs w:val="21"/>
        </w:rPr>
        <w:t xml:space="preserve"> est la volatilité et </w:t>
      </w:r>
      <m:oMath>
        <m:r>
          <w:rPr>
            <w:rFonts w:ascii="Cambria Math" w:hAnsi="Cambria Math"/>
            <w:sz w:val="21"/>
            <w:szCs w:val="21"/>
          </w:rPr>
          <m:t>dW</m:t>
        </m:r>
      </m:oMath>
      <w:r w:rsidRPr="002844B1">
        <w:rPr>
          <w:sz w:val="21"/>
          <w:szCs w:val="21"/>
        </w:rPr>
        <w:t xml:space="preserve"> est l’incrément d’un processus de Wiener. L’équation 2 peut en outre être représentée comme suit :</w:t>
      </w:r>
    </w:p>
    <w:p w:rsidR="005B279D" w:rsidRPr="002844B1" w:rsidRDefault="00000000" w:rsidP="00263816">
      <w:pPr>
        <w:pStyle w:val="BodyText"/>
        <w:jc w:val="both"/>
        <w:rPr>
          <w:sz w:val="21"/>
          <w:szCs w:val="21"/>
        </w:rPr>
      </w:pPr>
      <m:oMathPara>
        <m:oMathParaPr>
          <m:jc m:val="center"/>
        </m:oMathParaPr>
        <m:oMath>
          <m:f>
            <m:fPr>
              <m:ctrlPr>
                <w:rPr>
                  <w:rFonts w:ascii="Cambria Math" w:hAnsi="Cambria Math"/>
                  <w:sz w:val="21"/>
                  <w:szCs w:val="21"/>
                </w:rPr>
              </m:ctrlPr>
            </m:fPr>
            <m:num>
              <m:r>
                <w:rPr>
                  <w:rFonts w:ascii="Cambria Math" w:hAnsi="Cambria Math"/>
                  <w:sz w:val="21"/>
                  <w:szCs w:val="21"/>
                </w:rPr>
                <m:t>d</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t</m:t>
                  </m:r>
                </m:sub>
              </m:sSub>
            </m:num>
            <m:den>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t</m:t>
                  </m:r>
                </m:sub>
              </m:sSub>
            </m:den>
          </m:f>
          <m:r>
            <w:rPr>
              <w:rFonts w:ascii="Cambria Math" w:hAnsi="Cambria Math"/>
              <w:sz w:val="21"/>
              <w:szCs w:val="21"/>
            </w:rPr>
            <m:t>=rdt+σd</m:t>
          </m:r>
          <m:sSubSup>
            <m:sSubSupPr>
              <m:ctrlPr>
                <w:rPr>
                  <w:rFonts w:ascii="Cambria Math" w:hAnsi="Cambria Math"/>
                  <w:sz w:val="21"/>
                  <w:szCs w:val="21"/>
                </w:rPr>
              </m:ctrlPr>
            </m:sSubSupPr>
            <m:e>
              <m:r>
                <w:rPr>
                  <w:rFonts w:ascii="Cambria Math" w:hAnsi="Cambria Math"/>
                  <w:sz w:val="21"/>
                  <w:szCs w:val="21"/>
                </w:rPr>
                <m:t>W</m:t>
              </m:r>
            </m:e>
            <m:sub>
              <m:r>
                <w:rPr>
                  <w:rFonts w:ascii="Cambria Math" w:hAnsi="Cambria Math"/>
                  <w:sz w:val="21"/>
                  <w:szCs w:val="21"/>
                </w:rPr>
                <m:t>t</m:t>
              </m:r>
            </m:sub>
            <m:sup>
              <m:r>
                <m:rPr>
                  <m:scr m:val="double-struck"/>
                </m:rPr>
                <w:rPr>
                  <w:rFonts w:ascii="Cambria Math" w:hAnsi="Cambria Math"/>
                  <w:sz w:val="21"/>
                  <w:szCs w:val="21"/>
                </w:rPr>
                <m:t>Q</m:t>
              </m:r>
            </m:sup>
          </m:sSubSup>
        </m:oMath>
      </m:oMathPara>
    </w:p>
    <w:p w:rsidR="005B279D" w:rsidRPr="002844B1" w:rsidRDefault="00000000" w:rsidP="00263816">
      <w:pPr>
        <w:pStyle w:val="FirstParagraph"/>
        <w:jc w:val="both"/>
        <w:rPr>
          <w:sz w:val="21"/>
          <w:szCs w:val="21"/>
        </w:rPr>
      </w:pPr>
      <w:r w:rsidRPr="002844B1">
        <w:rPr>
          <w:sz w:val="21"/>
          <w:szCs w:val="21"/>
        </w:rPr>
        <w:t xml:space="preserve">Dans cette dernière équation, nous pouvons identifier le terme </w:t>
      </w:r>
      <m:oMath>
        <m:f>
          <m:fPr>
            <m:ctrlPr>
              <w:rPr>
                <w:rFonts w:ascii="Cambria Math" w:hAnsi="Cambria Math"/>
                <w:sz w:val="21"/>
                <w:szCs w:val="21"/>
              </w:rPr>
            </m:ctrlPr>
          </m:fPr>
          <m:num>
            <m:r>
              <w:rPr>
                <w:rFonts w:ascii="Cambria Math" w:hAnsi="Cambria Math"/>
                <w:sz w:val="21"/>
                <w:szCs w:val="21"/>
              </w:rPr>
              <m:t>d</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t</m:t>
                </m:r>
              </m:sub>
            </m:sSub>
          </m:num>
          <m:den>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t</m:t>
                </m:r>
              </m:sub>
            </m:sSub>
          </m:den>
        </m:f>
      </m:oMath>
      <w:r w:rsidRPr="002844B1">
        <w:rPr>
          <w:sz w:val="21"/>
          <w:szCs w:val="21"/>
        </w:rPr>
        <w:t xml:space="preserve"> du côté gauche de l’équation comme le rendement des capitaux propres. Ainsi, les deux termes du côté droit de l’équation sont un « terme de dérive </w:t>
      </w:r>
      <w:r w:rsidRPr="002844B1">
        <w:rPr>
          <w:sz w:val="21"/>
          <w:szCs w:val="21"/>
        </w:rPr>
        <w:lastRenderedPageBreak/>
        <w:t>» et un « terme de volatilité ». Chacun de ces termes est « mis à l’échelle » par les paramètres μ et σ, qui sont calibrés sur les prix actuels du marché des instruments négociés, tels que les options d’achat et de vente.</w:t>
      </w:r>
    </w:p>
    <w:p w:rsidR="005B279D" w:rsidRPr="002844B1" w:rsidRDefault="002844B1" w:rsidP="00263816">
      <w:pPr>
        <w:pStyle w:val="BodyText"/>
        <w:jc w:val="both"/>
        <w:rPr>
          <w:sz w:val="21"/>
          <w:szCs w:val="21"/>
        </w:rPr>
      </w:pPr>
      <w:r w:rsidRPr="002844B1">
        <w:rPr>
          <w:sz w:val="21"/>
          <w:szCs w:val="21"/>
        </w:rPr>
        <w:t>Intéressons-nous</w:t>
      </w:r>
      <w:r w:rsidR="00000000" w:rsidRPr="002844B1">
        <w:rPr>
          <w:sz w:val="21"/>
          <w:szCs w:val="21"/>
        </w:rPr>
        <w:t xml:space="preserve"> aux solutions </w:t>
      </w:r>
      <m:oMath>
        <m:sSub>
          <m:sSubPr>
            <m:ctrlPr>
              <w:rPr>
                <w:rFonts w:ascii="Cambria Math" w:hAnsi="Cambria Math"/>
                <w:sz w:val="21"/>
                <w:szCs w:val="21"/>
              </w:rPr>
            </m:ctrlPr>
          </m:sSubPr>
          <m:e>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t</m:t>
                    </m:r>
                  </m:sub>
                </m:sSub>
              </m:e>
            </m:d>
          </m:e>
          <m:sub>
            <m:r>
              <w:rPr>
                <w:rFonts w:ascii="Cambria Math" w:hAnsi="Cambria Math"/>
                <w:sz w:val="21"/>
                <w:szCs w:val="21"/>
              </w:rPr>
              <m:t>t≥0</m:t>
            </m:r>
          </m:sub>
        </m:sSub>
      </m:oMath>
      <w:r w:rsidR="00000000" w:rsidRPr="002844B1">
        <w:rPr>
          <w:sz w:val="21"/>
          <w:szCs w:val="21"/>
        </w:rPr>
        <w:t xml:space="preserve"> de l’EDS </w:t>
      </w:r>
      <w:hyperlink w:anchor="eq-gbmq">
        <w:r w:rsidR="00000000" w:rsidRPr="002844B1">
          <w:rPr>
            <w:rStyle w:val="Hyperlink"/>
            <w:sz w:val="20"/>
            <w:szCs w:val="20"/>
          </w:rPr>
          <w:t>Equation 8</w:t>
        </w:r>
      </w:hyperlink>
      <w:r w:rsidR="00000000" w:rsidRPr="002844B1">
        <w:rPr>
          <w:sz w:val="21"/>
          <w:szCs w:val="21"/>
        </w:rPr>
        <w:t xml:space="preserve"> qui peut être réécrite comme suit :</w:t>
      </w:r>
    </w:p>
    <w:bookmarkStart w:id="42" w:name="eq-intEDS"/>
    <w:p w:rsidR="005B279D" w:rsidRPr="002844B1" w:rsidRDefault="00000000">
      <w:pPr>
        <w:pStyle w:val="BodyText"/>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t</m:t>
              </m:r>
            </m:sup>
            <m:e>
              <m:sSub>
                <m:sSubPr>
                  <m:ctrlPr>
                    <w:rPr>
                      <w:rFonts w:ascii="Cambria Math" w:hAnsi="Cambria Math"/>
                    </w:rPr>
                  </m:ctrlPr>
                </m:sSubPr>
                <m:e>
                  <m:r>
                    <w:rPr>
                      <w:rFonts w:ascii="Cambria Math" w:hAnsi="Cambria Math"/>
                    </w:rPr>
                    <m:t>S</m:t>
                  </m:r>
                </m:e>
                <m:sub>
                  <m:r>
                    <w:rPr>
                      <w:rFonts w:ascii="Cambria Math" w:hAnsi="Cambria Math"/>
                    </w:rPr>
                    <m:t>s</m:t>
                  </m:r>
                </m:sub>
              </m:sSub>
            </m:e>
          </m:nary>
          <m:d>
            <m:dPr>
              <m:ctrlPr>
                <w:rPr>
                  <w:rFonts w:ascii="Cambria Math" w:hAnsi="Cambria Math"/>
                </w:rPr>
              </m:ctrlPr>
            </m:dPr>
            <m:e>
              <m:r>
                <w:rPr>
                  <w:rFonts w:ascii="Cambria Math" w:hAnsi="Cambria Math"/>
                </w:rPr>
                <m:t>μdt+σd</m:t>
              </m:r>
              <m:sSubSup>
                <m:sSubSupPr>
                  <m:ctrlPr>
                    <w:rPr>
                      <w:rFonts w:ascii="Cambria Math" w:hAnsi="Cambria Math"/>
                    </w:rPr>
                  </m:ctrlPr>
                </m:sSubSupPr>
                <m:e>
                  <m:r>
                    <w:rPr>
                      <w:rFonts w:ascii="Cambria Math" w:hAnsi="Cambria Math"/>
                    </w:rPr>
                    <m:t>W</m:t>
                  </m:r>
                </m:e>
                <m:sub>
                  <m:r>
                    <w:rPr>
                      <w:rFonts w:ascii="Cambria Math" w:hAnsi="Cambria Math"/>
                    </w:rPr>
                    <m:t>s</m:t>
                  </m:r>
                </m:sub>
                <m:sup>
                  <m:r>
                    <m:rPr>
                      <m:scr m:val="double-struck"/>
                    </m:rPr>
                    <w:rPr>
                      <w:rFonts w:ascii="Cambria Math" w:hAnsi="Cambria Math"/>
                    </w:rPr>
                    <m:t>P</m:t>
                  </m:r>
                </m:sup>
              </m:sSubSup>
            </m:e>
          </m:d>
          <m:r>
            <w:rPr>
              <w:rFonts w:ascii="Cambria Math" w:hAnsi="Cambria Math"/>
            </w:rPr>
            <m:t> ;  avec </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  </m:t>
          </m:r>
          <m:d>
            <m:dPr>
              <m:ctrlPr>
                <w:rPr>
                  <w:rFonts w:ascii="Cambria Math" w:hAnsi="Cambria Math"/>
                </w:rPr>
              </m:ctrlPr>
            </m:dPr>
            <m:e>
              <m:r>
                <w:rPr>
                  <w:rFonts w:ascii="Cambria Math" w:hAnsi="Cambria Math"/>
                </w:rPr>
                <m:t>9</m:t>
              </m:r>
            </m:e>
          </m:d>
        </m:oMath>
      </m:oMathPara>
      <w:bookmarkEnd w:id="42"/>
    </w:p>
    <w:p w:rsidR="005B279D" w:rsidRPr="002844B1" w:rsidRDefault="00000000" w:rsidP="00263816">
      <w:pPr>
        <w:pStyle w:val="FirstParagraph"/>
        <w:jc w:val="both"/>
        <w:rPr>
          <w:sz w:val="21"/>
          <w:szCs w:val="21"/>
        </w:rPr>
      </w:pPr>
      <w:r w:rsidRPr="002844B1">
        <w:rPr>
          <w:sz w:val="21"/>
          <w:szCs w:val="21"/>
        </w:rPr>
        <w:t xml:space="preserve">Puisque </w:t>
      </w:r>
      <m:oMath>
        <m:r>
          <w:rPr>
            <w:rFonts w:ascii="Cambria Math" w:hAnsi="Cambria Math"/>
            <w:sz w:val="21"/>
            <w:szCs w:val="21"/>
          </w:rPr>
          <m:t>μ</m:t>
        </m:r>
      </m:oMath>
      <w:r w:rsidRPr="002844B1">
        <w:rPr>
          <w:sz w:val="21"/>
          <w:szCs w:val="21"/>
        </w:rPr>
        <w:t xml:space="preserve"> et </w:t>
      </w:r>
      <m:oMath>
        <m:r>
          <w:rPr>
            <w:rFonts w:ascii="Cambria Math" w:hAnsi="Cambria Math"/>
            <w:sz w:val="21"/>
            <w:szCs w:val="21"/>
          </w:rPr>
          <m:t>σ</m:t>
        </m:r>
      </m:oMath>
      <w:r w:rsidRPr="002844B1">
        <w:rPr>
          <w:sz w:val="21"/>
          <w:szCs w:val="21"/>
        </w:rPr>
        <w:t xml:space="preserve"> sont positifs, cela signifie que l’on cherche un processus adapté </w:t>
      </w:r>
      <m:oMath>
        <m:sSub>
          <m:sSubPr>
            <m:ctrlPr>
              <w:rPr>
                <w:rFonts w:ascii="Cambria Math" w:hAnsi="Cambria Math"/>
                <w:sz w:val="21"/>
                <w:szCs w:val="21"/>
              </w:rPr>
            </m:ctrlPr>
          </m:sSubPr>
          <m:e>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t</m:t>
                    </m:r>
                  </m:sub>
                </m:sSub>
              </m:e>
            </m:d>
          </m:e>
          <m:sub>
            <m:r>
              <w:rPr>
                <w:rFonts w:ascii="Cambria Math" w:hAnsi="Cambria Math"/>
                <w:sz w:val="21"/>
                <w:szCs w:val="21"/>
              </w:rPr>
              <m:t>t≥0</m:t>
            </m:r>
          </m:sub>
        </m:sSub>
      </m:oMath>
      <w:r w:rsidRPr="002844B1">
        <w:rPr>
          <w:sz w:val="21"/>
          <w:szCs w:val="21"/>
        </w:rPr>
        <w:t xml:space="preserve"> tel que les intégrales </w:t>
      </w:r>
      <m:oMath>
        <m:nary>
          <m:naryPr>
            <m:limLoc m:val="subSup"/>
            <m:ctrlPr>
              <w:rPr>
                <w:rFonts w:ascii="Cambria Math" w:hAnsi="Cambria Math"/>
                <w:sz w:val="21"/>
                <w:szCs w:val="21"/>
              </w:rPr>
            </m:ctrlPr>
          </m:naryPr>
          <m:sub>
            <m:r>
              <w:rPr>
                <w:rFonts w:ascii="Cambria Math" w:hAnsi="Cambria Math"/>
                <w:sz w:val="21"/>
                <w:szCs w:val="21"/>
              </w:rPr>
              <m:t>0</m:t>
            </m:r>
          </m:sub>
          <m:sup>
            <m:r>
              <w:rPr>
                <w:rFonts w:ascii="Cambria Math" w:hAnsi="Cambria Math"/>
                <w:sz w:val="21"/>
                <w:szCs w:val="21"/>
              </w:rPr>
              <m:t>t</m:t>
            </m:r>
          </m:sup>
          <m:e>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s</m:t>
                </m:r>
              </m:sub>
            </m:sSub>
          </m:e>
        </m:nary>
      </m:oMath>
      <w:r w:rsidRPr="002844B1">
        <w:rPr>
          <w:sz w:val="21"/>
          <w:szCs w:val="21"/>
        </w:rPr>
        <w:t xml:space="preserve"> et </w:t>
      </w:r>
      <m:oMath>
        <m:nary>
          <m:naryPr>
            <m:limLoc m:val="subSup"/>
            <m:ctrlPr>
              <w:rPr>
                <w:rFonts w:ascii="Cambria Math" w:hAnsi="Cambria Math"/>
                <w:sz w:val="21"/>
                <w:szCs w:val="21"/>
              </w:rPr>
            </m:ctrlPr>
          </m:naryPr>
          <m:sub>
            <m:r>
              <w:rPr>
                <w:rFonts w:ascii="Cambria Math" w:hAnsi="Cambria Math"/>
                <w:sz w:val="21"/>
                <w:szCs w:val="21"/>
              </w:rPr>
              <m:t>0</m:t>
            </m:r>
          </m:sub>
          <m:sup>
            <m:r>
              <w:rPr>
                <w:rFonts w:ascii="Cambria Math" w:hAnsi="Cambria Math"/>
                <w:sz w:val="21"/>
                <w:szCs w:val="21"/>
              </w:rPr>
              <m:t>t</m:t>
            </m:r>
          </m:sup>
          <m:e>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s</m:t>
                </m:r>
              </m:sub>
            </m:sSub>
          </m:e>
        </m:nary>
        <m:r>
          <w:rPr>
            <w:rFonts w:ascii="Cambria Math" w:hAnsi="Cambria Math"/>
            <w:sz w:val="21"/>
            <w:szCs w:val="21"/>
          </w:rPr>
          <m:t>d</m:t>
        </m:r>
        <m:sSubSup>
          <m:sSubSupPr>
            <m:ctrlPr>
              <w:rPr>
                <w:rFonts w:ascii="Cambria Math" w:hAnsi="Cambria Math"/>
                <w:sz w:val="21"/>
                <w:szCs w:val="21"/>
              </w:rPr>
            </m:ctrlPr>
          </m:sSubSupPr>
          <m:e>
            <m:r>
              <w:rPr>
                <w:rFonts w:ascii="Cambria Math" w:hAnsi="Cambria Math"/>
                <w:sz w:val="21"/>
                <w:szCs w:val="21"/>
              </w:rPr>
              <m:t>W</m:t>
            </m:r>
          </m:e>
          <m:sub>
            <m:r>
              <w:rPr>
                <w:rFonts w:ascii="Cambria Math" w:hAnsi="Cambria Math"/>
                <w:sz w:val="21"/>
                <w:szCs w:val="21"/>
              </w:rPr>
              <m:t>s</m:t>
            </m:r>
          </m:sub>
          <m:sup>
            <m:r>
              <m:rPr>
                <m:scr m:val="double-struck"/>
              </m:rPr>
              <w:rPr>
                <w:rFonts w:ascii="Cambria Math" w:hAnsi="Cambria Math"/>
                <w:sz w:val="21"/>
                <w:szCs w:val="21"/>
              </w:rPr>
              <m:t>P</m:t>
            </m:r>
          </m:sup>
        </m:sSubSup>
      </m:oMath>
      <w:r w:rsidRPr="002844B1">
        <w:rPr>
          <w:sz w:val="21"/>
          <w:szCs w:val="21"/>
        </w:rPr>
        <w:t xml:space="preserve"> aient un sens, et qui vérifie l’</w:t>
      </w:r>
      <w:hyperlink w:anchor="eq-intEDS">
        <w:r w:rsidRPr="002844B1">
          <w:rPr>
            <w:rStyle w:val="Hyperlink"/>
            <w:sz w:val="20"/>
            <w:szCs w:val="20"/>
          </w:rPr>
          <w:t>Equation 9</w:t>
        </w:r>
      </w:hyperlink>
      <w:r w:rsidRPr="002844B1">
        <w:rPr>
          <w:sz w:val="21"/>
          <w:szCs w:val="21"/>
        </w:rPr>
        <w:t xml:space="preserve">, pour chaque </w:t>
      </w:r>
      <m:oMath>
        <m:r>
          <w:rPr>
            <w:rFonts w:ascii="Cambria Math" w:hAnsi="Cambria Math"/>
            <w:sz w:val="21"/>
            <w:szCs w:val="21"/>
          </w:rPr>
          <m:t>t</m:t>
        </m:r>
      </m:oMath>
      <w:r w:rsidRPr="002844B1">
        <w:rPr>
          <w:sz w:val="21"/>
          <w:szCs w:val="21"/>
        </w:rPr>
        <w:t>.</w:t>
      </w:r>
    </w:p>
    <w:p w:rsidR="005B279D" w:rsidRPr="002844B1" w:rsidRDefault="00000000" w:rsidP="00263816">
      <w:pPr>
        <w:pStyle w:val="BodyText"/>
        <w:jc w:val="both"/>
        <w:rPr>
          <w:sz w:val="21"/>
          <w:szCs w:val="21"/>
        </w:rPr>
      </w:pPr>
      <w:r w:rsidRPr="002844B1">
        <w:rPr>
          <w:sz w:val="21"/>
          <w:szCs w:val="21"/>
        </w:rPr>
        <w:t xml:space="preserve">Commençons par un calcul formel en posant </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t</m:t>
            </m:r>
          </m:sub>
        </m:sSub>
        <m:r>
          <w:rPr>
            <w:rFonts w:ascii="Cambria Math" w:hAnsi="Cambria Math"/>
            <w:sz w:val="21"/>
            <w:szCs w:val="21"/>
          </w:rPr>
          <m:t>=log</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t</m:t>
                </m:r>
              </m:sub>
            </m:sSub>
          </m:e>
        </m:d>
      </m:oMath>
      <w:r w:rsidRPr="002844B1">
        <w:rPr>
          <w:sz w:val="21"/>
          <w:szCs w:val="21"/>
        </w:rPr>
        <w:t xml:space="preserve"> où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t</m:t>
            </m:r>
          </m:sub>
        </m:sSub>
      </m:oMath>
      <w:r w:rsidRPr="002844B1">
        <w:rPr>
          <w:sz w:val="21"/>
          <w:szCs w:val="21"/>
        </w:rPr>
        <w:t xml:space="preserve"> est une solution de l’</w:t>
      </w:r>
      <w:hyperlink w:anchor="eq-intEDS">
        <w:r w:rsidRPr="002844B1">
          <w:rPr>
            <w:rStyle w:val="Hyperlink"/>
            <w:sz w:val="20"/>
            <w:szCs w:val="20"/>
          </w:rPr>
          <w:t>Equation 9</w:t>
        </w:r>
      </w:hyperlink>
      <w:r w:rsidRPr="002844B1">
        <w:rPr>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t</m:t>
            </m:r>
          </m:sub>
        </m:sSub>
      </m:oMath>
      <w:r w:rsidRPr="002844B1">
        <w:rPr>
          <w:sz w:val="21"/>
          <w:szCs w:val="21"/>
        </w:rPr>
        <w:t xml:space="preserve"> est un processus d’Itô avec </w:t>
      </w:r>
      <m:oMath>
        <m:sSub>
          <m:sSubPr>
            <m:ctrlPr>
              <w:rPr>
                <w:rFonts w:ascii="Cambria Math" w:hAnsi="Cambria Math"/>
                <w:sz w:val="21"/>
                <w:szCs w:val="21"/>
              </w:rPr>
            </m:ctrlPr>
          </m:sSubPr>
          <m:e>
            <m:r>
              <w:rPr>
                <w:rFonts w:ascii="Cambria Math" w:hAnsi="Cambria Math"/>
                <w:sz w:val="21"/>
                <w:szCs w:val="21"/>
              </w:rPr>
              <m:t>K</m:t>
            </m:r>
          </m:e>
          <m:sub>
            <m:r>
              <w:rPr>
                <w:rFonts w:ascii="Cambria Math" w:hAnsi="Cambria Math"/>
                <w:sz w:val="21"/>
                <w:szCs w:val="21"/>
              </w:rPr>
              <m:t>s</m:t>
            </m:r>
          </m:sub>
        </m:sSub>
        <m:r>
          <w:rPr>
            <w:rFonts w:ascii="Cambria Math" w:hAnsi="Cambria Math"/>
            <w:sz w:val="21"/>
            <w:szCs w:val="21"/>
          </w:rPr>
          <m:t>=μ</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s</m:t>
            </m:r>
          </m:sub>
        </m:sSub>
      </m:oMath>
      <w:r w:rsidRPr="002844B1">
        <w:rPr>
          <w:sz w:val="21"/>
          <w:szCs w:val="21"/>
        </w:rPr>
        <w:t xml:space="preserve"> et </w:t>
      </w:r>
      <m:oMath>
        <m:sSub>
          <m:sSubPr>
            <m:ctrlPr>
              <w:rPr>
                <w:rFonts w:ascii="Cambria Math" w:hAnsi="Cambria Math"/>
                <w:sz w:val="21"/>
                <w:szCs w:val="21"/>
              </w:rPr>
            </m:ctrlPr>
          </m:sSubPr>
          <m:e>
            <m:r>
              <w:rPr>
                <w:rFonts w:ascii="Cambria Math" w:hAnsi="Cambria Math"/>
                <w:sz w:val="21"/>
                <w:szCs w:val="21"/>
              </w:rPr>
              <m:t>H</m:t>
            </m:r>
          </m:e>
          <m:sub>
            <m:r>
              <w:rPr>
                <w:rFonts w:ascii="Cambria Math" w:hAnsi="Cambria Math"/>
                <w:sz w:val="21"/>
                <w:szCs w:val="21"/>
              </w:rPr>
              <m:t>s</m:t>
            </m:r>
          </m:sub>
        </m:sSub>
        <m:r>
          <w:rPr>
            <w:rFonts w:ascii="Cambria Math" w:hAnsi="Cambria Math"/>
            <w:sz w:val="21"/>
            <w:szCs w:val="21"/>
          </w:rPr>
          <m:t>=σ</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s</m:t>
            </m:r>
          </m:sub>
        </m:sSub>
      </m:oMath>
      <w:r w:rsidRPr="002844B1">
        <w:rPr>
          <w:sz w:val="21"/>
          <w:szCs w:val="21"/>
        </w:rPr>
        <w:t xml:space="preserve">. Appliquons la formule d’Itô à </w:t>
      </w:r>
      <m:oMath>
        <m:r>
          <w:rPr>
            <w:rFonts w:ascii="Cambria Math" w:hAnsi="Cambria Math"/>
            <w:sz w:val="21"/>
            <w:szCs w:val="21"/>
          </w:rPr>
          <m:t>f</m:t>
        </m:r>
        <m:d>
          <m:dPr>
            <m:ctrlPr>
              <w:rPr>
                <w:rFonts w:ascii="Cambria Math" w:hAnsi="Cambria Math"/>
                <w:sz w:val="21"/>
                <w:szCs w:val="21"/>
              </w:rPr>
            </m:ctrlPr>
          </m:dPr>
          <m:e>
            <m:r>
              <w:rPr>
                <w:rFonts w:ascii="Cambria Math" w:hAnsi="Cambria Math"/>
                <w:sz w:val="21"/>
                <w:szCs w:val="21"/>
              </w:rPr>
              <m:t>x</m:t>
            </m:r>
          </m:e>
        </m:d>
        <m:r>
          <w:rPr>
            <w:rFonts w:ascii="Cambria Math" w:hAnsi="Cambria Math"/>
            <w:sz w:val="21"/>
            <w:szCs w:val="21"/>
          </w:rPr>
          <m:t>=log</m:t>
        </m:r>
        <m:d>
          <m:dPr>
            <m:ctrlPr>
              <w:rPr>
                <w:rFonts w:ascii="Cambria Math" w:hAnsi="Cambria Math"/>
                <w:sz w:val="21"/>
                <w:szCs w:val="21"/>
              </w:rPr>
            </m:ctrlPr>
          </m:dPr>
          <m:e>
            <m:r>
              <w:rPr>
                <w:rFonts w:ascii="Cambria Math" w:hAnsi="Cambria Math"/>
                <w:sz w:val="21"/>
                <w:szCs w:val="21"/>
              </w:rPr>
              <m:t>x</m:t>
            </m:r>
          </m:e>
        </m:d>
      </m:oMath>
      <w:r w:rsidRPr="002844B1">
        <w:rPr>
          <w:sz w:val="21"/>
          <w:szCs w:val="21"/>
        </w:rPr>
        <w:t xml:space="preserve">. On obtient, en supposant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t</m:t>
            </m:r>
          </m:sub>
        </m:sSub>
      </m:oMath>
      <w:r w:rsidRPr="002844B1">
        <w:rPr>
          <w:sz w:val="21"/>
          <w:szCs w:val="21"/>
        </w:rPr>
        <w:t xml:space="preserve"> positif :</w:t>
      </w:r>
    </w:p>
    <w:p w:rsidR="005B279D" w:rsidRPr="002844B1" w:rsidRDefault="00000000">
      <w:pPr>
        <w:pStyle w:val="BodyText"/>
      </w:pPr>
      <m:oMathPara>
        <m:oMathParaPr>
          <m:jc m:val="center"/>
        </m:oMathParaPr>
        <m:oMath>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e>
          </m:d>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0</m:t>
                  </m:r>
                </m:sub>
              </m:sSub>
            </m:e>
          </m:d>
          <m: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t</m:t>
              </m:r>
            </m:sup>
            <m:e>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S</m:t>
                      </m:r>
                    </m:e>
                    <m:sub>
                      <m:r>
                        <w:rPr>
                          <w:rFonts w:ascii="Cambria Math" w:hAnsi="Cambria Math"/>
                        </w:rPr>
                        <m:t>s</m:t>
                      </m:r>
                    </m:sub>
                  </m:sSub>
                </m:num>
                <m:den>
                  <m:sSub>
                    <m:sSubPr>
                      <m:ctrlPr>
                        <w:rPr>
                          <w:rFonts w:ascii="Cambria Math" w:hAnsi="Cambria Math"/>
                        </w:rPr>
                      </m:ctrlPr>
                    </m:sSubPr>
                    <m:e>
                      <m:r>
                        <w:rPr>
                          <w:rFonts w:ascii="Cambria Math" w:hAnsi="Cambria Math"/>
                        </w:rPr>
                        <m:t>S</m:t>
                      </m:r>
                    </m:e>
                    <m:sub>
                      <m:r>
                        <w:rPr>
                          <w:rFonts w:ascii="Cambria Math" w:hAnsi="Cambria Math"/>
                        </w:rPr>
                        <m:t>s</m:t>
                      </m:r>
                    </m:sub>
                  </m:sSub>
                </m:den>
              </m:f>
            </m:e>
          </m:nary>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nary>
            <m:naryPr>
              <m:limLoc m:val="subSup"/>
              <m:ctrlPr>
                <w:rPr>
                  <w:rFonts w:ascii="Cambria Math" w:hAnsi="Cambria Math"/>
                </w:rPr>
              </m:ctrlPr>
            </m:naryPr>
            <m:sub>
              <m:r>
                <w:rPr>
                  <w:rFonts w:ascii="Cambria Math" w:hAnsi="Cambria Math"/>
                </w:rPr>
                <m:t>0</m:t>
              </m:r>
            </m:sub>
            <m:sup>
              <m:r>
                <w:rPr>
                  <w:rFonts w:ascii="Cambria Math" w:hAnsi="Cambria Math"/>
                </w:rPr>
                <m:t>t</m:t>
              </m:r>
            </m:sup>
            <m:e>
              <m:f>
                <m:fPr>
                  <m:ctrlPr>
                    <w:rPr>
                      <w:rFonts w:ascii="Cambria Math" w:hAnsi="Cambria Math"/>
                    </w:rPr>
                  </m:ctrlPr>
                </m:fPr>
                <m:num>
                  <m:r>
                    <w:rPr>
                      <w:rFonts w:ascii="Cambria Math" w:hAnsi="Cambria Math"/>
                    </w:rPr>
                    <m:t>-1</m:t>
                  </m:r>
                </m:num>
                <m:den>
                  <m:sSubSup>
                    <m:sSubSupPr>
                      <m:ctrlPr>
                        <w:rPr>
                          <w:rFonts w:ascii="Cambria Math" w:hAnsi="Cambria Math"/>
                        </w:rPr>
                      </m:ctrlPr>
                    </m:sSubSupPr>
                    <m:e>
                      <m:r>
                        <w:rPr>
                          <w:rFonts w:ascii="Cambria Math" w:hAnsi="Cambria Math"/>
                        </w:rPr>
                        <m:t>S</m:t>
                      </m:r>
                    </m:e>
                    <m:sub>
                      <m:r>
                        <w:rPr>
                          <w:rFonts w:ascii="Cambria Math" w:hAnsi="Cambria Math"/>
                        </w:rPr>
                        <m:t>s</m:t>
                      </m:r>
                    </m:sub>
                    <m:sup>
                      <m:r>
                        <w:rPr>
                          <w:rFonts w:ascii="Cambria Math" w:hAnsi="Cambria Math"/>
                        </w:rPr>
                        <m:t>2</m:t>
                      </m:r>
                    </m:sup>
                  </m:sSubSup>
                </m:den>
              </m:f>
            </m:e>
          </m:nary>
          <m:sSup>
            <m:sSupPr>
              <m:ctrlPr>
                <w:rPr>
                  <w:rFonts w:ascii="Cambria Math" w:hAnsi="Cambria Math"/>
                </w:rPr>
              </m:ctrlPr>
            </m:sSupPr>
            <m:e>
              <m:r>
                <w:rPr>
                  <w:rFonts w:ascii="Cambria Math" w:hAnsi="Cambria Math"/>
                </w:rPr>
                <m:t>σ</m:t>
              </m:r>
            </m:e>
            <m:sup>
              <m:r>
                <w:rPr>
                  <w:rFonts w:ascii="Cambria Math" w:hAnsi="Cambria Math"/>
                </w:rPr>
                <m:t>2</m:t>
              </m:r>
            </m:sup>
          </m:sSup>
          <m:sSubSup>
            <m:sSubSupPr>
              <m:ctrlPr>
                <w:rPr>
                  <w:rFonts w:ascii="Cambria Math" w:hAnsi="Cambria Math"/>
                </w:rPr>
              </m:ctrlPr>
            </m:sSubSupPr>
            <m:e>
              <m:r>
                <w:rPr>
                  <w:rFonts w:ascii="Cambria Math" w:hAnsi="Cambria Math"/>
                </w:rPr>
                <m:t>S</m:t>
              </m:r>
            </m:e>
            <m:sub>
              <m:r>
                <w:rPr>
                  <w:rFonts w:ascii="Cambria Math" w:hAnsi="Cambria Math"/>
                </w:rPr>
                <m:t>s</m:t>
              </m:r>
            </m:sub>
            <m:sup>
              <m:r>
                <w:rPr>
                  <w:rFonts w:ascii="Cambria Math" w:hAnsi="Cambria Math"/>
                </w:rPr>
                <m:t>2</m:t>
              </m:r>
            </m:sup>
          </m:sSubSup>
          <m:r>
            <w:rPr>
              <w:rFonts w:ascii="Cambria Math" w:hAnsi="Cambria Math"/>
            </w:rPr>
            <m:t>ds ,</m:t>
          </m:r>
        </m:oMath>
      </m:oMathPara>
    </w:p>
    <w:p w:rsidR="005B279D" w:rsidRPr="002844B1" w:rsidRDefault="00000000" w:rsidP="00263816">
      <w:pPr>
        <w:pStyle w:val="FirstParagraph"/>
        <w:jc w:val="both"/>
        <w:rPr>
          <w:sz w:val="21"/>
          <w:szCs w:val="21"/>
        </w:rPr>
      </w:pPr>
      <w:r w:rsidRPr="002844B1">
        <w:rPr>
          <w:sz w:val="21"/>
          <w:szCs w:val="21"/>
        </w:rPr>
        <w:t xml:space="preserve">soit, en utilisant </w:t>
      </w:r>
      <w:hyperlink w:anchor="eq-gbmp1">
        <w:r w:rsidRPr="002844B1">
          <w:rPr>
            <w:rStyle w:val="Hyperlink"/>
            <w:sz w:val="20"/>
            <w:szCs w:val="20"/>
          </w:rPr>
          <w:t>Equation 7</w:t>
        </w:r>
      </w:hyperlink>
      <w:r w:rsidRPr="002844B1">
        <w:rPr>
          <w:sz w:val="21"/>
          <w:szCs w:val="21"/>
        </w:rPr>
        <w:t xml:space="preserve"> :</w:t>
      </w:r>
    </w:p>
    <w:p w:rsidR="005B279D" w:rsidRPr="002844B1" w:rsidRDefault="00000000">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t</m:t>
              </m:r>
            </m:sup>
            <m:e>
              <m:d>
                <m:dPr>
                  <m:ctrlPr>
                    <w:rPr>
                      <w:rFonts w:ascii="Cambria Math" w:hAnsi="Cambria Math"/>
                    </w:rPr>
                  </m:ctrlPr>
                </m:dPr>
                <m:e>
                  <m:r>
                    <w:rPr>
                      <w:rFonts w:ascii="Cambria Math" w:hAnsi="Cambria Math"/>
                    </w:rPr>
                    <m:t>μ-</m:t>
                  </m:r>
                  <m:f>
                    <m:fPr>
                      <m:ctrlPr>
                        <w:rPr>
                          <w:rFonts w:ascii="Cambria Math" w:hAnsi="Cambria Math"/>
                        </w:rPr>
                      </m:ctrlPr>
                    </m:fPr>
                    <m:num>
                      <m:sSup>
                        <m:sSupPr>
                          <m:ctrlPr>
                            <w:rPr>
                              <w:rFonts w:ascii="Cambria Math" w:hAnsi="Cambria Math"/>
                            </w:rPr>
                          </m:ctrlPr>
                        </m:sSupPr>
                        <m:e>
                          <m:r>
                            <w:rPr>
                              <w:rFonts w:ascii="Cambria Math" w:hAnsi="Cambria Math"/>
                            </w:rPr>
                            <m:t>σ</m:t>
                          </m:r>
                        </m:e>
                        <m:sup>
                          <m:r>
                            <w:rPr>
                              <w:rFonts w:ascii="Cambria Math" w:hAnsi="Cambria Math"/>
                            </w:rPr>
                            <m:t>2</m:t>
                          </m:r>
                        </m:sup>
                      </m:sSup>
                    </m:num>
                    <m:den>
                      <m:r>
                        <w:rPr>
                          <w:rFonts w:ascii="Cambria Math" w:hAnsi="Cambria Math"/>
                        </w:rPr>
                        <m:t>2</m:t>
                      </m:r>
                    </m:den>
                  </m:f>
                </m:e>
              </m:d>
            </m:e>
          </m:nary>
          <m:r>
            <w:rPr>
              <w:rFonts w:ascii="Cambria Math" w:hAnsi="Cambria Math"/>
            </w:rPr>
            <m:t>ds+</m:t>
          </m:r>
          <m:nary>
            <m:naryPr>
              <m:limLoc m:val="subSup"/>
              <m:ctrlPr>
                <w:rPr>
                  <w:rFonts w:ascii="Cambria Math" w:hAnsi="Cambria Math"/>
                </w:rPr>
              </m:ctrlPr>
            </m:naryPr>
            <m:sub>
              <m:r>
                <w:rPr>
                  <w:rFonts w:ascii="Cambria Math" w:hAnsi="Cambria Math"/>
                </w:rPr>
                <m:t>0</m:t>
              </m:r>
            </m:sub>
            <m:sup>
              <m:r>
                <w:rPr>
                  <w:rFonts w:ascii="Cambria Math" w:hAnsi="Cambria Math"/>
                </w:rPr>
                <m:t>t</m:t>
              </m:r>
            </m:sup>
            <m:e>
              <m:r>
                <w:rPr>
                  <w:rFonts w:ascii="Cambria Math" w:hAnsi="Cambria Math"/>
                </w:rPr>
                <m:t>σ</m:t>
              </m:r>
            </m:e>
          </m:nary>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s</m:t>
              </m:r>
            </m:sub>
          </m:sSub>
          <m:r>
            <w:rPr>
              <w:rFonts w:ascii="Cambria Math" w:hAnsi="Cambria Math"/>
            </w:rPr>
            <m:t> ,</m:t>
          </m:r>
        </m:oMath>
      </m:oMathPara>
    </w:p>
    <w:p w:rsidR="005B279D" w:rsidRPr="002844B1" w:rsidRDefault="00263816">
      <w:pPr>
        <w:pStyle w:val="FirstParagraph"/>
        <w:rPr>
          <w:sz w:val="21"/>
          <w:szCs w:val="21"/>
        </w:rPr>
      </w:pPr>
      <w:r w:rsidRPr="002844B1">
        <w:rPr>
          <w:sz w:val="21"/>
          <w:szCs w:val="21"/>
        </w:rPr>
        <w:t>p</w:t>
      </w:r>
      <w:r w:rsidR="00000000" w:rsidRPr="002844B1">
        <w:rPr>
          <w:sz w:val="21"/>
          <w:szCs w:val="21"/>
        </w:rPr>
        <w:t>uis</w:t>
      </w:r>
      <w:r w:rsidRPr="002844B1">
        <w:rPr>
          <w:sz w:val="21"/>
          <w:szCs w:val="21"/>
        </w:rPr>
        <w:t> :</w:t>
      </w:r>
    </w:p>
    <w:p w:rsidR="005B279D" w:rsidRPr="002844B1" w:rsidRDefault="00000000">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e>
          </m:d>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0</m:t>
                  </m:r>
                </m:sub>
              </m:sSub>
            </m:e>
          </m:d>
          <m:r>
            <w:rPr>
              <w:rFonts w:ascii="Cambria Math" w:hAnsi="Cambria Math"/>
            </w:rPr>
            <m:t>+</m:t>
          </m:r>
          <m:d>
            <m:dPr>
              <m:ctrlPr>
                <w:rPr>
                  <w:rFonts w:ascii="Cambria Math" w:hAnsi="Cambria Math"/>
                </w:rPr>
              </m:ctrlPr>
            </m:dPr>
            <m:e>
              <m:r>
                <w:rPr>
                  <w:rFonts w:ascii="Cambria Math" w:hAnsi="Cambria Math"/>
                </w:rPr>
                <m:t>μ-</m:t>
              </m:r>
              <m:f>
                <m:fPr>
                  <m:ctrlPr>
                    <w:rPr>
                      <w:rFonts w:ascii="Cambria Math" w:hAnsi="Cambria Math"/>
                    </w:rPr>
                  </m:ctrlPr>
                </m:fPr>
                <m:num>
                  <m:sSup>
                    <m:sSupPr>
                      <m:ctrlPr>
                        <w:rPr>
                          <w:rFonts w:ascii="Cambria Math" w:hAnsi="Cambria Math"/>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t+σ</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m:t>
          </m:r>
        </m:oMath>
      </m:oMathPara>
    </w:p>
    <w:p w:rsidR="005B279D" w:rsidRPr="002844B1" w:rsidRDefault="00000000">
      <w:pPr>
        <w:pStyle w:val="FirstParagraph"/>
      </w:pPr>
      <w:r w:rsidRPr="002844B1">
        <w:t>ainsi :</w:t>
      </w:r>
    </w:p>
    <w:bookmarkStart w:id="43" w:name="eq-solBS"/>
    <w:p w:rsidR="005B279D" w:rsidRPr="002844B1" w:rsidRDefault="00000000">
      <w:pPr>
        <w:pStyle w:val="BodyText"/>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exp</m:t>
          </m:r>
          <m:d>
            <m:dPr>
              <m:ctrlPr>
                <w:rPr>
                  <w:rFonts w:ascii="Cambria Math" w:hAnsi="Cambria Math"/>
                </w:rPr>
              </m:ctrlPr>
            </m:dPr>
            <m:e>
              <m:d>
                <m:dPr>
                  <m:ctrlPr>
                    <w:rPr>
                      <w:rFonts w:ascii="Cambria Math" w:hAnsi="Cambria Math"/>
                    </w:rPr>
                  </m:ctrlPr>
                </m:dPr>
                <m:e>
                  <m:r>
                    <w:rPr>
                      <w:rFonts w:ascii="Cambria Math" w:hAnsi="Cambria Math"/>
                    </w:rPr>
                    <m:t>μ-</m:t>
                  </m:r>
                  <m:f>
                    <m:fPr>
                      <m:ctrlPr>
                        <w:rPr>
                          <w:rFonts w:ascii="Cambria Math" w:hAnsi="Cambria Math"/>
                        </w:rPr>
                      </m:ctrlPr>
                    </m:fPr>
                    <m:num>
                      <m:sSup>
                        <m:sSupPr>
                          <m:ctrlPr>
                            <w:rPr>
                              <w:rFonts w:ascii="Cambria Math" w:hAnsi="Cambria Math"/>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t+σ</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 ,  </m:t>
          </m:r>
          <m:d>
            <m:dPr>
              <m:ctrlPr>
                <w:rPr>
                  <w:rFonts w:ascii="Cambria Math" w:hAnsi="Cambria Math"/>
                </w:rPr>
              </m:ctrlPr>
            </m:dPr>
            <m:e>
              <m:r>
                <w:rPr>
                  <w:rFonts w:ascii="Cambria Math" w:hAnsi="Cambria Math"/>
                </w:rPr>
                <m:t>10</m:t>
              </m:r>
            </m:e>
          </m:d>
        </m:oMath>
      </m:oMathPara>
      <w:bookmarkEnd w:id="43"/>
    </w:p>
    <w:p w:rsidR="005B279D" w:rsidRPr="002844B1" w:rsidRDefault="00000000">
      <w:pPr>
        <w:pStyle w:val="FirstParagraph"/>
      </w:pPr>
      <w:r w:rsidRPr="002844B1">
        <w:t>est solution de l’EDS.</w:t>
      </w:r>
    </w:p>
    <w:p w:rsidR="007521DB" w:rsidRPr="002844B1" w:rsidRDefault="007521DB" w:rsidP="007521DB">
      <w:pPr>
        <w:pStyle w:val="Caption"/>
        <w:keepNext/>
      </w:pPr>
      <w:r w:rsidRPr="002844B1">
        <w:lastRenderedPageBreak/>
        <w:t xml:space="preserve">Figure </w:t>
      </w:r>
      <w:r w:rsidRPr="002844B1">
        <w:fldChar w:fldCharType="begin"/>
      </w:r>
      <w:r w:rsidRPr="002844B1">
        <w:instrText xml:space="preserve"> SEQ Figure \* ARABIC </w:instrText>
      </w:r>
      <w:r w:rsidRPr="002844B1">
        <w:fldChar w:fldCharType="separate"/>
      </w:r>
      <w:r w:rsidR="008E2C01" w:rsidRPr="002844B1">
        <w:rPr>
          <w:noProof/>
        </w:rPr>
        <w:t>3</w:t>
      </w:r>
      <w:r w:rsidRPr="002844B1">
        <w:fldChar w:fldCharType="end"/>
      </w:r>
      <w:r w:rsidRPr="002844B1">
        <w:t>: Simulation du cours de l’indice MASI sur une année avec le modèle de Black-Scholes</w:t>
      </w:r>
    </w:p>
    <w:tbl>
      <w:tblPr>
        <w:tblStyle w:val="Table"/>
        <w:tblW w:w="5000" w:type="pct"/>
        <w:tblLook w:val="0000" w:firstRow="0" w:lastRow="0" w:firstColumn="0" w:lastColumn="0" w:noHBand="0" w:noVBand="0"/>
      </w:tblPr>
      <w:tblGrid>
        <w:gridCol w:w="9360"/>
      </w:tblGrid>
      <w:tr w:rsidR="005B279D" w:rsidRPr="002844B1">
        <w:tc>
          <w:tcPr>
            <w:tcW w:w="0" w:type="auto"/>
          </w:tcPr>
          <w:p w:rsidR="00263816" w:rsidRPr="002844B1" w:rsidRDefault="00000000" w:rsidP="007521DB">
            <w:pPr>
              <w:jc w:val="center"/>
            </w:pPr>
            <w:bookmarkStart w:id="44" w:name="fig-MASI_BS"/>
            <w:r w:rsidRPr="002844B1">
              <w:rPr>
                <w:noProof/>
              </w:rPr>
              <w:drawing>
                <wp:inline distT="0" distB="0" distL="0" distR="0">
                  <wp:extent cx="5334000" cy="3291840"/>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Rapport-PFE_files/figure-html/Masi_BS.png"/>
                          <pic:cNvPicPr>
                            <a:picLocks noChangeAspect="1" noChangeArrowheads="1"/>
                          </pic:cNvPicPr>
                        </pic:nvPicPr>
                        <pic:blipFill>
                          <a:blip r:embed="rId13"/>
                          <a:stretch>
                            <a:fillRect/>
                          </a:stretch>
                        </pic:blipFill>
                        <pic:spPr bwMode="auto">
                          <a:xfrm>
                            <a:off x="0" y="0"/>
                            <a:ext cx="5334000" cy="3291840"/>
                          </a:xfrm>
                          <a:prstGeom prst="rect">
                            <a:avLst/>
                          </a:prstGeom>
                          <a:noFill/>
                          <a:ln w="9525">
                            <a:noFill/>
                            <a:headEnd/>
                            <a:tailEnd/>
                          </a:ln>
                        </pic:spPr>
                      </pic:pic>
                    </a:graphicData>
                  </a:graphic>
                </wp:inline>
              </w:drawing>
            </w:r>
          </w:p>
        </w:tc>
        <w:bookmarkEnd w:id="44"/>
      </w:tr>
    </w:tbl>
    <w:p w:rsidR="005B279D" w:rsidRPr="002844B1" w:rsidRDefault="00000000">
      <w:pPr>
        <w:pStyle w:val="BodyText"/>
      </w:pPr>
      <w:r w:rsidRPr="002844B1">
        <w:t xml:space="preserve"> </w:t>
      </w:r>
    </w:p>
    <w:p w:rsidR="007521DB" w:rsidRPr="002844B1" w:rsidRDefault="007521DB" w:rsidP="007521DB">
      <w:pPr>
        <w:pStyle w:val="Caption"/>
        <w:keepNext/>
      </w:pPr>
      <w:r w:rsidRPr="002844B1">
        <w:t xml:space="preserve">Figure </w:t>
      </w:r>
      <w:r w:rsidRPr="002844B1">
        <w:fldChar w:fldCharType="begin"/>
      </w:r>
      <w:r w:rsidRPr="002844B1">
        <w:instrText xml:space="preserve"> SEQ Figure \* ARABIC </w:instrText>
      </w:r>
      <w:r w:rsidRPr="002844B1">
        <w:fldChar w:fldCharType="separate"/>
      </w:r>
      <w:r w:rsidR="008E2C01" w:rsidRPr="002844B1">
        <w:rPr>
          <w:noProof/>
        </w:rPr>
        <w:t>4</w:t>
      </w:r>
      <w:r w:rsidRPr="002844B1">
        <w:fldChar w:fldCharType="end"/>
      </w:r>
      <w:r w:rsidRPr="002844B1">
        <w:t>: Cours de l’indice Masi observé sur la même période</w:t>
      </w:r>
    </w:p>
    <w:tbl>
      <w:tblPr>
        <w:tblStyle w:val="Table"/>
        <w:tblW w:w="5000" w:type="pct"/>
        <w:tblLook w:val="0000" w:firstRow="0" w:lastRow="0" w:firstColumn="0" w:lastColumn="0" w:noHBand="0" w:noVBand="0"/>
      </w:tblPr>
      <w:tblGrid>
        <w:gridCol w:w="9360"/>
      </w:tblGrid>
      <w:tr w:rsidR="005B279D" w:rsidRPr="002844B1">
        <w:tc>
          <w:tcPr>
            <w:tcW w:w="0" w:type="auto"/>
          </w:tcPr>
          <w:p w:rsidR="005B279D" w:rsidRPr="002844B1" w:rsidRDefault="00000000" w:rsidP="007521DB">
            <w:pPr>
              <w:jc w:val="center"/>
            </w:pPr>
            <w:bookmarkStart w:id="45" w:name="fig-MASI_R"/>
            <w:r w:rsidRPr="002844B1">
              <w:rPr>
                <w:noProof/>
              </w:rPr>
              <w:drawing>
                <wp:inline distT="0" distB="0" distL="0" distR="0">
                  <wp:extent cx="5334000" cy="299891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Rapport-PFE_files/figure-html/MASI_reel.png"/>
                          <pic:cNvPicPr>
                            <a:picLocks noChangeAspect="1" noChangeArrowheads="1"/>
                          </pic:cNvPicPr>
                        </pic:nvPicPr>
                        <pic:blipFill>
                          <a:blip r:embed="rId14"/>
                          <a:stretch>
                            <a:fillRect/>
                          </a:stretch>
                        </pic:blipFill>
                        <pic:spPr bwMode="auto">
                          <a:xfrm>
                            <a:off x="0" y="0"/>
                            <a:ext cx="5334000" cy="2998910"/>
                          </a:xfrm>
                          <a:prstGeom prst="rect">
                            <a:avLst/>
                          </a:prstGeom>
                          <a:noFill/>
                          <a:ln w="9525">
                            <a:noFill/>
                            <a:headEnd/>
                            <a:tailEnd/>
                          </a:ln>
                        </pic:spPr>
                      </pic:pic>
                    </a:graphicData>
                  </a:graphic>
                </wp:inline>
              </w:drawing>
            </w:r>
          </w:p>
          <w:p w:rsidR="007521DB" w:rsidRPr="002844B1" w:rsidRDefault="007521DB" w:rsidP="007521DB">
            <w:pPr>
              <w:jc w:val="center"/>
            </w:pPr>
          </w:p>
          <w:p w:rsidR="007521DB" w:rsidRPr="002844B1" w:rsidRDefault="007521DB" w:rsidP="007521DB">
            <w:pPr>
              <w:jc w:val="center"/>
            </w:pPr>
          </w:p>
        </w:tc>
        <w:bookmarkEnd w:id="45"/>
      </w:tr>
    </w:tbl>
    <w:p w:rsidR="005B279D" w:rsidRPr="002844B1" w:rsidRDefault="00000000">
      <w:pPr>
        <w:pStyle w:val="Heading3"/>
      </w:pPr>
      <w:bookmarkStart w:id="46" w:name="réseaux-de-neurones-récurrents"/>
      <w:bookmarkStart w:id="47" w:name="_Toc137651010"/>
      <w:bookmarkEnd w:id="38"/>
      <w:r w:rsidRPr="002844B1">
        <w:lastRenderedPageBreak/>
        <w:t>Réseaux de neurones récurrents</w:t>
      </w:r>
      <w:bookmarkEnd w:id="47"/>
    </w:p>
    <w:p w:rsidR="005B279D" w:rsidRPr="002844B1" w:rsidRDefault="00000000" w:rsidP="007521DB">
      <w:pPr>
        <w:pStyle w:val="FirstParagraph"/>
        <w:jc w:val="both"/>
        <w:rPr>
          <w:sz w:val="21"/>
          <w:szCs w:val="21"/>
        </w:rPr>
      </w:pPr>
      <w:r w:rsidRPr="002844B1">
        <w:rPr>
          <w:sz w:val="21"/>
          <w:szCs w:val="21"/>
        </w:rPr>
        <w:t>Dans cette partie on va s’intéresser à l’entraînement d’un modèle de réseaux de neurones récurrents (</w:t>
      </w:r>
      <w:r w:rsidRPr="002844B1">
        <w:rPr>
          <w:b/>
          <w:bCs/>
          <w:sz w:val="21"/>
          <w:szCs w:val="21"/>
        </w:rPr>
        <w:t>RNN</w:t>
      </w:r>
      <w:r w:rsidRPr="002844B1">
        <w:rPr>
          <w:sz w:val="21"/>
          <w:szCs w:val="21"/>
        </w:rPr>
        <w:t xml:space="preserve"> pour recurrent neural network en anglais), plus spécifiquement au modèle LSTM (Long short-term memory) avec des données historiques de l’indice MASI (Moroccan All Shares Index) afin prédire les cours journaliers de clôture.</w:t>
      </w:r>
    </w:p>
    <w:p w:rsidR="005B279D" w:rsidRPr="002844B1" w:rsidRDefault="00000000" w:rsidP="007521DB">
      <w:pPr>
        <w:pStyle w:val="BodyText"/>
        <w:jc w:val="both"/>
        <w:rPr>
          <w:sz w:val="21"/>
          <w:szCs w:val="21"/>
        </w:rPr>
      </w:pPr>
      <w:r w:rsidRPr="002844B1">
        <w:rPr>
          <w:sz w:val="21"/>
          <w:szCs w:val="21"/>
        </w:rPr>
        <w:t>Le (RNN) est un type de réseau neuronal artificiel qui utilise des données séquentielles ou des données de séries chronologiques. Ces algorithmes d’apprentissage en profondeur ( Deep Learning ) sont couramment utilisés pour les problèmes ordinaux ou temporels, tels que la traduction linguistique, traitement automatique des langues ( NLP ), la reconnaissance vocale et le sous-titrage d’images, la prédiction des séries chronologiques,</w:t>
      </w:r>
      <m:oMath>
        <m:r>
          <w:rPr>
            <w:rFonts w:ascii="Cambria Math" w:hAnsi="Cambria Math"/>
            <w:sz w:val="21"/>
            <w:szCs w:val="21"/>
          </w:rPr>
          <m:t>…</m:t>
        </m:r>
      </m:oMath>
    </w:p>
    <w:p w:rsidR="005B279D" w:rsidRPr="002844B1" w:rsidRDefault="00000000" w:rsidP="007521DB">
      <w:pPr>
        <w:pStyle w:val="BodyText"/>
        <w:jc w:val="both"/>
        <w:rPr>
          <w:sz w:val="21"/>
          <w:szCs w:val="21"/>
        </w:rPr>
      </w:pPr>
      <w:r w:rsidRPr="002844B1">
        <w:rPr>
          <w:sz w:val="21"/>
          <w:szCs w:val="21"/>
        </w:rPr>
        <w:t>Les réseaux de neurones récurrents utilisent des données de formation pour apprendre. Ils se distinguent par leur mémoire car ils prennent des informations d’entrées précédentes pour influencer l’entrée et la sortie actuelles. Alors que les réseaux de neurones profonds traditionnels supposent que les entrées et les sorties sont indépendantes les unes des autres, la sortie des réseaux de neurones récurrents dépend des éléments antérieurs de la séquence. Alors que les évènements futurs seraient également utiles pour déterminer la sortie d’une séquence donnée.</w:t>
      </w:r>
    </w:p>
    <w:p w:rsidR="005B279D" w:rsidRPr="002844B1" w:rsidRDefault="00000000" w:rsidP="007521DB">
      <w:pPr>
        <w:pStyle w:val="BodyText"/>
        <w:jc w:val="both"/>
        <w:rPr>
          <w:sz w:val="21"/>
          <w:szCs w:val="21"/>
        </w:rPr>
      </w:pPr>
      <w:r w:rsidRPr="002844B1">
        <w:rPr>
          <w:sz w:val="21"/>
          <w:szCs w:val="21"/>
        </w:rPr>
        <w:t xml:space="preserve">Une autre caractéristique distinctive des réseaux récurrents est qu’ils partagent des paramètres à travers chaque couche du réseau, alors que les réseaux feedforward (des réseaux de neurones artificiels qui traitent les informations dans une seule direction) ont des poids différents sur chaque nœud. Les </w:t>
      </w:r>
      <w:r w:rsidRPr="002844B1">
        <w:rPr>
          <w:b/>
          <w:bCs/>
          <w:sz w:val="21"/>
          <w:szCs w:val="21"/>
        </w:rPr>
        <w:t>RNN</w:t>
      </w:r>
      <w:r w:rsidRPr="002844B1">
        <w:rPr>
          <w:sz w:val="21"/>
          <w:szCs w:val="21"/>
        </w:rPr>
        <w:t xml:space="preserve"> partagent le même paramètre de poids dans chaque couche du réseau. Cela dit, ces poids sont toujours ajustés au cours des processus de rétropropagation et de descente de gradient pour faciliter l’apprentissage par renforcement.</w:t>
      </w:r>
    </w:p>
    <w:p w:rsidR="007521DB" w:rsidRPr="002844B1" w:rsidRDefault="007521DB" w:rsidP="007521DB">
      <w:pPr>
        <w:pStyle w:val="Caption"/>
        <w:keepNext/>
      </w:pPr>
      <w:r w:rsidRPr="002844B1">
        <w:t xml:space="preserve">Figure </w:t>
      </w:r>
      <w:r w:rsidRPr="002844B1">
        <w:fldChar w:fldCharType="begin"/>
      </w:r>
      <w:r w:rsidRPr="002844B1">
        <w:instrText xml:space="preserve"> SEQ Figure \* ARABIC </w:instrText>
      </w:r>
      <w:r w:rsidRPr="002844B1">
        <w:fldChar w:fldCharType="separate"/>
      </w:r>
      <w:r w:rsidR="008E2C01" w:rsidRPr="002844B1">
        <w:rPr>
          <w:noProof/>
        </w:rPr>
        <w:t>5</w:t>
      </w:r>
      <w:r w:rsidRPr="002844B1">
        <w:fldChar w:fldCharType="end"/>
      </w:r>
      <w:r w:rsidRPr="002844B1">
        <w:t>: Fonctionnement des réseaux de neurones récurrents</w:t>
      </w:r>
    </w:p>
    <w:tbl>
      <w:tblPr>
        <w:tblStyle w:val="Table"/>
        <w:tblW w:w="5000" w:type="pct"/>
        <w:tblLook w:val="0000" w:firstRow="0" w:lastRow="0" w:firstColumn="0" w:lastColumn="0" w:noHBand="0" w:noVBand="0"/>
      </w:tblPr>
      <w:tblGrid>
        <w:gridCol w:w="9360"/>
      </w:tblGrid>
      <w:tr w:rsidR="005B279D" w:rsidRPr="002844B1">
        <w:tc>
          <w:tcPr>
            <w:tcW w:w="0" w:type="auto"/>
          </w:tcPr>
          <w:p w:rsidR="005B279D" w:rsidRPr="002844B1" w:rsidRDefault="00000000">
            <w:pPr>
              <w:jc w:val="center"/>
            </w:pPr>
            <w:r w:rsidRPr="002844B1">
              <w:rPr>
                <w:noProof/>
              </w:rPr>
              <w:drawing>
                <wp:inline distT="0" distB="0" distL="0" distR="0">
                  <wp:extent cx="5334000" cy="205105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Rapport-PFE_files/figure-html/Shema_RNN.png"/>
                          <pic:cNvPicPr>
                            <a:picLocks noChangeAspect="1" noChangeArrowheads="1"/>
                          </pic:cNvPicPr>
                        </pic:nvPicPr>
                        <pic:blipFill>
                          <a:blip r:embed="rId15"/>
                          <a:stretch>
                            <a:fillRect/>
                          </a:stretch>
                        </pic:blipFill>
                        <pic:spPr bwMode="auto">
                          <a:xfrm>
                            <a:off x="0" y="0"/>
                            <a:ext cx="5334000" cy="2051050"/>
                          </a:xfrm>
                          <a:prstGeom prst="rect">
                            <a:avLst/>
                          </a:prstGeom>
                          <a:noFill/>
                          <a:ln w="9525">
                            <a:noFill/>
                            <a:headEnd/>
                            <a:tailEnd/>
                          </a:ln>
                        </pic:spPr>
                      </pic:pic>
                    </a:graphicData>
                  </a:graphic>
                </wp:inline>
              </w:drawing>
            </w:r>
          </w:p>
          <w:p w:rsidR="005B279D" w:rsidRPr="002844B1" w:rsidRDefault="005B279D">
            <w:pPr>
              <w:pStyle w:val="ImageCaption"/>
              <w:spacing w:before="200"/>
            </w:pPr>
          </w:p>
        </w:tc>
      </w:tr>
    </w:tbl>
    <w:p w:rsidR="005B279D" w:rsidRPr="002844B1" w:rsidRDefault="00000000" w:rsidP="007521DB">
      <w:pPr>
        <w:pStyle w:val="BodyText"/>
        <w:jc w:val="both"/>
        <w:rPr>
          <w:sz w:val="21"/>
          <w:szCs w:val="21"/>
        </w:rPr>
      </w:pPr>
      <w:r w:rsidRPr="002844B1">
        <w:rPr>
          <w:sz w:val="21"/>
          <w:szCs w:val="21"/>
        </w:rPr>
        <w:t>Un inconvénient des RNN standard est le problème du gradient de fuite, dans lequel les performances du réseau de neurones souffrent car il ne peut pas être formé correctement. Cela se produit avec des réseaux de neurones en couches profondes, qui sont utilisés pour traiter des données complexes.</w:t>
      </w:r>
    </w:p>
    <w:p w:rsidR="005B279D" w:rsidRPr="002844B1" w:rsidRDefault="00000000" w:rsidP="007521DB">
      <w:pPr>
        <w:pStyle w:val="BodyText"/>
        <w:jc w:val="both"/>
        <w:rPr>
          <w:sz w:val="21"/>
          <w:szCs w:val="21"/>
        </w:rPr>
      </w:pPr>
      <w:r w:rsidRPr="002844B1">
        <w:rPr>
          <w:sz w:val="21"/>
          <w:szCs w:val="21"/>
        </w:rPr>
        <w:lastRenderedPageBreak/>
        <w:t>Les RNN standard qui utilisent une méthode d’apprentissage basée sur le gradient se dégradent à mesure qu’ils grandissent et deviennent plus complexes. Le réglage efficace des paramètres aux premières couches devient trop long et coûteux en calculs.</w:t>
      </w:r>
    </w:p>
    <w:p w:rsidR="005B279D" w:rsidRPr="002844B1" w:rsidRDefault="00000000" w:rsidP="007521DB">
      <w:pPr>
        <w:pStyle w:val="BodyText"/>
        <w:jc w:val="both"/>
        <w:rPr>
          <w:sz w:val="21"/>
          <w:szCs w:val="21"/>
        </w:rPr>
      </w:pPr>
      <w:r w:rsidRPr="002844B1">
        <w:rPr>
          <w:sz w:val="21"/>
          <w:szCs w:val="21"/>
        </w:rPr>
        <w:t>Une solution au problème s’appelle les réseaux de mémoire longue à court terme (LSTM), que les informaticiens Sepp Hochreiter et Jurgen Schmidhuber ont inventés en 1997. Les RNN construits avec des unités LSTM classent les données en cellules de mémoire à court terme et à long terme. Cela permet aux RNN de déterminer quelles données sont importantes et doivent être mémorisées et renvoyées dans le réseau, et quelles données peuvent être oubliées.</w:t>
      </w:r>
    </w:p>
    <w:p w:rsidR="005B279D" w:rsidRPr="002844B1" w:rsidRDefault="00000000" w:rsidP="007521DB">
      <w:pPr>
        <w:pStyle w:val="BodyText"/>
        <w:jc w:val="both"/>
        <w:rPr>
          <w:sz w:val="21"/>
          <w:szCs w:val="21"/>
        </w:rPr>
      </w:pPr>
      <w:r w:rsidRPr="002844B1">
        <w:rPr>
          <w:sz w:val="21"/>
          <w:szCs w:val="21"/>
        </w:rPr>
        <w:t xml:space="preserve">Dans notre cas, Nous nous sommes focalisés sur l’application du modèle LSTM sur les données de l’indice MASI. Notre échantillon comporte </w:t>
      </w:r>
      <m:oMath>
        <m:r>
          <w:rPr>
            <w:rFonts w:ascii="Cambria Math" w:hAnsi="Cambria Math"/>
            <w:sz w:val="21"/>
            <w:szCs w:val="21"/>
          </w:rPr>
          <m:t>5000</m:t>
        </m:r>
      </m:oMath>
      <w:r w:rsidRPr="002844B1">
        <w:rPr>
          <w:sz w:val="21"/>
          <w:szCs w:val="21"/>
        </w:rPr>
        <w:t xml:space="preserve"> observations journalières du cours d’ouverture, cours de clôture, le cours le plus bas, le cours plus haut et la variation du cours entre deux dates successives.</w:t>
      </w:r>
    </w:p>
    <w:tbl>
      <w:tblPr>
        <w:tblStyle w:val="PlainTable2"/>
        <w:tblW w:w="0" w:type="auto"/>
        <w:jc w:val="center"/>
        <w:tblLook w:val="0020" w:firstRow="1" w:lastRow="0" w:firstColumn="0" w:lastColumn="0" w:noHBand="0" w:noVBand="0"/>
      </w:tblPr>
      <w:tblGrid>
        <w:gridCol w:w="1189"/>
        <w:gridCol w:w="996"/>
        <w:gridCol w:w="1140"/>
        <w:gridCol w:w="1086"/>
        <w:gridCol w:w="996"/>
        <w:gridCol w:w="1054"/>
      </w:tblGrid>
      <w:tr w:rsidR="005B279D" w:rsidRPr="002844B1" w:rsidTr="007521DB">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Date</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jc w:val="right"/>
            </w:pPr>
            <w:r w:rsidRPr="002844B1">
              <w:t>Dernier</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pPr>
            <w:r w:rsidRPr="002844B1">
              <w:t>Ouverture</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2844B1">
            <w:pPr>
              <w:pStyle w:val="Compact"/>
              <w:jc w:val="right"/>
            </w:pPr>
            <w:r w:rsidRPr="002844B1">
              <w:t>Plus Haut</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2844B1">
            <w:pPr>
              <w:pStyle w:val="Compact"/>
              <w:jc w:val="right"/>
            </w:pPr>
            <w:r w:rsidRPr="002844B1">
              <w:t>Plus Bas</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jc w:val="right"/>
            </w:pPr>
            <w:r w:rsidRPr="002844B1">
              <w:t>variation</w:t>
            </w:r>
          </w:p>
        </w:tc>
      </w:tr>
      <w:tr w:rsidR="005B279D" w:rsidRPr="002844B1"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2022-01-24</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jc w:val="right"/>
            </w:pPr>
            <w:r w:rsidRPr="002844B1">
              <w:t>13753.50</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pPr>
            <w:r w:rsidRPr="002844B1">
              <w:t>13783.81</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jc w:val="right"/>
            </w:pPr>
            <w:r w:rsidRPr="002844B1">
              <w:t>13815.59</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pPr>
            <w:r w:rsidRPr="002844B1">
              <w:t>13753.05</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jc w:val="right"/>
            </w:pPr>
            <w:r w:rsidRPr="002844B1">
              <w:t>-0.0022</w:t>
            </w:r>
          </w:p>
        </w:tc>
      </w:tr>
      <w:tr w:rsidR="005B279D" w:rsidRPr="002844B1"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2022-01-21</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jc w:val="right"/>
            </w:pPr>
            <w:r w:rsidRPr="002844B1">
              <w:t>13783.81</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pPr>
            <w:r w:rsidRPr="002844B1">
              <w:t>13777.59</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jc w:val="right"/>
            </w:pPr>
            <w:r w:rsidRPr="002844B1">
              <w:t>13812.43</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pPr>
            <w:r w:rsidRPr="002844B1">
              <w:t>13769.84</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jc w:val="right"/>
            </w:pPr>
            <w:r w:rsidRPr="002844B1">
              <w:t>0.0005</w:t>
            </w:r>
          </w:p>
        </w:tc>
      </w:tr>
      <w:tr w:rsidR="005B279D" w:rsidRPr="002844B1"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2022-01-20</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jc w:val="right"/>
            </w:pPr>
            <w:r w:rsidRPr="002844B1">
              <w:t>13777.59</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pPr>
            <w:r w:rsidRPr="002844B1">
              <w:t>13737.71</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jc w:val="right"/>
            </w:pPr>
            <w:r w:rsidRPr="002844B1">
              <w:t>13814.82</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pPr>
            <w:r w:rsidRPr="002844B1">
              <w:t>13734.73</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jc w:val="right"/>
            </w:pPr>
            <w:r w:rsidRPr="002844B1">
              <w:t>0.0029</w:t>
            </w:r>
          </w:p>
        </w:tc>
      </w:tr>
      <w:tr w:rsidR="005B279D" w:rsidRPr="002844B1"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2022-01-19</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jc w:val="right"/>
            </w:pPr>
            <w:r w:rsidRPr="002844B1">
              <w:t>13737.71</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pPr>
            <w:r w:rsidRPr="002844B1">
              <w:t>13768.05</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jc w:val="right"/>
            </w:pPr>
            <w:r w:rsidRPr="002844B1">
              <w:t>13817.94</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pPr>
            <w:r w:rsidRPr="002844B1">
              <w:t>13734.76</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jc w:val="right"/>
            </w:pPr>
            <w:r w:rsidRPr="002844B1">
              <w:t>-0.0022</w:t>
            </w:r>
          </w:p>
        </w:tc>
      </w:tr>
      <w:tr w:rsidR="005B279D" w:rsidRPr="002844B1"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2022-01-18</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jc w:val="right"/>
            </w:pPr>
            <w:r w:rsidRPr="002844B1">
              <w:t>13768.05</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pPr>
            <w:r w:rsidRPr="002844B1">
              <w:t>13770.78</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jc w:val="right"/>
            </w:pPr>
            <w:r w:rsidRPr="002844B1">
              <w:t>13815.37</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pPr>
            <w:r w:rsidRPr="002844B1">
              <w:t>13767.98</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jc w:val="right"/>
            </w:pPr>
            <w:r w:rsidRPr="002844B1">
              <w:t>-0.0002</w:t>
            </w:r>
          </w:p>
        </w:tc>
      </w:tr>
      <w:tr w:rsidR="005B279D" w:rsidRPr="002844B1"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2022-01-17</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jc w:val="right"/>
            </w:pPr>
            <w:r w:rsidRPr="002844B1">
              <w:t>13770.78</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pPr>
            <w:r w:rsidRPr="002844B1">
              <w:t>13784.31</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jc w:val="right"/>
            </w:pPr>
            <w:r w:rsidRPr="002844B1">
              <w:t>13784.31</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pPr>
            <w:r w:rsidRPr="002844B1">
              <w:t>13748.24</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jc w:val="right"/>
            </w:pPr>
            <w:r w:rsidRPr="002844B1">
              <w:t>-0.0010</w:t>
            </w:r>
          </w:p>
        </w:tc>
      </w:tr>
      <w:tr w:rsidR="005B279D" w:rsidRPr="002844B1"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2022-01-14</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jc w:val="right"/>
            </w:pPr>
            <w:r w:rsidRPr="002844B1">
              <w:t>13784.31</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pPr>
            <w:r w:rsidRPr="002844B1">
              <w:t>13588.24</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jc w:val="right"/>
            </w:pPr>
            <w:r w:rsidRPr="002844B1">
              <w:t>13784.72</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pPr>
            <w:r w:rsidRPr="002844B1">
              <w:t>13551.04</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jc w:val="right"/>
            </w:pPr>
            <w:r w:rsidRPr="002844B1">
              <w:t>0.0144</w:t>
            </w:r>
          </w:p>
        </w:tc>
      </w:tr>
      <w:tr w:rsidR="005B279D" w:rsidRPr="002844B1"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2022-01-13</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jc w:val="right"/>
            </w:pPr>
            <w:r w:rsidRPr="002844B1">
              <w:t>13588.24</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pPr>
            <w:r w:rsidRPr="002844B1">
              <w:t>13531.26</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jc w:val="right"/>
            </w:pPr>
            <w:r w:rsidRPr="002844B1">
              <w:t>13588.24</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pPr>
            <w:r w:rsidRPr="002844B1">
              <w:t>13506.23</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jc w:val="right"/>
            </w:pPr>
            <w:r w:rsidRPr="002844B1">
              <w:t>0.0042</w:t>
            </w:r>
          </w:p>
        </w:tc>
      </w:tr>
      <w:tr w:rsidR="005B279D" w:rsidRPr="002844B1"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2022-01-12</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jc w:val="right"/>
            </w:pPr>
            <w:r w:rsidRPr="002844B1">
              <w:t>13531.26</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pPr>
            <w:r w:rsidRPr="002844B1">
              <w:t>13486.31</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jc w:val="right"/>
            </w:pPr>
            <w:r w:rsidRPr="002844B1">
              <w:t>13532.13</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pPr>
            <w:r w:rsidRPr="002844B1">
              <w:t>13481.22</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jc w:val="right"/>
            </w:pPr>
            <w:r w:rsidRPr="002844B1">
              <w:t>0.0033</w:t>
            </w:r>
          </w:p>
        </w:tc>
      </w:tr>
      <w:tr w:rsidR="005B279D" w:rsidRPr="002844B1"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2022-01-10</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jc w:val="right"/>
            </w:pPr>
            <w:r w:rsidRPr="002844B1">
              <w:t>13486.31</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pPr>
            <w:r w:rsidRPr="002844B1">
              <w:t>13477.25</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jc w:val="right"/>
            </w:pPr>
            <w:r w:rsidRPr="002844B1">
              <w:t>13503.15</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pPr>
            <w:r w:rsidRPr="002844B1">
              <w:t>13441.78</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jc w:val="right"/>
            </w:pPr>
            <w:r w:rsidRPr="002844B1">
              <w:t>0.0007</w:t>
            </w:r>
          </w:p>
        </w:tc>
      </w:tr>
      <w:tr w:rsidR="005B279D" w:rsidRPr="002844B1"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2022-01-07</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jc w:val="right"/>
            </w:pPr>
            <w:r w:rsidRPr="002844B1">
              <w:t>13477.25</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pPr>
            <w:r w:rsidRPr="002844B1">
              <w:t>13368.77</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jc w:val="right"/>
            </w:pPr>
            <w:r w:rsidRPr="002844B1">
              <w:t>13477.25</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pPr>
            <w:r w:rsidRPr="002844B1">
              <w:t>13335.97</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jc w:val="right"/>
            </w:pPr>
            <w:r w:rsidRPr="002844B1">
              <w:t>0.0081</w:t>
            </w:r>
          </w:p>
        </w:tc>
      </w:tr>
      <w:tr w:rsidR="005B279D" w:rsidRPr="002844B1"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2022-01-06</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jc w:val="right"/>
            </w:pPr>
            <w:r w:rsidRPr="002844B1">
              <w:t>13368.77</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pPr>
            <w:r w:rsidRPr="002844B1">
              <w:t>13290.62</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jc w:val="right"/>
            </w:pPr>
            <w:r w:rsidRPr="002844B1">
              <w:t>13369.02</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pPr>
            <w:r w:rsidRPr="002844B1">
              <w:t>13290.62</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jc w:val="right"/>
            </w:pPr>
            <w:r w:rsidRPr="002844B1">
              <w:t>0.0059</w:t>
            </w:r>
          </w:p>
        </w:tc>
      </w:tr>
      <w:tr w:rsidR="005B279D" w:rsidRPr="002844B1"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2022-01-05</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jc w:val="right"/>
            </w:pPr>
            <w:r w:rsidRPr="002844B1">
              <w:t>13290.62</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pPr>
            <w:r w:rsidRPr="002844B1">
              <w:t>13278.48</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jc w:val="right"/>
            </w:pPr>
            <w:r w:rsidRPr="002844B1">
              <w:t>13306.00</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pPr>
            <w:r w:rsidRPr="002844B1">
              <w:t>13269.36</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jc w:val="right"/>
            </w:pPr>
            <w:r w:rsidRPr="002844B1">
              <w:t>0.0009</w:t>
            </w:r>
          </w:p>
        </w:tc>
      </w:tr>
      <w:tr w:rsidR="005B279D" w:rsidRPr="002844B1"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2022-01-04</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jc w:val="right"/>
            </w:pPr>
            <w:r w:rsidRPr="002844B1">
              <w:t>13278.48</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pPr>
            <w:r w:rsidRPr="002844B1">
              <w:t>13296.29</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jc w:val="right"/>
            </w:pPr>
            <w:r w:rsidRPr="002844B1">
              <w:t>13328.50</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pPr>
            <w:r w:rsidRPr="002844B1">
              <w:t>13278.48</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jc w:val="right"/>
            </w:pPr>
            <w:r w:rsidRPr="002844B1">
              <w:t>-0.0013</w:t>
            </w:r>
          </w:p>
        </w:tc>
      </w:tr>
      <w:tr w:rsidR="005B279D" w:rsidRPr="002844B1"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2022-01-03</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jc w:val="right"/>
            </w:pPr>
            <w:r w:rsidRPr="002844B1">
              <w:t>13296.29</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pPr>
            <w:r w:rsidRPr="002844B1">
              <w:t>13358.32</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jc w:val="right"/>
            </w:pPr>
            <w:r w:rsidRPr="002844B1">
              <w:t>13363.06</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pPr>
            <w:r w:rsidRPr="002844B1">
              <w:t>13277.80</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jc w:val="right"/>
            </w:pPr>
            <w:r w:rsidRPr="002844B1">
              <w:t>-0.0046</w:t>
            </w:r>
          </w:p>
        </w:tc>
      </w:tr>
    </w:tbl>
    <w:p w:rsidR="007521DB" w:rsidRPr="002844B1" w:rsidRDefault="007521DB">
      <w:pPr>
        <w:pStyle w:val="BodyText"/>
      </w:pPr>
    </w:p>
    <w:p w:rsidR="005B279D" w:rsidRPr="002844B1" w:rsidRDefault="00000000">
      <w:pPr>
        <w:pStyle w:val="BodyText"/>
      </w:pPr>
      <w:r w:rsidRPr="002844B1">
        <w:t>La figure suivante donne un aperçu de Dernier cours de cet indice entre les années 2002 et 2022.</w:t>
      </w:r>
    </w:p>
    <w:p w:rsidR="007521DB" w:rsidRPr="002844B1" w:rsidRDefault="007521DB" w:rsidP="007521DB">
      <w:pPr>
        <w:pStyle w:val="Caption"/>
        <w:keepNext/>
      </w:pPr>
      <w:r w:rsidRPr="002844B1">
        <w:lastRenderedPageBreak/>
        <w:t xml:space="preserve">Figure </w:t>
      </w:r>
      <w:r w:rsidRPr="002844B1">
        <w:fldChar w:fldCharType="begin"/>
      </w:r>
      <w:r w:rsidRPr="002844B1">
        <w:instrText xml:space="preserve"> SEQ Figure \* ARABIC </w:instrText>
      </w:r>
      <w:r w:rsidRPr="002844B1">
        <w:fldChar w:fldCharType="separate"/>
      </w:r>
      <w:r w:rsidR="008E2C01" w:rsidRPr="002844B1">
        <w:rPr>
          <w:noProof/>
        </w:rPr>
        <w:t>6</w:t>
      </w:r>
      <w:r w:rsidRPr="002844B1">
        <w:fldChar w:fldCharType="end"/>
      </w:r>
      <w:r w:rsidRPr="002844B1">
        <w:t>: Le cours Historiques de Clôture pour l’indice MASI</w:t>
      </w:r>
    </w:p>
    <w:tbl>
      <w:tblPr>
        <w:tblStyle w:val="Table"/>
        <w:tblW w:w="5000" w:type="pct"/>
        <w:tblLook w:val="0000" w:firstRow="0" w:lastRow="0" w:firstColumn="0" w:lastColumn="0" w:noHBand="0" w:noVBand="0"/>
      </w:tblPr>
      <w:tblGrid>
        <w:gridCol w:w="9360"/>
      </w:tblGrid>
      <w:tr w:rsidR="005B279D" w:rsidRPr="002844B1">
        <w:tc>
          <w:tcPr>
            <w:tcW w:w="0" w:type="auto"/>
          </w:tcPr>
          <w:p w:rsidR="005B279D" w:rsidRPr="002844B1" w:rsidRDefault="00000000" w:rsidP="007521DB">
            <w:pPr>
              <w:jc w:val="center"/>
            </w:pPr>
            <w:bookmarkStart w:id="48" w:name="fig-masi_plot"/>
            <w:r w:rsidRPr="002844B1">
              <w:rPr>
                <w:noProof/>
              </w:rPr>
              <w:drawing>
                <wp:inline distT="0" distB="0" distL="0" distR="0">
                  <wp:extent cx="4314825" cy="2557463"/>
                  <wp:effectExtent l="0" t="0" r="3175"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Rapport-PFE_files/figure-html/Derniere.png"/>
                          <pic:cNvPicPr>
                            <a:picLocks noChangeAspect="1" noChangeArrowheads="1"/>
                          </pic:cNvPicPr>
                        </pic:nvPicPr>
                        <pic:blipFill>
                          <a:blip r:embed="rId16"/>
                          <a:stretch>
                            <a:fillRect/>
                          </a:stretch>
                        </pic:blipFill>
                        <pic:spPr bwMode="auto">
                          <a:xfrm>
                            <a:off x="0" y="0"/>
                            <a:ext cx="4349799" cy="2578193"/>
                          </a:xfrm>
                          <a:prstGeom prst="rect">
                            <a:avLst/>
                          </a:prstGeom>
                          <a:noFill/>
                          <a:ln w="9525">
                            <a:noFill/>
                            <a:headEnd/>
                            <a:tailEnd/>
                          </a:ln>
                        </pic:spPr>
                      </pic:pic>
                    </a:graphicData>
                  </a:graphic>
                </wp:inline>
              </w:drawing>
            </w:r>
          </w:p>
        </w:tc>
        <w:bookmarkEnd w:id="48"/>
      </w:tr>
    </w:tbl>
    <w:p w:rsidR="005B279D" w:rsidRPr="002844B1" w:rsidRDefault="00000000" w:rsidP="007521DB">
      <w:pPr>
        <w:pStyle w:val="BodyText"/>
        <w:jc w:val="both"/>
        <w:rPr>
          <w:sz w:val="21"/>
          <w:szCs w:val="21"/>
        </w:rPr>
      </w:pPr>
      <w:r w:rsidRPr="002844B1">
        <w:rPr>
          <w:sz w:val="21"/>
          <w:szCs w:val="21"/>
        </w:rPr>
        <w:t xml:space="preserve">Les réseaux de neurones récurrents sont réputés être plus performants comparés aux autres méthodes </w:t>
      </w:r>
      <w:r w:rsidR="002844B1" w:rsidRPr="002844B1">
        <w:rPr>
          <w:sz w:val="21"/>
          <w:szCs w:val="21"/>
        </w:rPr>
        <w:t>en termes de</w:t>
      </w:r>
      <w:r w:rsidRPr="002844B1">
        <w:rPr>
          <w:sz w:val="21"/>
          <w:szCs w:val="21"/>
        </w:rPr>
        <w:t xml:space="preserve"> prédiction de série chronologique. Ainsi, il est tout naturel de s’attendre à un excellent score lors d’une application du modèle LSTM. Nous allons voir plus de détails sur la méthode de ce modèle sur le langage python la </w:t>
      </w:r>
      <w:hyperlink w:anchor="sec-rnn_app">
        <w:r w:rsidRPr="002844B1">
          <w:rPr>
            <w:rStyle w:val="Hyperlink"/>
            <w:sz w:val="20"/>
            <w:szCs w:val="20"/>
          </w:rPr>
          <w:t>Section 7.1</w:t>
        </w:r>
      </w:hyperlink>
      <w:r w:rsidRPr="002844B1">
        <w:rPr>
          <w:sz w:val="21"/>
          <w:szCs w:val="21"/>
        </w:rPr>
        <w:t>.</w:t>
      </w:r>
    </w:p>
    <w:p w:rsidR="005B279D" w:rsidRPr="002844B1" w:rsidRDefault="00000000" w:rsidP="007521DB">
      <w:pPr>
        <w:pStyle w:val="BodyText"/>
        <w:jc w:val="both"/>
        <w:rPr>
          <w:sz w:val="21"/>
          <w:szCs w:val="21"/>
        </w:rPr>
      </w:pPr>
      <w:r w:rsidRPr="002844B1">
        <w:rPr>
          <w:sz w:val="21"/>
          <w:szCs w:val="21"/>
        </w:rPr>
        <w:t>Le graphique suivant est une représentation conjointe du dernier cours observé (en bleu) et le cours prédit (en orange) par notre modèle sur la même période.</w:t>
      </w:r>
    </w:p>
    <w:p w:rsidR="007521DB" w:rsidRPr="002844B1" w:rsidRDefault="007521DB" w:rsidP="007521DB">
      <w:pPr>
        <w:pStyle w:val="Caption"/>
        <w:keepNext/>
      </w:pPr>
      <w:r w:rsidRPr="002844B1">
        <w:lastRenderedPageBreak/>
        <w:t xml:space="preserve">Figure </w:t>
      </w:r>
      <w:r w:rsidRPr="002844B1">
        <w:fldChar w:fldCharType="begin"/>
      </w:r>
      <w:r w:rsidRPr="002844B1">
        <w:instrText xml:space="preserve"> SEQ Figure \* ARABIC </w:instrText>
      </w:r>
      <w:r w:rsidRPr="002844B1">
        <w:fldChar w:fldCharType="separate"/>
      </w:r>
      <w:r w:rsidR="008E2C01" w:rsidRPr="002844B1">
        <w:rPr>
          <w:noProof/>
        </w:rPr>
        <w:t>7</w:t>
      </w:r>
      <w:r w:rsidRPr="002844B1">
        <w:fldChar w:fldCharType="end"/>
      </w:r>
      <w:r w:rsidRPr="002844B1">
        <w:t>: Courbe de cours prédit et de cours observé</w:t>
      </w:r>
    </w:p>
    <w:tbl>
      <w:tblPr>
        <w:tblStyle w:val="Table"/>
        <w:tblW w:w="5000" w:type="pct"/>
        <w:tblLook w:val="0000" w:firstRow="0" w:lastRow="0" w:firstColumn="0" w:lastColumn="0" w:noHBand="0" w:noVBand="0"/>
      </w:tblPr>
      <w:tblGrid>
        <w:gridCol w:w="9360"/>
      </w:tblGrid>
      <w:tr w:rsidR="005B279D" w:rsidRPr="002844B1">
        <w:tc>
          <w:tcPr>
            <w:tcW w:w="0" w:type="auto"/>
          </w:tcPr>
          <w:p w:rsidR="005B279D" w:rsidRPr="002844B1" w:rsidRDefault="00000000" w:rsidP="007521DB">
            <w:pPr>
              <w:jc w:val="center"/>
            </w:pPr>
            <w:bookmarkStart w:id="49" w:name="fig-Prediction_masi"/>
            <w:r w:rsidRPr="002844B1">
              <w:rPr>
                <w:noProof/>
              </w:rPr>
              <w:drawing>
                <wp:inline distT="0" distB="0" distL="0" distR="0">
                  <wp:extent cx="5334000" cy="3765683"/>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Rapport-PFE_files/figure-html/Prediction.png"/>
                          <pic:cNvPicPr>
                            <a:picLocks noChangeAspect="1" noChangeArrowheads="1"/>
                          </pic:cNvPicPr>
                        </pic:nvPicPr>
                        <pic:blipFill>
                          <a:blip r:embed="rId17"/>
                          <a:stretch>
                            <a:fillRect/>
                          </a:stretch>
                        </pic:blipFill>
                        <pic:spPr bwMode="auto">
                          <a:xfrm>
                            <a:off x="0" y="0"/>
                            <a:ext cx="5334000" cy="3765683"/>
                          </a:xfrm>
                          <a:prstGeom prst="rect">
                            <a:avLst/>
                          </a:prstGeom>
                          <a:noFill/>
                          <a:ln w="9525">
                            <a:noFill/>
                            <a:headEnd/>
                            <a:tailEnd/>
                          </a:ln>
                        </pic:spPr>
                      </pic:pic>
                    </a:graphicData>
                  </a:graphic>
                </wp:inline>
              </w:drawing>
            </w:r>
          </w:p>
        </w:tc>
        <w:bookmarkEnd w:id="49"/>
      </w:tr>
    </w:tbl>
    <w:p w:rsidR="005B279D" w:rsidRPr="002844B1" w:rsidRDefault="00000000" w:rsidP="007521DB">
      <w:pPr>
        <w:pStyle w:val="BodyText"/>
        <w:jc w:val="both"/>
        <w:rPr>
          <w:sz w:val="21"/>
          <w:szCs w:val="21"/>
        </w:rPr>
      </w:pPr>
      <w:r w:rsidRPr="002844B1">
        <w:rPr>
          <w:sz w:val="21"/>
          <w:szCs w:val="21"/>
        </w:rPr>
        <w:t xml:space="preserve">Une remarque flagrante est que les deux courbes sont presque confondues. Ce constat s’explique par la faiblesse de la valeur du RMSE qui vaut </w:t>
      </w:r>
      <m:oMath>
        <m:r>
          <w:rPr>
            <w:rFonts w:ascii="Cambria Math" w:hAnsi="Cambria Math"/>
            <w:sz w:val="21"/>
            <w:szCs w:val="21"/>
          </w:rPr>
          <m:t>29,44</m:t>
        </m:r>
      </m:oMath>
      <w:r w:rsidRPr="002844B1">
        <w:rPr>
          <w:sz w:val="21"/>
          <w:szCs w:val="21"/>
        </w:rPr>
        <w:t>.</w:t>
      </w:r>
    </w:p>
    <w:p w:rsidR="005B279D" w:rsidRPr="002844B1" w:rsidRDefault="00000000" w:rsidP="007521DB">
      <w:pPr>
        <w:pStyle w:val="BodyText"/>
        <w:jc w:val="both"/>
        <w:rPr>
          <w:sz w:val="21"/>
          <w:szCs w:val="21"/>
        </w:rPr>
      </w:pPr>
      <w:r w:rsidRPr="002844B1">
        <w:rPr>
          <w:sz w:val="21"/>
          <w:szCs w:val="21"/>
        </w:rPr>
        <w:t xml:space="preserve">La racine de l’erreur quadratique moyenne (en anglais, root-mean-square error ou RMSE) est une mesure de l’écart type des résidus. Plus précisément, elle mesure la différence entre les valeurs prédites par le modèle et les valeurs observées. </w:t>
      </w:r>
      <w:r w:rsidR="002844B1" w:rsidRPr="002844B1">
        <w:rPr>
          <w:sz w:val="21"/>
          <w:szCs w:val="21"/>
        </w:rPr>
        <w:t>En termes de</w:t>
      </w:r>
      <w:r w:rsidRPr="002844B1">
        <w:rPr>
          <w:sz w:val="21"/>
          <w:szCs w:val="21"/>
        </w:rPr>
        <w:t xml:space="preserve"> cohérence et de précision, le modèle LSTM nous a donné de meilleurs résultat comparé à celui de Black &amp; Scholes.</w:t>
      </w:r>
    </w:p>
    <w:p w:rsidR="008E2C01" w:rsidRPr="002844B1" w:rsidRDefault="008E2C01">
      <w:pPr>
        <w:rPr>
          <w:sz w:val="21"/>
          <w:szCs w:val="21"/>
        </w:rPr>
      </w:pPr>
      <w:r w:rsidRPr="002844B1">
        <w:rPr>
          <w:sz w:val="21"/>
          <w:szCs w:val="21"/>
        </w:rPr>
        <w:br w:type="page"/>
      </w:r>
    </w:p>
    <w:p w:rsidR="008E2C01" w:rsidRPr="002844B1" w:rsidRDefault="008E2C01" w:rsidP="007521DB">
      <w:pPr>
        <w:pStyle w:val="BodyText"/>
        <w:jc w:val="both"/>
        <w:rPr>
          <w:sz w:val="21"/>
          <w:szCs w:val="21"/>
        </w:rPr>
      </w:pPr>
    </w:p>
    <w:p w:rsidR="005B279D" w:rsidRPr="002844B1" w:rsidRDefault="00000000" w:rsidP="00AA7351">
      <w:pPr>
        <w:pStyle w:val="headAOD"/>
      </w:pPr>
      <w:bookmarkStart w:id="50" w:name="_Toc137651011"/>
      <w:bookmarkEnd w:id="36"/>
      <w:bookmarkEnd w:id="37"/>
      <w:bookmarkEnd w:id="46"/>
      <w:r w:rsidRPr="002844B1">
        <w:t>4. CHAPITRE IV : Valorisation des provisions techniques prudentielles</w:t>
      </w:r>
      <w:bookmarkEnd w:id="50"/>
    </w:p>
    <w:p w:rsidR="005B279D" w:rsidRPr="002844B1" w:rsidRDefault="00000000">
      <w:pPr>
        <w:pStyle w:val="Heading2"/>
      </w:pPr>
      <w:bookmarkStart w:id="51" w:name="_Toc137651012"/>
      <w:r w:rsidRPr="002844B1">
        <w:t>4.1 Généralité</w:t>
      </w:r>
      <w:bookmarkStart w:id="52" w:name="généralité"/>
      <w:bookmarkEnd w:id="51"/>
    </w:p>
    <w:p w:rsidR="005B279D" w:rsidRPr="002844B1" w:rsidRDefault="00000000" w:rsidP="007521DB">
      <w:pPr>
        <w:pStyle w:val="FirstParagraph"/>
        <w:jc w:val="both"/>
        <w:rPr>
          <w:sz w:val="21"/>
          <w:szCs w:val="21"/>
        </w:rPr>
      </w:pPr>
      <w:r w:rsidRPr="002844B1">
        <w:rPr>
          <w:sz w:val="21"/>
          <w:szCs w:val="21"/>
        </w:rPr>
        <w:t>Les provisions techniques prudentielles bruts de réassurance sont valorisées en considérant les contrats dont l’engagement de l’entreprise est en cours à la date d’inventaire. Les contrats d’assurance non-vie à tacite reconduction dont la date d’effet intervient postérieurement à la date d’inventaire et dont le préavis de résiliation a expiré à cette date sans qu’il y ait une demande de résiliation sont également pris en considération.</w:t>
      </w:r>
    </w:p>
    <w:p w:rsidR="005B279D" w:rsidRPr="002844B1" w:rsidRDefault="00000000" w:rsidP="007521DB">
      <w:pPr>
        <w:pStyle w:val="BodyText"/>
        <w:jc w:val="both"/>
        <w:rPr>
          <w:sz w:val="21"/>
          <w:szCs w:val="21"/>
        </w:rPr>
      </w:pPr>
      <w:r w:rsidRPr="002844B1">
        <w:rPr>
          <w:sz w:val="21"/>
          <w:szCs w:val="21"/>
        </w:rPr>
        <w:t>Elles sont évaluées comme suit :</w:t>
      </w:r>
    </w:p>
    <w:p w:rsidR="005B279D" w:rsidRPr="002844B1" w:rsidRDefault="00000000">
      <w:pPr>
        <w:pStyle w:val="BodyText"/>
      </w:pPr>
      <m:oMathPara>
        <m:oMathParaPr>
          <m:jc m:val="center"/>
        </m:oMathParaPr>
        <m:oMath>
          <m:r>
            <w:rPr>
              <w:rFonts w:ascii="Cambria Math" w:hAnsi="Cambria Math"/>
            </w:rPr>
            <m:t>PT=B</m:t>
          </m:r>
          <m:sSub>
            <m:sSubPr>
              <m:ctrlPr>
                <w:rPr>
                  <w:rFonts w:ascii="Cambria Math" w:hAnsi="Cambria Math"/>
                </w:rPr>
              </m:ctrlPr>
            </m:sSubPr>
            <m:e>
              <m:r>
                <w:rPr>
                  <w:rFonts w:ascii="Cambria Math" w:hAnsi="Cambria Math"/>
                </w:rPr>
                <m:t>E</m:t>
              </m:r>
            </m:e>
            <m:sub>
              <m:r>
                <w:rPr>
                  <w:rFonts w:ascii="Cambria Math" w:hAnsi="Cambria Math"/>
                </w:rPr>
                <m:t>eng</m:t>
              </m:r>
            </m:sub>
          </m:sSub>
          <m:r>
            <w:rPr>
              <w:rFonts w:ascii="Cambria Math" w:hAnsi="Cambria Math"/>
            </w:rPr>
            <m:t>+BEFG+MR,  </m:t>
          </m:r>
          <m:d>
            <m:dPr>
              <m:ctrlPr>
                <w:rPr>
                  <w:rFonts w:ascii="Cambria Math" w:hAnsi="Cambria Math"/>
                </w:rPr>
              </m:ctrlPr>
            </m:dPr>
            <m:e>
              <m:r>
                <w:rPr>
                  <w:rFonts w:ascii="Cambria Math" w:hAnsi="Cambria Math"/>
                </w:rPr>
                <m:t>11</m:t>
              </m:r>
            </m:e>
          </m:d>
        </m:oMath>
      </m:oMathPara>
    </w:p>
    <w:p w:rsidR="005B279D" w:rsidRPr="002844B1" w:rsidRDefault="00000000" w:rsidP="007521DB">
      <w:pPr>
        <w:pStyle w:val="FirstParagraph"/>
        <w:jc w:val="both"/>
        <w:rPr>
          <w:sz w:val="21"/>
          <w:szCs w:val="21"/>
        </w:rPr>
      </w:pPr>
      <w:r w:rsidRPr="002844B1">
        <w:rPr>
          <w:sz w:val="21"/>
          <w:szCs w:val="21"/>
        </w:rPr>
        <w:t>avec :</w:t>
      </w:r>
    </w:p>
    <w:p w:rsidR="005B279D" w:rsidRPr="002844B1" w:rsidRDefault="00000000" w:rsidP="007521DB">
      <w:pPr>
        <w:numPr>
          <w:ilvl w:val="0"/>
          <w:numId w:val="19"/>
        </w:numPr>
        <w:jc w:val="both"/>
        <w:rPr>
          <w:sz w:val="21"/>
          <w:szCs w:val="21"/>
        </w:rPr>
      </w:pPr>
      <m:oMath>
        <m:r>
          <w:rPr>
            <w:rFonts w:ascii="Cambria Math" w:hAnsi="Cambria Math"/>
            <w:sz w:val="21"/>
            <w:szCs w:val="21"/>
          </w:rPr>
          <m:t>PT</m:t>
        </m:r>
      </m:oMath>
      <w:r w:rsidRPr="002844B1">
        <w:rPr>
          <w:sz w:val="21"/>
          <w:szCs w:val="21"/>
        </w:rPr>
        <w:t xml:space="preserve"> : la provision technique.</w:t>
      </w:r>
    </w:p>
    <w:p w:rsidR="005B279D" w:rsidRPr="002844B1" w:rsidRDefault="00000000" w:rsidP="007521DB">
      <w:pPr>
        <w:numPr>
          <w:ilvl w:val="0"/>
          <w:numId w:val="19"/>
        </w:numPr>
        <w:jc w:val="both"/>
        <w:rPr>
          <w:sz w:val="21"/>
          <w:szCs w:val="21"/>
        </w:rPr>
      </w:pPr>
      <m:oMath>
        <m:r>
          <w:rPr>
            <w:rFonts w:ascii="Cambria Math" w:hAnsi="Cambria Math"/>
            <w:sz w:val="21"/>
            <w:szCs w:val="21"/>
          </w:rPr>
          <m:t>B</m:t>
        </m:r>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eng</m:t>
            </m:r>
          </m:sub>
        </m:sSub>
      </m:oMath>
      <w:r w:rsidRPr="002844B1">
        <w:rPr>
          <w:sz w:val="21"/>
          <w:szCs w:val="21"/>
        </w:rPr>
        <w:t xml:space="preserve"> : La meilleure estimation des engagements correspond à la somme probabilisée et actualisée de flux de trésorerie futurs afférents aux engagements de l’entreprise d’assurances et de réassurance au titre des contrats souscrits et déterminée, selon la nature des opérations d’assurance.</w:t>
      </w:r>
    </w:p>
    <w:p w:rsidR="005B279D" w:rsidRPr="002844B1" w:rsidRDefault="00000000" w:rsidP="007521DB">
      <w:pPr>
        <w:numPr>
          <w:ilvl w:val="0"/>
          <w:numId w:val="19"/>
        </w:numPr>
        <w:jc w:val="both"/>
        <w:rPr>
          <w:sz w:val="21"/>
          <w:szCs w:val="21"/>
        </w:rPr>
      </w:pPr>
      <m:oMath>
        <m:r>
          <w:rPr>
            <w:rFonts w:ascii="Cambria Math" w:hAnsi="Cambria Math"/>
            <w:sz w:val="21"/>
            <w:szCs w:val="21"/>
          </w:rPr>
          <m:t>BEFG</m:t>
        </m:r>
      </m:oMath>
      <w:r w:rsidRPr="002844B1">
        <w:rPr>
          <w:sz w:val="21"/>
          <w:szCs w:val="21"/>
        </w:rPr>
        <w:t xml:space="preserve"> : La meilleure estimation des frais de gestion correspond à la somme probabilisée et actualisée des flux de frais de gestion des contrats et déterminée, selon la nature des opérations d’assurance.</w:t>
      </w:r>
    </w:p>
    <w:p w:rsidR="005B279D" w:rsidRPr="002844B1" w:rsidRDefault="00000000" w:rsidP="007521DB">
      <w:pPr>
        <w:numPr>
          <w:ilvl w:val="0"/>
          <w:numId w:val="19"/>
        </w:numPr>
        <w:jc w:val="both"/>
        <w:rPr>
          <w:sz w:val="21"/>
          <w:szCs w:val="21"/>
        </w:rPr>
      </w:pPr>
      <m:oMath>
        <m:r>
          <w:rPr>
            <w:rFonts w:ascii="Cambria Math" w:hAnsi="Cambria Math"/>
            <w:sz w:val="21"/>
            <w:szCs w:val="21"/>
          </w:rPr>
          <m:t>MR</m:t>
        </m:r>
      </m:oMath>
      <w:r w:rsidRPr="002844B1">
        <w:rPr>
          <w:sz w:val="21"/>
          <w:szCs w:val="21"/>
        </w:rPr>
        <w:t xml:space="preserve"> : La marge de risque correspond au coût d’immobilisation du capital de solvabilité requis afférent aux engagements garantis. Elle est calculée, séparément pour les engagements des opérations d’assurances vie et rentes découlant des opérations non vie ainsi que pour les engagements des opérations non vie.</w:t>
      </w:r>
    </w:p>
    <w:p w:rsidR="007521DB" w:rsidRPr="002844B1" w:rsidRDefault="007521DB" w:rsidP="007521DB">
      <w:pPr>
        <w:jc w:val="both"/>
        <w:rPr>
          <w:sz w:val="21"/>
          <w:szCs w:val="21"/>
        </w:rPr>
      </w:pPr>
    </w:p>
    <w:p w:rsidR="005B279D" w:rsidRPr="002844B1" w:rsidRDefault="00000000">
      <w:pPr>
        <w:pStyle w:val="Heading2"/>
      </w:pPr>
      <w:bookmarkStart w:id="53" w:name="_Toc137651013"/>
      <w:bookmarkEnd w:id="52"/>
      <w:r w:rsidRPr="002844B1">
        <w:t>4.2 Opérations d’assurance vie, décès ou capitalisation</w:t>
      </w:r>
      <w:bookmarkStart w:id="54" w:name="X32462c7e3a0a11848884f7548d4747bc280232c"/>
      <w:bookmarkEnd w:id="53"/>
    </w:p>
    <w:p w:rsidR="005B279D" w:rsidRPr="002844B1" w:rsidRDefault="00000000" w:rsidP="007521DB">
      <w:pPr>
        <w:pStyle w:val="FirstParagraph"/>
        <w:jc w:val="both"/>
        <w:rPr>
          <w:sz w:val="21"/>
          <w:szCs w:val="21"/>
        </w:rPr>
      </w:pPr>
      <w:r w:rsidRPr="002844B1">
        <w:rPr>
          <w:sz w:val="21"/>
          <w:szCs w:val="21"/>
        </w:rPr>
        <w:t>L’assurance vie est un instrument financier largement utilisé qui offre une protection et des avantages financiers à long terme. Il s’agit d’un contrat entre un assuré et un assureur, dans lequel l’assuré paie régulièrement des primes en échange d’une garantie de versement d’un capital ou d’une rente à un bénéficiaire désigné en cas de décès de l’assuré. Cependant, l’assurance vie ne se limite pas uniquement à la protection en cas de décès, elle peut également offrir des avantages supplémentaires tels que l’accumulation d’épargne, la constitution d’un capital pour la retraite ou des possibilités de planification successorale.</w:t>
      </w:r>
    </w:p>
    <w:p w:rsidR="005B279D" w:rsidRPr="002844B1" w:rsidRDefault="00000000" w:rsidP="007521DB">
      <w:pPr>
        <w:pStyle w:val="BodyText"/>
        <w:jc w:val="both"/>
        <w:rPr>
          <w:sz w:val="21"/>
          <w:szCs w:val="21"/>
        </w:rPr>
      </w:pPr>
      <w:r w:rsidRPr="002844B1">
        <w:rPr>
          <w:sz w:val="21"/>
          <w:szCs w:val="21"/>
        </w:rPr>
        <w:t xml:space="preserve">L’assurance vie fonctionne sur le principe de la mutualisation des risques. Les primes payées par les assurés sont regroupées pour former un fonds commun, à partir duquel les prestations sont versées aux bénéficiaires </w:t>
      </w:r>
      <w:r w:rsidRPr="002844B1">
        <w:rPr>
          <w:sz w:val="21"/>
          <w:szCs w:val="21"/>
        </w:rPr>
        <w:lastRenderedPageBreak/>
        <w:t>advenant le décès de l’assuré. Ce mécanisme permet de protéger financièrement les proches et de garantir une sécurité financière dans des moments difficiles.</w:t>
      </w:r>
    </w:p>
    <w:p w:rsidR="005B279D" w:rsidRPr="002844B1" w:rsidRDefault="00000000" w:rsidP="007521DB">
      <w:pPr>
        <w:pStyle w:val="BodyText"/>
        <w:jc w:val="both"/>
        <w:rPr>
          <w:sz w:val="21"/>
          <w:szCs w:val="21"/>
        </w:rPr>
      </w:pPr>
      <w:r w:rsidRPr="002844B1">
        <w:rPr>
          <w:sz w:val="21"/>
          <w:szCs w:val="21"/>
        </w:rPr>
        <w:t>L’une des caractéristiques clés de l’assurance vie est sa nature flexible. Les polices d’assurance vie peuvent être adaptées aux besoins spécifiques de chaque individu, en termes de durée, de montant de la prime et de type de couverture. Il existe différents types d’assurance vie, tels que l’assurance vie temporaire (ou temporaire renouvelable), l’assurance vie entière, l’assurance vie universelle et l’assurance vie variable, offrant ainsi une gamme d’options pour répondre aux objectifs financiers et aux préférences de chacun.</w:t>
      </w:r>
    </w:p>
    <w:p w:rsidR="005B279D" w:rsidRPr="002844B1" w:rsidRDefault="00000000">
      <w:pPr>
        <w:pStyle w:val="Heading3"/>
      </w:pPr>
      <w:bookmarkStart w:id="55" w:name="Xeb1f9d92a4c5859eacf38eb19f2fdc8a983fcd5"/>
      <w:bookmarkStart w:id="56" w:name="_Toc137651014"/>
      <w:r w:rsidRPr="002844B1">
        <w:t>Meilleure estimations des engagements (</w:t>
      </w:r>
      <m:oMath>
        <m:r>
          <m:rPr>
            <m:sty m:val="bi"/>
          </m:rPr>
          <w:rPr>
            <w:rFonts w:ascii="Cambria Math" w:hAnsi="Cambria Math"/>
          </w:rPr>
          <m:t>B</m:t>
        </m:r>
        <m:sSub>
          <m:sSubPr>
            <m:ctrlPr>
              <w:rPr>
                <w:rFonts w:ascii="Cambria Math" w:hAnsi="Cambria Math"/>
              </w:rPr>
            </m:ctrlPr>
          </m:sSubPr>
          <m:e>
            <m:r>
              <m:rPr>
                <m:sty m:val="bi"/>
              </m:rPr>
              <w:rPr>
                <w:rFonts w:ascii="Cambria Math" w:hAnsi="Cambria Math"/>
              </w:rPr>
              <m:t>E</m:t>
            </m:r>
          </m:e>
          <m:sub>
            <m:r>
              <m:rPr>
                <m:sty m:val="bi"/>
              </m:rPr>
              <w:rPr>
                <w:rFonts w:ascii="Cambria Math" w:hAnsi="Cambria Math"/>
              </w:rPr>
              <m:t>eng</m:t>
            </m:r>
          </m:sub>
        </m:sSub>
      </m:oMath>
      <w:r w:rsidRPr="002844B1">
        <w:t>)</w:t>
      </w:r>
      <w:bookmarkEnd w:id="56"/>
    </w:p>
    <w:p w:rsidR="005B279D" w:rsidRPr="002844B1" w:rsidRDefault="00000000" w:rsidP="007521DB">
      <w:pPr>
        <w:pStyle w:val="FirstParagraph"/>
        <w:jc w:val="both"/>
        <w:rPr>
          <w:sz w:val="21"/>
          <w:szCs w:val="21"/>
        </w:rPr>
      </w:pPr>
      <w:r w:rsidRPr="002844B1">
        <w:rPr>
          <w:sz w:val="21"/>
          <w:szCs w:val="21"/>
        </w:rPr>
        <w:t>Pour les opérations d’assurance vie, décès ou de capitalisation hors unités de compte, la meilleure estimation des engagements comprend la meilleure estimation des garanties probabilisées et les bénéfices discrétionnaires futurs.</w:t>
      </w:r>
    </w:p>
    <w:p w:rsidR="005B279D" w:rsidRPr="002844B1" w:rsidRDefault="00000000">
      <w:pPr>
        <w:pStyle w:val="BodyText"/>
      </w:pPr>
      <m:oMathPara>
        <m:oMathParaPr>
          <m:jc m:val="center"/>
        </m:oMathParaPr>
        <m:oMath>
          <m:r>
            <w:rPr>
              <w:rFonts w:ascii="Cambria Math" w:hAnsi="Cambria Math"/>
            </w:rPr>
            <m:t>B</m:t>
          </m:r>
          <m:sSub>
            <m:sSubPr>
              <m:ctrlPr>
                <w:rPr>
                  <w:rFonts w:ascii="Cambria Math" w:hAnsi="Cambria Math"/>
                </w:rPr>
              </m:ctrlPr>
            </m:sSubPr>
            <m:e>
              <m:r>
                <w:rPr>
                  <w:rFonts w:ascii="Cambria Math" w:hAnsi="Cambria Math"/>
                </w:rPr>
                <m:t>E</m:t>
              </m:r>
            </m:e>
            <m:sub>
              <m:r>
                <w:rPr>
                  <w:rFonts w:ascii="Cambria Math" w:hAnsi="Cambria Math"/>
                </w:rPr>
                <m:t>eng</m:t>
              </m:r>
            </m:sub>
          </m:sSub>
          <m:r>
            <w:rPr>
              <w:rFonts w:ascii="Cambria Math" w:hAnsi="Cambria Math"/>
            </w:rPr>
            <m:t>=BEGP+BDF ,  </m:t>
          </m:r>
          <m:d>
            <m:dPr>
              <m:ctrlPr>
                <w:rPr>
                  <w:rFonts w:ascii="Cambria Math" w:hAnsi="Cambria Math"/>
                </w:rPr>
              </m:ctrlPr>
            </m:dPr>
            <m:e>
              <m:r>
                <w:rPr>
                  <w:rFonts w:ascii="Cambria Math" w:hAnsi="Cambria Math"/>
                </w:rPr>
                <m:t>12</m:t>
              </m:r>
            </m:e>
          </m:d>
        </m:oMath>
      </m:oMathPara>
    </w:p>
    <w:p w:rsidR="005B279D" w:rsidRPr="002844B1" w:rsidRDefault="00000000" w:rsidP="007521DB">
      <w:pPr>
        <w:pStyle w:val="FirstParagraph"/>
        <w:jc w:val="both"/>
        <w:rPr>
          <w:sz w:val="21"/>
          <w:szCs w:val="21"/>
        </w:rPr>
      </w:pPr>
      <w:r w:rsidRPr="002844B1">
        <w:rPr>
          <w:sz w:val="21"/>
          <w:szCs w:val="21"/>
        </w:rPr>
        <w:t>avec :</w:t>
      </w:r>
    </w:p>
    <w:p w:rsidR="005B279D" w:rsidRPr="002844B1" w:rsidRDefault="00000000" w:rsidP="007521DB">
      <w:pPr>
        <w:pStyle w:val="Compact"/>
        <w:numPr>
          <w:ilvl w:val="0"/>
          <w:numId w:val="20"/>
        </w:numPr>
        <w:jc w:val="both"/>
        <w:rPr>
          <w:sz w:val="21"/>
          <w:szCs w:val="21"/>
        </w:rPr>
      </w:pPr>
      <m:oMath>
        <m:r>
          <w:rPr>
            <w:rFonts w:ascii="Cambria Math" w:hAnsi="Cambria Math"/>
            <w:sz w:val="21"/>
            <w:szCs w:val="21"/>
          </w:rPr>
          <m:t>BEGP</m:t>
        </m:r>
      </m:oMath>
      <w:r w:rsidRPr="002844B1">
        <w:rPr>
          <w:sz w:val="21"/>
          <w:szCs w:val="21"/>
        </w:rPr>
        <w:t>: la meilleure estimation des garanties probabilisées.</w:t>
      </w:r>
    </w:p>
    <w:p w:rsidR="005B279D" w:rsidRPr="002844B1" w:rsidRDefault="00000000" w:rsidP="007521DB">
      <w:pPr>
        <w:pStyle w:val="Compact"/>
        <w:numPr>
          <w:ilvl w:val="0"/>
          <w:numId w:val="20"/>
        </w:numPr>
        <w:jc w:val="both"/>
        <w:rPr>
          <w:sz w:val="21"/>
          <w:szCs w:val="21"/>
        </w:rPr>
      </w:pPr>
      <m:oMath>
        <m:r>
          <w:rPr>
            <w:rFonts w:ascii="Cambria Math" w:hAnsi="Cambria Math"/>
            <w:sz w:val="21"/>
            <w:szCs w:val="21"/>
          </w:rPr>
          <m:t>BDF</m:t>
        </m:r>
      </m:oMath>
      <w:r w:rsidRPr="002844B1">
        <w:rPr>
          <w:sz w:val="21"/>
          <w:szCs w:val="21"/>
        </w:rPr>
        <w:t>: les bénéfices discrétionnaires futurs.</w:t>
      </w:r>
    </w:p>
    <w:p w:rsidR="005B279D" w:rsidRPr="002844B1" w:rsidRDefault="00000000">
      <w:pPr>
        <w:pStyle w:val="Heading4"/>
      </w:pPr>
      <w:bookmarkStart w:id="57" w:name="sec-MEGP"/>
      <w:r w:rsidRPr="002844B1">
        <w:t>Meilleure estimation des garanties probabilisées</w:t>
      </w:r>
    </w:p>
    <w:p w:rsidR="005B279D" w:rsidRPr="002844B1" w:rsidRDefault="00000000">
      <w:pPr>
        <w:pStyle w:val="FirstParagraph"/>
      </w:pPr>
      <w:r w:rsidRPr="002844B1">
        <w:t>La meilleure estimation des garanties probabilisées est calculée garantie par garantie et tête par tête, en actualisant les flux de trésorerie futurs probabilisés, afférents aux engagements garantis à la date d’inventaire. Toutefois, l’entreprise d’assurances et de réassurance peut procéder à une agrégation en retenant des critères homogènes, notamment l’âge et ce, après accord de l’Autorité.</w:t>
      </w:r>
    </w:p>
    <w:p w:rsidR="0061492D" w:rsidRPr="002844B1" w:rsidRDefault="0061492D" w:rsidP="0061492D">
      <w:pPr>
        <w:pStyle w:val="BodyText"/>
      </w:pPr>
      <m:oMathPara>
        <m:oMath>
          <m:r>
            <w:rPr>
              <w:rFonts w:ascii="Cambria Math" w:hAnsi="Cambria Math"/>
            </w:rPr>
            <m:t>BEGP=</m:t>
          </m:r>
          <m:nary>
            <m:naryPr>
              <m:chr m:val="∑"/>
              <m:limLoc m:val="undOvr"/>
              <m:ctrlPr>
                <w:rPr>
                  <w:rFonts w:ascii="Cambria Math" w:hAnsi="Cambria Math"/>
                  <w:i w:val="0"/>
                </w:rPr>
              </m:ctrlPr>
            </m:naryPr>
            <m:sub>
              <m:r>
                <w:rPr>
                  <w:rFonts w:ascii="Cambria Math" w:hAnsi="Cambria Math"/>
                </w:rPr>
                <m:t>t=0</m:t>
              </m:r>
              <m:ctrlPr>
                <w:rPr>
                  <w:rFonts w:ascii="Cambria Math" w:hAnsi="Cambria Math"/>
                </w:rPr>
              </m:ctrlPr>
            </m:sub>
            <m:sup>
              <m:r>
                <w:rPr>
                  <w:rFonts w:ascii="Cambria Math" w:hAnsi="Cambria Math"/>
                </w:rPr>
                <m:t>t=N</m:t>
              </m:r>
              <m:ctrlPr>
                <w:rPr>
                  <w:rFonts w:ascii="Cambria Math" w:hAnsi="Cambria Math"/>
                </w:rPr>
              </m:ctrlPr>
            </m:sup>
            <m:e>
              <m:f>
                <m:fPr>
                  <m:ctrlPr>
                    <w:rPr>
                      <w:rFonts w:ascii="Cambria Math" w:hAnsi="Cambria Math"/>
                      <w:i w:val="0"/>
                    </w:rPr>
                  </m:ctrlPr>
                </m:fPr>
                <m:num>
                  <m:d>
                    <m:dPr>
                      <m:ctrlPr>
                        <w:rPr>
                          <w:rFonts w:ascii="Cambria Math" w:hAnsi="Cambria Math"/>
                        </w:rPr>
                      </m:ctrlPr>
                    </m:dPr>
                    <m:e>
                      <m:r>
                        <w:rPr>
                          <w:rFonts w:ascii="Cambria Math" w:hAnsi="Cambria Math"/>
                        </w:rPr>
                        <m:t>De</m:t>
                      </m:r>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-En</m:t>
                      </m:r>
                      <m:sSub>
                        <m:sSubPr>
                          <m:ctrlPr>
                            <w:rPr>
                              <w:rFonts w:ascii="Cambria Math" w:hAnsi="Cambria Math"/>
                            </w:rPr>
                          </m:ctrlPr>
                        </m:sSubPr>
                        <m:e>
                          <m:r>
                            <w:rPr>
                              <w:rFonts w:ascii="Cambria Math" w:hAnsi="Cambria Math"/>
                            </w:rPr>
                            <m:t>c</m:t>
                          </m:r>
                        </m:e>
                        <m:sub>
                          <m:r>
                            <w:rPr>
                              <w:rFonts w:ascii="Cambria Math" w:hAnsi="Cambria Math"/>
                            </w:rPr>
                            <m:t>t</m:t>
                          </m:r>
                        </m:sub>
                      </m:sSub>
                    </m:e>
                  </m:d>
                  <m:ctrlPr>
                    <w:rPr>
                      <w:rFonts w:ascii="Cambria Math" w:hAnsi="Cambria Math"/>
                    </w:rPr>
                  </m:ctrlPr>
                </m:num>
                <m:den>
                  <m:sSup>
                    <m:sSupPr>
                      <m:ctrlPr>
                        <w:rPr>
                          <w:rFonts w:ascii="Cambria Math" w:hAnsi="Cambria Math"/>
                        </w:rPr>
                      </m:ctrlPr>
                    </m:sSup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r</m:t>
                              </m:r>
                            </m:e>
                            <m:sub>
                              <m:r>
                                <w:rPr>
                                  <w:rFonts w:ascii="Cambria Math" w:hAnsi="Cambria Math"/>
                                </w:rPr>
                                <m:t>t</m:t>
                              </m:r>
                            </m:sub>
                          </m:sSub>
                        </m:e>
                      </m:d>
                    </m:e>
                    <m:sup>
                      <m:r>
                        <w:rPr>
                          <w:rFonts w:ascii="Cambria Math" w:hAnsi="Cambria Math"/>
                        </w:rPr>
                        <m:t>t</m:t>
                      </m:r>
                    </m:sup>
                  </m:sSup>
                  <m:ctrlPr>
                    <w:rPr>
                      <w:rFonts w:ascii="Cambria Math" w:hAnsi="Cambria Math"/>
                    </w:rPr>
                  </m:ctrlPr>
                </m:den>
              </m:f>
            </m:e>
          </m:nary>
          <m:r>
            <w:rPr>
              <w:rFonts w:ascii="Cambria Math" w:hAnsi="Cambria Math"/>
            </w:rPr>
            <m:t> ,</m:t>
          </m:r>
        </m:oMath>
      </m:oMathPara>
    </w:p>
    <w:p w:rsidR="005B279D" w:rsidRPr="002844B1" w:rsidRDefault="00000000" w:rsidP="0061492D">
      <w:pPr>
        <w:pStyle w:val="BodyText"/>
        <w:jc w:val="both"/>
        <w:rPr>
          <w:sz w:val="21"/>
          <w:szCs w:val="21"/>
        </w:rPr>
      </w:pPr>
      <w:r w:rsidRPr="002844B1">
        <w:rPr>
          <w:sz w:val="21"/>
          <w:szCs w:val="21"/>
        </w:rPr>
        <w:t>avec :</w:t>
      </w:r>
    </w:p>
    <w:p w:rsidR="005B279D" w:rsidRPr="002844B1" w:rsidRDefault="00000000" w:rsidP="0061492D">
      <w:pPr>
        <w:numPr>
          <w:ilvl w:val="0"/>
          <w:numId w:val="21"/>
        </w:numPr>
        <w:jc w:val="both"/>
        <w:rPr>
          <w:sz w:val="21"/>
          <w:szCs w:val="21"/>
        </w:rPr>
      </w:pPr>
      <m:oMath>
        <m:r>
          <w:rPr>
            <w:rFonts w:ascii="Cambria Math" w:hAnsi="Cambria Math"/>
            <w:sz w:val="21"/>
            <w:szCs w:val="21"/>
          </w:rPr>
          <m:t>En</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t</m:t>
            </m:r>
          </m:sub>
        </m:sSub>
      </m:oMath>
      <w:r w:rsidRPr="002844B1">
        <w:rPr>
          <w:sz w:val="21"/>
          <w:szCs w:val="21"/>
        </w:rPr>
        <w:t xml:space="preserve">: Les encaissements à la date </w:t>
      </w:r>
      <m:oMath>
        <m:r>
          <w:rPr>
            <w:rFonts w:ascii="Cambria Math" w:hAnsi="Cambria Math"/>
            <w:sz w:val="21"/>
            <w:szCs w:val="21"/>
          </w:rPr>
          <m:t>t</m:t>
        </m:r>
      </m:oMath>
      <w:r w:rsidRPr="002844B1">
        <w:rPr>
          <w:sz w:val="21"/>
          <w:szCs w:val="21"/>
        </w:rPr>
        <w:t xml:space="preserve"> qui correspondent aux engagements des assurés.</w:t>
      </w:r>
    </w:p>
    <w:p w:rsidR="005B279D" w:rsidRPr="002844B1" w:rsidRDefault="00000000" w:rsidP="0061492D">
      <w:pPr>
        <w:numPr>
          <w:ilvl w:val="0"/>
          <w:numId w:val="21"/>
        </w:numPr>
        <w:jc w:val="both"/>
        <w:rPr>
          <w:sz w:val="21"/>
          <w:szCs w:val="21"/>
        </w:rPr>
      </w:pPr>
      <m:oMath>
        <m:r>
          <w:rPr>
            <w:rFonts w:ascii="Cambria Math" w:hAnsi="Cambria Math"/>
            <w:sz w:val="21"/>
            <w:szCs w:val="21"/>
          </w:rPr>
          <m:t>De</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t</m:t>
            </m:r>
          </m:sub>
        </m:sSub>
      </m:oMath>
      <w:r w:rsidRPr="002844B1">
        <w:rPr>
          <w:sz w:val="21"/>
          <w:szCs w:val="21"/>
        </w:rPr>
        <w:t xml:space="preserve">: Les décaissements à la date </w:t>
      </w:r>
      <m:oMath>
        <m:r>
          <w:rPr>
            <w:rFonts w:ascii="Cambria Math" w:hAnsi="Cambria Math"/>
            <w:sz w:val="21"/>
            <w:szCs w:val="21"/>
          </w:rPr>
          <m:t>t</m:t>
        </m:r>
      </m:oMath>
      <w:r w:rsidRPr="002844B1">
        <w:rPr>
          <w:sz w:val="21"/>
          <w:szCs w:val="21"/>
        </w:rPr>
        <w:t>. qui correspondent aux règlements de toutes prestations garanties au titre des contrats, y compris les rachats. Ils sont déterminés en tenant compte des engagements contractuels et en utilisant, le cas échéant, les bases techniques suivantes :</w:t>
      </w:r>
    </w:p>
    <w:p w:rsidR="005B279D" w:rsidRPr="002844B1" w:rsidRDefault="00000000" w:rsidP="0061492D">
      <w:pPr>
        <w:numPr>
          <w:ilvl w:val="0"/>
          <w:numId w:val="21"/>
        </w:numPr>
        <w:jc w:val="both"/>
        <w:rPr>
          <w:sz w:val="21"/>
          <w:szCs w:val="21"/>
        </w:rPr>
      </w:pPr>
      <w:r w:rsidRPr="002844B1">
        <w:rPr>
          <w:b/>
          <w:bCs/>
          <w:sz w:val="21"/>
          <w:szCs w:val="21"/>
        </w:rPr>
        <w:t>La table de mortalité</w:t>
      </w:r>
      <w:r w:rsidRPr="002844B1">
        <w:rPr>
          <w:sz w:val="21"/>
          <w:szCs w:val="21"/>
        </w:rPr>
        <w:t>: La table de mortalité TV 88-90 pour les assurances en cas de vie ou la table de mortalité TD 88-90 pour les assurances en cas de décès (</w:t>
      </w:r>
      <w:r w:rsidRPr="002844B1">
        <w:rPr>
          <w:b/>
          <w:bCs/>
          <w:sz w:val="21"/>
          <w:szCs w:val="21"/>
        </w:rPr>
        <w:t>prévues à l’ANNEXE N°3</w:t>
      </w:r>
      <w:r w:rsidRPr="002844B1">
        <w:rPr>
          <w:sz w:val="21"/>
          <w:szCs w:val="21"/>
        </w:rPr>
        <w:t>), auxquelles l’entreprise d’assurances et de réassurance peut substituer une table de mortalité d’expérience, matérialisant la mortalité propre à la population de ses assurés et ce, après accord de l’Autorité ;</w:t>
      </w:r>
    </w:p>
    <w:p w:rsidR="005B279D" w:rsidRPr="002844B1" w:rsidRDefault="00000000">
      <w:pPr>
        <w:numPr>
          <w:ilvl w:val="0"/>
          <w:numId w:val="21"/>
        </w:numPr>
        <w:rPr>
          <w:sz w:val="21"/>
          <w:szCs w:val="21"/>
        </w:rPr>
      </w:pPr>
      <w:r w:rsidRPr="002844B1">
        <w:rPr>
          <w:b/>
          <w:bCs/>
          <w:sz w:val="21"/>
          <w:szCs w:val="21"/>
        </w:rPr>
        <w:t>La table de rachat en montant</w:t>
      </w:r>
      <w:r w:rsidRPr="002844B1">
        <w:rPr>
          <w:sz w:val="21"/>
          <w:szCs w:val="21"/>
        </w:rPr>
        <w:t>.</w:t>
      </w:r>
    </w:p>
    <w:p w:rsidR="005B279D" w:rsidRPr="002844B1" w:rsidRDefault="00000000">
      <w:pPr>
        <w:numPr>
          <w:ilvl w:val="0"/>
          <w:numId w:val="21"/>
        </w:numPr>
        <w:rPr>
          <w:sz w:val="21"/>
          <w:szCs w:val="21"/>
        </w:rPr>
      </w:pPr>
      <w:r w:rsidRPr="002844B1">
        <w:rPr>
          <w:b/>
          <w:bCs/>
          <w:sz w:val="21"/>
          <w:szCs w:val="21"/>
        </w:rPr>
        <w:t>La table de résiliation</w:t>
      </w:r>
      <w:r w:rsidRPr="002844B1">
        <w:rPr>
          <w:sz w:val="21"/>
          <w:szCs w:val="21"/>
        </w:rPr>
        <w:t>.</w:t>
      </w:r>
    </w:p>
    <w:p w:rsidR="005B279D" w:rsidRPr="002844B1" w:rsidRDefault="00000000">
      <w:pPr>
        <w:numPr>
          <w:ilvl w:val="0"/>
          <w:numId w:val="21"/>
        </w:numPr>
        <w:rPr>
          <w:sz w:val="21"/>
          <w:szCs w:val="21"/>
        </w:rPr>
      </w:pPr>
      <w:r w:rsidRPr="002844B1">
        <w:rPr>
          <w:b/>
          <w:bCs/>
          <w:sz w:val="21"/>
          <w:szCs w:val="21"/>
        </w:rPr>
        <w:lastRenderedPageBreak/>
        <w:t>Un taux de sortie en rente</w:t>
      </w:r>
      <w:r w:rsidRPr="002844B1">
        <w:rPr>
          <w:sz w:val="21"/>
          <w:szCs w:val="21"/>
        </w:rPr>
        <w:t>.</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2844B1" w:rsidTr="005B279D">
        <w:trPr>
          <w:cantSplit/>
        </w:trPr>
        <w:tc>
          <w:tcPr>
            <w:tcW w:w="0" w:type="auto"/>
            <w:shd w:val="clear" w:color="auto" w:fill="CCF1E3"/>
            <w:tcMar>
              <w:top w:w="92" w:type="dxa"/>
              <w:bottom w:w="92" w:type="dxa"/>
            </w:tcMar>
          </w:tcPr>
          <w:p w:rsidR="005B279D" w:rsidRPr="002844B1" w:rsidRDefault="00000000">
            <w:pPr>
              <w:pStyle w:val="FirstParagraph"/>
              <w:spacing w:before="0" w:after="0"/>
              <w:textAlignment w:val="center"/>
            </w:pPr>
            <w:r w:rsidRPr="002844B1">
              <w:rPr>
                <w:noProof/>
              </w:rPr>
              <w:drawing>
                <wp:inline distT="0" distB="0" distL="0" distR="0">
                  <wp:extent cx="152400" cy="152400"/>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Applications/quarto/share/formats/docx/tip.png"/>
                          <pic:cNvPicPr>
                            <a:picLocks noChangeAspect="1" noChangeArrowheads="1"/>
                          </pic:cNvPicPr>
                        </pic:nvPicPr>
                        <pic:blipFill>
                          <a:blip r:embed="rId9"/>
                          <a:stretch>
                            <a:fillRect/>
                          </a:stretch>
                        </pic:blipFill>
                        <pic:spPr bwMode="auto">
                          <a:xfrm>
                            <a:off x="0" y="0"/>
                            <a:ext cx="152400" cy="152400"/>
                          </a:xfrm>
                          <a:prstGeom prst="rect">
                            <a:avLst/>
                          </a:prstGeom>
                          <a:noFill/>
                          <a:ln w="9525">
                            <a:noFill/>
                            <a:headEnd/>
                            <a:tailEnd/>
                          </a:ln>
                        </pic:spPr>
                      </pic:pic>
                    </a:graphicData>
                  </a:graphic>
                </wp:inline>
              </w:drawing>
            </w:r>
            <w:r w:rsidRPr="002844B1">
              <w:t xml:space="preserve">  Remarque</w:t>
            </w:r>
          </w:p>
        </w:tc>
      </w:tr>
      <w:tr w:rsidR="005B279D" w:rsidRPr="002844B1" w:rsidTr="005B279D">
        <w:trPr>
          <w:cantSplit/>
        </w:trPr>
        <w:tc>
          <w:tcPr>
            <w:tcW w:w="0" w:type="auto"/>
            <w:tcMar>
              <w:top w:w="108" w:type="dxa"/>
              <w:bottom w:w="108" w:type="dxa"/>
            </w:tcMar>
          </w:tcPr>
          <w:p w:rsidR="005B279D" w:rsidRPr="002844B1" w:rsidRDefault="00000000">
            <w:pPr>
              <w:pStyle w:val="BodyText"/>
              <w:spacing w:before="16" w:after="16"/>
            </w:pPr>
            <w:r w:rsidRPr="002844B1">
              <w:t>Les flux de trésorerie futurs probabilisés précités sont déterminés en considérant un horizon de projection suffisant pour la couverture de l’ensemble de la durée de vie des engagements à la date d’inventaire.</w:t>
            </w:r>
          </w:p>
          <w:p w:rsidR="0061492D" w:rsidRPr="002844B1" w:rsidRDefault="0061492D">
            <w:pPr>
              <w:pStyle w:val="BodyText"/>
              <w:spacing w:before="16" w:after="16"/>
            </w:pPr>
          </w:p>
        </w:tc>
      </w:tr>
      <w:tr w:rsidR="005B279D" w:rsidRPr="002844B1" w:rsidTr="005B279D">
        <w:trPr>
          <w:cantSplit/>
        </w:trPr>
        <w:tc>
          <w:tcPr>
            <w:tcW w:w="0" w:type="auto"/>
            <w:shd w:val="clear" w:color="auto" w:fill="CCF1E3"/>
            <w:tcMar>
              <w:top w:w="92" w:type="dxa"/>
              <w:bottom w:w="92" w:type="dxa"/>
            </w:tcMar>
          </w:tcPr>
          <w:p w:rsidR="005B279D" w:rsidRPr="002844B1" w:rsidRDefault="00000000">
            <w:pPr>
              <w:pStyle w:val="BodyText"/>
              <w:spacing w:before="0" w:after="0"/>
              <w:textAlignment w:val="center"/>
            </w:pPr>
            <w:r w:rsidRPr="002844B1">
              <w:rPr>
                <w:noProof/>
              </w:rPr>
              <w:drawing>
                <wp:inline distT="0" distB="0" distL="0" distR="0">
                  <wp:extent cx="152400" cy="152400"/>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Applications/quarto/share/formats/docx/tip.png"/>
                          <pic:cNvPicPr>
                            <a:picLocks noChangeAspect="1" noChangeArrowheads="1"/>
                          </pic:cNvPicPr>
                        </pic:nvPicPr>
                        <pic:blipFill>
                          <a:blip r:embed="rId9"/>
                          <a:stretch>
                            <a:fillRect/>
                          </a:stretch>
                        </pic:blipFill>
                        <pic:spPr bwMode="auto">
                          <a:xfrm>
                            <a:off x="0" y="0"/>
                            <a:ext cx="152400" cy="152400"/>
                          </a:xfrm>
                          <a:prstGeom prst="rect">
                            <a:avLst/>
                          </a:prstGeom>
                          <a:noFill/>
                          <a:ln w="9525">
                            <a:noFill/>
                            <a:headEnd/>
                            <a:tailEnd/>
                          </a:ln>
                        </pic:spPr>
                      </pic:pic>
                    </a:graphicData>
                  </a:graphic>
                </wp:inline>
              </w:drawing>
            </w:r>
            <w:r w:rsidRPr="002844B1">
              <w:t xml:space="preserve">  Exemple:</w:t>
            </w:r>
          </w:p>
        </w:tc>
      </w:tr>
      <w:tr w:rsidR="005B279D" w:rsidRPr="002844B1" w:rsidTr="005B279D">
        <w:trPr>
          <w:cantSplit/>
        </w:trPr>
        <w:tc>
          <w:tcPr>
            <w:tcW w:w="0" w:type="auto"/>
            <w:tcMar>
              <w:top w:w="108" w:type="dxa"/>
              <w:bottom w:w="108" w:type="dxa"/>
            </w:tcMar>
          </w:tcPr>
          <w:p w:rsidR="005B279D" w:rsidRPr="002844B1" w:rsidRDefault="00000000" w:rsidP="0061492D">
            <w:pPr>
              <w:pStyle w:val="BodyText"/>
              <w:spacing w:before="16"/>
              <w:jc w:val="both"/>
              <w:rPr>
                <w:sz w:val="21"/>
                <w:szCs w:val="21"/>
              </w:rPr>
            </w:pPr>
            <w:r w:rsidRPr="002844B1">
              <w:rPr>
                <w:sz w:val="21"/>
                <w:szCs w:val="21"/>
              </w:rPr>
              <w:t xml:space="preserve">Un contrat d’assurance mixte à prime unique sur </w:t>
            </w:r>
            <m:oMath>
              <m:r>
                <w:rPr>
                  <w:rFonts w:ascii="Cambria Math" w:hAnsi="Cambria Math"/>
                  <w:sz w:val="21"/>
                  <w:szCs w:val="21"/>
                </w:rPr>
                <m:t>N</m:t>
              </m:r>
            </m:oMath>
            <w:r w:rsidRPr="002844B1">
              <w:rPr>
                <w:sz w:val="21"/>
                <w:szCs w:val="21"/>
              </w:rPr>
              <w:t xml:space="preserve"> années est un type de contrat d’assurance-vie qui permet de financer l’assurance-vie en une seule fois. Cela signifie que vous payez une prime unique pour couvrir toute la durée du contrat. Ce type de contrat est destiné aux personnes qui disposent d’un capital et souhaitent diversifier leurs placements tout en protégeant leurs proches. Dans sa variante « mixte », elle permet de réaliser un placement rémunérateur tout en assurant une couverture financière à ses proches.</w:t>
            </w:r>
          </w:p>
          <w:p w:rsidR="005B279D" w:rsidRPr="002844B1" w:rsidRDefault="00000000" w:rsidP="0061492D">
            <w:pPr>
              <w:pStyle w:val="BodyText"/>
              <w:spacing w:after="16"/>
              <w:jc w:val="both"/>
              <w:rPr>
                <w:sz w:val="21"/>
                <w:szCs w:val="21"/>
              </w:rPr>
            </w:pPr>
            <w:r w:rsidRPr="002844B1">
              <w:rPr>
                <w:sz w:val="21"/>
                <w:szCs w:val="21"/>
              </w:rPr>
              <w:t xml:space="preserve">Si on prend l’exemple d’un contrat d’assurance-vie mixte de capital en cas de vie égale au capital en cas de décès </w:t>
            </w:r>
            <m:oMath>
              <m:r>
                <w:rPr>
                  <w:rFonts w:ascii="Cambria Math" w:hAnsi="Cambria Math"/>
                  <w:sz w:val="21"/>
                  <w:szCs w:val="21"/>
                </w:rPr>
                <m:t>K</m:t>
              </m:r>
            </m:oMath>
            <w:r w:rsidRPr="002844B1">
              <w:rPr>
                <w:sz w:val="21"/>
                <w:szCs w:val="21"/>
              </w:rPr>
              <w:t xml:space="preserve">. Soit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x+t</m:t>
                  </m:r>
                </m:sub>
              </m:sSub>
            </m:oMath>
            <w:r w:rsidRPr="002844B1">
              <w:rPr>
                <w:sz w:val="21"/>
                <w:szCs w:val="21"/>
              </w:rPr>
              <w:t xml:space="preserve"> la probabilité qu’un individu d’âge </w:t>
            </w:r>
            <m:oMath>
              <m:r>
                <w:rPr>
                  <w:rFonts w:ascii="Cambria Math" w:hAnsi="Cambria Math"/>
                  <w:sz w:val="21"/>
                  <w:szCs w:val="21"/>
                </w:rPr>
                <m:t>x</m:t>
              </m:r>
            </m:oMath>
            <w:r w:rsidRPr="002844B1">
              <w:rPr>
                <w:sz w:val="21"/>
                <w:szCs w:val="21"/>
              </w:rPr>
              <w:t xml:space="preserve"> lors de la souscription décéde entre </w:t>
            </w:r>
            <m:oMath>
              <m:r>
                <w:rPr>
                  <w:rFonts w:ascii="Cambria Math" w:hAnsi="Cambria Math"/>
                  <w:sz w:val="21"/>
                  <w:szCs w:val="21"/>
                </w:rPr>
                <m:t>x+t</m:t>
              </m:r>
            </m:oMath>
            <w:r w:rsidRPr="002844B1">
              <w:rPr>
                <w:sz w:val="21"/>
                <w:szCs w:val="21"/>
              </w:rPr>
              <w:t xml:space="preserve"> et </w:t>
            </w:r>
            <m:oMath>
              <m:r>
                <w:rPr>
                  <w:rFonts w:ascii="Cambria Math" w:hAnsi="Cambria Math"/>
                  <w:sz w:val="21"/>
                  <w:szCs w:val="21"/>
                </w:rPr>
                <m:t>x+t+1</m:t>
              </m:r>
            </m:oMath>
            <w:r w:rsidRPr="002844B1">
              <w:rPr>
                <w:sz w:val="21"/>
                <w:szCs w:val="21"/>
              </w:rPr>
              <w:t xml:space="preserve">. On note </w:t>
            </w:r>
            <m:oMath>
              <m:r>
                <w:rPr>
                  <w:rFonts w:ascii="Cambria Math" w:hAnsi="Cambria Math"/>
                  <w:sz w:val="21"/>
                  <w:szCs w:val="21"/>
                </w:rPr>
                <m:t>Nb</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t</m:t>
                  </m:r>
                </m:sub>
              </m:sSub>
            </m:oMath>
            <w:r w:rsidRPr="002844B1">
              <w:rPr>
                <w:sz w:val="21"/>
                <w:szCs w:val="21"/>
              </w:rPr>
              <w:t xml:space="preserve"> le nombre de police en début de période </w:t>
            </w:r>
            <m:oMath>
              <m:r>
                <w:rPr>
                  <w:rFonts w:ascii="Cambria Math" w:hAnsi="Cambria Math"/>
                  <w:sz w:val="21"/>
                  <w:szCs w:val="21"/>
                </w:rPr>
                <m:t>t</m:t>
              </m:r>
            </m:oMath>
            <w:r w:rsidRPr="002844B1">
              <w:rPr>
                <w:sz w:val="21"/>
                <w:szCs w:val="21"/>
              </w:rPr>
              <w:t xml:space="preserve"> et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m:t>
                  </m:r>
                </m:sub>
              </m:sSub>
            </m:oMath>
            <w:r w:rsidRPr="002844B1">
              <w:rPr>
                <w:sz w:val="21"/>
                <w:szCs w:val="21"/>
              </w:rPr>
              <w:t xml:space="preserve"> le taux ZC. La prestation correspondante à ce contrat en date t :</w:t>
            </w:r>
          </w:p>
          <w:p w:rsidR="005B279D" w:rsidRPr="002844B1" w:rsidRDefault="00000000">
            <w:pPr>
              <w:pStyle w:val="BodyText"/>
            </w:pPr>
            <m:oMathPara>
              <m:oMathParaPr>
                <m:jc m:val="center"/>
              </m:oMathParaPr>
              <m:oMath>
                <m:r>
                  <w:rPr>
                    <w:rFonts w:ascii="Cambria Math" w:hAnsi="Cambria Math"/>
                  </w:rPr>
                  <m:t>De</m:t>
                </m:r>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=K×Nb</m:t>
                </m:r>
                <m:sSub>
                  <m:sSubPr>
                    <m:ctrlPr>
                      <w:rPr>
                        <w:rFonts w:ascii="Cambria Math" w:hAnsi="Cambria Math"/>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x+t</m:t>
                    </m:r>
                  </m:sub>
                </m:sSub>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r</m:t>
                            </m:r>
                          </m:e>
                          <m:sub>
                            <m:r>
                              <w:rPr>
                                <w:rFonts w:ascii="Cambria Math" w:hAnsi="Cambria Math"/>
                              </w:rPr>
                              <m:t>t</m:t>
                            </m:r>
                          </m:sub>
                        </m:sSub>
                      </m:e>
                    </m:d>
                  </m:e>
                  <m:sup>
                    <m:r>
                      <w:rPr>
                        <w:rFonts w:ascii="Cambria Math" w:hAnsi="Cambria Math"/>
                      </w:rPr>
                      <m:t>t</m:t>
                    </m:r>
                  </m:sup>
                </m:sSup>
                <m:r>
                  <w:rPr>
                    <w:rFonts w:ascii="Cambria Math" w:hAnsi="Cambria Math"/>
                  </w:rPr>
                  <m:t> ,  </m:t>
                </m:r>
                <m:d>
                  <m:dPr>
                    <m:ctrlPr>
                      <w:rPr>
                        <w:rFonts w:ascii="Cambria Math" w:hAnsi="Cambria Math"/>
                      </w:rPr>
                    </m:ctrlPr>
                  </m:dPr>
                  <m:e>
                    <m:r>
                      <w:rPr>
                        <w:rFonts w:ascii="Cambria Math" w:hAnsi="Cambria Math"/>
                      </w:rPr>
                      <m:t>13</m:t>
                    </m:r>
                  </m:e>
                </m:d>
              </m:oMath>
            </m:oMathPara>
          </w:p>
        </w:tc>
      </w:tr>
    </w:tbl>
    <w:p w:rsidR="005B279D" w:rsidRPr="002844B1" w:rsidRDefault="00000000">
      <w:pPr>
        <w:pStyle w:val="Heading4"/>
      </w:pPr>
      <w:bookmarkStart w:id="58" w:name="bénéfices-discrétionnaires-futurs"/>
      <w:bookmarkEnd w:id="57"/>
      <w:r w:rsidRPr="002844B1">
        <w:t>Bénéfices discrétionnaires futurs</w:t>
      </w:r>
    </w:p>
    <w:p w:rsidR="005B279D" w:rsidRPr="002844B1" w:rsidRDefault="00000000" w:rsidP="0061492D">
      <w:pPr>
        <w:pStyle w:val="FirstParagraph"/>
        <w:jc w:val="both"/>
        <w:rPr>
          <w:sz w:val="21"/>
          <w:szCs w:val="21"/>
        </w:rPr>
      </w:pPr>
      <w:r w:rsidRPr="002844B1">
        <w:rPr>
          <w:sz w:val="21"/>
          <w:szCs w:val="21"/>
        </w:rPr>
        <w:t>Les bénéfices discrétionnaires futurs en assurance sont une partie des engagements de l’assureur qui incluent les participations aux bénéfices futurs (appelés Future Discretionary Benefits ou FDB) qui sont purement discrétionnaires et ne sont pas garantis par le contrat ou la réglementation. Ils dépendent de la performance financière de l’assureur et de sa politique de distribution. Leur meilleure estimation est donnée par la formule suivante :</w:t>
      </w:r>
    </w:p>
    <w:p w:rsidR="005B279D" w:rsidRPr="002844B1" w:rsidRDefault="00000000">
      <w:pPr>
        <w:pStyle w:val="BodyText"/>
      </w:pPr>
      <m:oMathPara>
        <m:oMathParaPr>
          <m:jc m:val="center"/>
        </m:oMathParaPr>
        <m:oMath>
          <m:r>
            <w:rPr>
              <w:rFonts w:ascii="Cambria Math" w:hAnsi="Cambria Math"/>
            </w:rPr>
            <m:t>BDF=PPB+</m:t>
          </m:r>
          <m:bar>
            <m:barPr>
              <m:pos m:val="top"/>
              <m:ctrlPr>
                <w:rPr>
                  <w:rFonts w:ascii="Cambria Math" w:hAnsi="Cambria Math"/>
                </w:rPr>
              </m:ctrlPr>
            </m:barPr>
            <m:e>
              <m:r>
                <w:rPr>
                  <w:rFonts w:ascii="Cambria Math" w:hAnsi="Cambria Math"/>
                </w:rPr>
                <m:t>TPB</m:t>
              </m:r>
            </m:e>
          </m:bar>
          <m:r>
            <w:rPr>
              <w:rFonts w:ascii="Cambria Math" w:hAnsi="Cambria Math"/>
            </w:rPr>
            <m:t>×</m:t>
          </m:r>
          <m:d>
            <m:dPr>
              <m:ctrlPr>
                <w:rPr>
                  <w:rFonts w:ascii="Cambria Math" w:hAnsi="Cambria Math"/>
                </w:rPr>
              </m:ctrlPr>
            </m:dPr>
            <m:e>
              <m:r>
                <w:rPr>
                  <w:rFonts w:ascii="Cambria Math" w:hAnsi="Cambria Math"/>
                </w:rPr>
                <m:t>ST+SF</m:t>
              </m:r>
            </m:e>
          </m:d>
          <m:r>
            <w:rPr>
              <w:rFonts w:ascii="Cambria Math" w:hAnsi="Cambria Math"/>
            </w:rPr>
            <m:t>×</m:t>
          </m:r>
          <m:sSub>
            <m:sSubPr>
              <m:ctrlPr>
                <w:rPr>
                  <w:rFonts w:ascii="Cambria Math" w:hAnsi="Cambria Math"/>
                </w:rPr>
              </m:ctrlPr>
            </m:sSubPr>
            <m:e>
              <m:r>
                <m:rPr>
                  <m:sty m:val="bi"/>
                </m:rPr>
                <w:rPr>
                  <w:rFonts w:ascii="Cambria Math" w:hAnsi="Cambria Math"/>
                </w:rPr>
                <m:t>1</m:t>
              </m:r>
            </m:e>
            <m:sub>
              <m:d>
                <m:dPr>
                  <m:ctrlPr>
                    <w:rPr>
                      <w:rFonts w:ascii="Cambria Math" w:hAnsi="Cambria Math"/>
                    </w:rPr>
                  </m:ctrlPr>
                </m:dPr>
                <m:e>
                  <m:r>
                    <w:rPr>
                      <w:rFonts w:ascii="Cambria Math" w:hAnsi="Cambria Math"/>
                    </w:rPr>
                    <m:t>ST+SF</m:t>
                  </m:r>
                </m:e>
              </m:d>
              <m:r>
                <w:rPr>
                  <w:rFonts w:ascii="Cambria Math" w:hAnsi="Cambria Math"/>
                </w:rPr>
                <m:t>&gt;0</m:t>
              </m:r>
            </m:sub>
          </m:sSub>
          <m:r>
            <w:rPr>
              <w:rFonts w:ascii="Cambria Math" w:hAnsi="Cambria Math"/>
            </w:rPr>
            <m:t>,  </m:t>
          </m:r>
          <m:d>
            <m:dPr>
              <m:ctrlPr>
                <w:rPr>
                  <w:rFonts w:ascii="Cambria Math" w:hAnsi="Cambria Math"/>
                </w:rPr>
              </m:ctrlPr>
            </m:dPr>
            <m:e>
              <m:r>
                <w:rPr>
                  <w:rFonts w:ascii="Cambria Math" w:hAnsi="Cambria Math"/>
                </w:rPr>
                <m:t>14</m:t>
              </m:r>
            </m:e>
          </m:d>
        </m:oMath>
      </m:oMathPara>
    </w:p>
    <w:p w:rsidR="005B279D" w:rsidRPr="002844B1" w:rsidRDefault="00000000" w:rsidP="0061492D">
      <w:pPr>
        <w:pStyle w:val="FirstParagraph"/>
        <w:jc w:val="both"/>
        <w:rPr>
          <w:sz w:val="21"/>
          <w:szCs w:val="21"/>
        </w:rPr>
      </w:pPr>
      <w:r w:rsidRPr="002844B1">
        <w:rPr>
          <w:sz w:val="21"/>
          <w:szCs w:val="21"/>
        </w:rPr>
        <w:t>avec :</w:t>
      </w:r>
    </w:p>
    <w:p w:rsidR="005B279D" w:rsidRPr="002844B1" w:rsidRDefault="00000000" w:rsidP="0061492D">
      <w:pPr>
        <w:numPr>
          <w:ilvl w:val="0"/>
          <w:numId w:val="22"/>
        </w:numPr>
        <w:jc w:val="both"/>
        <w:rPr>
          <w:sz w:val="21"/>
          <w:szCs w:val="21"/>
        </w:rPr>
      </w:pPr>
      <m:oMath>
        <m:r>
          <w:rPr>
            <w:rFonts w:ascii="Cambria Math" w:hAnsi="Cambria Math"/>
            <w:sz w:val="21"/>
            <w:szCs w:val="21"/>
          </w:rPr>
          <m:t>PPB</m:t>
        </m:r>
      </m:oMath>
      <w:r w:rsidRPr="002844B1">
        <w:rPr>
          <w:sz w:val="21"/>
          <w:szCs w:val="21"/>
        </w:rPr>
        <w:t xml:space="preserve"> : Le montant de la provision pour participation aux bénéfices, évaluée à la valeur comptable.</w:t>
      </w:r>
    </w:p>
    <w:p w:rsidR="005B279D" w:rsidRPr="002844B1" w:rsidRDefault="00000000" w:rsidP="0061492D">
      <w:pPr>
        <w:numPr>
          <w:ilvl w:val="0"/>
          <w:numId w:val="22"/>
        </w:numPr>
        <w:jc w:val="both"/>
        <w:rPr>
          <w:sz w:val="21"/>
          <w:szCs w:val="21"/>
        </w:rPr>
      </w:pPr>
      <m:oMath>
        <m:r>
          <w:rPr>
            <w:rFonts w:ascii="Cambria Math" w:hAnsi="Cambria Math"/>
            <w:sz w:val="21"/>
            <w:szCs w:val="21"/>
          </w:rPr>
          <m:t>ST</m:t>
        </m:r>
      </m:oMath>
      <w:r w:rsidRPr="002844B1">
        <w:rPr>
          <w:sz w:val="21"/>
          <w:szCs w:val="21"/>
        </w:rPr>
        <w:t xml:space="preserve"> : Somme des soldes techniques.</w:t>
      </w:r>
    </w:p>
    <w:p w:rsidR="005B279D" w:rsidRPr="002844B1" w:rsidRDefault="00000000" w:rsidP="0061492D">
      <w:pPr>
        <w:numPr>
          <w:ilvl w:val="0"/>
          <w:numId w:val="22"/>
        </w:numPr>
        <w:jc w:val="both"/>
        <w:rPr>
          <w:sz w:val="21"/>
          <w:szCs w:val="21"/>
        </w:rPr>
      </w:pPr>
      <m:oMath>
        <m:bar>
          <m:barPr>
            <m:pos m:val="top"/>
            <m:ctrlPr>
              <w:rPr>
                <w:rFonts w:ascii="Cambria Math" w:hAnsi="Cambria Math"/>
                <w:sz w:val="21"/>
                <w:szCs w:val="21"/>
              </w:rPr>
            </m:ctrlPr>
          </m:barPr>
          <m:e>
            <m:r>
              <w:rPr>
                <w:rFonts w:ascii="Cambria Math" w:hAnsi="Cambria Math"/>
                <w:sz w:val="21"/>
                <w:szCs w:val="21"/>
              </w:rPr>
              <m:t>TPB</m:t>
            </m:r>
          </m:e>
        </m:bar>
      </m:oMath>
      <w:r w:rsidRPr="002844B1">
        <w:rPr>
          <w:sz w:val="21"/>
          <w:szCs w:val="21"/>
        </w:rPr>
        <w:t xml:space="preserve"> : Le taux de participation au bénéfice moyen servi aux assurés.</w:t>
      </w:r>
    </w:p>
    <w:p w:rsidR="005B279D" w:rsidRPr="002844B1" w:rsidRDefault="00000000" w:rsidP="0061492D">
      <w:pPr>
        <w:pStyle w:val="FirstParagraph"/>
        <w:jc w:val="both"/>
        <w:rPr>
          <w:sz w:val="21"/>
          <w:szCs w:val="21"/>
        </w:rPr>
      </w:pPr>
      <w:r w:rsidRPr="002844B1">
        <w:rPr>
          <w:b/>
          <w:bCs/>
          <w:sz w:val="21"/>
          <w:szCs w:val="21"/>
        </w:rPr>
        <w:t>Le taux de participation aux bénéfices moyen servi aux assurés</w:t>
      </w:r>
      <w:r w:rsidRPr="002844B1">
        <w:rPr>
          <w:sz w:val="21"/>
          <w:szCs w:val="21"/>
        </w:rPr>
        <w:t xml:space="preserve"> est calculé en considérant le rapport entre la somme des dotations au titre, des trois derniers exercices clos au moins, affectées à la provision pour participation aux bénéfices afférente aux opérations d’assurance vie, décès ou de capitalisation hors unités de compte et la somme des résultats techniques et financiers des dites opérations sur la même période. En notation mathématique :</w:t>
      </w:r>
    </w:p>
    <w:p w:rsidR="005B279D" w:rsidRPr="002844B1" w:rsidRDefault="00000000">
      <w:pPr>
        <w:pStyle w:val="BodyText"/>
      </w:pPr>
      <m:oMathPara>
        <m:oMathParaPr>
          <m:jc m:val="center"/>
        </m:oMathParaPr>
        <m:oMath>
          <m:bar>
            <m:barPr>
              <m:pos m:val="top"/>
              <m:ctrlPr>
                <w:rPr>
                  <w:rFonts w:ascii="Cambria Math" w:hAnsi="Cambria Math"/>
                </w:rPr>
              </m:ctrlPr>
            </m:barPr>
            <m:e>
              <m:r>
                <w:rPr>
                  <w:rFonts w:ascii="Cambria Math" w:hAnsi="Cambria Math"/>
                </w:rPr>
                <m:t>TPB</m:t>
              </m:r>
            </m:e>
          </m:bar>
          <m:r>
            <w:rPr>
              <w:rFonts w:ascii="Cambria Math" w:hAnsi="Cambria Math"/>
            </w:rPr>
            <m:t>=</m:t>
          </m:r>
          <m:f>
            <m:fPr>
              <m:ctrlPr>
                <w:rPr>
                  <w:rFonts w:ascii="Cambria Math" w:hAnsi="Cambria Math"/>
                </w:rPr>
              </m:ctrlPr>
            </m:fPr>
            <m:num>
              <m:r>
                <w:rPr>
                  <w:rFonts w:ascii="Cambria Math" w:hAnsi="Cambria Math"/>
                </w:rPr>
                <m:t>Dot</m:t>
              </m:r>
            </m:num>
            <m:den>
              <m:r>
                <w:rPr>
                  <w:rFonts w:ascii="Cambria Math" w:hAnsi="Cambria Math"/>
                </w:rPr>
                <m:t>RT+RF</m:t>
              </m:r>
            </m:den>
          </m:f>
          <m:r>
            <w:rPr>
              <w:rFonts w:ascii="Cambria Math" w:hAnsi="Cambria Math"/>
            </w:rPr>
            <m:t>,  </m:t>
          </m:r>
          <m:d>
            <m:dPr>
              <m:ctrlPr>
                <w:rPr>
                  <w:rFonts w:ascii="Cambria Math" w:hAnsi="Cambria Math"/>
                </w:rPr>
              </m:ctrlPr>
            </m:dPr>
            <m:e>
              <m:r>
                <w:rPr>
                  <w:rFonts w:ascii="Cambria Math" w:hAnsi="Cambria Math"/>
                </w:rPr>
                <m:t>15</m:t>
              </m:r>
            </m:e>
          </m:d>
        </m:oMath>
      </m:oMathPara>
    </w:p>
    <w:p w:rsidR="005B279D" w:rsidRPr="002844B1" w:rsidRDefault="00000000" w:rsidP="0061492D">
      <w:pPr>
        <w:pStyle w:val="FirstParagraph"/>
        <w:jc w:val="both"/>
        <w:rPr>
          <w:sz w:val="21"/>
          <w:szCs w:val="21"/>
        </w:rPr>
      </w:pPr>
      <w:r w:rsidRPr="002844B1">
        <w:rPr>
          <w:sz w:val="21"/>
          <w:szCs w:val="21"/>
        </w:rPr>
        <w:t>avec :</w:t>
      </w:r>
    </w:p>
    <w:p w:rsidR="005B279D" w:rsidRPr="002844B1" w:rsidRDefault="00000000" w:rsidP="0061492D">
      <w:pPr>
        <w:pStyle w:val="Compact"/>
        <w:numPr>
          <w:ilvl w:val="0"/>
          <w:numId w:val="23"/>
        </w:numPr>
        <w:jc w:val="both"/>
        <w:rPr>
          <w:sz w:val="21"/>
          <w:szCs w:val="21"/>
        </w:rPr>
      </w:pPr>
      <m:oMath>
        <m:r>
          <w:rPr>
            <w:rFonts w:ascii="Cambria Math" w:hAnsi="Cambria Math"/>
            <w:sz w:val="21"/>
            <w:szCs w:val="21"/>
          </w:rPr>
          <m:t>Dot</m:t>
        </m:r>
      </m:oMath>
      <w:r w:rsidRPr="002844B1">
        <w:rPr>
          <w:sz w:val="21"/>
          <w:szCs w:val="21"/>
        </w:rPr>
        <w:t xml:space="preserve"> : somme des dotations au titre, des trois derniers exercices clos au moins.</w:t>
      </w:r>
    </w:p>
    <w:p w:rsidR="005B279D" w:rsidRPr="002844B1" w:rsidRDefault="00000000" w:rsidP="0061492D">
      <w:pPr>
        <w:pStyle w:val="Compact"/>
        <w:numPr>
          <w:ilvl w:val="0"/>
          <w:numId w:val="23"/>
        </w:numPr>
        <w:jc w:val="both"/>
        <w:rPr>
          <w:sz w:val="21"/>
          <w:szCs w:val="21"/>
        </w:rPr>
      </w:pPr>
      <m:oMath>
        <m:r>
          <w:rPr>
            <w:rFonts w:ascii="Cambria Math" w:hAnsi="Cambria Math"/>
            <w:sz w:val="21"/>
            <w:szCs w:val="21"/>
          </w:rPr>
          <m:t>RT</m:t>
        </m:r>
      </m:oMath>
      <w:r w:rsidRPr="002844B1">
        <w:rPr>
          <w:sz w:val="21"/>
          <w:szCs w:val="21"/>
        </w:rPr>
        <w:t xml:space="preserve"> :les résultats techniques.</w:t>
      </w:r>
    </w:p>
    <w:p w:rsidR="005B279D" w:rsidRPr="002844B1" w:rsidRDefault="00000000" w:rsidP="0061492D">
      <w:pPr>
        <w:pStyle w:val="Compact"/>
        <w:numPr>
          <w:ilvl w:val="0"/>
          <w:numId w:val="23"/>
        </w:numPr>
        <w:jc w:val="both"/>
        <w:rPr>
          <w:sz w:val="21"/>
          <w:szCs w:val="21"/>
        </w:rPr>
      </w:pPr>
      <m:oMath>
        <m:r>
          <w:rPr>
            <w:rFonts w:ascii="Cambria Math" w:hAnsi="Cambria Math"/>
            <w:sz w:val="21"/>
            <w:szCs w:val="21"/>
          </w:rPr>
          <m:t>RF</m:t>
        </m:r>
      </m:oMath>
      <w:r w:rsidRPr="002844B1">
        <w:rPr>
          <w:sz w:val="21"/>
          <w:szCs w:val="21"/>
        </w:rPr>
        <w:t xml:space="preserve"> :les résultats financiers.</w:t>
      </w:r>
    </w:p>
    <w:p w:rsidR="005B279D" w:rsidRPr="002844B1" w:rsidRDefault="00000000">
      <w:pPr>
        <w:pStyle w:val="Heading3"/>
      </w:pPr>
      <w:bookmarkStart w:id="59" w:name="Xb36307078f8a6b20714aed4cb695975c0bea969"/>
      <w:bookmarkStart w:id="60" w:name="_Toc137651015"/>
      <w:bookmarkEnd w:id="55"/>
      <w:bookmarkEnd w:id="58"/>
      <w:r w:rsidRPr="002844B1">
        <w:t>Meilleure estimation des frais de gestions (</w:t>
      </w:r>
      <m:oMath>
        <m:r>
          <m:rPr>
            <m:sty m:val="bi"/>
          </m:rPr>
          <w:rPr>
            <w:rFonts w:ascii="Cambria Math" w:hAnsi="Cambria Math"/>
          </w:rPr>
          <m:t>BEFG</m:t>
        </m:r>
      </m:oMath>
      <w:r w:rsidRPr="002844B1">
        <w:t>)</w:t>
      </w:r>
      <w:bookmarkEnd w:id="60"/>
    </w:p>
    <w:p w:rsidR="005B279D" w:rsidRPr="002844B1" w:rsidRDefault="00000000" w:rsidP="0061492D">
      <w:pPr>
        <w:pStyle w:val="FirstParagraph"/>
        <w:jc w:val="both"/>
        <w:rPr>
          <w:sz w:val="21"/>
          <w:szCs w:val="21"/>
        </w:rPr>
      </w:pPr>
      <w:r w:rsidRPr="002844B1">
        <w:rPr>
          <w:sz w:val="21"/>
          <w:szCs w:val="21"/>
        </w:rPr>
        <w:t>La meilleure estimation des frais de gestion correspond à la somme actualisée des flux de frais de gestion futurs probabilisés.</w:t>
      </w:r>
    </w:p>
    <w:p w:rsidR="005B279D" w:rsidRPr="002844B1" w:rsidRDefault="00000000">
      <w:pPr>
        <w:pStyle w:val="BodyText"/>
      </w:pPr>
      <m:oMathPara>
        <m:oMathParaPr>
          <m:jc m:val="center"/>
        </m:oMathParaPr>
        <m:oMath>
          <m:r>
            <w:rPr>
              <w:rFonts w:ascii="Cambria Math" w:hAnsi="Cambria Math"/>
            </w:rPr>
            <m:t>BEFG=</m:t>
          </m:r>
          <m:nary>
            <m:naryPr>
              <m:chr m:val="∑"/>
              <m:limLoc m:val="undOvr"/>
              <m:ctrlPr>
                <w:rPr>
                  <w:rFonts w:ascii="Cambria Math" w:hAnsi="Cambria Math"/>
                </w:rPr>
              </m:ctrlPr>
            </m:naryPr>
            <m:sub>
              <m:r>
                <w:rPr>
                  <w:rFonts w:ascii="Cambria Math" w:hAnsi="Cambria Math"/>
                </w:rPr>
                <m:t>t=1</m:t>
              </m:r>
            </m:sub>
            <m:sup>
              <m:r>
                <w:rPr>
                  <w:rFonts w:ascii="Cambria Math" w:hAnsi="Cambria Math"/>
                </w:rPr>
                <m:t>N</m:t>
              </m:r>
            </m:sup>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G</m:t>
                      </m:r>
                    </m:e>
                    <m:sub>
                      <m:r>
                        <w:rPr>
                          <w:rFonts w:ascii="Cambria Math" w:hAnsi="Cambria Math"/>
                        </w:rPr>
                        <m:t>t</m:t>
                      </m:r>
                    </m:sub>
                  </m:sSub>
                </m:num>
                <m:den>
                  <m:sSup>
                    <m:sSupPr>
                      <m:ctrlPr>
                        <w:rPr>
                          <w:rFonts w:ascii="Cambria Math" w:hAnsi="Cambria Math"/>
                        </w:rPr>
                      </m:ctrlPr>
                    </m:sSup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r</m:t>
                              </m:r>
                            </m:e>
                            <m:sub>
                              <m:r>
                                <w:rPr>
                                  <w:rFonts w:ascii="Cambria Math" w:hAnsi="Cambria Math"/>
                                </w:rPr>
                                <m:t>t</m:t>
                              </m:r>
                            </m:sub>
                          </m:sSub>
                        </m:e>
                      </m:d>
                    </m:e>
                    <m:sup>
                      <m:r>
                        <w:rPr>
                          <w:rFonts w:ascii="Cambria Math" w:hAnsi="Cambria Math"/>
                        </w:rPr>
                        <m:t>t</m:t>
                      </m:r>
                    </m:sup>
                  </m:sSup>
                </m:den>
              </m:f>
            </m:e>
          </m:nary>
          <m:r>
            <w:rPr>
              <w:rFonts w:ascii="Cambria Math" w:hAnsi="Cambria Math"/>
            </w:rPr>
            <m:t>  </m:t>
          </m:r>
          <m:d>
            <m:dPr>
              <m:ctrlPr>
                <w:rPr>
                  <w:rFonts w:ascii="Cambria Math" w:hAnsi="Cambria Math"/>
                </w:rPr>
              </m:ctrlPr>
            </m:dPr>
            <m:e>
              <m:r>
                <w:rPr>
                  <w:rFonts w:ascii="Cambria Math" w:hAnsi="Cambria Math"/>
                </w:rPr>
                <m:t>16</m:t>
              </m:r>
            </m:e>
          </m:d>
        </m:oMath>
      </m:oMathPara>
    </w:p>
    <w:p w:rsidR="005B279D" w:rsidRPr="002844B1" w:rsidRDefault="00000000" w:rsidP="0061492D">
      <w:pPr>
        <w:pStyle w:val="FirstParagraph"/>
        <w:jc w:val="both"/>
        <w:rPr>
          <w:sz w:val="21"/>
          <w:szCs w:val="21"/>
        </w:rPr>
      </w:pPr>
      <w:r w:rsidRPr="002844B1">
        <w:rPr>
          <w:sz w:val="21"/>
          <w:szCs w:val="21"/>
        </w:rPr>
        <w:t>Les frais de gestion futurs sont estimés sur la base d’une projection effectuée en considérant un horizon de projection suffisant pour la couverture de la durée de vie des engagements à la date d’inventaire. Ils sont déterminés pour chaque année de projection en multipliant le nombre de contrats par le montant de frais de gestion unitaire moyen.</w:t>
      </w:r>
    </w:p>
    <w:p w:rsidR="005B279D" w:rsidRPr="002844B1" w:rsidRDefault="00000000">
      <w:pPr>
        <w:pStyle w:val="BodyText"/>
      </w:pPr>
      <m:oMathPara>
        <m:oMathParaPr>
          <m:jc m:val="center"/>
        </m:oMathParaPr>
        <m:oMath>
          <m:r>
            <w:rPr>
              <w:rFonts w:ascii="Cambria Math" w:hAnsi="Cambria Math"/>
            </w:rPr>
            <m:t>F</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=Nb</m:t>
          </m:r>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m:t>
          </m:r>
          <m:bar>
            <m:barPr>
              <m:pos m:val="top"/>
              <m:ctrlPr>
                <w:rPr>
                  <w:rFonts w:ascii="Cambria Math" w:hAnsi="Cambria Math"/>
                </w:rPr>
              </m:ctrlPr>
            </m:barPr>
            <m:e>
              <m:r>
                <w:rPr>
                  <w:rFonts w:ascii="Cambria Math" w:hAnsi="Cambria Math"/>
                </w:rPr>
                <m:t>FG</m:t>
              </m:r>
              <m:sSub>
                <m:sSubPr>
                  <m:ctrlPr>
                    <w:rPr>
                      <w:rFonts w:ascii="Cambria Math" w:hAnsi="Cambria Math"/>
                    </w:rPr>
                  </m:ctrlPr>
                </m:sSubPr>
                <m:e>
                  <m:r>
                    <w:rPr>
                      <w:rFonts w:ascii="Cambria Math" w:hAnsi="Cambria Math"/>
                    </w:rPr>
                    <m:t>U</m:t>
                  </m:r>
                </m:e>
                <m:sub>
                  <m:r>
                    <w:rPr>
                      <w:rFonts w:ascii="Cambria Math" w:hAnsi="Cambria Math"/>
                    </w:rPr>
                    <m:t>t</m:t>
                  </m:r>
                </m:sub>
              </m:sSub>
            </m:e>
          </m:bar>
          <m:r>
            <w:rPr>
              <w:rFonts w:ascii="Cambria Math" w:hAnsi="Cambria Math"/>
            </w:rPr>
            <m:t> ,  </m:t>
          </m:r>
          <m:d>
            <m:dPr>
              <m:ctrlPr>
                <w:rPr>
                  <w:rFonts w:ascii="Cambria Math" w:hAnsi="Cambria Math"/>
                </w:rPr>
              </m:ctrlPr>
            </m:dPr>
            <m:e>
              <m:r>
                <w:rPr>
                  <w:rFonts w:ascii="Cambria Math" w:hAnsi="Cambria Math"/>
                </w:rPr>
                <m:t>17</m:t>
              </m:r>
            </m:e>
          </m:d>
        </m:oMath>
      </m:oMathPara>
    </w:p>
    <w:p w:rsidR="005B279D" w:rsidRPr="002844B1" w:rsidRDefault="00000000" w:rsidP="0061492D">
      <w:pPr>
        <w:pStyle w:val="FirstParagraph"/>
        <w:jc w:val="both"/>
        <w:rPr>
          <w:sz w:val="21"/>
          <w:szCs w:val="21"/>
        </w:rPr>
      </w:pPr>
      <w:r w:rsidRPr="002844B1">
        <w:rPr>
          <w:sz w:val="21"/>
          <w:szCs w:val="21"/>
        </w:rPr>
        <w:t>avec :</w:t>
      </w:r>
    </w:p>
    <w:p w:rsidR="005B279D" w:rsidRPr="002844B1" w:rsidRDefault="00000000" w:rsidP="0061492D">
      <w:pPr>
        <w:pStyle w:val="Compact"/>
        <w:numPr>
          <w:ilvl w:val="0"/>
          <w:numId w:val="24"/>
        </w:numPr>
        <w:jc w:val="both"/>
        <w:rPr>
          <w:sz w:val="21"/>
          <w:szCs w:val="21"/>
        </w:rPr>
      </w:pPr>
      <m:oMath>
        <m:sSub>
          <m:sSubPr>
            <m:ctrlPr>
              <w:rPr>
                <w:rFonts w:ascii="Cambria Math" w:hAnsi="Cambria Math"/>
                <w:sz w:val="21"/>
                <w:szCs w:val="21"/>
              </w:rPr>
            </m:ctrlPr>
          </m:sSubPr>
          <m:e>
            <m:acc>
              <m:accPr>
                <m:chr m:val="‾"/>
                <m:ctrlPr>
                  <w:rPr>
                    <w:rFonts w:ascii="Cambria Math" w:hAnsi="Cambria Math"/>
                    <w:sz w:val="21"/>
                    <w:szCs w:val="21"/>
                  </w:rPr>
                </m:ctrlPr>
              </m:accPr>
              <m:e>
                <m:r>
                  <w:rPr>
                    <w:rFonts w:ascii="Cambria Math" w:hAnsi="Cambria Math"/>
                    <w:sz w:val="21"/>
                    <w:szCs w:val="21"/>
                  </w:rPr>
                  <m:t>FGU</m:t>
                </m:r>
              </m:e>
            </m:acc>
          </m:e>
          <m:sub>
            <m:r>
              <w:rPr>
                <w:rFonts w:ascii="Cambria Math" w:hAnsi="Cambria Math"/>
                <w:sz w:val="21"/>
                <w:szCs w:val="21"/>
              </w:rPr>
              <m:t>t</m:t>
            </m:r>
          </m:sub>
        </m:sSub>
      </m:oMath>
      <w:r w:rsidRPr="002844B1">
        <w:rPr>
          <w:sz w:val="21"/>
          <w:szCs w:val="21"/>
        </w:rPr>
        <w:t xml:space="preserve"> : Le montant de frais de gestion unitaire moyen est estimé en considérant la moyenne sur les trois derniers exercices clos des montants de frais de gestion unitaires.</w:t>
      </w:r>
    </w:p>
    <w:p w:rsidR="005B279D" w:rsidRPr="002844B1" w:rsidRDefault="00000000" w:rsidP="0061492D">
      <w:pPr>
        <w:pStyle w:val="Compact"/>
        <w:numPr>
          <w:ilvl w:val="0"/>
          <w:numId w:val="24"/>
        </w:numPr>
        <w:jc w:val="both"/>
        <w:rPr>
          <w:sz w:val="21"/>
          <w:szCs w:val="21"/>
        </w:rPr>
      </w:pPr>
      <m:oMath>
        <m:r>
          <w:rPr>
            <w:rFonts w:ascii="Cambria Math" w:hAnsi="Cambria Math"/>
            <w:sz w:val="21"/>
            <w:szCs w:val="21"/>
          </w:rPr>
          <m:t>Nb</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t</m:t>
            </m:r>
          </m:sub>
        </m:sSub>
      </m:oMath>
      <w:r w:rsidRPr="002844B1">
        <w:rPr>
          <w:sz w:val="21"/>
          <w:szCs w:val="21"/>
        </w:rPr>
        <w:t xml:space="preserve"> : Le nombre de contrats précité est estimé par sous-catégories, compte tenu des bases techniques suivantes (La table de mortalité, La table de rachat en nombre, La table de résiliation).</w:t>
      </w:r>
    </w:p>
    <w:p w:rsidR="005B279D" w:rsidRPr="002844B1" w:rsidRDefault="00000000" w:rsidP="0061492D">
      <w:pPr>
        <w:pStyle w:val="Compact"/>
        <w:numPr>
          <w:ilvl w:val="0"/>
          <w:numId w:val="24"/>
        </w:numPr>
        <w:jc w:val="both"/>
      </w:pPr>
      <m:oMath>
        <m:r>
          <w:rPr>
            <w:rFonts w:ascii="Cambria Math" w:hAnsi="Cambria Math"/>
            <w:sz w:val="21"/>
            <w:szCs w:val="21"/>
          </w:rPr>
          <m:t>F</m:t>
        </m:r>
        <m:sSub>
          <m:sSubPr>
            <m:ctrlPr>
              <w:rPr>
                <w:rFonts w:ascii="Cambria Math" w:hAnsi="Cambria Math"/>
                <w:sz w:val="21"/>
                <w:szCs w:val="21"/>
              </w:rPr>
            </m:ctrlPr>
          </m:sSubPr>
          <m:e>
            <m:r>
              <w:rPr>
                <w:rFonts w:ascii="Cambria Math" w:hAnsi="Cambria Math"/>
                <w:sz w:val="21"/>
                <w:szCs w:val="21"/>
              </w:rPr>
              <m:t>G</m:t>
            </m:r>
          </m:e>
          <m:sub>
            <m:r>
              <w:rPr>
                <w:rFonts w:ascii="Cambria Math" w:hAnsi="Cambria Math"/>
                <w:sz w:val="21"/>
                <w:szCs w:val="21"/>
              </w:rPr>
              <m:t>t</m:t>
            </m:r>
          </m:sub>
        </m:sSub>
      </m:oMath>
      <w:r w:rsidRPr="002844B1">
        <w:rPr>
          <w:sz w:val="21"/>
          <w:szCs w:val="21"/>
        </w:rPr>
        <w:t xml:space="preserve"> : Les frais de gestions.</w:t>
      </w:r>
    </w:p>
    <w:p w:rsidR="005B279D" w:rsidRPr="002844B1" w:rsidRDefault="00000000" w:rsidP="0061492D">
      <w:pPr>
        <w:pStyle w:val="FirstParagraph"/>
        <w:jc w:val="both"/>
        <w:rPr>
          <w:sz w:val="21"/>
          <w:szCs w:val="21"/>
        </w:rPr>
      </w:pPr>
      <w:r w:rsidRPr="002844B1">
        <w:rPr>
          <w:sz w:val="21"/>
          <w:szCs w:val="21"/>
        </w:rPr>
        <w:t>Le montant de frais de gestion unitaire au titre de chaque exercice clos, correspond au rapport entre le montant de frais de gestion déterminé par sous-catégories et le nombre de contrats ou d’adhérents pour les contrats d’assurance de groupe, à l’ouverture de l’exercice clos considéré.</w:t>
      </w:r>
    </w:p>
    <w:p w:rsidR="005B279D" w:rsidRPr="002844B1" w:rsidRDefault="00000000">
      <w:pPr>
        <w:pStyle w:val="BodyText"/>
      </w:pPr>
      <m:oMathPara>
        <m:oMathParaPr>
          <m:jc m:val="center"/>
        </m:oMathParaPr>
        <m:oMath>
          <m:bar>
            <m:barPr>
              <m:pos m:val="top"/>
              <m:ctrlPr>
                <w:rPr>
                  <w:rFonts w:ascii="Cambria Math" w:hAnsi="Cambria Math"/>
                </w:rPr>
              </m:ctrlPr>
            </m:barPr>
            <m:e>
              <m:r>
                <w:rPr>
                  <w:rFonts w:ascii="Cambria Math" w:hAnsi="Cambria Math"/>
                </w:rPr>
                <m:t>FG</m:t>
              </m:r>
              <m:sSub>
                <m:sSubPr>
                  <m:ctrlPr>
                    <w:rPr>
                      <w:rFonts w:ascii="Cambria Math" w:hAnsi="Cambria Math"/>
                    </w:rPr>
                  </m:ctrlPr>
                </m:sSubPr>
                <m:e>
                  <m:r>
                    <w:rPr>
                      <w:rFonts w:ascii="Cambria Math" w:hAnsi="Cambria Math"/>
                    </w:rPr>
                    <m:t>U</m:t>
                  </m:r>
                </m:e>
                <m:sub>
                  <m:r>
                    <w:rPr>
                      <w:rFonts w:ascii="Cambria Math" w:hAnsi="Cambria Math"/>
                    </w:rPr>
                    <m:t>t</m:t>
                  </m:r>
                </m:sub>
              </m:sSub>
            </m:e>
          </m:ba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3</m:t>
              </m:r>
            </m:den>
          </m:f>
          <m: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G</m:t>
                      </m:r>
                    </m:e>
                    <m:sub>
                      <m:r>
                        <w:rPr>
                          <w:rFonts w:ascii="Cambria Math" w:hAnsi="Cambria Math"/>
                        </w:rPr>
                        <m:t>t-1</m:t>
                      </m:r>
                    </m:sub>
                  </m:sSub>
                </m:num>
                <m:den>
                  <m:r>
                    <w:rPr>
                      <w:rFonts w:ascii="Cambria Math" w:hAnsi="Cambria Math"/>
                    </w:rPr>
                    <m:t>Nb</m:t>
                  </m:r>
                  <m:sSub>
                    <m:sSubPr>
                      <m:ctrlPr>
                        <w:rPr>
                          <w:rFonts w:ascii="Cambria Math" w:hAnsi="Cambria Math"/>
                        </w:rPr>
                      </m:ctrlPr>
                    </m:sSubPr>
                    <m:e>
                      <m:r>
                        <w:rPr>
                          <w:rFonts w:ascii="Cambria Math" w:hAnsi="Cambria Math"/>
                        </w:rPr>
                        <m:t>C</m:t>
                      </m:r>
                    </m:e>
                    <m:sub>
                      <m:r>
                        <w:rPr>
                          <w:rFonts w:ascii="Cambria Math" w:hAnsi="Cambria Math"/>
                        </w:rPr>
                        <m:t>t-1</m:t>
                      </m:r>
                    </m:sub>
                  </m:sSub>
                </m:den>
              </m:f>
              <m: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G</m:t>
                      </m:r>
                    </m:e>
                    <m:sub>
                      <m:r>
                        <w:rPr>
                          <w:rFonts w:ascii="Cambria Math" w:hAnsi="Cambria Math"/>
                        </w:rPr>
                        <m:t>t-2</m:t>
                      </m:r>
                    </m:sub>
                  </m:sSub>
                </m:num>
                <m:den>
                  <m:r>
                    <w:rPr>
                      <w:rFonts w:ascii="Cambria Math" w:hAnsi="Cambria Math"/>
                    </w:rPr>
                    <m:t>Nb</m:t>
                  </m:r>
                  <m:sSub>
                    <m:sSubPr>
                      <m:ctrlPr>
                        <w:rPr>
                          <w:rFonts w:ascii="Cambria Math" w:hAnsi="Cambria Math"/>
                        </w:rPr>
                      </m:ctrlPr>
                    </m:sSubPr>
                    <m:e>
                      <m:r>
                        <w:rPr>
                          <w:rFonts w:ascii="Cambria Math" w:hAnsi="Cambria Math"/>
                        </w:rPr>
                        <m:t>C</m:t>
                      </m:r>
                    </m:e>
                    <m:sub>
                      <m:r>
                        <w:rPr>
                          <w:rFonts w:ascii="Cambria Math" w:hAnsi="Cambria Math"/>
                        </w:rPr>
                        <m:t>t-2</m:t>
                      </m:r>
                    </m:sub>
                  </m:sSub>
                </m:den>
              </m:f>
              <m: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G</m:t>
                      </m:r>
                    </m:e>
                    <m:sub>
                      <m:r>
                        <w:rPr>
                          <w:rFonts w:ascii="Cambria Math" w:hAnsi="Cambria Math"/>
                        </w:rPr>
                        <m:t>t-3</m:t>
                      </m:r>
                    </m:sub>
                  </m:sSub>
                </m:num>
                <m:den>
                  <m:r>
                    <w:rPr>
                      <w:rFonts w:ascii="Cambria Math" w:hAnsi="Cambria Math"/>
                    </w:rPr>
                    <m:t>Nb</m:t>
                  </m:r>
                  <m:sSub>
                    <m:sSubPr>
                      <m:ctrlPr>
                        <w:rPr>
                          <w:rFonts w:ascii="Cambria Math" w:hAnsi="Cambria Math"/>
                        </w:rPr>
                      </m:ctrlPr>
                    </m:sSubPr>
                    <m:e>
                      <m:r>
                        <w:rPr>
                          <w:rFonts w:ascii="Cambria Math" w:hAnsi="Cambria Math"/>
                        </w:rPr>
                        <m:t>C</m:t>
                      </m:r>
                    </m:e>
                    <m:sub>
                      <m:r>
                        <w:rPr>
                          <w:rFonts w:ascii="Cambria Math" w:hAnsi="Cambria Math"/>
                        </w:rPr>
                        <m:t>t-3</m:t>
                      </m:r>
                    </m:sub>
                  </m:sSub>
                </m:den>
              </m:f>
            </m:e>
          </m:d>
          <m:r>
            <w:rPr>
              <w:rFonts w:ascii="Cambria Math" w:hAnsi="Cambria Math"/>
            </w:rPr>
            <m:t>  </m:t>
          </m:r>
          <m:d>
            <m:dPr>
              <m:ctrlPr>
                <w:rPr>
                  <w:rFonts w:ascii="Cambria Math" w:hAnsi="Cambria Math"/>
                </w:rPr>
              </m:ctrlPr>
            </m:dPr>
            <m:e>
              <m:r>
                <w:rPr>
                  <w:rFonts w:ascii="Cambria Math" w:hAnsi="Cambria Math"/>
                </w:rPr>
                <m:t>18</m:t>
              </m:r>
            </m:e>
          </m:d>
        </m:oMath>
      </m:oMathPara>
    </w:p>
    <w:p w:rsidR="005B279D" w:rsidRPr="002844B1" w:rsidRDefault="00000000">
      <w:pPr>
        <w:pStyle w:val="Heading2"/>
      </w:pPr>
      <w:bookmarkStart w:id="61" w:name="_Toc137651016"/>
      <w:bookmarkEnd w:id="54"/>
      <w:bookmarkEnd w:id="59"/>
      <w:r w:rsidRPr="002844B1">
        <w:t xml:space="preserve">4.3 Rentes </w:t>
      </w:r>
      <w:r w:rsidR="002844B1" w:rsidRPr="002844B1">
        <w:t>découlant</w:t>
      </w:r>
      <w:r w:rsidRPr="002844B1">
        <w:t xml:space="preserve"> des opérations non-vie</w:t>
      </w:r>
      <w:bookmarkStart w:id="62" w:name="rentes-découlants-des-opérations-non-vie"/>
      <w:bookmarkEnd w:id="61"/>
    </w:p>
    <w:p w:rsidR="005B279D" w:rsidRPr="002844B1" w:rsidRDefault="00000000" w:rsidP="0061492D">
      <w:pPr>
        <w:pStyle w:val="FirstParagraph"/>
        <w:jc w:val="both"/>
      </w:pPr>
      <w:r w:rsidRPr="002844B1">
        <w:t>La meilleure estimation des engagements pour les rentes découlant des opérations d’assurance non vie correspond à la meilleure estimation des garanties probabilisées déterminée avant.</w:t>
      </w:r>
    </w:p>
    <w:p w:rsidR="005B279D" w:rsidRPr="002844B1" w:rsidRDefault="00000000">
      <w:pPr>
        <w:pStyle w:val="BodyText"/>
      </w:pPr>
      <m:oMathPara>
        <m:oMathParaPr>
          <m:jc m:val="center"/>
        </m:oMathParaPr>
        <m:oMath>
          <m:r>
            <w:rPr>
              <w:rFonts w:ascii="Cambria Math" w:hAnsi="Cambria Math"/>
            </w:rPr>
            <m:t>B</m:t>
          </m:r>
          <m:sSub>
            <m:sSubPr>
              <m:ctrlPr>
                <w:rPr>
                  <w:rFonts w:ascii="Cambria Math" w:hAnsi="Cambria Math"/>
                </w:rPr>
              </m:ctrlPr>
            </m:sSubPr>
            <m:e>
              <m:r>
                <w:rPr>
                  <w:rFonts w:ascii="Cambria Math" w:hAnsi="Cambria Math"/>
                </w:rPr>
                <m:t>E</m:t>
              </m:r>
            </m:e>
            <m:sub>
              <m:r>
                <w:rPr>
                  <w:rFonts w:ascii="Cambria Math" w:hAnsi="Cambria Math"/>
                </w:rPr>
                <m:t>eng</m:t>
              </m:r>
            </m:sub>
          </m:sSub>
          <m:r>
            <w:rPr>
              <w:rFonts w:ascii="Cambria Math" w:hAnsi="Cambria Math"/>
            </w:rPr>
            <m:t>=BEGP ,  </m:t>
          </m:r>
          <m:d>
            <m:dPr>
              <m:ctrlPr>
                <w:rPr>
                  <w:rFonts w:ascii="Cambria Math" w:hAnsi="Cambria Math"/>
                </w:rPr>
              </m:ctrlPr>
            </m:dPr>
            <m:e>
              <m:r>
                <w:rPr>
                  <w:rFonts w:ascii="Cambria Math" w:hAnsi="Cambria Math"/>
                </w:rPr>
                <m:t>19</m:t>
              </m:r>
            </m:e>
          </m:d>
        </m:oMath>
      </m:oMathPara>
    </w:p>
    <w:p w:rsidR="005B279D" w:rsidRPr="002844B1" w:rsidRDefault="00000000">
      <w:pPr>
        <w:pStyle w:val="FirstParagraph"/>
      </w:pPr>
      <w:r w:rsidRPr="002844B1">
        <w:t>avec :</w:t>
      </w:r>
    </w:p>
    <w:p w:rsidR="005B279D" w:rsidRPr="002844B1" w:rsidRDefault="00000000" w:rsidP="0061492D">
      <w:pPr>
        <w:pStyle w:val="Compact"/>
        <w:numPr>
          <w:ilvl w:val="0"/>
          <w:numId w:val="25"/>
        </w:numPr>
        <w:jc w:val="both"/>
        <w:rPr>
          <w:sz w:val="21"/>
          <w:szCs w:val="21"/>
        </w:rPr>
      </w:pPr>
      <m:oMath>
        <m:r>
          <w:rPr>
            <w:rFonts w:ascii="Cambria Math" w:hAnsi="Cambria Math"/>
            <w:sz w:val="21"/>
            <w:szCs w:val="21"/>
          </w:rPr>
          <m:t>B</m:t>
        </m:r>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eng</m:t>
            </m:r>
          </m:sub>
        </m:sSub>
      </m:oMath>
      <w:r w:rsidRPr="002844B1">
        <w:rPr>
          <w:sz w:val="21"/>
          <w:szCs w:val="21"/>
        </w:rPr>
        <w:t xml:space="preserve"> : la meilleure estimation rentes découlant des opérations d’assurance non vie.</w:t>
      </w:r>
    </w:p>
    <w:p w:rsidR="005B279D" w:rsidRPr="002844B1" w:rsidRDefault="00000000" w:rsidP="0061492D">
      <w:pPr>
        <w:pStyle w:val="Compact"/>
        <w:numPr>
          <w:ilvl w:val="0"/>
          <w:numId w:val="25"/>
        </w:numPr>
        <w:jc w:val="both"/>
      </w:pPr>
      <m:oMath>
        <m:r>
          <w:rPr>
            <w:rFonts w:ascii="Cambria Math" w:hAnsi="Cambria Math"/>
            <w:sz w:val="21"/>
            <w:szCs w:val="21"/>
          </w:rPr>
          <w:lastRenderedPageBreak/>
          <m:t>BEGP</m:t>
        </m:r>
      </m:oMath>
      <w:r w:rsidRPr="002844B1">
        <w:rPr>
          <w:sz w:val="21"/>
          <w:szCs w:val="21"/>
        </w:rPr>
        <w:t xml:space="preserve"> : la meilleure estimation des garanties probabilisées</w:t>
      </w:r>
      <w:r w:rsidRPr="002844B1">
        <w:t>.</w:t>
      </w:r>
    </w:p>
    <w:p w:rsidR="005B279D" w:rsidRPr="002844B1" w:rsidRDefault="00000000" w:rsidP="0061492D">
      <w:pPr>
        <w:pStyle w:val="FirstParagraph"/>
        <w:jc w:val="both"/>
        <w:rPr>
          <w:sz w:val="21"/>
          <w:szCs w:val="21"/>
        </w:rPr>
      </w:pPr>
      <w:r w:rsidRPr="002844B1">
        <w:rPr>
          <w:sz w:val="21"/>
          <w:szCs w:val="21"/>
        </w:rPr>
        <w:t xml:space="preserve">La meilleure estimation des frais de gestion, pour les rentes découlant des opérations d’assurance non vie est déterminée de la </w:t>
      </w:r>
      <w:r w:rsidR="002844B1" w:rsidRPr="002844B1">
        <w:rPr>
          <w:sz w:val="21"/>
          <w:szCs w:val="21"/>
        </w:rPr>
        <w:t>même</w:t>
      </w:r>
      <w:r w:rsidRPr="002844B1">
        <w:rPr>
          <w:sz w:val="21"/>
          <w:szCs w:val="21"/>
        </w:rPr>
        <w:t xml:space="preserve"> façon comme avant.</w:t>
      </w:r>
    </w:p>
    <w:p w:rsidR="005B279D" w:rsidRPr="002844B1" w:rsidRDefault="00000000">
      <w:pPr>
        <w:pStyle w:val="Heading2"/>
      </w:pPr>
      <w:bookmarkStart w:id="63" w:name="_Toc137651017"/>
      <w:bookmarkEnd w:id="62"/>
      <w:r w:rsidRPr="002844B1">
        <w:t>4.4 Opérations d’assurance non vie hors rentes</w:t>
      </w:r>
      <w:bookmarkStart w:id="64" w:name="X35be4e1d432b72e5eca82ccc14d28e032b67b9f"/>
      <w:bookmarkStart w:id="65" w:name="X95164bc6af2e862e4c417e49c6d46de2a1b5d80"/>
      <w:bookmarkEnd w:id="63"/>
    </w:p>
    <w:p w:rsidR="005B279D" w:rsidRPr="002844B1" w:rsidRDefault="00000000" w:rsidP="0061492D">
      <w:pPr>
        <w:pStyle w:val="FirstParagraph"/>
        <w:jc w:val="both"/>
        <w:rPr>
          <w:sz w:val="21"/>
          <w:szCs w:val="21"/>
        </w:rPr>
      </w:pPr>
      <w:r w:rsidRPr="002844B1">
        <w:rPr>
          <w:sz w:val="21"/>
          <w:szCs w:val="21"/>
        </w:rPr>
        <w:t>L’assurance non-vie, également connue sous le nom d’assurance dommages, est un secteur d’assurance qui vise à protéger les biens et les responsabilités des individus et des entreprises contre divers risques. Et il couvre une vaste gamme de domaines, tels que les accidents, les catastrophes naturelles, les dommages matériels, la responsabilité civile, les pertes financières, les vols et bien d’autres encore.</w:t>
      </w:r>
    </w:p>
    <w:p w:rsidR="005B279D" w:rsidRPr="002844B1" w:rsidRDefault="00000000" w:rsidP="0061492D">
      <w:pPr>
        <w:pStyle w:val="BodyText"/>
        <w:jc w:val="both"/>
        <w:rPr>
          <w:sz w:val="21"/>
          <w:szCs w:val="21"/>
        </w:rPr>
      </w:pPr>
      <w:r w:rsidRPr="002844B1">
        <w:rPr>
          <w:sz w:val="21"/>
          <w:szCs w:val="21"/>
        </w:rPr>
        <w:t>Elle repose aussi sur le principe de la mutualisation des risques, telle que Les assurés paient des primes périodiques à une compagnie d’assurance en échange d’une garantie de recevoir une indemnisation en cas de sinistre. L’assureur collecte les primes de nombreux assurés et utilise ces fonds pour couvrir les pertes de ceux qui ont subi des dommages assurés. Ainsi, l’assurance non-vie permet de répartir les risques et de fournir une protection financière contre les évènements imprévus qui pourraient causer des pertes matérielles ou des responsabilités juridiques.</w:t>
      </w:r>
    </w:p>
    <w:p w:rsidR="005B279D" w:rsidRPr="002844B1" w:rsidRDefault="00000000" w:rsidP="0061492D">
      <w:pPr>
        <w:pStyle w:val="BodyText"/>
        <w:jc w:val="both"/>
        <w:rPr>
          <w:sz w:val="21"/>
          <w:szCs w:val="21"/>
        </w:rPr>
      </w:pPr>
      <w:r w:rsidRPr="002844B1">
        <w:rPr>
          <w:sz w:val="21"/>
          <w:szCs w:val="21"/>
        </w:rPr>
        <w:t>L’assurance non-vie offre une grande variété de produits et de polices adaptés à différents besoins. Parmi les exemples courants d’assurances non-vie, on trouve l’assurance automobile, l’assurance habitation, l’assurance responsabilité civile, l’assurance santé, l’assurance voyage, l’accident de travail, l’assurance entreprise, etc. Chacune de ces polices est conçue pour offrir une protection spécifique contre les risques liés à ces domaines.</w:t>
      </w:r>
    </w:p>
    <w:p w:rsidR="005B279D" w:rsidRPr="002844B1" w:rsidRDefault="00000000">
      <w:pPr>
        <w:pStyle w:val="Heading3"/>
      </w:pPr>
      <w:bookmarkStart w:id="66" w:name="la-meilleure-estimation-des-engagements"/>
      <w:bookmarkStart w:id="67" w:name="_Toc137651018"/>
      <w:r w:rsidRPr="002844B1">
        <w:t>La meilleure estimation des engagements</w:t>
      </w:r>
      <w:bookmarkEnd w:id="67"/>
    </w:p>
    <w:p w:rsidR="005B279D" w:rsidRPr="002844B1" w:rsidRDefault="00000000" w:rsidP="0061492D">
      <w:pPr>
        <w:pStyle w:val="FirstParagraph"/>
        <w:jc w:val="both"/>
        <w:rPr>
          <w:sz w:val="21"/>
          <w:szCs w:val="21"/>
        </w:rPr>
      </w:pPr>
      <w:r w:rsidRPr="002844B1">
        <w:rPr>
          <w:sz w:val="21"/>
          <w:szCs w:val="21"/>
        </w:rPr>
        <w:t>la meilleure estimation des engagements comprend la meilleure estimation des engagements pour sinistres nets de recours et la meilleure estimation des engagements pour primes.</w:t>
      </w:r>
    </w:p>
    <w:p w:rsidR="005B279D" w:rsidRPr="002844B1" w:rsidRDefault="00000000" w:rsidP="0061492D">
      <w:pPr>
        <w:pStyle w:val="BodyText"/>
        <w:jc w:val="both"/>
        <w:rPr>
          <w:sz w:val="21"/>
          <w:szCs w:val="21"/>
        </w:rPr>
      </w:pPr>
      <m:oMathPara>
        <m:oMathParaPr>
          <m:jc m:val="center"/>
        </m:oMathParaPr>
        <m:oMath>
          <m:r>
            <w:rPr>
              <w:rFonts w:ascii="Cambria Math" w:hAnsi="Cambria Math"/>
              <w:sz w:val="21"/>
              <w:szCs w:val="21"/>
            </w:rPr>
            <m:t>B</m:t>
          </m:r>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eng</m:t>
              </m:r>
            </m:sub>
          </m:sSub>
          <m:r>
            <w:rPr>
              <w:rFonts w:ascii="Cambria Math" w:hAnsi="Cambria Math"/>
              <w:sz w:val="21"/>
              <w:szCs w:val="21"/>
            </w:rPr>
            <m:t>=BES+BEP  </m:t>
          </m:r>
          <m:d>
            <m:dPr>
              <m:ctrlPr>
                <w:rPr>
                  <w:rFonts w:ascii="Cambria Math" w:hAnsi="Cambria Math"/>
                  <w:sz w:val="21"/>
                  <w:szCs w:val="21"/>
                </w:rPr>
              </m:ctrlPr>
            </m:dPr>
            <m:e>
              <m:r>
                <w:rPr>
                  <w:rFonts w:ascii="Cambria Math" w:hAnsi="Cambria Math"/>
                  <w:sz w:val="21"/>
                  <w:szCs w:val="21"/>
                </w:rPr>
                <m:t>20</m:t>
              </m:r>
            </m:e>
          </m:d>
        </m:oMath>
      </m:oMathPara>
    </w:p>
    <w:p w:rsidR="005B279D" w:rsidRPr="002844B1" w:rsidRDefault="00000000">
      <w:pPr>
        <w:pStyle w:val="Heading4"/>
      </w:pPr>
      <w:bookmarkStart w:id="68" w:name="X9db0096445a49d940cc69c0286ca1bcb6499e49"/>
      <w:r w:rsidRPr="002844B1">
        <w:t>La meilleure estimation des engagements pour primes(</w:t>
      </w:r>
      <m:oMath>
        <m:r>
          <m:rPr>
            <m:sty m:val="bi"/>
          </m:rPr>
          <w:rPr>
            <w:rFonts w:ascii="Cambria Math" w:hAnsi="Cambria Math"/>
          </w:rPr>
          <m:t>BEP</m:t>
        </m:r>
      </m:oMath>
      <w:r w:rsidRPr="002844B1">
        <w:t>)</w:t>
      </w:r>
    </w:p>
    <w:p w:rsidR="005B279D" w:rsidRPr="002844B1" w:rsidRDefault="00000000" w:rsidP="0061492D">
      <w:pPr>
        <w:pStyle w:val="FirstParagraph"/>
        <w:jc w:val="both"/>
        <w:rPr>
          <w:sz w:val="21"/>
          <w:szCs w:val="21"/>
        </w:rPr>
      </w:pPr>
      <w:r w:rsidRPr="002844B1">
        <w:rPr>
          <w:sz w:val="21"/>
          <w:szCs w:val="21"/>
        </w:rPr>
        <w:t>La meilleure estimation des engagements pour primes correspond à la différence entre :</w:t>
      </w:r>
    </w:p>
    <w:p w:rsidR="005B279D" w:rsidRPr="002844B1" w:rsidRDefault="00000000" w:rsidP="0061492D">
      <w:pPr>
        <w:pStyle w:val="Compact"/>
        <w:numPr>
          <w:ilvl w:val="0"/>
          <w:numId w:val="26"/>
        </w:numPr>
        <w:jc w:val="both"/>
        <w:rPr>
          <w:sz w:val="21"/>
          <w:szCs w:val="21"/>
        </w:rPr>
      </w:pPr>
      <w:r w:rsidRPr="002844B1">
        <w:rPr>
          <w:sz w:val="21"/>
          <w:szCs w:val="21"/>
        </w:rPr>
        <w:t>La somme actualisée des flux de règlements futurs probabilisés nets de recours relatifs aux sinistres non encore survenus afférents aux contrats.</w:t>
      </w:r>
    </w:p>
    <w:p w:rsidR="005B279D" w:rsidRPr="002844B1" w:rsidRDefault="00000000" w:rsidP="0061492D">
      <w:pPr>
        <w:pStyle w:val="Compact"/>
        <w:numPr>
          <w:ilvl w:val="0"/>
          <w:numId w:val="26"/>
        </w:numPr>
        <w:jc w:val="both"/>
        <w:rPr>
          <w:sz w:val="21"/>
          <w:szCs w:val="21"/>
        </w:rPr>
      </w:pPr>
      <w:r w:rsidRPr="002844B1">
        <w:rPr>
          <w:sz w:val="21"/>
          <w:szCs w:val="21"/>
        </w:rPr>
        <w:t>Le montant des primes futures probabilisé et actualisé à la date d’inventaire, net des frais d’acquisition, afférentes aux contrats.</w:t>
      </w:r>
    </w:p>
    <w:p w:rsidR="005B279D" w:rsidRPr="002844B1" w:rsidRDefault="00000000">
      <w:pPr>
        <w:pStyle w:val="FirstParagraph"/>
      </w:pPr>
      <m:oMathPara>
        <m:oMathParaPr>
          <m:jc m:val="center"/>
        </m:oMathParaPr>
        <m:oMath>
          <m:r>
            <w:rPr>
              <w:rFonts w:ascii="Cambria Math" w:hAnsi="Cambria Math"/>
            </w:rPr>
            <m:t>BEP=</m:t>
          </m:r>
          <m:nary>
            <m:naryPr>
              <m:chr m:val="∑"/>
              <m:limLoc m:val="undOvr"/>
              <m:supHide m:val="1"/>
              <m:ctrlPr>
                <w:rPr>
                  <w:rFonts w:ascii="Cambria Math" w:hAnsi="Cambria Math"/>
                </w:rPr>
              </m:ctrlPr>
            </m:naryPr>
            <m:sub>
              <m:r>
                <w:rPr>
                  <w:rFonts w:ascii="Cambria Math" w:hAnsi="Cambria Math"/>
                </w:rPr>
                <m:t>t≥1</m:t>
              </m:r>
            </m:sub>
            <m:sup>
              <m:r>
                <w:rPr>
                  <w:rFonts w:ascii="Cambria Math" w:hAnsi="Cambria Math"/>
                </w:rPr>
                <m:t>​</m:t>
              </m:r>
            </m:sup>
            <m:e>
              <m:f>
                <m:fPr>
                  <m:ctrlPr>
                    <w:rPr>
                      <w:rFonts w:ascii="Cambria Math" w:hAnsi="Cambria Math"/>
                    </w:rPr>
                  </m:ctrlPr>
                </m:fPr>
                <m:num>
                  <m:bar>
                    <m:barPr>
                      <m:pos m:val="top"/>
                      <m:ctrlPr>
                        <w:rPr>
                          <w:rFonts w:ascii="Cambria Math" w:hAnsi="Cambria Math"/>
                        </w:rPr>
                      </m:ctrlPr>
                    </m:barPr>
                    <m:e>
                      <m:r>
                        <w:rPr>
                          <w:rFonts w:ascii="Cambria Math" w:hAnsi="Cambria Math"/>
                        </w:rPr>
                        <m:t>FRF</m:t>
                      </m:r>
                      <m:sSub>
                        <m:sSubPr>
                          <m:ctrlPr>
                            <w:rPr>
                              <w:rFonts w:ascii="Cambria Math" w:hAnsi="Cambria Math"/>
                            </w:rPr>
                          </m:ctrlPr>
                        </m:sSubPr>
                        <m:e>
                          <m:r>
                            <w:rPr>
                              <w:rFonts w:ascii="Cambria Math" w:hAnsi="Cambria Math"/>
                            </w:rPr>
                            <m:t>P</m:t>
                          </m:r>
                        </m:e>
                        <m:sub>
                          <m:r>
                            <w:rPr>
                              <w:rFonts w:ascii="Cambria Math" w:hAnsi="Cambria Math"/>
                            </w:rPr>
                            <m:t>t</m:t>
                          </m:r>
                        </m:sub>
                      </m:sSub>
                    </m:e>
                  </m:bar>
                </m:num>
                <m:den>
                  <m:sSup>
                    <m:sSupPr>
                      <m:ctrlPr>
                        <w:rPr>
                          <w:rFonts w:ascii="Cambria Math" w:hAnsi="Cambria Math"/>
                        </w:rPr>
                      </m:ctrlPr>
                    </m:sSup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r</m:t>
                              </m:r>
                            </m:e>
                            <m:sub>
                              <m:r>
                                <w:rPr>
                                  <w:rFonts w:ascii="Cambria Math" w:hAnsi="Cambria Math"/>
                                </w:rPr>
                                <m:t>t</m:t>
                              </m:r>
                            </m:sub>
                          </m:sSub>
                        </m:e>
                      </m:d>
                    </m:e>
                    <m:sup>
                      <m:r>
                        <w:rPr>
                          <w:rFonts w:ascii="Cambria Math" w:hAnsi="Cambria Math"/>
                        </w:rPr>
                        <m:t>t</m:t>
                      </m:r>
                    </m:sup>
                  </m:sSup>
                </m:den>
              </m:f>
            </m:e>
          </m:nary>
          <m:r>
            <w:rPr>
              <w:rFonts w:ascii="Cambria Math" w:hAnsi="Cambria Math"/>
            </w:rPr>
            <m:t>-PFPA ,  </m:t>
          </m:r>
          <m:d>
            <m:dPr>
              <m:ctrlPr>
                <w:rPr>
                  <w:rFonts w:ascii="Cambria Math" w:hAnsi="Cambria Math"/>
                </w:rPr>
              </m:ctrlPr>
            </m:dPr>
            <m:e>
              <m:r>
                <w:rPr>
                  <w:rFonts w:ascii="Cambria Math" w:hAnsi="Cambria Math"/>
                </w:rPr>
                <m:t>21</m:t>
              </m:r>
            </m:e>
          </m:d>
        </m:oMath>
      </m:oMathPara>
    </w:p>
    <w:p w:rsidR="005B279D" w:rsidRPr="002844B1" w:rsidRDefault="00000000" w:rsidP="0061492D">
      <w:pPr>
        <w:pStyle w:val="FirstParagraph"/>
        <w:jc w:val="both"/>
        <w:rPr>
          <w:sz w:val="21"/>
          <w:szCs w:val="21"/>
        </w:rPr>
      </w:pPr>
      <w:r w:rsidRPr="002844B1">
        <w:rPr>
          <w:sz w:val="21"/>
          <w:szCs w:val="21"/>
        </w:rPr>
        <w:t>avec:</w:t>
      </w:r>
    </w:p>
    <w:p w:rsidR="005B279D" w:rsidRPr="002844B1" w:rsidRDefault="00000000" w:rsidP="0061492D">
      <w:pPr>
        <w:pStyle w:val="Compact"/>
        <w:numPr>
          <w:ilvl w:val="0"/>
          <w:numId w:val="27"/>
        </w:numPr>
        <w:jc w:val="both"/>
        <w:rPr>
          <w:sz w:val="21"/>
          <w:szCs w:val="21"/>
        </w:rPr>
      </w:pPr>
      <m:oMath>
        <m:r>
          <w:rPr>
            <w:rFonts w:ascii="Cambria Math" w:hAnsi="Cambria Math"/>
            <w:sz w:val="21"/>
            <w:szCs w:val="21"/>
          </w:rPr>
          <m:t>PFPA</m:t>
        </m:r>
      </m:oMath>
      <w:r w:rsidRPr="002844B1">
        <w:rPr>
          <w:sz w:val="21"/>
          <w:szCs w:val="21"/>
        </w:rPr>
        <w:t xml:space="preserve"> :Le montant des primes futures probabilisé et actualisé à la date d’inventaire, net des frais d’acquisition, afférentes aux contrats à tacite reconduction</w:t>
      </w:r>
    </w:p>
    <w:p w:rsidR="005B279D" w:rsidRPr="002844B1" w:rsidRDefault="00000000" w:rsidP="0061492D">
      <w:pPr>
        <w:pStyle w:val="Compact"/>
        <w:numPr>
          <w:ilvl w:val="0"/>
          <w:numId w:val="27"/>
        </w:numPr>
        <w:jc w:val="both"/>
        <w:rPr>
          <w:sz w:val="21"/>
          <w:szCs w:val="21"/>
        </w:rPr>
      </w:pPr>
      <m:oMath>
        <m:r>
          <w:rPr>
            <w:rFonts w:ascii="Cambria Math" w:hAnsi="Cambria Math"/>
            <w:sz w:val="21"/>
            <w:szCs w:val="21"/>
          </w:rPr>
          <w:lastRenderedPageBreak/>
          <m:t>PFP</m:t>
        </m:r>
      </m:oMath>
      <w:r w:rsidRPr="002844B1">
        <w:rPr>
          <w:sz w:val="21"/>
          <w:szCs w:val="21"/>
        </w:rPr>
        <w:t>: Le montant des primes futures probabilisé.</w:t>
      </w:r>
    </w:p>
    <w:p w:rsidR="005B279D" w:rsidRPr="002844B1" w:rsidRDefault="00000000" w:rsidP="0061492D">
      <w:pPr>
        <w:pStyle w:val="Compact"/>
        <w:numPr>
          <w:ilvl w:val="0"/>
          <w:numId w:val="27"/>
        </w:numPr>
        <w:jc w:val="both"/>
        <w:rPr>
          <w:sz w:val="21"/>
          <w:szCs w:val="21"/>
        </w:rPr>
      </w:pPr>
      <m:oMath>
        <m:bar>
          <m:barPr>
            <m:pos m:val="top"/>
            <m:ctrlPr>
              <w:rPr>
                <w:rFonts w:ascii="Cambria Math" w:hAnsi="Cambria Math"/>
                <w:sz w:val="21"/>
                <w:szCs w:val="21"/>
              </w:rPr>
            </m:ctrlPr>
          </m:barPr>
          <m:e>
            <m:r>
              <w:rPr>
                <w:rFonts w:ascii="Cambria Math" w:hAnsi="Cambria Math"/>
                <w:sz w:val="21"/>
                <w:szCs w:val="21"/>
              </w:rPr>
              <m:t>FRF</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t</m:t>
                </m:r>
              </m:sub>
            </m:sSub>
          </m:e>
        </m:bar>
      </m:oMath>
      <w:r w:rsidRPr="002844B1">
        <w:rPr>
          <w:sz w:val="21"/>
          <w:szCs w:val="21"/>
        </w:rPr>
        <w:t>: La somme actualisée des flux de règlements futurs probabilisés nets de recours relatifs aux sinistres non encore survenus,telle que pour une année de projection donnée:</w:t>
      </w:r>
    </w:p>
    <w:p w:rsidR="005B279D" w:rsidRPr="002844B1" w:rsidRDefault="00000000" w:rsidP="0061492D">
      <w:pPr>
        <w:pStyle w:val="FirstParagraph"/>
        <w:jc w:val="both"/>
        <w:rPr>
          <w:sz w:val="21"/>
          <w:szCs w:val="21"/>
        </w:rPr>
      </w:pPr>
      <m:oMathPara>
        <m:oMathParaPr>
          <m:jc m:val="center"/>
        </m:oMathParaPr>
        <m:oMath>
          <m:bar>
            <m:barPr>
              <m:pos m:val="top"/>
              <m:ctrlPr>
                <w:rPr>
                  <w:rFonts w:ascii="Cambria Math" w:hAnsi="Cambria Math"/>
                  <w:sz w:val="21"/>
                  <w:szCs w:val="21"/>
                </w:rPr>
              </m:ctrlPr>
            </m:barPr>
            <m:e>
              <m:r>
                <w:rPr>
                  <w:rFonts w:ascii="Cambria Math" w:hAnsi="Cambria Math"/>
                  <w:sz w:val="21"/>
                  <w:szCs w:val="21"/>
                </w:rPr>
                <m:t>FRF</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t</m:t>
                  </m:r>
                </m:sub>
              </m:sSub>
            </m:e>
          </m:bar>
          <m:r>
            <w:rPr>
              <w:rFonts w:ascii="Cambria Math" w:hAnsi="Cambria Math"/>
              <w:sz w:val="21"/>
              <w:szCs w:val="21"/>
            </w:rPr>
            <m:t>=TL*</m:t>
          </m:r>
          <m:bar>
            <m:barPr>
              <m:pos m:val="top"/>
              <m:ctrlPr>
                <w:rPr>
                  <w:rFonts w:ascii="Cambria Math" w:hAnsi="Cambria Math"/>
                  <w:sz w:val="21"/>
                  <w:szCs w:val="21"/>
                </w:rPr>
              </m:ctrlPr>
            </m:barPr>
            <m:e>
              <m:r>
                <w:rPr>
                  <w:rFonts w:ascii="Cambria Math" w:hAnsi="Cambria Math"/>
                  <w:sz w:val="21"/>
                  <w:szCs w:val="21"/>
                </w:rPr>
                <m:t>RS</m:t>
              </m:r>
            </m:e>
          </m:bar>
          <m:r>
            <w:rPr>
              <w:rFonts w:ascii="Cambria Math" w:hAnsi="Cambria Math"/>
              <w:sz w:val="21"/>
              <w:szCs w:val="21"/>
            </w:rPr>
            <m:t>*</m:t>
          </m:r>
          <m:d>
            <m:dPr>
              <m:ctrlPr>
                <w:rPr>
                  <w:rFonts w:ascii="Cambria Math" w:hAnsi="Cambria Math"/>
                  <w:sz w:val="21"/>
                  <w:szCs w:val="21"/>
                </w:rPr>
              </m:ctrlPr>
            </m:dPr>
            <m:e>
              <m:r>
                <w:rPr>
                  <w:rFonts w:ascii="Cambria Math" w:hAnsi="Cambria Math"/>
                  <w:sz w:val="21"/>
                  <w:szCs w:val="21"/>
                </w:rPr>
                <m:t>PPNA+PFP</m:t>
              </m:r>
            </m:e>
          </m:d>
          <m:r>
            <w:rPr>
              <w:rFonts w:ascii="Cambria Math" w:hAnsi="Cambria Math"/>
              <w:sz w:val="21"/>
              <w:szCs w:val="21"/>
            </w:rPr>
            <m:t>,  </m:t>
          </m:r>
          <m:d>
            <m:dPr>
              <m:ctrlPr>
                <w:rPr>
                  <w:rFonts w:ascii="Cambria Math" w:hAnsi="Cambria Math"/>
                  <w:sz w:val="21"/>
                  <w:szCs w:val="21"/>
                </w:rPr>
              </m:ctrlPr>
            </m:dPr>
            <m:e>
              <m:r>
                <w:rPr>
                  <w:rFonts w:ascii="Cambria Math" w:hAnsi="Cambria Math"/>
                  <w:sz w:val="21"/>
                  <w:szCs w:val="21"/>
                </w:rPr>
                <m:t>22</m:t>
              </m:r>
            </m:e>
          </m:d>
        </m:oMath>
      </m:oMathPara>
    </w:p>
    <w:p w:rsidR="005B279D" w:rsidRPr="002844B1" w:rsidRDefault="00000000" w:rsidP="0061492D">
      <w:pPr>
        <w:pStyle w:val="FirstParagraph"/>
        <w:jc w:val="both"/>
        <w:rPr>
          <w:sz w:val="21"/>
          <w:szCs w:val="21"/>
        </w:rPr>
      </w:pPr>
      <w:r w:rsidRPr="002844B1">
        <w:rPr>
          <w:sz w:val="21"/>
          <w:szCs w:val="21"/>
        </w:rPr>
        <w:t>où:</w:t>
      </w:r>
    </w:p>
    <w:p w:rsidR="005B279D" w:rsidRPr="002844B1" w:rsidRDefault="00000000" w:rsidP="0061492D">
      <w:pPr>
        <w:pStyle w:val="Compact"/>
        <w:numPr>
          <w:ilvl w:val="0"/>
          <w:numId w:val="28"/>
        </w:numPr>
        <w:jc w:val="both"/>
        <w:rPr>
          <w:sz w:val="21"/>
          <w:szCs w:val="21"/>
        </w:rPr>
      </w:pPr>
      <m:oMath>
        <m:r>
          <w:rPr>
            <w:rFonts w:ascii="Cambria Math" w:hAnsi="Cambria Math"/>
            <w:sz w:val="21"/>
            <w:szCs w:val="21"/>
          </w:rPr>
          <m:t>TL</m:t>
        </m:r>
      </m:oMath>
      <w:r w:rsidRPr="002844B1">
        <w:rPr>
          <w:sz w:val="21"/>
          <w:szCs w:val="21"/>
        </w:rPr>
        <w:t>: le taux de liquidation, il est estimé en fonction de la cadence de liquidation des engagements pour sinistres survenus.</w:t>
      </w:r>
    </w:p>
    <w:p w:rsidR="005B279D" w:rsidRPr="002844B1" w:rsidRDefault="00000000" w:rsidP="0061492D">
      <w:pPr>
        <w:pStyle w:val="Compact"/>
        <w:numPr>
          <w:ilvl w:val="0"/>
          <w:numId w:val="28"/>
        </w:numPr>
        <w:jc w:val="both"/>
        <w:rPr>
          <w:sz w:val="21"/>
          <w:szCs w:val="21"/>
        </w:rPr>
      </w:pPr>
      <m:oMath>
        <m:bar>
          <m:barPr>
            <m:pos m:val="top"/>
            <m:ctrlPr>
              <w:rPr>
                <w:rFonts w:ascii="Cambria Math" w:hAnsi="Cambria Math"/>
                <w:sz w:val="21"/>
                <w:szCs w:val="21"/>
              </w:rPr>
            </m:ctrlPr>
          </m:barPr>
          <m:e>
            <m:r>
              <w:rPr>
                <w:rFonts w:ascii="Cambria Math" w:hAnsi="Cambria Math"/>
                <w:sz w:val="21"/>
                <w:szCs w:val="21"/>
              </w:rPr>
              <m:t>RS</m:t>
            </m:r>
          </m:e>
        </m:bar>
      </m:oMath>
      <w:r w:rsidRPr="002844B1">
        <w:rPr>
          <w:sz w:val="21"/>
          <w:szCs w:val="21"/>
        </w:rPr>
        <w:t>: le ratio de sinistralité moyen telle que:</w:t>
      </w:r>
    </w:p>
    <w:p w:rsidR="005B279D" w:rsidRPr="002844B1" w:rsidRDefault="00000000">
      <w:pPr>
        <w:pStyle w:val="Compact"/>
      </w:pPr>
      <m:oMathPara>
        <m:oMathParaPr>
          <m:jc m:val="center"/>
        </m:oMathParaPr>
        <m:oMath>
          <m:sSub>
            <m:sSubPr>
              <m:ctrlPr>
                <w:rPr>
                  <w:rFonts w:ascii="Cambria Math" w:hAnsi="Cambria Math"/>
                </w:rPr>
              </m:ctrlPr>
            </m:sSubPr>
            <m:e>
              <m:bar>
                <m:barPr>
                  <m:pos m:val="top"/>
                  <m:ctrlPr>
                    <w:rPr>
                      <w:rFonts w:ascii="Cambria Math" w:hAnsi="Cambria Math"/>
                    </w:rPr>
                  </m:ctrlPr>
                </m:barPr>
                <m:e>
                  <m:r>
                    <w:rPr>
                      <w:rFonts w:ascii="Cambria Math" w:hAnsi="Cambria Math"/>
                    </w:rPr>
                    <m:t>RS</m:t>
                  </m:r>
                </m:e>
              </m:bar>
            </m:e>
            <m:sub>
              <m:r>
                <w:rPr>
                  <w:rFonts w:ascii="Cambria Math" w:hAnsi="Cambria Math"/>
                </w:rPr>
                <m:t>t</m:t>
              </m:r>
            </m:sub>
          </m:sSub>
          <m:r>
            <w:rPr>
              <w:rFonts w:ascii="Cambria Math" w:hAnsi="Cambria Math"/>
            </w:rPr>
            <m:t>=</m:t>
          </m:r>
          <m:f>
            <m:fPr>
              <m:ctrlPr>
                <w:rPr>
                  <w:rFonts w:ascii="Cambria Math" w:hAnsi="Cambria Math"/>
                </w:rPr>
              </m:ctrlPr>
            </m:fPr>
            <m:num>
              <m:r>
                <w:rPr>
                  <w:rFonts w:ascii="Cambria Math" w:hAnsi="Cambria Math"/>
                </w:rPr>
                <m:t>C</m:t>
              </m:r>
              <m:sSub>
                <m:sSubPr>
                  <m:ctrlPr>
                    <w:rPr>
                      <w:rFonts w:ascii="Cambria Math" w:hAnsi="Cambria Math"/>
                    </w:rPr>
                  </m:ctrlPr>
                </m:sSubPr>
                <m:e>
                  <m:r>
                    <w:rPr>
                      <w:rFonts w:ascii="Cambria Math" w:hAnsi="Cambria Math"/>
                    </w:rPr>
                    <m:t>U</m:t>
                  </m:r>
                </m:e>
                <m:sub>
                  <m:r>
                    <w:rPr>
                      <w:rFonts w:ascii="Cambria Math" w:hAnsi="Cambria Math"/>
                    </w:rPr>
                    <m:t>t</m:t>
                  </m:r>
                </m:sub>
              </m:sSub>
              <m:r>
                <w:rPr>
                  <w:rFonts w:ascii="Cambria Math" w:hAnsi="Cambria Math"/>
                </w:rPr>
                <m:t>+C</m:t>
              </m:r>
              <m:sSub>
                <m:sSubPr>
                  <m:ctrlPr>
                    <w:rPr>
                      <w:rFonts w:ascii="Cambria Math" w:hAnsi="Cambria Math"/>
                    </w:rPr>
                  </m:ctrlPr>
                </m:sSubPr>
                <m:e>
                  <m:r>
                    <w:rPr>
                      <w:rFonts w:ascii="Cambria Math" w:hAnsi="Cambria Math"/>
                    </w:rPr>
                    <m:t>U</m:t>
                  </m:r>
                </m:e>
                <m:sub>
                  <m:r>
                    <w:rPr>
                      <w:rFonts w:ascii="Cambria Math" w:hAnsi="Cambria Math"/>
                    </w:rPr>
                    <m:t>t-1</m:t>
                  </m:r>
                </m:sub>
              </m:sSub>
              <m:r>
                <w:rPr>
                  <w:rFonts w:ascii="Cambria Math" w:hAnsi="Cambria Math"/>
                </w:rPr>
                <m:t>+C</m:t>
              </m:r>
              <m:sSub>
                <m:sSubPr>
                  <m:ctrlPr>
                    <w:rPr>
                      <w:rFonts w:ascii="Cambria Math" w:hAnsi="Cambria Math"/>
                    </w:rPr>
                  </m:ctrlPr>
                </m:sSubPr>
                <m:e>
                  <m:r>
                    <w:rPr>
                      <w:rFonts w:ascii="Cambria Math" w:hAnsi="Cambria Math"/>
                    </w:rPr>
                    <m:t>U</m:t>
                  </m:r>
                </m:e>
                <m:sub>
                  <m:r>
                    <w:rPr>
                      <w:rFonts w:ascii="Cambria Math" w:hAnsi="Cambria Math"/>
                    </w:rPr>
                    <m:t>t-2</m:t>
                  </m:r>
                </m:sub>
              </m:sSub>
            </m:num>
            <m:den>
              <m:r>
                <w:rPr>
                  <w:rFonts w:ascii="Cambria Math" w:hAnsi="Cambria Math"/>
                </w:rPr>
                <m:t>P</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+P</m:t>
              </m:r>
              <m:sSub>
                <m:sSubPr>
                  <m:ctrlPr>
                    <w:rPr>
                      <w:rFonts w:ascii="Cambria Math" w:hAnsi="Cambria Math"/>
                    </w:rPr>
                  </m:ctrlPr>
                </m:sSubPr>
                <m:e>
                  <m:r>
                    <w:rPr>
                      <w:rFonts w:ascii="Cambria Math" w:hAnsi="Cambria Math"/>
                    </w:rPr>
                    <m:t>A</m:t>
                  </m:r>
                </m:e>
                <m:sub>
                  <m:r>
                    <w:rPr>
                      <w:rFonts w:ascii="Cambria Math" w:hAnsi="Cambria Math"/>
                    </w:rPr>
                    <m:t>t-1</m:t>
                  </m:r>
                </m:sub>
              </m:sSub>
              <m:r>
                <w:rPr>
                  <w:rFonts w:ascii="Cambria Math" w:hAnsi="Cambria Math"/>
                </w:rPr>
                <m:t>+P</m:t>
              </m:r>
              <m:sSub>
                <m:sSubPr>
                  <m:ctrlPr>
                    <w:rPr>
                      <w:rFonts w:ascii="Cambria Math" w:hAnsi="Cambria Math"/>
                    </w:rPr>
                  </m:ctrlPr>
                </m:sSubPr>
                <m:e>
                  <m:r>
                    <w:rPr>
                      <w:rFonts w:ascii="Cambria Math" w:hAnsi="Cambria Math"/>
                    </w:rPr>
                    <m:t>A</m:t>
                  </m:r>
                </m:e>
                <m:sub>
                  <m:r>
                    <w:rPr>
                      <w:rFonts w:ascii="Cambria Math" w:hAnsi="Cambria Math"/>
                    </w:rPr>
                    <m:t>t-2</m:t>
                  </m:r>
                </m:sub>
              </m:sSub>
            </m:den>
          </m:f>
          <m:r>
            <w:rPr>
              <w:rFonts w:ascii="Cambria Math" w:hAnsi="Cambria Math"/>
            </w:rPr>
            <m:t>,  </m:t>
          </m:r>
          <m:d>
            <m:dPr>
              <m:ctrlPr>
                <w:rPr>
                  <w:rFonts w:ascii="Cambria Math" w:hAnsi="Cambria Math"/>
                </w:rPr>
              </m:ctrlPr>
            </m:dPr>
            <m:e>
              <m:r>
                <w:rPr>
                  <w:rFonts w:ascii="Cambria Math" w:hAnsi="Cambria Math"/>
                </w:rPr>
                <m:t>23</m:t>
              </m:r>
            </m:e>
          </m:d>
        </m:oMath>
      </m:oMathPara>
    </w:p>
    <w:p w:rsidR="005B279D" w:rsidRPr="002844B1" w:rsidRDefault="00000000" w:rsidP="0061492D">
      <w:pPr>
        <w:pStyle w:val="FirstParagraph"/>
        <w:jc w:val="both"/>
        <w:rPr>
          <w:sz w:val="21"/>
          <w:szCs w:val="21"/>
        </w:rPr>
      </w:pPr>
      <w:r w:rsidRPr="002844B1">
        <w:rPr>
          <w:sz w:val="21"/>
          <w:szCs w:val="21"/>
        </w:rPr>
        <w:t>avec :</w:t>
      </w:r>
    </w:p>
    <w:p w:rsidR="005B279D" w:rsidRPr="002844B1" w:rsidRDefault="00000000" w:rsidP="0061492D">
      <w:pPr>
        <w:pStyle w:val="Compact"/>
        <w:numPr>
          <w:ilvl w:val="0"/>
          <w:numId w:val="29"/>
        </w:numPr>
        <w:jc w:val="both"/>
        <w:rPr>
          <w:sz w:val="21"/>
          <w:szCs w:val="21"/>
        </w:rPr>
      </w:pPr>
      <m:oMath>
        <m:r>
          <w:rPr>
            <w:rFonts w:ascii="Cambria Math" w:hAnsi="Cambria Math"/>
            <w:sz w:val="21"/>
            <w:szCs w:val="21"/>
          </w:rPr>
          <m:t>CU</m:t>
        </m:r>
      </m:oMath>
      <w:r w:rsidRPr="002844B1">
        <w:rPr>
          <w:sz w:val="21"/>
          <w:szCs w:val="21"/>
        </w:rPr>
        <w:t>: La charge ultime visée correspond, par exercice de survenance, à la somme des règlements cumulés et des règlements futurs au titre de l’année de survenance considérée.</w:t>
      </w:r>
    </w:p>
    <w:p w:rsidR="005B279D" w:rsidRPr="002844B1" w:rsidRDefault="00000000" w:rsidP="0061492D">
      <w:pPr>
        <w:pStyle w:val="Compact"/>
        <w:numPr>
          <w:ilvl w:val="0"/>
          <w:numId w:val="29"/>
        </w:numPr>
        <w:jc w:val="both"/>
        <w:rPr>
          <w:sz w:val="21"/>
          <w:szCs w:val="21"/>
        </w:rPr>
      </w:pPr>
      <m:oMath>
        <m:r>
          <w:rPr>
            <w:rFonts w:ascii="Cambria Math" w:hAnsi="Cambria Math"/>
            <w:sz w:val="21"/>
            <w:szCs w:val="21"/>
          </w:rPr>
          <m:t>PA</m:t>
        </m:r>
      </m:oMath>
      <w:r w:rsidRPr="002844B1">
        <w:rPr>
          <w:sz w:val="21"/>
          <w:szCs w:val="21"/>
        </w:rPr>
        <w:t xml:space="preserve"> les primes acquises.</w:t>
      </w:r>
    </w:p>
    <w:p w:rsidR="005B279D" w:rsidRPr="002844B1" w:rsidRDefault="00000000" w:rsidP="0061492D">
      <w:pPr>
        <w:pStyle w:val="FirstParagraph"/>
        <w:jc w:val="both"/>
        <w:rPr>
          <w:sz w:val="21"/>
          <w:szCs w:val="21"/>
        </w:rPr>
      </w:pPr>
      <w:r w:rsidRPr="002844B1">
        <w:rPr>
          <w:sz w:val="21"/>
          <w:szCs w:val="21"/>
        </w:rPr>
        <w:t>Tell que :</w:t>
      </w:r>
    </w:p>
    <w:p w:rsidR="005B279D" w:rsidRPr="002844B1" w:rsidRDefault="00000000">
      <w:pPr>
        <w:pStyle w:val="BodyText"/>
      </w:pPr>
      <m:oMathPara>
        <m:oMathParaPr>
          <m:jc m:val="center"/>
        </m:oMathParaPr>
        <m:oMath>
          <m:r>
            <w:rPr>
              <w:rFonts w:ascii="Cambria Math" w:hAnsi="Cambria Math"/>
            </w:rPr>
            <m:t>C</m:t>
          </m:r>
          <m:sSub>
            <m:sSubPr>
              <m:ctrlPr>
                <w:rPr>
                  <w:rFonts w:ascii="Cambria Math" w:hAnsi="Cambria Math"/>
                </w:rPr>
              </m:ctrlPr>
            </m:sSubPr>
            <m:e>
              <m:r>
                <w:rPr>
                  <w:rFonts w:ascii="Cambria Math" w:hAnsi="Cambria Math"/>
                </w:rPr>
                <m:t>U</m:t>
              </m:r>
            </m:e>
            <m:sub>
              <m:r>
                <w:rPr>
                  <w:rFonts w:ascii="Cambria Math" w:hAnsi="Cambria Math"/>
                </w:rPr>
                <m:t>t</m:t>
              </m:r>
            </m:sub>
          </m:sSub>
          <m:r>
            <w:rPr>
              <w:rFonts w:ascii="Cambria Math" w:hAnsi="Cambria Math"/>
            </w:rPr>
            <m:t>=Règ</m:t>
          </m:r>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+Règ</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 ,  </m:t>
          </m:r>
          <m:d>
            <m:dPr>
              <m:ctrlPr>
                <w:rPr>
                  <w:rFonts w:ascii="Cambria Math" w:hAnsi="Cambria Math"/>
                </w:rPr>
              </m:ctrlPr>
            </m:dPr>
            <m:e>
              <m:r>
                <w:rPr>
                  <w:rFonts w:ascii="Cambria Math" w:hAnsi="Cambria Math"/>
                </w:rPr>
                <m:t>24</m:t>
              </m:r>
            </m:e>
          </m:d>
        </m:oMath>
      </m:oMathPara>
    </w:p>
    <w:p w:rsidR="005B279D" w:rsidRPr="002844B1" w:rsidRDefault="00000000" w:rsidP="0061492D">
      <w:pPr>
        <w:pStyle w:val="FirstParagraph"/>
        <w:jc w:val="both"/>
        <w:rPr>
          <w:sz w:val="21"/>
          <w:szCs w:val="21"/>
        </w:rPr>
      </w:pPr>
      <w:r w:rsidRPr="002844B1">
        <w:rPr>
          <w:sz w:val="21"/>
          <w:szCs w:val="21"/>
        </w:rPr>
        <w:t>avec :</w:t>
      </w:r>
    </w:p>
    <w:p w:rsidR="005B279D" w:rsidRPr="002844B1" w:rsidRDefault="00000000" w:rsidP="0061492D">
      <w:pPr>
        <w:pStyle w:val="Compact"/>
        <w:numPr>
          <w:ilvl w:val="0"/>
          <w:numId w:val="30"/>
        </w:numPr>
        <w:jc w:val="both"/>
        <w:rPr>
          <w:sz w:val="21"/>
          <w:szCs w:val="21"/>
        </w:rPr>
      </w:pPr>
      <m:oMath>
        <m:r>
          <w:rPr>
            <w:rFonts w:ascii="Cambria Math" w:hAnsi="Cambria Math"/>
            <w:sz w:val="21"/>
            <w:szCs w:val="21"/>
          </w:rPr>
          <m:t>Règ</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t</m:t>
            </m:r>
          </m:sub>
        </m:sSub>
      </m:oMath>
      <w:r w:rsidRPr="002844B1">
        <w:rPr>
          <w:sz w:val="21"/>
          <w:szCs w:val="21"/>
        </w:rPr>
        <w:t xml:space="preserve"> : les règlements cumulés.</w:t>
      </w:r>
    </w:p>
    <w:p w:rsidR="005B279D" w:rsidRPr="002844B1" w:rsidRDefault="00000000" w:rsidP="0061492D">
      <w:pPr>
        <w:pStyle w:val="Compact"/>
        <w:numPr>
          <w:ilvl w:val="0"/>
          <w:numId w:val="30"/>
        </w:numPr>
        <w:jc w:val="both"/>
        <w:rPr>
          <w:sz w:val="21"/>
          <w:szCs w:val="21"/>
        </w:rPr>
      </w:pPr>
      <m:oMath>
        <m:r>
          <w:rPr>
            <w:rFonts w:ascii="Cambria Math" w:hAnsi="Cambria Math"/>
            <w:sz w:val="21"/>
            <w:szCs w:val="21"/>
          </w:rPr>
          <m:t>Règ</m:t>
        </m:r>
        <m:sSub>
          <m:sSubPr>
            <m:ctrlPr>
              <w:rPr>
                <w:rFonts w:ascii="Cambria Math" w:hAnsi="Cambria Math"/>
                <w:sz w:val="21"/>
                <w:szCs w:val="21"/>
              </w:rPr>
            </m:ctrlPr>
          </m:sSubPr>
          <m:e>
            <m:r>
              <w:rPr>
                <w:rFonts w:ascii="Cambria Math" w:hAnsi="Cambria Math"/>
                <w:sz w:val="21"/>
                <w:szCs w:val="21"/>
              </w:rPr>
              <m:t>F</m:t>
            </m:r>
          </m:e>
          <m:sub>
            <m:r>
              <w:rPr>
                <w:rFonts w:ascii="Cambria Math" w:hAnsi="Cambria Math"/>
                <w:sz w:val="21"/>
                <w:szCs w:val="21"/>
              </w:rPr>
              <m:t>t</m:t>
            </m:r>
          </m:sub>
        </m:sSub>
      </m:oMath>
      <w:r w:rsidRPr="002844B1">
        <w:rPr>
          <w:sz w:val="21"/>
          <w:szCs w:val="21"/>
        </w:rPr>
        <w:t>: les règlements futurs.</w:t>
      </w:r>
    </w:p>
    <w:p w:rsidR="005B279D" w:rsidRPr="002844B1" w:rsidRDefault="00000000" w:rsidP="0061492D">
      <w:pPr>
        <w:pStyle w:val="Compact"/>
        <w:numPr>
          <w:ilvl w:val="0"/>
          <w:numId w:val="30"/>
        </w:numPr>
        <w:jc w:val="both"/>
        <w:rPr>
          <w:sz w:val="21"/>
          <w:szCs w:val="21"/>
        </w:rPr>
      </w:pPr>
      <m:oMath>
        <m:r>
          <w:rPr>
            <w:rFonts w:ascii="Cambria Math" w:hAnsi="Cambria Math"/>
            <w:sz w:val="21"/>
            <w:szCs w:val="21"/>
          </w:rPr>
          <m:t>PPNA</m:t>
        </m:r>
      </m:oMath>
      <w:r w:rsidRPr="002844B1">
        <w:rPr>
          <w:sz w:val="21"/>
          <w:szCs w:val="21"/>
        </w:rPr>
        <w:t>: La provision pour primes non acquises.</w:t>
      </w:r>
    </w:p>
    <w:p w:rsidR="005B279D" w:rsidRPr="002844B1" w:rsidRDefault="00000000" w:rsidP="0061492D">
      <w:pPr>
        <w:pStyle w:val="Compact"/>
        <w:numPr>
          <w:ilvl w:val="0"/>
          <w:numId w:val="30"/>
        </w:numPr>
        <w:jc w:val="both"/>
        <w:rPr>
          <w:sz w:val="21"/>
          <w:szCs w:val="21"/>
        </w:rPr>
      </w:pPr>
      <m:oMath>
        <m:r>
          <w:rPr>
            <w:rFonts w:ascii="Cambria Math" w:hAnsi="Cambria Math"/>
            <w:sz w:val="21"/>
            <w:szCs w:val="21"/>
          </w:rPr>
          <m:t>PFP</m:t>
        </m:r>
      </m:oMath>
      <w:r w:rsidRPr="002844B1">
        <w:rPr>
          <w:sz w:val="21"/>
          <w:szCs w:val="21"/>
        </w:rPr>
        <w:t>: Le montant des primes futures probabilisé.</w:t>
      </w:r>
    </w:p>
    <w:p w:rsidR="005B279D" w:rsidRPr="002844B1" w:rsidRDefault="00000000">
      <w:pPr>
        <w:pStyle w:val="Heading4"/>
      </w:pPr>
      <w:bookmarkStart w:id="69" w:name="Xb466634c561e035f1de049d287c041259c7ccc5"/>
      <w:bookmarkEnd w:id="68"/>
      <w:r w:rsidRPr="002844B1">
        <w:t>La meilleure estimation des engagements pour sinistres nets (</w:t>
      </w:r>
      <m:oMath>
        <m:r>
          <m:rPr>
            <m:sty m:val="bi"/>
          </m:rPr>
          <w:rPr>
            <w:rFonts w:ascii="Cambria Math" w:hAnsi="Cambria Math"/>
          </w:rPr>
          <m:t>BES</m:t>
        </m:r>
      </m:oMath>
      <w:r w:rsidRPr="002844B1">
        <w:t>):</w:t>
      </w:r>
    </w:p>
    <w:p w:rsidR="005B279D" w:rsidRPr="002844B1" w:rsidRDefault="00000000" w:rsidP="0061492D">
      <w:pPr>
        <w:pStyle w:val="FirstParagraph"/>
        <w:jc w:val="both"/>
        <w:rPr>
          <w:sz w:val="21"/>
          <w:szCs w:val="21"/>
        </w:rPr>
      </w:pPr>
      <w:r w:rsidRPr="002844B1">
        <w:rPr>
          <w:sz w:val="21"/>
          <w:szCs w:val="21"/>
        </w:rPr>
        <w:t>La meilleure estimation des engagements pour sinistres nets de recours est déterminée en actualisant, les flux de règlements futurs probabilisés nets de recours relatifs aux sinistres survenus afférents aux contrats.</w:t>
      </w:r>
    </w:p>
    <w:p w:rsidR="005B279D" w:rsidRPr="002844B1" w:rsidRDefault="00000000">
      <w:pPr>
        <w:pStyle w:val="BodyText"/>
      </w:pPr>
      <m:oMathPara>
        <m:oMathParaPr>
          <m:jc m:val="center"/>
        </m:oMathParaPr>
        <m:oMath>
          <m:r>
            <w:rPr>
              <w:rFonts w:ascii="Cambria Math" w:hAnsi="Cambria Math"/>
            </w:rPr>
            <m:t>BES=</m:t>
          </m:r>
          <m:nary>
            <m:naryPr>
              <m:chr m:val="∑"/>
              <m:limLoc m:val="undOvr"/>
              <m:supHide m:val="1"/>
              <m:ctrlPr>
                <w:rPr>
                  <w:rFonts w:ascii="Cambria Math" w:hAnsi="Cambria Math"/>
                </w:rPr>
              </m:ctrlPr>
            </m:naryPr>
            <m:sub>
              <m:r>
                <w:rPr>
                  <w:rFonts w:ascii="Cambria Math" w:hAnsi="Cambria Math"/>
                </w:rPr>
                <m:t>t≥1</m:t>
              </m:r>
            </m:sub>
            <m:sup>
              <m:r>
                <w:rPr>
                  <w:rFonts w:ascii="Cambria Math" w:hAnsi="Cambria Math"/>
                </w:rPr>
                <m:t>​</m:t>
              </m:r>
            </m:sup>
            <m:e>
              <m:f>
                <m:fPr>
                  <m:ctrlPr>
                    <w:rPr>
                      <w:rFonts w:ascii="Cambria Math" w:hAnsi="Cambria Math"/>
                    </w:rPr>
                  </m:ctrlPr>
                </m:fPr>
                <m:num>
                  <m:r>
                    <w:rPr>
                      <w:rFonts w:ascii="Cambria Math" w:hAnsi="Cambria Math"/>
                    </w:rPr>
                    <m:t>FRF</m:t>
                  </m:r>
                  <m:sSub>
                    <m:sSubPr>
                      <m:ctrlPr>
                        <w:rPr>
                          <w:rFonts w:ascii="Cambria Math" w:hAnsi="Cambria Math"/>
                        </w:rPr>
                      </m:ctrlPr>
                    </m:sSubPr>
                    <m:e>
                      <m:r>
                        <w:rPr>
                          <w:rFonts w:ascii="Cambria Math" w:hAnsi="Cambria Math"/>
                        </w:rPr>
                        <m:t>P</m:t>
                      </m:r>
                    </m:e>
                    <m:sub>
                      <m:r>
                        <w:rPr>
                          <w:rFonts w:ascii="Cambria Math" w:hAnsi="Cambria Math"/>
                        </w:rPr>
                        <m:t>t</m:t>
                      </m:r>
                    </m:sub>
                  </m:sSub>
                </m:num>
                <m:den>
                  <m:sSup>
                    <m:sSupPr>
                      <m:ctrlPr>
                        <w:rPr>
                          <w:rFonts w:ascii="Cambria Math" w:hAnsi="Cambria Math"/>
                        </w:rPr>
                      </m:ctrlPr>
                    </m:sSup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r</m:t>
                              </m:r>
                            </m:e>
                            <m:sub>
                              <m:r>
                                <w:rPr>
                                  <w:rFonts w:ascii="Cambria Math" w:hAnsi="Cambria Math"/>
                                </w:rPr>
                                <m:t>t</m:t>
                              </m:r>
                            </m:sub>
                          </m:sSub>
                        </m:e>
                      </m:d>
                    </m:e>
                    <m:sup>
                      <m:r>
                        <w:rPr>
                          <w:rFonts w:ascii="Cambria Math" w:hAnsi="Cambria Math"/>
                        </w:rPr>
                        <m:t>t</m:t>
                      </m:r>
                    </m:sup>
                  </m:sSup>
                </m:den>
              </m:f>
            </m:e>
          </m:nary>
          <m:r>
            <w:rPr>
              <w:rFonts w:ascii="Cambria Math" w:hAnsi="Cambria Math"/>
            </w:rPr>
            <m:t> ,  </m:t>
          </m:r>
          <m:d>
            <m:dPr>
              <m:ctrlPr>
                <w:rPr>
                  <w:rFonts w:ascii="Cambria Math" w:hAnsi="Cambria Math"/>
                </w:rPr>
              </m:ctrlPr>
            </m:dPr>
            <m:e>
              <m:r>
                <w:rPr>
                  <w:rFonts w:ascii="Cambria Math" w:hAnsi="Cambria Math"/>
                </w:rPr>
                <m:t>25</m:t>
              </m:r>
            </m:e>
          </m:d>
        </m:oMath>
      </m:oMathPara>
    </w:p>
    <w:p w:rsidR="005B279D" w:rsidRPr="002844B1" w:rsidRDefault="00000000">
      <w:pPr>
        <w:pStyle w:val="FirstParagraph"/>
      </w:pPr>
      <w:r w:rsidRPr="002844B1">
        <w:t>avec:</w:t>
      </w:r>
    </w:p>
    <w:p w:rsidR="005B279D" w:rsidRPr="002844B1" w:rsidRDefault="00000000" w:rsidP="0061492D">
      <w:pPr>
        <w:pStyle w:val="Compact"/>
        <w:numPr>
          <w:ilvl w:val="0"/>
          <w:numId w:val="31"/>
        </w:numPr>
        <w:jc w:val="both"/>
        <w:rPr>
          <w:sz w:val="21"/>
          <w:szCs w:val="21"/>
        </w:rPr>
      </w:pPr>
      <m:oMath>
        <m:r>
          <w:rPr>
            <w:rFonts w:ascii="Cambria Math" w:hAnsi="Cambria Math"/>
            <w:sz w:val="21"/>
            <w:szCs w:val="21"/>
          </w:rPr>
          <m:t>FRF</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t</m:t>
            </m:r>
          </m:sub>
        </m:sSub>
      </m:oMath>
      <w:r w:rsidRPr="002844B1">
        <w:rPr>
          <w:sz w:val="21"/>
          <w:szCs w:val="21"/>
        </w:rPr>
        <w:t xml:space="preserve"> : les flux de règlements futurs probabilisés nets de recours relatifs aux sinistres survenus, sont estimés sur la base d’un triangle de règlements par année de survenance net de recours conformément à la méthode exigée </w:t>
      </w:r>
      <w:r w:rsidR="002844B1" w:rsidRPr="002844B1">
        <w:rPr>
          <w:sz w:val="21"/>
          <w:szCs w:val="21"/>
        </w:rPr>
        <w:t>par l’ACAPS</w:t>
      </w:r>
      <w:r w:rsidRPr="002844B1">
        <w:rPr>
          <w:sz w:val="21"/>
          <w:szCs w:val="21"/>
        </w:rPr>
        <w:t>.</w:t>
      </w:r>
    </w:p>
    <w:p w:rsidR="005B279D" w:rsidRPr="002844B1" w:rsidRDefault="00000000">
      <w:pPr>
        <w:pStyle w:val="Heading4"/>
      </w:pPr>
      <w:bookmarkStart w:id="70" w:name="X574a46407ada84d5774a3057497baf873ebb70b"/>
      <w:bookmarkEnd w:id="69"/>
      <w:r w:rsidRPr="002844B1">
        <w:t xml:space="preserve">Méthode de calcul des flux de </w:t>
      </w:r>
      <w:r w:rsidR="002844B1" w:rsidRPr="002844B1">
        <w:t>règlements</w:t>
      </w:r>
      <w:r w:rsidRPr="002844B1">
        <w:t xml:space="preserve"> futurs probabilisés pour les opérations non-vie hors rentes</w:t>
      </w:r>
    </w:p>
    <w:p w:rsidR="005B279D" w:rsidRPr="002844B1" w:rsidRDefault="00000000">
      <w:pPr>
        <w:pStyle w:val="Heading4"/>
      </w:pPr>
      <w:bookmarkStart w:id="71" w:name="sec-ladder"/>
      <w:bookmarkEnd w:id="70"/>
      <w:r w:rsidRPr="002844B1">
        <w:t>Méthode des cadences – Chain Ladder</w:t>
      </w:r>
    </w:p>
    <w:p w:rsidR="005B279D" w:rsidRPr="002844B1" w:rsidRDefault="00000000" w:rsidP="0061492D">
      <w:pPr>
        <w:pStyle w:val="FirstParagraph"/>
        <w:jc w:val="both"/>
        <w:rPr>
          <w:sz w:val="21"/>
          <w:szCs w:val="21"/>
        </w:rPr>
      </w:pPr>
      <w:r w:rsidRPr="002844B1">
        <w:rPr>
          <w:sz w:val="21"/>
          <w:szCs w:val="21"/>
        </w:rPr>
        <w:lastRenderedPageBreak/>
        <w:t>La méthode de Chain Ladder est celle spécifiée dans l’annexe 5 de la circulaire de l’</w:t>
      </w:r>
      <m:oMath>
        <m:r>
          <w:rPr>
            <w:rFonts w:ascii="Cambria Math" w:hAnsi="Cambria Math"/>
            <w:sz w:val="21"/>
            <w:szCs w:val="21"/>
          </w:rPr>
          <m:t>ACAPS</m:t>
        </m:r>
      </m:oMath>
      <w:r w:rsidRPr="002844B1">
        <w:rPr>
          <w:sz w:val="21"/>
          <w:szCs w:val="21"/>
        </w:rPr>
        <w:t xml:space="preserve"> sur la </w:t>
      </w:r>
      <m:oMath>
        <m:r>
          <w:rPr>
            <w:rFonts w:ascii="Cambria Math" w:hAnsi="Cambria Math"/>
            <w:sz w:val="21"/>
            <w:szCs w:val="21"/>
          </w:rPr>
          <m:t>SBR</m:t>
        </m:r>
      </m:oMath>
      <w:r w:rsidRPr="002844B1">
        <w:rPr>
          <w:sz w:val="21"/>
          <w:szCs w:val="21"/>
        </w:rPr>
        <w:t xml:space="preserve">. Les méthodes de cadences de règlement se basent sur le principe que la vitesse des règlements, en pourcentage de la charge finale de sinistres, est constante d’une année de survenance à l’autre. Ainsi les paiements réalisés permettent d’estimer les provisions pour sinistres à payer. Cette méthode est l’une des plus utilisée sur le marché. Elle tient cette célébrité de sa simplicité de calcul ainsi que de son ancienneté. Cette méthode est généralement utilisée pour les paiements cumulés, notés </w:t>
      </w:r>
      <m:oMath>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i,j</m:t>
            </m:r>
          </m:sub>
        </m:sSub>
      </m:oMath>
      <w:r w:rsidRPr="002844B1">
        <w:rPr>
          <w:sz w:val="21"/>
          <w:szCs w:val="21"/>
        </w:rPr>
        <w:t xml:space="preserve">, où </w:t>
      </w:r>
      <m:oMath>
        <m:r>
          <w:rPr>
            <w:rFonts w:ascii="Cambria Math" w:hAnsi="Cambria Math"/>
            <w:sz w:val="21"/>
            <w:szCs w:val="21"/>
          </w:rPr>
          <m:t>i</m:t>
        </m:r>
      </m:oMath>
      <w:r w:rsidRPr="002844B1">
        <w:rPr>
          <w:sz w:val="21"/>
          <w:szCs w:val="21"/>
        </w:rPr>
        <w:t xml:space="preserve"> représente l’exercice de survenance et </w:t>
      </w:r>
      <m:oMath>
        <m:r>
          <w:rPr>
            <w:rFonts w:ascii="Cambria Math" w:hAnsi="Cambria Math"/>
            <w:sz w:val="21"/>
            <w:szCs w:val="21"/>
          </w:rPr>
          <m:t>j</m:t>
        </m:r>
      </m:oMath>
      <w:r w:rsidRPr="002844B1">
        <w:rPr>
          <w:sz w:val="21"/>
          <w:szCs w:val="21"/>
        </w:rPr>
        <w:t xml:space="preserve"> représente la période de développement.</w:t>
      </w:r>
    </w:p>
    <w:tbl>
      <w:tblPr>
        <w:tblStyle w:val="TableGrid"/>
        <w:tblW w:w="5000" w:type="pct"/>
        <w:tblLook w:val="0020" w:firstRow="1" w:lastRow="0" w:firstColumn="0" w:lastColumn="0" w:noHBand="0" w:noVBand="0"/>
      </w:tblPr>
      <w:tblGrid>
        <w:gridCol w:w="3078"/>
        <w:gridCol w:w="1385"/>
        <w:gridCol w:w="1629"/>
        <w:gridCol w:w="1629"/>
        <w:gridCol w:w="1629"/>
      </w:tblGrid>
      <w:tr w:rsidR="005B279D" w:rsidRPr="002844B1" w:rsidTr="0061492D">
        <w:tc>
          <w:tcPr>
            <w:tcW w:w="0" w:type="auto"/>
          </w:tcPr>
          <w:p w:rsidR="005B279D" w:rsidRPr="002844B1" w:rsidRDefault="00000000">
            <w:pPr>
              <w:pStyle w:val="Compact"/>
              <w:jc w:val="center"/>
            </w:pPr>
            <w:r w:rsidRPr="002844B1">
              <w:t>Exercice de survenance</w:t>
            </w:r>
          </w:p>
        </w:tc>
        <w:tc>
          <w:tcPr>
            <w:tcW w:w="0" w:type="auto"/>
            <w:shd w:val="clear" w:color="auto" w:fill="85B2F6" w:themeFill="background2" w:themeFillShade="E6"/>
          </w:tcPr>
          <w:p w:rsidR="005B279D" w:rsidRPr="002844B1" w:rsidRDefault="00000000">
            <w:pPr>
              <w:pStyle w:val="Compact"/>
              <w:jc w:val="center"/>
            </w:pPr>
            <w:r w:rsidRPr="002844B1">
              <w:t>1er bilan</w:t>
            </w:r>
          </w:p>
        </w:tc>
        <w:tc>
          <w:tcPr>
            <w:tcW w:w="0" w:type="auto"/>
            <w:shd w:val="clear" w:color="auto" w:fill="85B2F6" w:themeFill="background2" w:themeFillShade="E6"/>
          </w:tcPr>
          <w:p w:rsidR="005B279D" w:rsidRPr="002844B1" w:rsidRDefault="00000000">
            <w:pPr>
              <w:pStyle w:val="Compact"/>
              <w:jc w:val="center"/>
            </w:pPr>
            <w:r w:rsidRPr="002844B1">
              <w:t>2ème bilan</w:t>
            </w:r>
          </w:p>
        </w:tc>
        <w:tc>
          <w:tcPr>
            <w:tcW w:w="0" w:type="auto"/>
            <w:shd w:val="clear" w:color="auto" w:fill="85B2F6" w:themeFill="background2" w:themeFillShade="E6"/>
          </w:tcPr>
          <w:p w:rsidR="005B279D" w:rsidRPr="002844B1" w:rsidRDefault="00000000">
            <w:pPr>
              <w:pStyle w:val="Compact"/>
              <w:jc w:val="center"/>
            </w:pPr>
            <w:r w:rsidRPr="002844B1">
              <w:t>3ème bilan</w:t>
            </w:r>
          </w:p>
        </w:tc>
        <w:tc>
          <w:tcPr>
            <w:tcW w:w="0" w:type="auto"/>
            <w:shd w:val="clear" w:color="auto" w:fill="85B2F6" w:themeFill="background2" w:themeFillShade="E6"/>
          </w:tcPr>
          <w:p w:rsidR="005B279D" w:rsidRPr="002844B1" w:rsidRDefault="00000000">
            <w:pPr>
              <w:pStyle w:val="Compact"/>
              <w:jc w:val="center"/>
            </w:pPr>
            <w:r w:rsidRPr="002844B1">
              <w:t>4ème bilan</w:t>
            </w:r>
          </w:p>
        </w:tc>
      </w:tr>
      <w:tr w:rsidR="005B279D" w:rsidRPr="002844B1" w:rsidTr="0061492D">
        <w:tc>
          <w:tcPr>
            <w:tcW w:w="0" w:type="auto"/>
            <w:shd w:val="clear" w:color="auto" w:fill="85B2F6" w:themeFill="background2" w:themeFillShade="E6"/>
          </w:tcPr>
          <w:p w:rsidR="005B279D" w:rsidRPr="002844B1" w:rsidRDefault="00000000">
            <w:pPr>
              <w:pStyle w:val="Compact"/>
              <w:jc w:val="center"/>
            </w:pPr>
            <w:r w:rsidRPr="002844B1">
              <w:t>1</w:t>
            </w:r>
          </w:p>
        </w:tc>
        <w:tc>
          <w:tcPr>
            <w:tcW w:w="0" w:type="auto"/>
          </w:tcPr>
          <w:p w:rsidR="005B279D" w:rsidRPr="002844B1" w:rsidRDefault="00000000">
            <w:pPr>
              <w:pStyle w:val="Compact"/>
              <w:jc w:val="center"/>
            </w:pPr>
            <m:oMathPara>
              <m:oMath>
                <m:sSub>
                  <m:sSubPr>
                    <m:ctrlPr>
                      <w:rPr>
                        <w:rFonts w:ascii="Cambria Math" w:hAnsi="Cambria Math"/>
                      </w:rPr>
                    </m:ctrlPr>
                  </m:sSubPr>
                  <m:e>
                    <m:r>
                      <w:rPr>
                        <w:rFonts w:ascii="Cambria Math" w:hAnsi="Cambria Math"/>
                      </w:rPr>
                      <m:t>C</m:t>
                    </m:r>
                  </m:e>
                  <m:sub>
                    <m:r>
                      <w:rPr>
                        <w:rFonts w:ascii="Cambria Math" w:hAnsi="Cambria Math"/>
                      </w:rPr>
                      <m:t>1,1</m:t>
                    </m:r>
                  </m:sub>
                </m:sSub>
              </m:oMath>
            </m:oMathPara>
          </w:p>
        </w:tc>
        <w:tc>
          <w:tcPr>
            <w:tcW w:w="0" w:type="auto"/>
          </w:tcPr>
          <w:p w:rsidR="005B279D" w:rsidRPr="002844B1" w:rsidRDefault="00000000">
            <w:pPr>
              <w:pStyle w:val="Compact"/>
              <w:jc w:val="center"/>
            </w:pPr>
            <m:oMathPara>
              <m:oMath>
                <m:sSub>
                  <m:sSubPr>
                    <m:ctrlPr>
                      <w:rPr>
                        <w:rFonts w:ascii="Cambria Math" w:hAnsi="Cambria Math"/>
                      </w:rPr>
                    </m:ctrlPr>
                  </m:sSubPr>
                  <m:e>
                    <m:r>
                      <w:rPr>
                        <w:rFonts w:ascii="Cambria Math" w:hAnsi="Cambria Math"/>
                      </w:rPr>
                      <m:t>C</m:t>
                    </m:r>
                  </m:e>
                  <m:sub>
                    <m:r>
                      <w:rPr>
                        <w:rFonts w:ascii="Cambria Math" w:hAnsi="Cambria Math"/>
                      </w:rPr>
                      <m:t>1,2</m:t>
                    </m:r>
                  </m:sub>
                </m:sSub>
              </m:oMath>
            </m:oMathPara>
          </w:p>
        </w:tc>
        <w:tc>
          <w:tcPr>
            <w:tcW w:w="0" w:type="auto"/>
          </w:tcPr>
          <w:p w:rsidR="005B279D" w:rsidRPr="002844B1" w:rsidRDefault="00000000">
            <w:pPr>
              <w:pStyle w:val="Compact"/>
              <w:jc w:val="center"/>
            </w:pPr>
            <m:oMathPara>
              <m:oMath>
                <m:sSub>
                  <m:sSubPr>
                    <m:ctrlPr>
                      <w:rPr>
                        <w:rFonts w:ascii="Cambria Math" w:hAnsi="Cambria Math"/>
                      </w:rPr>
                    </m:ctrlPr>
                  </m:sSubPr>
                  <m:e>
                    <m:r>
                      <w:rPr>
                        <w:rFonts w:ascii="Cambria Math" w:hAnsi="Cambria Math"/>
                      </w:rPr>
                      <m:t>C</m:t>
                    </m:r>
                  </m:e>
                  <m:sub>
                    <m:r>
                      <w:rPr>
                        <w:rFonts w:ascii="Cambria Math" w:hAnsi="Cambria Math"/>
                      </w:rPr>
                      <m:t>1,3</m:t>
                    </m:r>
                  </m:sub>
                </m:sSub>
              </m:oMath>
            </m:oMathPara>
          </w:p>
        </w:tc>
        <w:tc>
          <w:tcPr>
            <w:tcW w:w="0" w:type="auto"/>
          </w:tcPr>
          <w:p w:rsidR="005B279D" w:rsidRPr="002844B1" w:rsidRDefault="00000000">
            <w:pPr>
              <w:pStyle w:val="Compact"/>
              <w:jc w:val="center"/>
            </w:pPr>
            <m:oMathPara>
              <m:oMath>
                <m:sSub>
                  <m:sSubPr>
                    <m:ctrlPr>
                      <w:rPr>
                        <w:rFonts w:ascii="Cambria Math" w:hAnsi="Cambria Math"/>
                      </w:rPr>
                    </m:ctrlPr>
                  </m:sSubPr>
                  <m:e>
                    <m:r>
                      <w:rPr>
                        <w:rFonts w:ascii="Cambria Math" w:hAnsi="Cambria Math"/>
                      </w:rPr>
                      <m:t>C</m:t>
                    </m:r>
                  </m:e>
                  <m:sub>
                    <m:r>
                      <w:rPr>
                        <w:rFonts w:ascii="Cambria Math" w:hAnsi="Cambria Math"/>
                      </w:rPr>
                      <m:t>1,4</m:t>
                    </m:r>
                  </m:sub>
                </m:sSub>
              </m:oMath>
            </m:oMathPara>
          </w:p>
        </w:tc>
      </w:tr>
      <w:tr w:rsidR="005B279D" w:rsidRPr="002844B1" w:rsidTr="0061492D">
        <w:tc>
          <w:tcPr>
            <w:tcW w:w="0" w:type="auto"/>
            <w:shd w:val="clear" w:color="auto" w:fill="85B2F6" w:themeFill="background2" w:themeFillShade="E6"/>
          </w:tcPr>
          <w:p w:rsidR="005B279D" w:rsidRPr="002844B1" w:rsidRDefault="00000000">
            <w:pPr>
              <w:pStyle w:val="Compact"/>
              <w:jc w:val="center"/>
            </w:pPr>
            <w:r w:rsidRPr="002844B1">
              <w:t>2</w:t>
            </w:r>
          </w:p>
        </w:tc>
        <w:tc>
          <w:tcPr>
            <w:tcW w:w="0" w:type="auto"/>
          </w:tcPr>
          <w:p w:rsidR="005B279D" w:rsidRPr="002844B1" w:rsidRDefault="00000000">
            <w:pPr>
              <w:pStyle w:val="Compact"/>
              <w:jc w:val="center"/>
            </w:pPr>
            <m:oMathPara>
              <m:oMath>
                <m:sSub>
                  <m:sSubPr>
                    <m:ctrlPr>
                      <w:rPr>
                        <w:rFonts w:ascii="Cambria Math" w:hAnsi="Cambria Math"/>
                      </w:rPr>
                    </m:ctrlPr>
                  </m:sSubPr>
                  <m:e>
                    <m:r>
                      <w:rPr>
                        <w:rFonts w:ascii="Cambria Math" w:hAnsi="Cambria Math"/>
                      </w:rPr>
                      <m:t>C</m:t>
                    </m:r>
                  </m:e>
                  <m:sub>
                    <m:r>
                      <w:rPr>
                        <w:rFonts w:ascii="Cambria Math" w:hAnsi="Cambria Math"/>
                      </w:rPr>
                      <m:t>2,1</m:t>
                    </m:r>
                  </m:sub>
                </m:sSub>
              </m:oMath>
            </m:oMathPara>
          </w:p>
        </w:tc>
        <w:tc>
          <w:tcPr>
            <w:tcW w:w="0" w:type="auto"/>
          </w:tcPr>
          <w:p w:rsidR="005B279D" w:rsidRPr="002844B1" w:rsidRDefault="00000000">
            <w:pPr>
              <w:pStyle w:val="Compact"/>
              <w:jc w:val="center"/>
            </w:pPr>
            <m:oMathPara>
              <m:oMath>
                <m:sSub>
                  <m:sSubPr>
                    <m:ctrlPr>
                      <w:rPr>
                        <w:rFonts w:ascii="Cambria Math" w:hAnsi="Cambria Math"/>
                      </w:rPr>
                    </m:ctrlPr>
                  </m:sSubPr>
                  <m:e>
                    <m:r>
                      <w:rPr>
                        <w:rFonts w:ascii="Cambria Math" w:hAnsi="Cambria Math"/>
                      </w:rPr>
                      <m:t>C</m:t>
                    </m:r>
                  </m:e>
                  <m:sub>
                    <m:r>
                      <w:rPr>
                        <w:rFonts w:ascii="Cambria Math" w:hAnsi="Cambria Math"/>
                      </w:rPr>
                      <m:t>2,2</m:t>
                    </m:r>
                  </m:sub>
                </m:sSub>
              </m:oMath>
            </m:oMathPara>
          </w:p>
        </w:tc>
        <w:tc>
          <w:tcPr>
            <w:tcW w:w="0" w:type="auto"/>
          </w:tcPr>
          <w:p w:rsidR="005B279D" w:rsidRPr="002844B1" w:rsidRDefault="00000000">
            <w:pPr>
              <w:pStyle w:val="Compact"/>
              <w:jc w:val="center"/>
            </w:pPr>
            <m:oMathPara>
              <m:oMath>
                <m:sSub>
                  <m:sSubPr>
                    <m:ctrlPr>
                      <w:rPr>
                        <w:rFonts w:ascii="Cambria Math" w:hAnsi="Cambria Math"/>
                      </w:rPr>
                    </m:ctrlPr>
                  </m:sSubPr>
                  <m:e>
                    <m:r>
                      <w:rPr>
                        <w:rFonts w:ascii="Cambria Math" w:hAnsi="Cambria Math"/>
                      </w:rPr>
                      <m:t>C</m:t>
                    </m:r>
                  </m:e>
                  <m:sub>
                    <m:r>
                      <w:rPr>
                        <w:rFonts w:ascii="Cambria Math" w:hAnsi="Cambria Math"/>
                      </w:rPr>
                      <m:t>2,3</m:t>
                    </m:r>
                  </m:sub>
                </m:sSub>
              </m:oMath>
            </m:oMathPara>
          </w:p>
        </w:tc>
        <w:tc>
          <w:tcPr>
            <w:tcW w:w="0" w:type="auto"/>
          </w:tcPr>
          <w:p w:rsidR="005B279D" w:rsidRPr="002844B1" w:rsidRDefault="005B279D">
            <w:pPr>
              <w:pStyle w:val="Compact"/>
            </w:pPr>
          </w:p>
        </w:tc>
      </w:tr>
      <w:tr w:rsidR="005B279D" w:rsidRPr="002844B1" w:rsidTr="0061492D">
        <w:tc>
          <w:tcPr>
            <w:tcW w:w="0" w:type="auto"/>
            <w:shd w:val="clear" w:color="auto" w:fill="85B2F6" w:themeFill="background2" w:themeFillShade="E6"/>
          </w:tcPr>
          <w:p w:rsidR="005B279D" w:rsidRPr="002844B1" w:rsidRDefault="00000000">
            <w:pPr>
              <w:pStyle w:val="Compact"/>
              <w:jc w:val="center"/>
            </w:pPr>
            <w:r w:rsidRPr="002844B1">
              <w:t>3</w:t>
            </w:r>
          </w:p>
        </w:tc>
        <w:tc>
          <w:tcPr>
            <w:tcW w:w="0" w:type="auto"/>
          </w:tcPr>
          <w:p w:rsidR="005B279D" w:rsidRPr="002844B1" w:rsidRDefault="00000000">
            <w:pPr>
              <w:pStyle w:val="Compact"/>
              <w:jc w:val="center"/>
            </w:pPr>
            <m:oMathPara>
              <m:oMath>
                <m:sSub>
                  <m:sSubPr>
                    <m:ctrlPr>
                      <w:rPr>
                        <w:rFonts w:ascii="Cambria Math" w:hAnsi="Cambria Math"/>
                      </w:rPr>
                    </m:ctrlPr>
                  </m:sSubPr>
                  <m:e>
                    <m:r>
                      <w:rPr>
                        <w:rFonts w:ascii="Cambria Math" w:hAnsi="Cambria Math"/>
                      </w:rPr>
                      <m:t>C</m:t>
                    </m:r>
                  </m:e>
                  <m:sub>
                    <m:r>
                      <w:rPr>
                        <w:rFonts w:ascii="Cambria Math" w:hAnsi="Cambria Math"/>
                      </w:rPr>
                      <m:t>3,1</m:t>
                    </m:r>
                  </m:sub>
                </m:sSub>
              </m:oMath>
            </m:oMathPara>
          </w:p>
        </w:tc>
        <w:tc>
          <w:tcPr>
            <w:tcW w:w="0" w:type="auto"/>
          </w:tcPr>
          <w:p w:rsidR="005B279D" w:rsidRPr="002844B1" w:rsidRDefault="00000000">
            <w:pPr>
              <w:pStyle w:val="Compact"/>
              <w:jc w:val="center"/>
            </w:pPr>
            <m:oMathPara>
              <m:oMath>
                <m:sSub>
                  <m:sSubPr>
                    <m:ctrlPr>
                      <w:rPr>
                        <w:rFonts w:ascii="Cambria Math" w:hAnsi="Cambria Math"/>
                      </w:rPr>
                    </m:ctrlPr>
                  </m:sSubPr>
                  <m:e>
                    <m:r>
                      <w:rPr>
                        <w:rFonts w:ascii="Cambria Math" w:hAnsi="Cambria Math"/>
                      </w:rPr>
                      <m:t>C</m:t>
                    </m:r>
                  </m:e>
                  <m:sub>
                    <m:r>
                      <w:rPr>
                        <w:rFonts w:ascii="Cambria Math" w:hAnsi="Cambria Math"/>
                      </w:rPr>
                      <m:t>3,2</m:t>
                    </m:r>
                  </m:sub>
                </m:sSub>
              </m:oMath>
            </m:oMathPara>
          </w:p>
        </w:tc>
        <w:tc>
          <w:tcPr>
            <w:tcW w:w="0" w:type="auto"/>
          </w:tcPr>
          <w:p w:rsidR="005B279D" w:rsidRPr="002844B1" w:rsidRDefault="005B279D">
            <w:pPr>
              <w:pStyle w:val="Compact"/>
            </w:pPr>
          </w:p>
        </w:tc>
        <w:tc>
          <w:tcPr>
            <w:tcW w:w="0" w:type="auto"/>
          </w:tcPr>
          <w:p w:rsidR="005B279D" w:rsidRPr="002844B1" w:rsidRDefault="005B279D">
            <w:pPr>
              <w:pStyle w:val="Compact"/>
            </w:pPr>
          </w:p>
        </w:tc>
      </w:tr>
      <w:tr w:rsidR="005B279D" w:rsidRPr="002844B1" w:rsidTr="0061492D">
        <w:tc>
          <w:tcPr>
            <w:tcW w:w="0" w:type="auto"/>
            <w:shd w:val="clear" w:color="auto" w:fill="85B2F6" w:themeFill="background2" w:themeFillShade="E6"/>
          </w:tcPr>
          <w:p w:rsidR="005B279D" w:rsidRPr="002844B1" w:rsidRDefault="00000000">
            <w:pPr>
              <w:pStyle w:val="Compact"/>
              <w:jc w:val="center"/>
            </w:pPr>
            <w:r w:rsidRPr="002844B1">
              <w:t>4</w:t>
            </w:r>
          </w:p>
        </w:tc>
        <w:tc>
          <w:tcPr>
            <w:tcW w:w="0" w:type="auto"/>
          </w:tcPr>
          <w:p w:rsidR="005B279D" w:rsidRPr="002844B1" w:rsidRDefault="00000000">
            <w:pPr>
              <w:pStyle w:val="Compact"/>
              <w:jc w:val="center"/>
            </w:pPr>
            <m:oMathPara>
              <m:oMath>
                <m:sSub>
                  <m:sSubPr>
                    <m:ctrlPr>
                      <w:rPr>
                        <w:rFonts w:ascii="Cambria Math" w:hAnsi="Cambria Math"/>
                      </w:rPr>
                    </m:ctrlPr>
                  </m:sSubPr>
                  <m:e>
                    <m:r>
                      <w:rPr>
                        <w:rFonts w:ascii="Cambria Math" w:hAnsi="Cambria Math"/>
                      </w:rPr>
                      <m:t>C</m:t>
                    </m:r>
                  </m:e>
                  <m:sub>
                    <m:r>
                      <w:rPr>
                        <w:rFonts w:ascii="Cambria Math" w:hAnsi="Cambria Math"/>
                      </w:rPr>
                      <m:t>4,1</m:t>
                    </m:r>
                  </m:sub>
                </m:sSub>
              </m:oMath>
            </m:oMathPara>
          </w:p>
        </w:tc>
        <w:tc>
          <w:tcPr>
            <w:tcW w:w="0" w:type="auto"/>
          </w:tcPr>
          <w:p w:rsidR="005B279D" w:rsidRPr="002844B1" w:rsidRDefault="005B279D">
            <w:pPr>
              <w:pStyle w:val="Compact"/>
            </w:pPr>
          </w:p>
        </w:tc>
        <w:tc>
          <w:tcPr>
            <w:tcW w:w="0" w:type="auto"/>
          </w:tcPr>
          <w:p w:rsidR="005B279D" w:rsidRPr="002844B1" w:rsidRDefault="005B279D">
            <w:pPr>
              <w:pStyle w:val="Compact"/>
            </w:pPr>
          </w:p>
        </w:tc>
        <w:tc>
          <w:tcPr>
            <w:tcW w:w="0" w:type="auto"/>
          </w:tcPr>
          <w:p w:rsidR="005B279D" w:rsidRPr="002844B1" w:rsidRDefault="005B279D">
            <w:pPr>
              <w:pStyle w:val="Compact"/>
            </w:pPr>
          </w:p>
        </w:tc>
      </w:tr>
    </w:tbl>
    <w:p w:rsidR="005B279D" w:rsidRPr="002844B1" w:rsidRDefault="00000000" w:rsidP="0061492D">
      <w:pPr>
        <w:pStyle w:val="BodyText"/>
        <w:jc w:val="both"/>
        <w:rPr>
          <w:sz w:val="21"/>
          <w:szCs w:val="21"/>
        </w:rPr>
      </w:pPr>
      <w:r w:rsidRPr="002844B1">
        <w:rPr>
          <w:sz w:val="21"/>
          <w:szCs w:val="21"/>
        </w:rPr>
        <w:t>Conformément à la spécification technique de l’ACAPS, l’estimation des flux de règlements futurs probabilisés nets de recours relatifs aux sinistres survenus (</w:t>
      </w:r>
      <m:oMath>
        <m:r>
          <w:rPr>
            <w:rFonts w:ascii="Cambria Math" w:hAnsi="Cambria Math"/>
            <w:sz w:val="21"/>
            <w:szCs w:val="21"/>
          </w:rPr>
          <m:t>FRFP</m:t>
        </m:r>
      </m:oMath>
      <w:r w:rsidRPr="002844B1">
        <w:rPr>
          <w:sz w:val="21"/>
          <w:szCs w:val="21"/>
        </w:rPr>
        <w:t xml:space="preserve">) passe par les étapes citées </w:t>
      </w:r>
      <w:r w:rsidR="002844B1" w:rsidRPr="002844B1">
        <w:rPr>
          <w:sz w:val="21"/>
          <w:szCs w:val="21"/>
        </w:rPr>
        <w:t>ci-après</w:t>
      </w:r>
      <w:r w:rsidRPr="002844B1">
        <w:rPr>
          <w:sz w:val="21"/>
          <w:szCs w:val="21"/>
        </w:rPr>
        <w:t>.</w:t>
      </w:r>
    </w:p>
    <w:p w:rsidR="0061492D" w:rsidRPr="002844B1" w:rsidRDefault="0061492D" w:rsidP="0061492D">
      <w:pPr>
        <w:pStyle w:val="BodyText"/>
        <w:jc w:val="both"/>
        <w:rPr>
          <w:sz w:val="21"/>
          <w:szCs w:val="21"/>
        </w:rPr>
      </w:pP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5B279D" w:rsidRPr="002844B1" w:rsidTr="005B279D">
        <w:trPr>
          <w:cantSplit/>
        </w:trPr>
        <w:tc>
          <w:tcPr>
            <w:tcW w:w="0" w:type="auto"/>
            <w:shd w:val="clear" w:color="auto" w:fill="DAE6FB"/>
            <w:tcMar>
              <w:top w:w="92" w:type="dxa"/>
              <w:bottom w:w="92" w:type="dxa"/>
            </w:tcMar>
          </w:tcPr>
          <w:p w:rsidR="005B279D" w:rsidRPr="002844B1" w:rsidRDefault="00000000">
            <w:pPr>
              <w:pStyle w:val="BodyText"/>
              <w:spacing w:before="0" w:after="0"/>
              <w:textAlignment w:val="center"/>
            </w:pPr>
            <w:r w:rsidRPr="002844B1">
              <w:rPr>
                <w:noProof/>
              </w:rPr>
              <w:drawing>
                <wp:inline distT="0" distB="0" distL="0" distR="0">
                  <wp:extent cx="152400" cy="152400"/>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Applications/quarto/share/formats/docx/note.png"/>
                          <pic:cNvPicPr>
                            <a:picLocks noChangeAspect="1" noChangeArrowheads="1"/>
                          </pic:cNvPicPr>
                        </pic:nvPicPr>
                        <pic:blipFill>
                          <a:blip r:embed="rId18"/>
                          <a:stretch>
                            <a:fillRect/>
                          </a:stretch>
                        </pic:blipFill>
                        <pic:spPr bwMode="auto">
                          <a:xfrm>
                            <a:off x="0" y="0"/>
                            <a:ext cx="152400" cy="152400"/>
                          </a:xfrm>
                          <a:prstGeom prst="rect">
                            <a:avLst/>
                          </a:prstGeom>
                          <a:noFill/>
                          <a:ln w="9525">
                            <a:noFill/>
                            <a:headEnd/>
                            <a:tailEnd/>
                          </a:ln>
                        </pic:spPr>
                      </pic:pic>
                    </a:graphicData>
                  </a:graphic>
                </wp:inline>
              </w:drawing>
            </w:r>
            <w:r w:rsidRPr="002844B1">
              <w:t xml:space="preserve">  </w:t>
            </w:r>
            <w:r w:rsidR="002844B1" w:rsidRPr="002844B1">
              <w:t>Étape</w:t>
            </w:r>
            <w:r w:rsidRPr="002844B1">
              <w:t xml:space="preserve"> 1 : Constitution du triangle des règlements cumulés net de recours :</w:t>
            </w:r>
          </w:p>
        </w:tc>
      </w:tr>
      <w:tr w:rsidR="005B279D" w:rsidRPr="002844B1" w:rsidTr="005B279D">
        <w:trPr>
          <w:cantSplit/>
        </w:trPr>
        <w:tc>
          <w:tcPr>
            <w:tcW w:w="0" w:type="auto"/>
            <w:tcMar>
              <w:top w:w="108" w:type="dxa"/>
              <w:bottom w:w="108" w:type="dxa"/>
            </w:tcMar>
          </w:tcPr>
          <w:p w:rsidR="005B279D" w:rsidRPr="002844B1" w:rsidRDefault="00000000" w:rsidP="0061492D">
            <w:pPr>
              <w:pStyle w:val="BodyText"/>
              <w:spacing w:before="16" w:after="16"/>
              <w:jc w:val="both"/>
            </w:pPr>
            <w:r w:rsidRPr="002844B1">
              <w:rPr>
                <w:sz w:val="21"/>
                <w:szCs w:val="21"/>
              </w:rPr>
              <w:t>Pour chaque année de survenance, on construit le triangle des règlements nets de recours à partir des données d’inventaire. La longueur d’historique des triangles des règlements doit correspondre à la nature du risque analysé et couvrir toute la durée de vie des engagements à la date d’inventaire. L’entreprise d’assurances et de réassurance doit expliquer pourquoi la méthode utilisée pour sa détermination est adaptée.</w:t>
            </w:r>
          </w:p>
        </w:tc>
      </w:tr>
      <w:tr w:rsidR="005B279D" w:rsidRPr="002844B1" w:rsidTr="005B279D">
        <w:trPr>
          <w:cantSplit/>
        </w:trPr>
        <w:tc>
          <w:tcPr>
            <w:tcW w:w="0" w:type="auto"/>
            <w:shd w:val="clear" w:color="auto" w:fill="DAE6FB"/>
            <w:tcMar>
              <w:top w:w="92" w:type="dxa"/>
              <w:bottom w:w="92" w:type="dxa"/>
            </w:tcMar>
          </w:tcPr>
          <w:p w:rsidR="005B279D" w:rsidRPr="002844B1" w:rsidRDefault="00000000">
            <w:pPr>
              <w:pStyle w:val="BodyText"/>
              <w:spacing w:before="0" w:after="0"/>
              <w:textAlignment w:val="center"/>
            </w:pPr>
            <w:r w:rsidRPr="002844B1">
              <w:rPr>
                <w:noProof/>
              </w:rPr>
              <w:drawing>
                <wp:inline distT="0" distB="0" distL="0" distR="0">
                  <wp:extent cx="152400" cy="152400"/>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Applications/quarto/share/formats/docx/note.png"/>
                          <pic:cNvPicPr>
                            <a:picLocks noChangeAspect="1" noChangeArrowheads="1"/>
                          </pic:cNvPicPr>
                        </pic:nvPicPr>
                        <pic:blipFill>
                          <a:blip r:embed="rId18"/>
                          <a:stretch>
                            <a:fillRect/>
                          </a:stretch>
                        </pic:blipFill>
                        <pic:spPr bwMode="auto">
                          <a:xfrm>
                            <a:off x="0" y="0"/>
                            <a:ext cx="152400" cy="152400"/>
                          </a:xfrm>
                          <a:prstGeom prst="rect">
                            <a:avLst/>
                          </a:prstGeom>
                          <a:noFill/>
                          <a:ln w="9525">
                            <a:noFill/>
                            <a:headEnd/>
                            <a:tailEnd/>
                          </a:ln>
                        </pic:spPr>
                      </pic:pic>
                    </a:graphicData>
                  </a:graphic>
                </wp:inline>
              </w:drawing>
            </w:r>
            <w:r w:rsidRPr="002844B1">
              <w:t xml:space="preserve">  </w:t>
            </w:r>
            <w:r w:rsidR="002844B1" w:rsidRPr="002844B1">
              <w:t>Étape</w:t>
            </w:r>
            <w:r w:rsidRPr="002844B1">
              <w:t xml:space="preserve"> 2 : Calcul des facteurs de développement individuels :</w:t>
            </w:r>
          </w:p>
        </w:tc>
      </w:tr>
      <w:tr w:rsidR="005B279D" w:rsidRPr="002844B1" w:rsidTr="005B279D">
        <w:trPr>
          <w:cantSplit/>
        </w:trPr>
        <w:tc>
          <w:tcPr>
            <w:tcW w:w="0" w:type="auto"/>
            <w:tcMar>
              <w:top w:w="108" w:type="dxa"/>
              <w:bottom w:w="108" w:type="dxa"/>
            </w:tcMar>
          </w:tcPr>
          <w:p w:rsidR="005B279D" w:rsidRPr="002844B1" w:rsidRDefault="00000000" w:rsidP="0061492D">
            <w:pPr>
              <w:pStyle w:val="BodyText"/>
              <w:spacing w:before="16"/>
              <w:jc w:val="both"/>
              <w:rPr>
                <w:sz w:val="21"/>
                <w:szCs w:val="21"/>
              </w:rPr>
            </w:pPr>
            <w:r w:rsidRPr="002844B1">
              <w:rPr>
                <w:sz w:val="21"/>
                <w:szCs w:val="21"/>
              </w:rPr>
              <w:t xml:space="preserve">Ils sont déterminés à partir du </w:t>
            </w:r>
            <w:r w:rsidR="002844B1" w:rsidRPr="002844B1">
              <w:rPr>
                <w:sz w:val="21"/>
                <w:szCs w:val="21"/>
              </w:rPr>
              <w:t>triangle</w:t>
            </w:r>
            <w:r w:rsidRPr="002844B1">
              <w:rPr>
                <w:sz w:val="21"/>
                <w:szCs w:val="21"/>
              </w:rPr>
              <w:t xml:space="preserve"> de </w:t>
            </w:r>
            <w:r w:rsidR="002844B1" w:rsidRPr="002844B1">
              <w:rPr>
                <w:sz w:val="21"/>
                <w:szCs w:val="21"/>
              </w:rPr>
              <w:t>règlement</w:t>
            </w:r>
            <w:r w:rsidRPr="002844B1">
              <w:rPr>
                <w:sz w:val="21"/>
                <w:szCs w:val="21"/>
              </w:rPr>
              <w:t xml:space="preserve"> cumulé par la formule suivante :</w:t>
            </w:r>
          </w:p>
          <w:p w:rsidR="005B279D" w:rsidRPr="002844B1" w:rsidRDefault="005B279D">
            <w:pPr>
              <w:pStyle w:val="BodyText"/>
              <w:spacing w:after="16"/>
            </w:pPr>
          </w:p>
          <w:p w:rsidR="005B279D" w:rsidRPr="002844B1" w:rsidRDefault="00000000">
            <w:pPr>
              <w:pStyle w:val="BodyText"/>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i,j</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i,j+1</m:t>
                        </m:r>
                      </m:sub>
                    </m:sSub>
                  </m:num>
                  <m:den>
                    <m:sSub>
                      <m:sSubPr>
                        <m:ctrlPr>
                          <w:rPr>
                            <w:rFonts w:ascii="Cambria Math" w:hAnsi="Cambria Math"/>
                          </w:rPr>
                        </m:ctrlPr>
                      </m:sSubPr>
                      <m:e>
                        <m:r>
                          <w:rPr>
                            <w:rFonts w:ascii="Cambria Math" w:hAnsi="Cambria Math"/>
                          </w:rPr>
                          <m:t>C</m:t>
                        </m:r>
                      </m:e>
                      <m:sub>
                        <m:r>
                          <w:rPr>
                            <w:rFonts w:ascii="Cambria Math" w:hAnsi="Cambria Math"/>
                          </w:rPr>
                          <m:t>i,j</m:t>
                        </m:r>
                      </m:sub>
                    </m:sSub>
                  </m:den>
                </m:f>
                <m:r>
                  <w:rPr>
                    <w:rFonts w:ascii="Cambria Math" w:hAnsi="Cambria Math"/>
                  </w:rPr>
                  <m:t>,  </m:t>
                </m:r>
                <m:r>
                  <m:rPr>
                    <m:nor/>
                  </m:rPr>
                  <m:t>pour</m:t>
                </m:r>
                <m:r>
                  <w:rPr>
                    <w:rFonts w:ascii="Cambria Math" w:hAnsi="Cambria Math"/>
                  </w:rPr>
                  <m:t> i×j∈{1,…,n}×{1,…,n}  </m:t>
                </m:r>
                <m:d>
                  <m:dPr>
                    <m:ctrlPr>
                      <w:rPr>
                        <w:rFonts w:ascii="Cambria Math" w:hAnsi="Cambria Math"/>
                      </w:rPr>
                    </m:ctrlPr>
                  </m:dPr>
                  <m:e>
                    <m:r>
                      <w:rPr>
                        <w:rFonts w:ascii="Cambria Math" w:hAnsi="Cambria Math"/>
                      </w:rPr>
                      <m:t>26</m:t>
                    </m:r>
                  </m:e>
                </m:d>
              </m:oMath>
            </m:oMathPara>
          </w:p>
        </w:tc>
      </w:tr>
      <w:tr w:rsidR="005B279D" w:rsidRPr="002844B1" w:rsidTr="005B279D">
        <w:trPr>
          <w:cantSplit/>
        </w:trPr>
        <w:tc>
          <w:tcPr>
            <w:tcW w:w="0" w:type="auto"/>
            <w:shd w:val="clear" w:color="auto" w:fill="DAE6FB"/>
            <w:tcMar>
              <w:top w:w="92" w:type="dxa"/>
              <w:bottom w:w="92" w:type="dxa"/>
            </w:tcMar>
          </w:tcPr>
          <w:p w:rsidR="005B279D" w:rsidRPr="002844B1" w:rsidRDefault="00000000">
            <w:pPr>
              <w:pStyle w:val="FirstParagraph"/>
              <w:spacing w:before="0" w:after="0"/>
              <w:textAlignment w:val="center"/>
            </w:pPr>
            <w:r w:rsidRPr="002844B1">
              <w:rPr>
                <w:noProof/>
              </w:rPr>
              <w:drawing>
                <wp:inline distT="0" distB="0" distL="0" distR="0">
                  <wp:extent cx="152400" cy="15240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Applications/quarto/share/formats/docx/note.png"/>
                          <pic:cNvPicPr>
                            <a:picLocks noChangeAspect="1" noChangeArrowheads="1"/>
                          </pic:cNvPicPr>
                        </pic:nvPicPr>
                        <pic:blipFill>
                          <a:blip r:embed="rId18"/>
                          <a:stretch>
                            <a:fillRect/>
                          </a:stretch>
                        </pic:blipFill>
                        <pic:spPr bwMode="auto">
                          <a:xfrm>
                            <a:off x="0" y="0"/>
                            <a:ext cx="152400" cy="152400"/>
                          </a:xfrm>
                          <a:prstGeom prst="rect">
                            <a:avLst/>
                          </a:prstGeom>
                          <a:noFill/>
                          <a:ln w="9525">
                            <a:noFill/>
                            <a:headEnd/>
                            <a:tailEnd/>
                          </a:ln>
                        </pic:spPr>
                      </pic:pic>
                    </a:graphicData>
                  </a:graphic>
                </wp:inline>
              </w:drawing>
            </w:r>
            <w:r w:rsidRPr="002844B1">
              <w:t xml:space="preserve">  </w:t>
            </w:r>
            <w:r w:rsidR="002844B1" w:rsidRPr="002844B1">
              <w:t>Étape</w:t>
            </w:r>
            <w:r w:rsidRPr="002844B1">
              <w:t xml:space="preserve"> 3 : Vérification des hypothèses :</w:t>
            </w:r>
          </w:p>
        </w:tc>
      </w:tr>
      <w:tr w:rsidR="005B279D" w:rsidRPr="002844B1" w:rsidTr="005B279D">
        <w:trPr>
          <w:cantSplit/>
        </w:trPr>
        <w:tc>
          <w:tcPr>
            <w:tcW w:w="0" w:type="auto"/>
            <w:tcMar>
              <w:top w:w="108" w:type="dxa"/>
              <w:bottom w:w="108" w:type="dxa"/>
            </w:tcMar>
          </w:tcPr>
          <w:p w:rsidR="005B279D" w:rsidRPr="002844B1" w:rsidRDefault="00000000" w:rsidP="0061492D">
            <w:pPr>
              <w:pStyle w:val="BodyText"/>
              <w:spacing w:before="16"/>
              <w:jc w:val="both"/>
              <w:rPr>
                <w:sz w:val="21"/>
                <w:szCs w:val="21"/>
              </w:rPr>
            </w:pPr>
            <w:r w:rsidRPr="002844B1">
              <w:rPr>
                <w:sz w:val="21"/>
                <w:szCs w:val="21"/>
              </w:rPr>
              <w:lastRenderedPageBreak/>
              <w:t xml:space="preserve">Cette méthode </w:t>
            </w:r>
            <w:r w:rsidR="002844B1" w:rsidRPr="002844B1">
              <w:rPr>
                <w:sz w:val="21"/>
                <w:szCs w:val="21"/>
              </w:rPr>
              <w:t>repose</w:t>
            </w:r>
            <w:r w:rsidRPr="002844B1">
              <w:rPr>
                <w:sz w:val="21"/>
                <w:szCs w:val="21"/>
              </w:rPr>
              <w:t xml:space="preserve"> sur certaines hypothèses qui faudrait vérifier avant de poursuivre les calculs.</w:t>
            </w:r>
          </w:p>
          <w:p w:rsidR="005B279D" w:rsidRPr="002844B1" w:rsidRDefault="00000000" w:rsidP="0061492D">
            <w:pPr>
              <w:pStyle w:val="Compact"/>
              <w:numPr>
                <w:ilvl w:val="0"/>
                <w:numId w:val="32"/>
              </w:numPr>
              <w:jc w:val="both"/>
              <w:rPr>
                <w:sz w:val="21"/>
                <w:szCs w:val="21"/>
              </w:rPr>
            </w:pPr>
            <w:r w:rsidRPr="002844B1">
              <w:rPr>
                <w:sz w:val="21"/>
                <w:szCs w:val="21"/>
              </w:rPr>
              <w:t xml:space="preserve">Hypothèse Nº1 : Pour </w:t>
            </w:r>
            <m:oMath>
              <m:r>
                <w:rPr>
                  <w:rFonts w:ascii="Cambria Math" w:hAnsi="Cambria Math"/>
                  <w:sz w:val="21"/>
                  <w:szCs w:val="21"/>
                </w:rPr>
                <m:t>j</m:t>
              </m:r>
            </m:oMath>
            <w:r w:rsidRPr="002844B1">
              <w:rPr>
                <w:sz w:val="21"/>
                <w:szCs w:val="21"/>
              </w:rPr>
              <w:t xml:space="preserve"> allant de </w:t>
            </w:r>
            <m:oMath>
              <m:r>
                <w:rPr>
                  <w:rFonts w:ascii="Cambria Math" w:hAnsi="Cambria Math"/>
                  <w:sz w:val="21"/>
                  <w:szCs w:val="21"/>
                </w:rPr>
                <m:t>1</m:t>
              </m:r>
            </m:oMath>
            <w:r w:rsidRPr="002844B1">
              <w:rPr>
                <w:sz w:val="21"/>
                <w:szCs w:val="21"/>
              </w:rPr>
              <w:t xml:space="preserve"> à </w:t>
            </w:r>
            <m:oMath>
              <m:r>
                <w:rPr>
                  <w:rFonts w:ascii="Cambria Math" w:hAnsi="Cambria Math"/>
                  <w:sz w:val="21"/>
                  <w:szCs w:val="21"/>
                </w:rPr>
                <m:t>n</m:t>
              </m:r>
            </m:oMath>
            <w:r w:rsidRPr="002844B1">
              <w:rPr>
                <w:sz w:val="21"/>
                <w:szCs w:val="21"/>
              </w:rPr>
              <w:t xml:space="preserve"> , les facteurs de développement </w:t>
            </w:r>
            <m:oMath>
              <m:sSub>
                <m:sSubPr>
                  <m:ctrlPr>
                    <w:rPr>
                      <w:rFonts w:ascii="Cambria Math" w:hAnsi="Cambria Math"/>
                      <w:sz w:val="21"/>
                      <w:szCs w:val="21"/>
                    </w:rPr>
                  </m:ctrlPr>
                </m:sSubPr>
                <m:e>
                  <m:r>
                    <w:rPr>
                      <w:rFonts w:ascii="Cambria Math" w:hAnsi="Cambria Math"/>
                      <w:sz w:val="21"/>
                      <w:szCs w:val="21"/>
                    </w:rPr>
                    <m:t>f</m:t>
                  </m:r>
                </m:e>
                <m:sub>
                  <m:r>
                    <w:rPr>
                      <w:rFonts w:ascii="Cambria Math" w:hAnsi="Cambria Math"/>
                      <w:sz w:val="21"/>
                      <w:szCs w:val="21"/>
                    </w:rPr>
                    <m:t>i,j</m:t>
                  </m:r>
                </m:sub>
              </m:sSub>
            </m:oMath>
            <w:r w:rsidRPr="002844B1">
              <w:rPr>
                <w:sz w:val="21"/>
                <w:szCs w:val="21"/>
              </w:rPr>
              <w:t xml:space="preserve"> sont indépendants de l’année </w:t>
            </w:r>
            <w:r w:rsidR="002844B1" w:rsidRPr="002844B1">
              <w:rPr>
                <w:sz w:val="21"/>
                <w:szCs w:val="21"/>
              </w:rPr>
              <w:t>de survenance</w:t>
            </w:r>
            <w:r w:rsidRPr="002844B1">
              <w:rPr>
                <w:sz w:val="21"/>
                <w:szCs w:val="21"/>
              </w:rPr>
              <w:t>.</w:t>
            </w:r>
          </w:p>
          <w:p w:rsidR="005B279D" w:rsidRPr="002844B1" w:rsidRDefault="00000000" w:rsidP="0061492D">
            <w:pPr>
              <w:pStyle w:val="FirstParagraph"/>
              <w:jc w:val="both"/>
              <w:rPr>
                <w:sz w:val="21"/>
                <w:szCs w:val="21"/>
              </w:rPr>
            </w:pPr>
            <w:r w:rsidRPr="002844B1">
              <w:rPr>
                <w:sz w:val="21"/>
                <w:szCs w:val="21"/>
              </w:rPr>
              <w:t>Les facteurs de développement individuels pour une année de développement j ne doivent pas s’écarter significativement de la moyenne des facteurs de développement individuels pour cette même année.</w:t>
            </w:r>
          </w:p>
          <w:p w:rsidR="005B279D" w:rsidRPr="002844B1" w:rsidRDefault="00000000" w:rsidP="0061492D">
            <w:pPr>
              <w:pStyle w:val="Compact"/>
              <w:numPr>
                <w:ilvl w:val="0"/>
                <w:numId w:val="33"/>
              </w:numPr>
              <w:jc w:val="both"/>
              <w:rPr>
                <w:sz w:val="21"/>
                <w:szCs w:val="21"/>
              </w:rPr>
            </w:pPr>
            <w:r w:rsidRPr="002844B1">
              <w:rPr>
                <w:sz w:val="21"/>
                <w:szCs w:val="21"/>
              </w:rPr>
              <w:t xml:space="preserve">Hypothèse Nº2 : L’hypothèse centrale de cette méthode est celle de la stabilité des cadences de paiements. Il existe des facteurs de développements </w:t>
            </w:r>
            <m:oMath>
              <m:sSub>
                <m:sSubPr>
                  <m:ctrlPr>
                    <w:rPr>
                      <w:rFonts w:ascii="Cambria Math" w:hAnsi="Cambria Math"/>
                      <w:sz w:val="21"/>
                      <w:szCs w:val="21"/>
                    </w:rPr>
                  </m:ctrlPr>
                </m:sSubPr>
                <m:e>
                  <m:r>
                    <w:rPr>
                      <w:rFonts w:ascii="Cambria Math" w:hAnsi="Cambria Math"/>
                      <w:sz w:val="21"/>
                      <w:szCs w:val="21"/>
                    </w:rPr>
                    <m:t>f</m:t>
                  </m:r>
                </m:e>
                <m:sub>
                  <m:r>
                    <w:rPr>
                      <w:rFonts w:ascii="Cambria Math" w:hAnsi="Cambria Math"/>
                      <w:sz w:val="21"/>
                      <w:szCs w:val="21"/>
                    </w:rPr>
                    <m:t>0</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f</m:t>
                  </m:r>
                </m:e>
                <m:sub>
                  <m:r>
                    <w:rPr>
                      <w:rFonts w:ascii="Cambria Math" w:hAnsi="Cambria Math"/>
                      <w:sz w:val="21"/>
                      <w:szCs w:val="21"/>
                    </w:rPr>
                    <m:t>n-1</m:t>
                  </m:r>
                </m:sub>
              </m:sSub>
              <m:r>
                <w:rPr>
                  <w:rFonts w:ascii="Cambria Math" w:hAnsi="Cambria Math"/>
                  <w:sz w:val="21"/>
                  <w:szCs w:val="21"/>
                </w:rPr>
                <m:t>&gt;0</m:t>
              </m:r>
            </m:oMath>
            <w:r w:rsidRPr="002844B1">
              <w:rPr>
                <w:sz w:val="21"/>
                <w:szCs w:val="21"/>
              </w:rPr>
              <w:t xml:space="preserve"> tels que </w:t>
            </w:r>
            <m:oMath>
              <m:r>
                <w:rPr>
                  <w:rFonts w:ascii="Cambria Math" w:hAnsi="Cambria Math"/>
                  <w:sz w:val="21"/>
                  <w:szCs w:val="21"/>
                </w:rPr>
                <m:t>∀0≤i≤n</m:t>
              </m:r>
            </m:oMath>
            <w:r w:rsidRPr="002844B1">
              <w:rPr>
                <w:sz w:val="21"/>
                <w:szCs w:val="21"/>
              </w:rPr>
              <w:t xml:space="preserve"> et </w:t>
            </w:r>
            <m:oMath>
              <m:r>
                <w:rPr>
                  <w:rFonts w:ascii="Cambria Math" w:hAnsi="Cambria Math"/>
                  <w:sz w:val="21"/>
                  <w:szCs w:val="21"/>
                </w:rPr>
                <m:t>∀0≤j≤n</m:t>
              </m:r>
            </m:oMath>
            <w:r w:rsidRPr="002844B1">
              <w:rPr>
                <w:sz w:val="21"/>
                <w:szCs w:val="21"/>
              </w:rPr>
              <w:t xml:space="preserve">, on a : </w:t>
            </w:r>
            <m:oMath>
              <m:r>
                <m:rPr>
                  <m:scr m:val="double-struck"/>
                </m:rPr>
                <w:rPr>
                  <w:rFonts w:ascii="Cambria Math" w:hAnsi="Cambria Math"/>
                  <w:sz w:val="21"/>
                  <w:szCs w:val="21"/>
                </w:rPr>
                <m:t>E</m:t>
              </m:r>
              <m:d>
                <m:dPr>
                  <m:begChr m:val="["/>
                  <m:endChr m:val="]"/>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i,0</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i,j-1</m:t>
                      </m:r>
                    </m:sub>
                  </m:sSub>
                </m:e>
              </m:d>
              <m:r>
                <m:rPr>
                  <m:scr m:val="double-struck"/>
                </m:rPr>
                <w:rPr>
                  <w:rFonts w:ascii="Cambria Math" w:hAnsi="Cambria Math"/>
                  <w:sz w:val="21"/>
                  <w:szCs w:val="21"/>
                </w:rPr>
                <m:t>=E</m:t>
              </m:r>
              <m:d>
                <m:dPr>
                  <m:begChr m:val="["/>
                  <m:endChr m:val="]"/>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i,j-1</m:t>
                      </m:r>
                    </m:sub>
                  </m:sSub>
                </m:e>
              </m:d>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f</m:t>
                  </m:r>
                </m:e>
                <m:sub>
                  <m:r>
                    <w:rPr>
                      <w:rFonts w:ascii="Cambria Math" w:hAnsi="Cambria Math"/>
                      <w:sz w:val="21"/>
                      <w:szCs w:val="21"/>
                    </w:rPr>
                    <m:t>j-1</m:t>
                  </m:r>
                </m:sub>
              </m:sSub>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i,j-1</m:t>
                  </m:r>
                </m:sub>
              </m:sSub>
            </m:oMath>
            <w:r w:rsidRPr="002844B1">
              <w:rPr>
                <w:sz w:val="21"/>
                <w:szCs w:val="21"/>
              </w:rPr>
              <w:t>.</w:t>
            </w:r>
          </w:p>
          <w:p w:rsidR="005B279D" w:rsidRPr="002844B1" w:rsidRDefault="00000000" w:rsidP="0061492D">
            <w:pPr>
              <w:pStyle w:val="FirstParagraph"/>
              <w:spacing w:after="16"/>
              <w:jc w:val="both"/>
            </w:pPr>
            <w:r w:rsidRPr="002844B1">
              <w:rPr>
                <w:sz w:val="21"/>
                <w:szCs w:val="21"/>
              </w:rPr>
              <w:t xml:space="preserve">Pour chaque année de développement </w:t>
            </w:r>
            <m:oMath>
              <m:r>
                <w:rPr>
                  <w:rFonts w:ascii="Cambria Math" w:hAnsi="Cambria Math"/>
                  <w:sz w:val="21"/>
                  <w:szCs w:val="21"/>
                </w:rPr>
                <m:t>j</m:t>
              </m:r>
            </m:oMath>
            <w:r w:rsidRPr="002844B1">
              <w:rPr>
                <w:sz w:val="21"/>
                <w:szCs w:val="21"/>
              </w:rPr>
              <w:t xml:space="preserve">, le nuage de points représentant les règlements cumulés de d’une année </w:t>
            </w:r>
            <m:oMath>
              <m:r>
                <w:rPr>
                  <w:rFonts w:ascii="Cambria Math" w:hAnsi="Cambria Math"/>
                  <w:sz w:val="21"/>
                  <w:szCs w:val="21"/>
                </w:rPr>
                <m:t>j+1</m:t>
              </m:r>
            </m:oMath>
            <w:r w:rsidRPr="002844B1">
              <w:rPr>
                <w:sz w:val="21"/>
                <w:szCs w:val="21"/>
              </w:rPr>
              <w:t xml:space="preserve"> par rapport aux règlements cumulés de l’année j doit être approché significativement par une droite.</w:t>
            </w:r>
          </w:p>
        </w:tc>
      </w:tr>
      <w:tr w:rsidR="005B279D" w:rsidRPr="002844B1" w:rsidTr="005B279D">
        <w:trPr>
          <w:cantSplit/>
        </w:trPr>
        <w:tc>
          <w:tcPr>
            <w:tcW w:w="0" w:type="auto"/>
            <w:shd w:val="clear" w:color="auto" w:fill="DAE6FB"/>
            <w:tcMar>
              <w:top w:w="92" w:type="dxa"/>
              <w:bottom w:w="92" w:type="dxa"/>
            </w:tcMar>
          </w:tcPr>
          <w:p w:rsidR="005B279D" w:rsidRPr="002844B1" w:rsidRDefault="00000000">
            <w:pPr>
              <w:pStyle w:val="BodyText"/>
              <w:spacing w:before="0" w:after="0"/>
              <w:textAlignment w:val="center"/>
            </w:pPr>
            <w:r w:rsidRPr="002844B1">
              <w:rPr>
                <w:noProof/>
              </w:rPr>
              <w:drawing>
                <wp:inline distT="0" distB="0" distL="0" distR="0">
                  <wp:extent cx="152400" cy="152400"/>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Applications/quarto/share/formats/docx/note.png"/>
                          <pic:cNvPicPr>
                            <a:picLocks noChangeAspect="1" noChangeArrowheads="1"/>
                          </pic:cNvPicPr>
                        </pic:nvPicPr>
                        <pic:blipFill>
                          <a:blip r:embed="rId18"/>
                          <a:stretch>
                            <a:fillRect/>
                          </a:stretch>
                        </pic:blipFill>
                        <pic:spPr bwMode="auto">
                          <a:xfrm>
                            <a:off x="0" y="0"/>
                            <a:ext cx="152400" cy="152400"/>
                          </a:xfrm>
                          <a:prstGeom prst="rect">
                            <a:avLst/>
                          </a:prstGeom>
                          <a:noFill/>
                          <a:ln w="9525">
                            <a:noFill/>
                            <a:headEnd/>
                            <a:tailEnd/>
                          </a:ln>
                        </pic:spPr>
                      </pic:pic>
                    </a:graphicData>
                  </a:graphic>
                </wp:inline>
              </w:drawing>
            </w:r>
            <w:r w:rsidRPr="002844B1">
              <w:t xml:space="preserve">  </w:t>
            </w:r>
            <w:r w:rsidR="002844B1" w:rsidRPr="002844B1">
              <w:t>Étape</w:t>
            </w:r>
            <w:r w:rsidRPr="002844B1">
              <w:t xml:space="preserve"> 4 : Calcul des facteurs de développement communs :</w:t>
            </w:r>
          </w:p>
        </w:tc>
      </w:tr>
      <w:tr w:rsidR="005B279D" w:rsidRPr="002844B1" w:rsidTr="005B279D">
        <w:trPr>
          <w:cantSplit/>
        </w:trPr>
        <w:tc>
          <w:tcPr>
            <w:tcW w:w="0" w:type="auto"/>
            <w:tcMar>
              <w:top w:w="108" w:type="dxa"/>
              <w:bottom w:w="108" w:type="dxa"/>
            </w:tcMar>
          </w:tcPr>
          <w:p w:rsidR="005B279D" w:rsidRPr="002844B1" w:rsidRDefault="00000000" w:rsidP="0061492D">
            <w:pPr>
              <w:pStyle w:val="BodyText"/>
              <w:spacing w:before="16"/>
              <w:jc w:val="both"/>
              <w:rPr>
                <w:sz w:val="21"/>
                <w:szCs w:val="21"/>
              </w:rPr>
            </w:pPr>
            <w:r w:rsidRPr="002844B1">
              <w:rPr>
                <w:sz w:val="21"/>
                <w:szCs w:val="21"/>
              </w:rPr>
              <w:t>Un facteur de développement commun est un coefficient qui permet de prédire les données futures manquantes à partir des données observées. La formule pour calculer les facteurs de développement communs est la suivante :</w:t>
            </w:r>
          </w:p>
          <w:p w:rsidR="005B279D" w:rsidRPr="002844B1" w:rsidRDefault="00000000" w:rsidP="0061492D">
            <w:pPr>
              <w:pStyle w:val="BodyText"/>
              <w:jc w:val="both"/>
              <w:rPr>
                <w:sz w:val="21"/>
                <w:szCs w:val="21"/>
              </w:rPr>
            </w:pPr>
            <m:oMathPara>
              <m:oMathParaPr>
                <m:jc m:val="center"/>
              </m:oMathParaPr>
              <m:oMath>
                <m:sSub>
                  <m:sSubPr>
                    <m:ctrlPr>
                      <w:rPr>
                        <w:rFonts w:ascii="Cambria Math" w:hAnsi="Cambria Math"/>
                        <w:sz w:val="21"/>
                        <w:szCs w:val="21"/>
                      </w:rPr>
                    </m:ctrlPr>
                  </m:sSubPr>
                  <m:e>
                    <m:acc>
                      <m:accPr>
                        <m:ctrlPr>
                          <w:rPr>
                            <w:rFonts w:ascii="Cambria Math" w:hAnsi="Cambria Math"/>
                            <w:sz w:val="21"/>
                            <w:szCs w:val="21"/>
                          </w:rPr>
                        </m:ctrlPr>
                      </m:accPr>
                      <m:e>
                        <m:r>
                          <w:rPr>
                            <w:rFonts w:ascii="Cambria Math" w:hAnsi="Cambria Math"/>
                            <w:sz w:val="21"/>
                            <w:szCs w:val="21"/>
                          </w:rPr>
                          <m:t>f</m:t>
                        </m:r>
                      </m:e>
                    </m:acc>
                  </m:e>
                  <m:sub>
                    <m:r>
                      <w:rPr>
                        <w:rFonts w:ascii="Cambria Math" w:hAnsi="Cambria Math"/>
                        <w:sz w:val="21"/>
                        <w:szCs w:val="21"/>
                      </w:rPr>
                      <m:t>j</m:t>
                    </m:r>
                  </m:sub>
                </m:sSub>
                <m:r>
                  <w:rPr>
                    <w:rFonts w:ascii="Cambria Math" w:hAnsi="Cambria Math"/>
                    <w:sz w:val="21"/>
                    <w:szCs w:val="21"/>
                  </w:rPr>
                  <m:t>=</m:t>
                </m:r>
                <m:f>
                  <m:fPr>
                    <m:ctrlPr>
                      <w:rPr>
                        <w:rFonts w:ascii="Cambria Math" w:hAnsi="Cambria Math"/>
                        <w:sz w:val="21"/>
                        <w:szCs w:val="21"/>
                      </w:rPr>
                    </m:ctrlPr>
                  </m:fPr>
                  <m:num>
                    <m:nary>
                      <m:naryPr>
                        <m:chr m:val="∑"/>
                        <m:limLoc m:val="undOvr"/>
                        <m:ctrlPr>
                          <w:rPr>
                            <w:rFonts w:ascii="Cambria Math" w:hAnsi="Cambria Math"/>
                            <w:sz w:val="21"/>
                            <w:szCs w:val="21"/>
                          </w:rPr>
                        </m:ctrlPr>
                      </m:naryPr>
                      <m:sub>
                        <m:r>
                          <w:rPr>
                            <w:rFonts w:ascii="Cambria Math" w:hAnsi="Cambria Math"/>
                            <w:sz w:val="21"/>
                            <w:szCs w:val="21"/>
                          </w:rPr>
                          <m:t>i=0</m:t>
                        </m:r>
                      </m:sub>
                      <m:sup>
                        <m:r>
                          <w:rPr>
                            <w:rFonts w:ascii="Cambria Math" w:hAnsi="Cambria Math"/>
                            <w:sz w:val="21"/>
                            <w:szCs w:val="21"/>
                          </w:rPr>
                          <m:t>n-j+1</m:t>
                        </m:r>
                      </m:sup>
                      <m:e>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i,j+1</m:t>
                            </m:r>
                          </m:sub>
                        </m:sSub>
                      </m:e>
                    </m:nary>
                  </m:num>
                  <m:den>
                    <m:nary>
                      <m:naryPr>
                        <m:chr m:val="∑"/>
                        <m:limLoc m:val="undOvr"/>
                        <m:ctrlPr>
                          <w:rPr>
                            <w:rFonts w:ascii="Cambria Math" w:hAnsi="Cambria Math"/>
                            <w:sz w:val="21"/>
                            <w:szCs w:val="21"/>
                          </w:rPr>
                        </m:ctrlPr>
                      </m:naryPr>
                      <m:sub>
                        <m:r>
                          <w:rPr>
                            <w:rFonts w:ascii="Cambria Math" w:hAnsi="Cambria Math"/>
                            <w:sz w:val="21"/>
                            <w:szCs w:val="21"/>
                          </w:rPr>
                          <m:t>i=0</m:t>
                        </m:r>
                      </m:sub>
                      <m:sup>
                        <m:r>
                          <w:rPr>
                            <w:rFonts w:ascii="Cambria Math" w:hAnsi="Cambria Math"/>
                            <w:sz w:val="21"/>
                            <w:szCs w:val="21"/>
                          </w:rPr>
                          <m:t>n-j+1</m:t>
                        </m:r>
                      </m:sup>
                      <m:e>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i,j</m:t>
                            </m:r>
                          </m:sub>
                        </m:sSub>
                      </m:e>
                    </m:nary>
                  </m:den>
                </m:f>
                <m:r>
                  <w:rPr>
                    <w:rFonts w:ascii="Cambria Math" w:hAnsi="Cambria Math"/>
                    <w:sz w:val="21"/>
                    <w:szCs w:val="21"/>
                  </w:rPr>
                  <m:t> ,  </m:t>
                </m:r>
                <m:d>
                  <m:dPr>
                    <m:ctrlPr>
                      <w:rPr>
                        <w:rFonts w:ascii="Cambria Math" w:hAnsi="Cambria Math"/>
                        <w:sz w:val="21"/>
                        <w:szCs w:val="21"/>
                      </w:rPr>
                    </m:ctrlPr>
                  </m:dPr>
                  <m:e>
                    <m:r>
                      <w:rPr>
                        <w:rFonts w:ascii="Cambria Math" w:hAnsi="Cambria Math"/>
                        <w:sz w:val="21"/>
                        <w:szCs w:val="21"/>
                      </w:rPr>
                      <m:t>27</m:t>
                    </m:r>
                  </m:e>
                </m:d>
              </m:oMath>
            </m:oMathPara>
          </w:p>
          <w:p w:rsidR="005B279D" w:rsidRPr="002844B1" w:rsidRDefault="00000000" w:rsidP="0061492D">
            <w:pPr>
              <w:pStyle w:val="FirstParagraph"/>
              <w:spacing w:after="16"/>
              <w:jc w:val="both"/>
            </w:pPr>
            <w:r w:rsidRPr="002844B1">
              <w:rPr>
                <w:sz w:val="21"/>
                <w:szCs w:val="21"/>
              </w:rPr>
              <w:t xml:space="preserve">où </w:t>
            </w:r>
            <m:oMath>
              <m:sSub>
                <m:sSubPr>
                  <m:ctrlPr>
                    <w:rPr>
                      <w:rFonts w:ascii="Cambria Math" w:hAnsi="Cambria Math"/>
                      <w:sz w:val="21"/>
                      <w:szCs w:val="21"/>
                    </w:rPr>
                  </m:ctrlPr>
                </m:sSubPr>
                <m:e>
                  <m:r>
                    <w:rPr>
                      <w:rFonts w:ascii="Cambria Math" w:hAnsi="Cambria Math"/>
                      <w:sz w:val="21"/>
                      <w:szCs w:val="21"/>
                    </w:rPr>
                    <m:t>f</m:t>
                  </m:r>
                </m:e>
                <m:sub>
                  <m:r>
                    <w:rPr>
                      <w:rFonts w:ascii="Cambria Math" w:hAnsi="Cambria Math"/>
                      <w:sz w:val="21"/>
                      <w:szCs w:val="21"/>
                    </w:rPr>
                    <m:t>j</m:t>
                  </m:r>
                </m:sub>
              </m:sSub>
            </m:oMath>
            <w:r w:rsidRPr="002844B1">
              <w:rPr>
                <w:sz w:val="21"/>
                <w:szCs w:val="21"/>
              </w:rPr>
              <w:t xml:space="preserve"> est le facteur de développement commun de l’année de développement </w:t>
            </w:r>
            <m:oMath>
              <m:r>
                <w:rPr>
                  <w:rFonts w:ascii="Cambria Math" w:hAnsi="Cambria Math"/>
                  <w:sz w:val="21"/>
                  <w:szCs w:val="21"/>
                </w:rPr>
                <m:t>j</m:t>
              </m:r>
            </m:oMath>
            <w:r w:rsidRPr="002844B1">
              <w:rPr>
                <w:sz w:val="21"/>
                <w:szCs w:val="21"/>
              </w:rPr>
              <w:t xml:space="preserve"> à </w:t>
            </w:r>
            <m:oMath>
              <m:r>
                <w:rPr>
                  <w:rFonts w:ascii="Cambria Math" w:hAnsi="Cambria Math"/>
                  <w:sz w:val="21"/>
                  <w:szCs w:val="21"/>
                </w:rPr>
                <m:t>j+1</m:t>
              </m:r>
            </m:oMath>
            <w:r w:rsidRPr="002844B1">
              <w:rPr>
                <w:sz w:val="21"/>
                <w:szCs w:val="21"/>
              </w:rPr>
              <w:t xml:space="preserve">, </w:t>
            </w:r>
            <m:oMath>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i,j</m:t>
                  </m:r>
                </m:sub>
              </m:sSub>
            </m:oMath>
            <w:r w:rsidRPr="002844B1">
              <w:rPr>
                <w:sz w:val="21"/>
                <w:szCs w:val="21"/>
              </w:rPr>
              <w:t xml:space="preserve"> est le règlement cumulé de l’année de survenance </w:t>
            </w:r>
            <m:oMath>
              <m:r>
                <w:rPr>
                  <w:rFonts w:ascii="Cambria Math" w:hAnsi="Cambria Math"/>
                  <w:sz w:val="21"/>
                  <w:szCs w:val="21"/>
                </w:rPr>
                <m:t>i</m:t>
              </m:r>
            </m:oMath>
            <w:r w:rsidRPr="002844B1">
              <w:rPr>
                <w:sz w:val="21"/>
                <w:szCs w:val="21"/>
              </w:rPr>
              <w:t xml:space="preserve"> à l’année de développement </w:t>
            </w:r>
            <m:oMath>
              <m:r>
                <w:rPr>
                  <w:rFonts w:ascii="Cambria Math" w:hAnsi="Cambria Math"/>
                  <w:sz w:val="21"/>
                  <w:szCs w:val="21"/>
                </w:rPr>
                <m:t>j</m:t>
              </m:r>
            </m:oMath>
            <w:r w:rsidRPr="002844B1">
              <w:rPr>
                <w:sz w:val="21"/>
                <w:szCs w:val="21"/>
              </w:rPr>
              <w:t xml:space="preserve">, et </w:t>
            </w:r>
            <m:oMath>
              <m:r>
                <w:rPr>
                  <w:rFonts w:ascii="Cambria Math" w:hAnsi="Cambria Math"/>
                  <w:sz w:val="21"/>
                  <w:szCs w:val="21"/>
                </w:rPr>
                <m:t>n</m:t>
              </m:r>
            </m:oMath>
            <w:r w:rsidRPr="002844B1">
              <w:rPr>
                <w:sz w:val="21"/>
                <w:szCs w:val="21"/>
              </w:rPr>
              <w:t xml:space="preserve"> est le nombre d’années de survenance</w:t>
            </w:r>
          </w:p>
        </w:tc>
      </w:tr>
      <w:tr w:rsidR="005B279D" w:rsidRPr="002844B1" w:rsidTr="005B279D">
        <w:trPr>
          <w:cantSplit/>
        </w:trPr>
        <w:tc>
          <w:tcPr>
            <w:tcW w:w="0" w:type="auto"/>
            <w:shd w:val="clear" w:color="auto" w:fill="DAE6FB"/>
            <w:tcMar>
              <w:top w:w="92" w:type="dxa"/>
              <w:bottom w:w="92" w:type="dxa"/>
            </w:tcMar>
          </w:tcPr>
          <w:p w:rsidR="005B279D" w:rsidRPr="002844B1" w:rsidRDefault="00000000">
            <w:pPr>
              <w:pStyle w:val="BodyText"/>
              <w:spacing w:before="0" w:after="0"/>
              <w:textAlignment w:val="center"/>
            </w:pPr>
            <w:r w:rsidRPr="002844B1">
              <w:rPr>
                <w:noProof/>
              </w:rPr>
              <w:drawing>
                <wp:inline distT="0" distB="0" distL="0" distR="0">
                  <wp:extent cx="152400" cy="152400"/>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Applications/quarto/share/formats/docx/note.png"/>
                          <pic:cNvPicPr>
                            <a:picLocks noChangeAspect="1" noChangeArrowheads="1"/>
                          </pic:cNvPicPr>
                        </pic:nvPicPr>
                        <pic:blipFill>
                          <a:blip r:embed="rId18"/>
                          <a:stretch>
                            <a:fillRect/>
                          </a:stretch>
                        </pic:blipFill>
                        <pic:spPr bwMode="auto">
                          <a:xfrm>
                            <a:off x="0" y="0"/>
                            <a:ext cx="152400" cy="152400"/>
                          </a:xfrm>
                          <a:prstGeom prst="rect">
                            <a:avLst/>
                          </a:prstGeom>
                          <a:noFill/>
                          <a:ln w="9525">
                            <a:noFill/>
                            <a:headEnd/>
                            <a:tailEnd/>
                          </a:ln>
                        </pic:spPr>
                      </pic:pic>
                    </a:graphicData>
                  </a:graphic>
                </wp:inline>
              </w:drawing>
            </w:r>
            <w:r w:rsidRPr="002844B1">
              <w:t xml:space="preserve">  </w:t>
            </w:r>
            <w:r w:rsidR="002844B1" w:rsidRPr="002844B1">
              <w:t>Étape</w:t>
            </w:r>
            <w:r w:rsidRPr="002844B1">
              <w:t xml:space="preserve"> 5 :Calcul des règlements cumulés futurs par année de survenance :</w:t>
            </w:r>
          </w:p>
        </w:tc>
      </w:tr>
      <w:tr w:rsidR="005B279D" w:rsidRPr="002844B1" w:rsidTr="005B279D">
        <w:trPr>
          <w:cantSplit/>
        </w:trPr>
        <w:tc>
          <w:tcPr>
            <w:tcW w:w="0" w:type="auto"/>
            <w:tcMar>
              <w:top w:w="108" w:type="dxa"/>
              <w:bottom w:w="108" w:type="dxa"/>
            </w:tcMar>
          </w:tcPr>
          <w:p w:rsidR="005B279D" w:rsidRPr="002844B1" w:rsidRDefault="00000000" w:rsidP="0061492D">
            <w:pPr>
              <w:pStyle w:val="BodyText"/>
              <w:spacing w:before="16"/>
              <w:jc w:val="both"/>
              <w:rPr>
                <w:sz w:val="21"/>
                <w:szCs w:val="21"/>
              </w:rPr>
            </w:pPr>
            <w:r w:rsidRPr="002844B1">
              <w:rPr>
                <w:sz w:val="21"/>
                <w:szCs w:val="21"/>
              </w:rPr>
              <w:lastRenderedPageBreak/>
              <w:t>Les règlements cumulés futurs sont estimés sur la base du triangle cumulé comme suit :</w:t>
            </w:r>
          </w:p>
          <w:p w:rsidR="005B279D" w:rsidRPr="002844B1" w:rsidRDefault="00000000" w:rsidP="0061492D">
            <w:pPr>
              <w:pStyle w:val="BodyText"/>
              <w:jc w:val="both"/>
              <w:rPr>
                <w:sz w:val="21"/>
                <w:szCs w:val="21"/>
              </w:rPr>
            </w:pPr>
            <m:oMathPara>
              <m:oMathParaPr>
                <m:jc m:val="center"/>
              </m:oMathParaPr>
              <m:oMath>
                <m:sSub>
                  <m:sSubPr>
                    <m:ctrlPr>
                      <w:rPr>
                        <w:rFonts w:ascii="Cambria Math" w:hAnsi="Cambria Math"/>
                        <w:sz w:val="21"/>
                        <w:szCs w:val="21"/>
                      </w:rPr>
                    </m:ctrlPr>
                  </m:sSubPr>
                  <m:e>
                    <m:acc>
                      <m:accPr>
                        <m:ctrlPr>
                          <w:rPr>
                            <w:rFonts w:ascii="Cambria Math" w:hAnsi="Cambria Math"/>
                            <w:sz w:val="21"/>
                            <w:szCs w:val="21"/>
                          </w:rPr>
                        </m:ctrlPr>
                      </m:accPr>
                      <m:e>
                        <m:r>
                          <w:rPr>
                            <w:rFonts w:ascii="Cambria Math" w:hAnsi="Cambria Math"/>
                            <w:sz w:val="21"/>
                            <w:szCs w:val="21"/>
                          </w:rPr>
                          <m:t>C</m:t>
                        </m:r>
                      </m:e>
                    </m:acc>
                  </m:e>
                  <m:sub>
                    <m:r>
                      <w:rPr>
                        <w:rFonts w:ascii="Cambria Math" w:hAnsi="Cambria Math"/>
                        <w:sz w:val="21"/>
                        <w:szCs w:val="21"/>
                      </w:rPr>
                      <m:t>i,j+1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i,n-i</m:t>
                    </m:r>
                  </m:sub>
                </m:sSub>
                <m:r>
                  <w:rPr>
                    <w:rFonts w:ascii="Cambria Math" w:hAnsi="Cambria Math"/>
                    <w:sz w:val="21"/>
                    <w:szCs w:val="21"/>
                  </w:rPr>
                  <m:t>×</m:t>
                </m:r>
                <m:nary>
                  <m:naryPr>
                    <m:chr m:val="∏"/>
                    <m:limLoc m:val="undOvr"/>
                    <m:ctrlPr>
                      <w:rPr>
                        <w:rFonts w:ascii="Cambria Math" w:hAnsi="Cambria Math"/>
                        <w:sz w:val="21"/>
                        <w:szCs w:val="21"/>
                      </w:rPr>
                    </m:ctrlPr>
                  </m:naryPr>
                  <m:sub>
                    <m:r>
                      <w:rPr>
                        <w:rFonts w:ascii="Cambria Math" w:hAnsi="Cambria Math"/>
                        <w:sz w:val="21"/>
                        <w:szCs w:val="21"/>
                      </w:rPr>
                      <m:t>k=n-i</m:t>
                    </m:r>
                  </m:sub>
                  <m:sup>
                    <m:r>
                      <w:rPr>
                        <w:rFonts w:ascii="Cambria Math" w:hAnsi="Cambria Math"/>
                        <w:sz w:val="21"/>
                        <w:szCs w:val="21"/>
                      </w:rPr>
                      <m:t>j</m:t>
                    </m:r>
                  </m:sup>
                  <m:e>
                    <m:sSub>
                      <m:sSubPr>
                        <m:ctrlPr>
                          <w:rPr>
                            <w:rFonts w:ascii="Cambria Math" w:hAnsi="Cambria Math"/>
                            <w:sz w:val="21"/>
                            <w:szCs w:val="21"/>
                          </w:rPr>
                        </m:ctrlPr>
                      </m:sSubPr>
                      <m:e>
                        <m:acc>
                          <m:accPr>
                            <m:ctrlPr>
                              <w:rPr>
                                <w:rFonts w:ascii="Cambria Math" w:hAnsi="Cambria Math"/>
                                <w:sz w:val="21"/>
                                <w:szCs w:val="21"/>
                              </w:rPr>
                            </m:ctrlPr>
                          </m:accPr>
                          <m:e>
                            <m:r>
                              <w:rPr>
                                <w:rFonts w:ascii="Cambria Math" w:hAnsi="Cambria Math"/>
                                <w:sz w:val="21"/>
                                <w:szCs w:val="21"/>
                              </w:rPr>
                              <m:t>f</m:t>
                            </m:r>
                          </m:e>
                        </m:acc>
                      </m:e>
                      <m:sub>
                        <m:r>
                          <w:rPr>
                            <w:rFonts w:ascii="Cambria Math" w:hAnsi="Cambria Math"/>
                            <w:sz w:val="21"/>
                            <w:szCs w:val="21"/>
                          </w:rPr>
                          <m:t>k</m:t>
                        </m:r>
                      </m:sub>
                    </m:sSub>
                  </m:e>
                </m:nary>
                <m:r>
                  <w:rPr>
                    <w:rFonts w:ascii="Cambria Math" w:hAnsi="Cambria Math"/>
                    <w:sz w:val="21"/>
                    <w:szCs w:val="21"/>
                  </w:rPr>
                  <m:t> ,  </m:t>
                </m:r>
                <m:d>
                  <m:dPr>
                    <m:ctrlPr>
                      <w:rPr>
                        <w:rFonts w:ascii="Cambria Math" w:hAnsi="Cambria Math"/>
                        <w:sz w:val="21"/>
                        <w:szCs w:val="21"/>
                      </w:rPr>
                    </m:ctrlPr>
                  </m:dPr>
                  <m:e>
                    <m:r>
                      <w:rPr>
                        <w:rFonts w:ascii="Cambria Math" w:hAnsi="Cambria Math"/>
                        <w:sz w:val="21"/>
                        <w:szCs w:val="21"/>
                      </w:rPr>
                      <m:t>28</m:t>
                    </m:r>
                  </m:e>
                </m:d>
              </m:oMath>
            </m:oMathPara>
          </w:p>
          <w:p w:rsidR="005B279D" w:rsidRPr="002844B1" w:rsidRDefault="00000000" w:rsidP="0061492D">
            <w:pPr>
              <w:pStyle w:val="FirstParagraph"/>
              <w:jc w:val="both"/>
              <w:rPr>
                <w:sz w:val="21"/>
                <w:szCs w:val="21"/>
              </w:rPr>
            </w:pPr>
            <w:r w:rsidRPr="002844B1">
              <w:rPr>
                <w:sz w:val="21"/>
                <w:szCs w:val="21"/>
              </w:rPr>
              <w:t xml:space="preserve">où </w:t>
            </w:r>
            <m:oMath>
              <m:sSub>
                <m:sSubPr>
                  <m:ctrlPr>
                    <w:rPr>
                      <w:rFonts w:ascii="Cambria Math" w:hAnsi="Cambria Math"/>
                      <w:sz w:val="21"/>
                      <w:szCs w:val="21"/>
                    </w:rPr>
                  </m:ctrlPr>
                </m:sSubPr>
                <m:e>
                  <m:acc>
                    <m:accPr>
                      <m:ctrlPr>
                        <w:rPr>
                          <w:rFonts w:ascii="Cambria Math" w:hAnsi="Cambria Math"/>
                          <w:sz w:val="21"/>
                          <w:szCs w:val="21"/>
                        </w:rPr>
                      </m:ctrlPr>
                    </m:accPr>
                    <m:e>
                      <m:r>
                        <w:rPr>
                          <w:rFonts w:ascii="Cambria Math" w:hAnsi="Cambria Math"/>
                          <w:sz w:val="21"/>
                          <w:szCs w:val="21"/>
                        </w:rPr>
                        <m:t>C</m:t>
                      </m:r>
                    </m:e>
                  </m:acc>
                </m:e>
                <m:sub>
                  <m:r>
                    <w:rPr>
                      <w:rFonts w:ascii="Cambria Math" w:hAnsi="Cambria Math"/>
                      <w:sz w:val="21"/>
                      <w:szCs w:val="21"/>
                    </w:rPr>
                    <m:t>i,j+1</m:t>
                  </m:r>
                </m:sub>
              </m:sSub>
            </m:oMath>
            <w:r w:rsidRPr="002844B1">
              <w:rPr>
                <w:sz w:val="21"/>
                <w:szCs w:val="21"/>
              </w:rPr>
              <w:t xml:space="preserve"> est le règlement cumulé futur de l’année de survenance </w:t>
            </w:r>
            <m:oMath>
              <m:r>
                <w:rPr>
                  <w:rFonts w:ascii="Cambria Math" w:hAnsi="Cambria Math"/>
                  <w:sz w:val="21"/>
                  <w:szCs w:val="21"/>
                </w:rPr>
                <m:t>i</m:t>
              </m:r>
            </m:oMath>
            <w:r w:rsidRPr="002844B1">
              <w:rPr>
                <w:sz w:val="21"/>
                <w:szCs w:val="21"/>
              </w:rPr>
              <w:t xml:space="preserve">, </w:t>
            </w:r>
            <m:oMath>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i,n-i</m:t>
                  </m:r>
                </m:sub>
              </m:sSub>
            </m:oMath>
            <w:r w:rsidRPr="002844B1">
              <w:rPr>
                <w:sz w:val="21"/>
                <w:szCs w:val="21"/>
              </w:rPr>
              <w:t xml:space="preserve"> est le règlement cumulé de l’année de survenance </w:t>
            </w:r>
            <m:oMath>
              <m:r>
                <w:rPr>
                  <w:rFonts w:ascii="Cambria Math" w:hAnsi="Cambria Math"/>
                  <w:sz w:val="21"/>
                  <w:szCs w:val="21"/>
                </w:rPr>
                <m:t>i</m:t>
              </m:r>
            </m:oMath>
            <w:r w:rsidRPr="002844B1">
              <w:rPr>
                <w:sz w:val="21"/>
                <w:szCs w:val="21"/>
              </w:rPr>
              <w:t xml:space="preserve"> à l’année de développement </w:t>
            </w:r>
            <m:oMath>
              <m:r>
                <w:rPr>
                  <w:rFonts w:ascii="Cambria Math" w:hAnsi="Cambria Math"/>
                  <w:sz w:val="21"/>
                  <w:szCs w:val="21"/>
                </w:rPr>
                <m:t>n-i</m:t>
              </m:r>
            </m:oMath>
            <w:r w:rsidRPr="002844B1">
              <w:rPr>
                <w:sz w:val="21"/>
                <w:szCs w:val="21"/>
              </w:rPr>
              <w:t xml:space="preserve">, </w:t>
            </w:r>
            <m:oMath>
              <m:sSub>
                <m:sSubPr>
                  <m:ctrlPr>
                    <w:rPr>
                      <w:rFonts w:ascii="Cambria Math" w:hAnsi="Cambria Math"/>
                      <w:sz w:val="21"/>
                      <w:szCs w:val="21"/>
                    </w:rPr>
                  </m:ctrlPr>
                </m:sSubPr>
                <m:e>
                  <m:acc>
                    <m:accPr>
                      <m:ctrlPr>
                        <w:rPr>
                          <w:rFonts w:ascii="Cambria Math" w:hAnsi="Cambria Math"/>
                          <w:sz w:val="21"/>
                          <w:szCs w:val="21"/>
                        </w:rPr>
                      </m:ctrlPr>
                    </m:accPr>
                    <m:e>
                      <m:r>
                        <w:rPr>
                          <w:rFonts w:ascii="Cambria Math" w:hAnsi="Cambria Math"/>
                          <w:sz w:val="21"/>
                          <w:szCs w:val="21"/>
                        </w:rPr>
                        <m:t>f</m:t>
                      </m:r>
                    </m:e>
                  </m:acc>
                </m:e>
                <m:sub>
                  <m:r>
                    <w:rPr>
                      <w:rFonts w:ascii="Cambria Math" w:hAnsi="Cambria Math"/>
                      <w:sz w:val="21"/>
                      <w:szCs w:val="21"/>
                    </w:rPr>
                    <m:t>k</m:t>
                  </m:r>
                </m:sub>
              </m:sSub>
            </m:oMath>
            <w:r w:rsidRPr="002844B1">
              <w:rPr>
                <w:sz w:val="21"/>
                <w:szCs w:val="21"/>
              </w:rPr>
              <w:t xml:space="preserve"> est le facteur de développement commun de l’année de développement </w:t>
            </w:r>
            <m:oMath>
              <m:r>
                <w:rPr>
                  <w:rFonts w:ascii="Cambria Math" w:hAnsi="Cambria Math"/>
                  <w:sz w:val="21"/>
                  <w:szCs w:val="21"/>
                </w:rPr>
                <m:t>k</m:t>
              </m:r>
            </m:oMath>
            <w:r w:rsidRPr="002844B1">
              <w:rPr>
                <w:sz w:val="21"/>
                <w:szCs w:val="21"/>
              </w:rPr>
              <w:t xml:space="preserve"> à </w:t>
            </w:r>
            <m:oMath>
              <m:r>
                <w:rPr>
                  <w:rFonts w:ascii="Cambria Math" w:hAnsi="Cambria Math"/>
                  <w:sz w:val="21"/>
                  <w:szCs w:val="21"/>
                </w:rPr>
                <m:t>k+1</m:t>
              </m:r>
            </m:oMath>
            <w:r w:rsidRPr="002844B1">
              <w:rPr>
                <w:sz w:val="21"/>
                <w:szCs w:val="21"/>
              </w:rPr>
              <w:t xml:space="preserve">, et </w:t>
            </w:r>
            <m:oMath>
              <m:r>
                <w:rPr>
                  <w:rFonts w:ascii="Cambria Math" w:hAnsi="Cambria Math"/>
                  <w:sz w:val="21"/>
                  <w:szCs w:val="21"/>
                </w:rPr>
                <m:t>n</m:t>
              </m:r>
            </m:oMath>
            <w:r w:rsidRPr="002844B1">
              <w:rPr>
                <w:sz w:val="21"/>
                <w:szCs w:val="21"/>
              </w:rPr>
              <w:t xml:space="preserve"> est le nombre d’années de survenance.</w:t>
            </w:r>
          </w:p>
          <w:p w:rsidR="005B279D" w:rsidRPr="002844B1" w:rsidRDefault="00000000" w:rsidP="0061492D">
            <w:pPr>
              <w:pStyle w:val="BodyText"/>
              <w:jc w:val="both"/>
              <w:rPr>
                <w:sz w:val="21"/>
                <w:szCs w:val="21"/>
              </w:rPr>
            </w:pPr>
            <w:r w:rsidRPr="002844B1">
              <w:rPr>
                <w:sz w:val="21"/>
                <w:szCs w:val="21"/>
              </w:rPr>
              <w:t>La Provision pour Sinistre à Payer (</w:t>
            </w:r>
            <m:oMath>
              <m:r>
                <w:rPr>
                  <w:rFonts w:ascii="Cambria Math" w:hAnsi="Cambria Math"/>
                  <w:sz w:val="21"/>
                  <w:szCs w:val="21"/>
                </w:rPr>
                <m:t>PSAP</m:t>
              </m:r>
            </m:oMath>
            <w:r w:rsidRPr="002844B1">
              <w:rPr>
                <w:sz w:val="21"/>
                <w:szCs w:val="21"/>
              </w:rPr>
              <w:t xml:space="preserve">) est déduite des </w:t>
            </w:r>
            <m:oMath>
              <m:sSub>
                <m:sSubPr>
                  <m:ctrlPr>
                    <w:rPr>
                      <w:rFonts w:ascii="Cambria Math" w:hAnsi="Cambria Math"/>
                      <w:sz w:val="21"/>
                      <w:szCs w:val="21"/>
                    </w:rPr>
                  </m:ctrlPr>
                </m:sSubPr>
                <m:e>
                  <m:acc>
                    <m:accPr>
                      <m:ctrlPr>
                        <w:rPr>
                          <w:rFonts w:ascii="Cambria Math" w:hAnsi="Cambria Math"/>
                          <w:sz w:val="21"/>
                          <w:szCs w:val="21"/>
                        </w:rPr>
                      </m:ctrlPr>
                    </m:accPr>
                    <m:e>
                      <m:r>
                        <w:rPr>
                          <w:rFonts w:ascii="Cambria Math" w:hAnsi="Cambria Math"/>
                          <w:sz w:val="21"/>
                          <w:szCs w:val="21"/>
                        </w:rPr>
                        <m:t>C</m:t>
                      </m:r>
                    </m:e>
                  </m:acc>
                </m:e>
                <m:sub>
                  <m:r>
                    <w:rPr>
                      <w:rFonts w:ascii="Cambria Math" w:hAnsi="Cambria Math"/>
                      <w:sz w:val="21"/>
                      <w:szCs w:val="21"/>
                    </w:rPr>
                    <m:t>i,j</m:t>
                  </m:r>
                </m:sub>
              </m:sSub>
            </m:oMath>
            <w:r w:rsidRPr="002844B1">
              <w:rPr>
                <w:sz w:val="21"/>
                <w:szCs w:val="21"/>
              </w:rPr>
              <w:t xml:space="preserve"> et des </w:t>
            </w:r>
            <m:oMath>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i,j</m:t>
                  </m:r>
                </m:sub>
              </m:sSub>
            </m:oMath>
            <w:r w:rsidRPr="002844B1">
              <w:rPr>
                <w:sz w:val="21"/>
                <w:szCs w:val="21"/>
              </w:rPr>
              <w:t xml:space="preserve"> par la formule :</w:t>
            </w:r>
          </w:p>
          <w:p w:rsidR="005B279D" w:rsidRPr="002844B1" w:rsidRDefault="005B279D" w:rsidP="0061492D">
            <w:pPr>
              <w:pStyle w:val="BodyText"/>
              <w:spacing w:after="16"/>
              <w:jc w:val="both"/>
              <w:rPr>
                <w:sz w:val="21"/>
                <w:szCs w:val="21"/>
              </w:rPr>
            </w:pPr>
          </w:p>
          <w:p w:rsidR="005B279D" w:rsidRPr="002844B1" w:rsidRDefault="00000000" w:rsidP="0061492D">
            <w:pPr>
              <w:pStyle w:val="BodyText"/>
              <w:jc w:val="both"/>
            </w:pPr>
            <m:oMathPara>
              <m:oMathParaPr>
                <m:jc m:val="center"/>
              </m:oMathParaPr>
              <m:oMath>
                <m:r>
                  <w:rPr>
                    <w:rFonts w:ascii="Cambria Math" w:hAnsi="Cambria Math"/>
                    <w:sz w:val="21"/>
                    <w:szCs w:val="21"/>
                  </w:rPr>
                  <m:t>PSAP=</m:t>
                </m:r>
                <m:nary>
                  <m:naryPr>
                    <m:chr m:val="∑"/>
                    <m:limLoc m:val="undOvr"/>
                    <m:ctrlPr>
                      <w:rPr>
                        <w:rFonts w:ascii="Cambria Math" w:hAnsi="Cambria Math"/>
                        <w:sz w:val="21"/>
                        <w:szCs w:val="21"/>
                      </w:rPr>
                    </m:ctrlPr>
                  </m:naryPr>
                  <m:sub>
                    <m:r>
                      <w:rPr>
                        <w:rFonts w:ascii="Cambria Math" w:hAnsi="Cambria Math"/>
                        <w:sz w:val="21"/>
                        <w:szCs w:val="21"/>
                      </w:rPr>
                      <m:t>i=0</m:t>
                    </m:r>
                  </m:sub>
                  <m:sup>
                    <m:r>
                      <w:rPr>
                        <w:rFonts w:ascii="Cambria Math" w:hAnsi="Cambria Math"/>
                        <w:sz w:val="21"/>
                        <w:szCs w:val="21"/>
                      </w:rPr>
                      <m:t>n-1</m:t>
                    </m:r>
                  </m:sup>
                  <m:e>
                    <m:d>
                      <m:dPr>
                        <m:ctrlPr>
                          <w:rPr>
                            <w:rFonts w:ascii="Cambria Math" w:hAnsi="Cambria Math"/>
                            <w:sz w:val="21"/>
                            <w:szCs w:val="21"/>
                          </w:rPr>
                        </m:ctrlPr>
                      </m:dPr>
                      <m:e>
                        <m:sSub>
                          <m:sSubPr>
                            <m:ctrlPr>
                              <w:rPr>
                                <w:rFonts w:ascii="Cambria Math" w:hAnsi="Cambria Math"/>
                                <w:sz w:val="21"/>
                                <w:szCs w:val="21"/>
                              </w:rPr>
                            </m:ctrlPr>
                          </m:sSubPr>
                          <m:e>
                            <m:acc>
                              <m:accPr>
                                <m:ctrlPr>
                                  <w:rPr>
                                    <w:rFonts w:ascii="Cambria Math" w:hAnsi="Cambria Math"/>
                                    <w:sz w:val="21"/>
                                    <w:szCs w:val="21"/>
                                  </w:rPr>
                                </m:ctrlPr>
                              </m:accPr>
                              <m:e>
                                <m:r>
                                  <w:rPr>
                                    <w:rFonts w:ascii="Cambria Math" w:hAnsi="Cambria Math"/>
                                    <w:sz w:val="21"/>
                                    <w:szCs w:val="21"/>
                                  </w:rPr>
                                  <m:t>C</m:t>
                                </m:r>
                              </m:e>
                            </m:acc>
                          </m:e>
                          <m:sub>
                            <m:r>
                              <w:rPr>
                                <w:rFonts w:ascii="Cambria Math" w:hAnsi="Cambria Math"/>
                                <w:sz w:val="21"/>
                                <w:szCs w:val="21"/>
                              </w:rPr>
                              <m:t>i,n</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i,n-i</m:t>
                            </m:r>
                          </m:sub>
                        </m:sSub>
                      </m:e>
                    </m:d>
                  </m:e>
                </m:nary>
                <m:r>
                  <w:rPr>
                    <w:rFonts w:ascii="Cambria Math" w:hAnsi="Cambria Math"/>
                    <w:sz w:val="21"/>
                    <w:szCs w:val="21"/>
                  </w:rPr>
                  <m:t>  </m:t>
                </m:r>
                <m:d>
                  <m:dPr>
                    <m:ctrlPr>
                      <w:rPr>
                        <w:rFonts w:ascii="Cambria Math" w:hAnsi="Cambria Math"/>
                        <w:sz w:val="21"/>
                        <w:szCs w:val="21"/>
                      </w:rPr>
                    </m:ctrlPr>
                  </m:dPr>
                  <m:e>
                    <m:r>
                      <w:rPr>
                        <w:rFonts w:ascii="Cambria Math" w:hAnsi="Cambria Math"/>
                        <w:sz w:val="21"/>
                        <w:szCs w:val="21"/>
                      </w:rPr>
                      <m:t>29</m:t>
                    </m:r>
                  </m:e>
                </m:d>
              </m:oMath>
            </m:oMathPara>
          </w:p>
        </w:tc>
      </w:tr>
      <w:tr w:rsidR="005B279D" w:rsidRPr="002844B1" w:rsidTr="005B279D">
        <w:trPr>
          <w:cantSplit/>
        </w:trPr>
        <w:tc>
          <w:tcPr>
            <w:tcW w:w="0" w:type="auto"/>
            <w:shd w:val="clear" w:color="auto" w:fill="DAE6FB"/>
            <w:tcMar>
              <w:top w:w="92" w:type="dxa"/>
              <w:bottom w:w="92" w:type="dxa"/>
            </w:tcMar>
          </w:tcPr>
          <w:p w:rsidR="005B279D" w:rsidRPr="002844B1" w:rsidRDefault="00000000">
            <w:pPr>
              <w:pStyle w:val="FirstParagraph"/>
              <w:spacing w:before="0" w:after="0"/>
              <w:textAlignment w:val="center"/>
            </w:pPr>
            <w:r w:rsidRPr="002844B1">
              <w:rPr>
                <w:noProof/>
              </w:rPr>
              <w:drawing>
                <wp:inline distT="0" distB="0" distL="0" distR="0">
                  <wp:extent cx="152400" cy="152400"/>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Applications/quarto/share/formats/docx/note.png"/>
                          <pic:cNvPicPr>
                            <a:picLocks noChangeAspect="1" noChangeArrowheads="1"/>
                          </pic:cNvPicPr>
                        </pic:nvPicPr>
                        <pic:blipFill>
                          <a:blip r:embed="rId18"/>
                          <a:stretch>
                            <a:fillRect/>
                          </a:stretch>
                        </pic:blipFill>
                        <pic:spPr bwMode="auto">
                          <a:xfrm>
                            <a:off x="0" y="0"/>
                            <a:ext cx="152400" cy="152400"/>
                          </a:xfrm>
                          <a:prstGeom prst="rect">
                            <a:avLst/>
                          </a:prstGeom>
                          <a:noFill/>
                          <a:ln w="9525">
                            <a:noFill/>
                            <a:headEnd/>
                            <a:tailEnd/>
                          </a:ln>
                        </pic:spPr>
                      </pic:pic>
                    </a:graphicData>
                  </a:graphic>
                </wp:inline>
              </w:drawing>
            </w:r>
            <w:r w:rsidRPr="002844B1">
              <w:t xml:space="preserve">  </w:t>
            </w:r>
            <w:r w:rsidR="002844B1" w:rsidRPr="002844B1">
              <w:t>Étape</w:t>
            </w:r>
            <w:r w:rsidRPr="002844B1">
              <w:t xml:space="preserve"> 6 : Constitution du triangle des règlements décumulés futurs par année de survenance :</w:t>
            </w:r>
          </w:p>
        </w:tc>
      </w:tr>
      <w:tr w:rsidR="005B279D" w:rsidRPr="002844B1" w:rsidTr="005B279D">
        <w:trPr>
          <w:cantSplit/>
        </w:trPr>
        <w:tc>
          <w:tcPr>
            <w:tcW w:w="0" w:type="auto"/>
            <w:tcMar>
              <w:top w:w="108" w:type="dxa"/>
              <w:bottom w:w="108" w:type="dxa"/>
            </w:tcMar>
          </w:tcPr>
          <w:p w:rsidR="005B279D" w:rsidRPr="002844B1" w:rsidRDefault="00000000" w:rsidP="0061492D">
            <w:pPr>
              <w:pStyle w:val="BodyText"/>
              <w:spacing w:before="16"/>
              <w:jc w:val="both"/>
              <w:rPr>
                <w:sz w:val="21"/>
                <w:szCs w:val="21"/>
              </w:rPr>
            </w:pPr>
            <w:r w:rsidRPr="002844B1">
              <w:rPr>
                <w:sz w:val="21"/>
                <w:szCs w:val="21"/>
              </w:rPr>
              <w:t xml:space="preserve">A la sortie de l’étape 5, nous </w:t>
            </w:r>
            <w:r w:rsidR="002844B1" w:rsidRPr="002844B1">
              <w:rPr>
                <w:sz w:val="21"/>
                <w:szCs w:val="21"/>
              </w:rPr>
              <w:t>disposerons</w:t>
            </w:r>
            <w:r w:rsidRPr="002844B1">
              <w:rPr>
                <w:sz w:val="21"/>
                <w:szCs w:val="21"/>
              </w:rPr>
              <w:t xml:space="preserve"> d’une matrice de règlements cumulés. Cette étape consiste à la décumuler en utilisant la formule suivante :</w:t>
            </w:r>
          </w:p>
          <w:p w:rsidR="005B279D" w:rsidRPr="002844B1" w:rsidRDefault="005B279D" w:rsidP="0061492D">
            <w:pPr>
              <w:pStyle w:val="BodyText"/>
              <w:spacing w:after="16"/>
              <w:jc w:val="both"/>
              <w:rPr>
                <w:sz w:val="21"/>
                <w:szCs w:val="21"/>
              </w:rPr>
            </w:pPr>
          </w:p>
          <w:p w:rsidR="005B279D" w:rsidRPr="002844B1" w:rsidRDefault="00000000" w:rsidP="0061492D">
            <w:pPr>
              <w:pStyle w:val="BodyText"/>
              <w:jc w:val="both"/>
              <w:rPr>
                <w:sz w:val="21"/>
                <w:szCs w:val="21"/>
              </w:rPr>
            </w:pPr>
            <m:oMathPara>
              <m:oMathParaPr>
                <m:jc m:val="center"/>
              </m:oMathParaPr>
              <m:oMath>
                <m:sSub>
                  <m:sSubPr>
                    <m:ctrlPr>
                      <w:rPr>
                        <w:rFonts w:ascii="Cambria Math" w:hAnsi="Cambria Math"/>
                        <w:sz w:val="21"/>
                        <w:szCs w:val="21"/>
                      </w:rPr>
                    </m:ctrlPr>
                  </m:sSubPr>
                  <m:e>
                    <m:acc>
                      <m:accPr>
                        <m:ctrlPr>
                          <w:rPr>
                            <w:rFonts w:ascii="Cambria Math" w:hAnsi="Cambria Math"/>
                            <w:sz w:val="21"/>
                            <w:szCs w:val="21"/>
                          </w:rPr>
                        </m:ctrlPr>
                      </m:accPr>
                      <m:e>
                        <m:r>
                          <w:rPr>
                            <w:rFonts w:ascii="Cambria Math" w:hAnsi="Cambria Math"/>
                            <w:sz w:val="21"/>
                            <w:szCs w:val="21"/>
                          </w:rPr>
                          <m:t>R</m:t>
                        </m:r>
                      </m:e>
                    </m:acc>
                  </m:e>
                  <m:sub>
                    <m:r>
                      <w:rPr>
                        <w:rFonts w:ascii="Cambria Math" w:hAnsi="Cambria Math"/>
                        <w:sz w:val="21"/>
                        <w:szCs w:val="21"/>
                      </w:rPr>
                      <m:t>i,j</m:t>
                    </m:r>
                  </m:sub>
                </m:sSub>
                <m:r>
                  <w:rPr>
                    <w:rFonts w:ascii="Cambria Math" w:hAnsi="Cambria Math"/>
                    <w:sz w:val="21"/>
                    <w:szCs w:val="21"/>
                  </w:rPr>
                  <m:t>=</m:t>
                </m:r>
                <m:sSub>
                  <m:sSubPr>
                    <m:ctrlPr>
                      <w:rPr>
                        <w:rFonts w:ascii="Cambria Math" w:hAnsi="Cambria Math"/>
                        <w:sz w:val="21"/>
                        <w:szCs w:val="21"/>
                      </w:rPr>
                    </m:ctrlPr>
                  </m:sSubPr>
                  <m:e>
                    <m:acc>
                      <m:accPr>
                        <m:ctrlPr>
                          <w:rPr>
                            <w:rFonts w:ascii="Cambria Math" w:hAnsi="Cambria Math"/>
                            <w:sz w:val="21"/>
                            <w:szCs w:val="21"/>
                          </w:rPr>
                        </m:ctrlPr>
                      </m:accPr>
                      <m:e>
                        <m:r>
                          <w:rPr>
                            <w:rFonts w:ascii="Cambria Math" w:hAnsi="Cambria Math"/>
                            <w:sz w:val="21"/>
                            <w:szCs w:val="21"/>
                          </w:rPr>
                          <m:t>C</m:t>
                        </m:r>
                      </m:e>
                    </m:acc>
                  </m:e>
                  <m:sub>
                    <m:r>
                      <w:rPr>
                        <w:rFonts w:ascii="Cambria Math" w:hAnsi="Cambria Math"/>
                        <w:sz w:val="21"/>
                        <w:szCs w:val="21"/>
                      </w:rPr>
                      <m:t>i,j</m:t>
                    </m:r>
                  </m:sub>
                </m:sSub>
                <m:r>
                  <w:rPr>
                    <w:rFonts w:ascii="Cambria Math" w:hAnsi="Cambria Math"/>
                    <w:sz w:val="21"/>
                    <w:szCs w:val="21"/>
                  </w:rPr>
                  <m:t>-</m:t>
                </m:r>
                <m:sSub>
                  <m:sSubPr>
                    <m:ctrlPr>
                      <w:rPr>
                        <w:rFonts w:ascii="Cambria Math" w:hAnsi="Cambria Math"/>
                        <w:sz w:val="21"/>
                        <w:szCs w:val="21"/>
                      </w:rPr>
                    </m:ctrlPr>
                  </m:sSubPr>
                  <m:e>
                    <m:acc>
                      <m:accPr>
                        <m:ctrlPr>
                          <w:rPr>
                            <w:rFonts w:ascii="Cambria Math" w:hAnsi="Cambria Math"/>
                            <w:sz w:val="21"/>
                            <w:szCs w:val="21"/>
                          </w:rPr>
                        </m:ctrlPr>
                      </m:accPr>
                      <m:e>
                        <m:r>
                          <w:rPr>
                            <w:rFonts w:ascii="Cambria Math" w:hAnsi="Cambria Math"/>
                            <w:sz w:val="21"/>
                            <w:szCs w:val="21"/>
                          </w:rPr>
                          <m:t>C</m:t>
                        </m:r>
                      </m:e>
                    </m:acc>
                  </m:e>
                  <m:sub>
                    <m:r>
                      <w:rPr>
                        <w:rFonts w:ascii="Cambria Math" w:hAnsi="Cambria Math"/>
                        <w:sz w:val="21"/>
                        <w:szCs w:val="21"/>
                      </w:rPr>
                      <m:t>i,j-1</m:t>
                    </m:r>
                  </m:sub>
                </m:sSub>
                <m:r>
                  <w:rPr>
                    <w:rFonts w:ascii="Cambria Math" w:hAnsi="Cambria Math"/>
                    <w:sz w:val="21"/>
                    <w:szCs w:val="21"/>
                  </w:rPr>
                  <m:t>   pour  1≤i,j≤n ,  </m:t>
                </m:r>
                <m:d>
                  <m:dPr>
                    <m:ctrlPr>
                      <w:rPr>
                        <w:rFonts w:ascii="Cambria Math" w:hAnsi="Cambria Math"/>
                        <w:sz w:val="21"/>
                        <w:szCs w:val="21"/>
                      </w:rPr>
                    </m:ctrlPr>
                  </m:dPr>
                  <m:e>
                    <m:r>
                      <w:rPr>
                        <w:rFonts w:ascii="Cambria Math" w:hAnsi="Cambria Math"/>
                        <w:sz w:val="21"/>
                        <w:szCs w:val="21"/>
                      </w:rPr>
                      <m:t>30</m:t>
                    </m:r>
                  </m:e>
                </m:d>
              </m:oMath>
            </m:oMathPara>
          </w:p>
          <w:p w:rsidR="005B279D" w:rsidRPr="002844B1" w:rsidRDefault="00000000" w:rsidP="0061492D">
            <w:pPr>
              <w:pStyle w:val="FirstParagraph"/>
              <w:jc w:val="both"/>
            </w:pPr>
            <w:r w:rsidRPr="002844B1">
              <w:rPr>
                <w:sz w:val="21"/>
                <w:szCs w:val="21"/>
              </w:rPr>
              <w:t xml:space="preserve">avec : </w:t>
            </w:r>
            <m:oMath>
              <m:sSub>
                <m:sSubPr>
                  <m:ctrlPr>
                    <w:rPr>
                      <w:rFonts w:ascii="Cambria Math" w:hAnsi="Cambria Math"/>
                      <w:sz w:val="21"/>
                      <w:szCs w:val="21"/>
                    </w:rPr>
                  </m:ctrlPr>
                </m:sSubPr>
                <m:e>
                  <m:acc>
                    <m:accPr>
                      <m:ctrlPr>
                        <w:rPr>
                          <w:rFonts w:ascii="Cambria Math" w:hAnsi="Cambria Math"/>
                          <w:sz w:val="21"/>
                          <w:szCs w:val="21"/>
                        </w:rPr>
                      </m:ctrlPr>
                    </m:accPr>
                    <m:e>
                      <m:r>
                        <w:rPr>
                          <w:rFonts w:ascii="Cambria Math" w:hAnsi="Cambria Math"/>
                          <w:sz w:val="21"/>
                          <w:szCs w:val="21"/>
                        </w:rPr>
                        <m:t>C</m:t>
                      </m:r>
                    </m:e>
                  </m:acc>
                </m:e>
                <m:sub>
                  <m:r>
                    <w:rPr>
                      <w:rFonts w:ascii="Cambria Math" w:hAnsi="Cambria Math"/>
                      <w:sz w:val="21"/>
                      <w:szCs w:val="21"/>
                    </w:rPr>
                    <m:t>i,j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i,j</m:t>
                  </m:r>
                </m:sub>
              </m:sSub>
            </m:oMath>
            <w:r w:rsidRPr="002844B1">
              <w:rPr>
                <w:sz w:val="21"/>
                <w:szCs w:val="21"/>
              </w:rPr>
              <w:t xml:space="preserve"> lorsque </w:t>
            </w:r>
            <m:oMath>
              <m:r>
                <w:rPr>
                  <w:rFonts w:ascii="Cambria Math" w:hAnsi="Cambria Math"/>
                  <w:sz w:val="21"/>
                  <w:szCs w:val="21"/>
                </w:rPr>
                <m:t>i≤j</m:t>
              </m:r>
            </m:oMath>
            <w:r w:rsidRPr="002844B1">
              <w:rPr>
                <w:sz w:val="21"/>
                <w:szCs w:val="21"/>
              </w:rPr>
              <w:t>.</w:t>
            </w:r>
          </w:p>
        </w:tc>
      </w:tr>
      <w:tr w:rsidR="005B279D" w:rsidRPr="002844B1" w:rsidTr="005B279D">
        <w:trPr>
          <w:cantSplit/>
        </w:trPr>
        <w:tc>
          <w:tcPr>
            <w:tcW w:w="0" w:type="auto"/>
            <w:shd w:val="clear" w:color="auto" w:fill="DAE6FB"/>
            <w:tcMar>
              <w:top w:w="92" w:type="dxa"/>
              <w:bottom w:w="92" w:type="dxa"/>
            </w:tcMar>
          </w:tcPr>
          <w:p w:rsidR="005B279D" w:rsidRPr="002844B1" w:rsidRDefault="00000000">
            <w:pPr>
              <w:pStyle w:val="BodyText"/>
              <w:spacing w:before="0" w:after="0"/>
              <w:textAlignment w:val="center"/>
            </w:pPr>
            <w:r w:rsidRPr="002844B1">
              <w:rPr>
                <w:noProof/>
              </w:rPr>
              <w:drawing>
                <wp:inline distT="0" distB="0" distL="0" distR="0">
                  <wp:extent cx="152400" cy="152400"/>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Applications/quarto/share/formats/docx/note.png"/>
                          <pic:cNvPicPr>
                            <a:picLocks noChangeAspect="1" noChangeArrowheads="1"/>
                          </pic:cNvPicPr>
                        </pic:nvPicPr>
                        <pic:blipFill>
                          <a:blip r:embed="rId18"/>
                          <a:stretch>
                            <a:fillRect/>
                          </a:stretch>
                        </pic:blipFill>
                        <pic:spPr bwMode="auto">
                          <a:xfrm>
                            <a:off x="0" y="0"/>
                            <a:ext cx="152400" cy="152400"/>
                          </a:xfrm>
                          <a:prstGeom prst="rect">
                            <a:avLst/>
                          </a:prstGeom>
                          <a:noFill/>
                          <a:ln w="9525">
                            <a:noFill/>
                            <a:headEnd/>
                            <a:tailEnd/>
                          </a:ln>
                        </pic:spPr>
                      </pic:pic>
                    </a:graphicData>
                  </a:graphic>
                </wp:inline>
              </w:drawing>
            </w:r>
            <w:r w:rsidRPr="002844B1">
              <w:t xml:space="preserve">  </w:t>
            </w:r>
            <w:r w:rsidR="002844B1" w:rsidRPr="002844B1">
              <w:t>Étape</w:t>
            </w:r>
            <w:r w:rsidRPr="002844B1">
              <w:t xml:space="preserve"> 7 : Calcul des flux de règlements futurs nets de recours (somme des diagonales) :</w:t>
            </w:r>
          </w:p>
        </w:tc>
      </w:tr>
      <w:tr w:rsidR="005B279D" w:rsidRPr="002844B1" w:rsidTr="005B279D">
        <w:trPr>
          <w:cantSplit/>
        </w:trPr>
        <w:tc>
          <w:tcPr>
            <w:tcW w:w="0" w:type="auto"/>
            <w:tcMar>
              <w:top w:w="108" w:type="dxa"/>
              <w:bottom w:w="108" w:type="dxa"/>
            </w:tcMar>
          </w:tcPr>
          <w:p w:rsidR="005B279D" w:rsidRPr="002844B1" w:rsidRDefault="00000000" w:rsidP="0061492D">
            <w:pPr>
              <w:pStyle w:val="BodyText"/>
              <w:spacing w:before="16" w:after="16"/>
              <w:jc w:val="both"/>
              <w:rPr>
                <w:sz w:val="21"/>
                <w:szCs w:val="21"/>
              </w:rPr>
            </w:pPr>
            <w:r w:rsidRPr="002844B1">
              <w:rPr>
                <w:sz w:val="21"/>
                <w:szCs w:val="21"/>
              </w:rPr>
              <w:t>Les flux de règlements futurs nets correspondent à la somme des éléments de la diagonales du triangle décumulé inférieur obtenu à l’étape 6 :</w:t>
            </w:r>
          </w:p>
          <w:p w:rsidR="005B279D" w:rsidRPr="002844B1" w:rsidRDefault="00000000">
            <w:pPr>
              <w:pStyle w:val="BodyText"/>
            </w:pPr>
            <m:oMathPara>
              <m:oMathParaPr>
                <m:jc m:val="center"/>
              </m:oMathParaPr>
              <m:oMath>
                <m:r>
                  <w:rPr>
                    <w:rFonts w:ascii="Cambria Math" w:hAnsi="Cambria Math"/>
                  </w:rPr>
                  <m:t>FRFP=</m:t>
                </m:r>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hAnsi="Cambria Math"/>
                      </w:rPr>
                      <m:t>p</m:t>
                    </m:r>
                  </m:sub>
                </m:sSub>
                <m:r>
                  <w:rPr>
                    <w:rFonts w:ascii="Cambria Math" w:hAnsi="Cambria Math"/>
                  </w:rPr>
                  <m:t>=</m:t>
                </m:r>
                <m:nary>
                  <m:naryPr>
                    <m:chr m:val="∑"/>
                    <m:limLoc m:val="undOvr"/>
                    <m:ctrlPr>
                      <w:rPr>
                        <w:rFonts w:ascii="Cambria Math" w:hAnsi="Cambria Math"/>
                      </w:rPr>
                    </m:ctrlPr>
                  </m:naryPr>
                  <m:sub>
                    <m:r>
                      <w:rPr>
                        <w:rFonts w:ascii="Cambria Math" w:hAnsi="Cambria Math"/>
                      </w:rPr>
                      <m:t>i=p+1</m:t>
                    </m:r>
                  </m:sub>
                  <m:sup>
                    <m:r>
                      <w:rPr>
                        <w:rFonts w:ascii="Cambria Math" w:hAnsi="Cambria Math"/>
                      </w:rPr>
                      <m:t>n</m:t>
                    </m:r>
                  </m:sup>
                  <m:e>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hAnsi="Cambria Math"/>
                          </w:rPr>
                          <m:t>i,n-i+p+1</m:t>
                        </m:r>
                      </m:sub>
                    </m:sSub>
                  </m:e>
                </m:nary>
                <m:r>
                  <w:rPr>
                    <w:rFonts w:ascii="Cambria Math" w:hAnsi="Cambria Math"/>
                  </w:rPr>
                  <m:t>  avec  1≤p≤n  </m:t>
                </m:r>
                <m:d>
                  <m:dPr>
                    <m:ctrlPr>
                      <w:rPr>
                        <w:rFonts w:ascii="Cambria Math" w:hAnsi="Cambria Math"/>
                      </w:rPr>
                    </m:ctrlPr>
                  </m:dPr>
                  <m:e>
                    <m:r>
                      <w:rPr>
                        <w:rFonts w:ascii="Cambria Math" w:hAnsi="Cambria Math"/>
                      </w:rPr>
                      <m:t>31</m:t>
                    </m:r>
                  </m:e>
                </m:d>
              </m:oMath>
            </m:oMathPara>
          </w:p>
        </w:tc>
      </w:tr>
    </w:tbl>
    <w:p w:rsidR="005B279D" w:rsidRPr="002844B1" w:rsidRDefault="00000000" w:rsidP="0061492D">
      <w:pPr>
        <w:pStyle w:val="FirstParagraph"/>
        <w:jc w:val="both"/>
        <w:rPr>
          <w:sz w:val="21"/>
          <w:szCs w:val="21"/>
        </w:rPr>
      </w:pPr>
      <w:r w:rsidRPr="002844B1">
        <w:rPr>
          <w:sz w:val="21"/>
          <w:szCs w:val="21"/>
        </w:rPr>
        <w:t xml:space="preserve">Bien que la méthode de Chain Ladder soit celle préconisée par l’ACAPS dans le cadre de la </w:t>
      </w:r>
      <m:oMath>
        <m:r>
          <w:rPr>
            <w:rFonts w:ascii="Cambria Math" w:hAnsi="Cambria Math"/>
            <w:sz w:val="21"/>
            <w:szCs w:val="21"/>
          </w:rPr>
          <m:t>SBR</m:t>
        </m:r>
      </m:oMath>
      <w:r w:rsidRPr="002844B1">
        <w:rPr>
          <w:sz w:val="21"/>
          <w:szCs w:val="21"/>
        </w:rPr>
        <w:t>, il existe sur marché d’autres méthodes de calcul des flux de règlements futurs.</w:t>
      </w:r>
    </w:p>
    <w:p w:rsidR="005B279D" w:rsidRPr="002844B1" w:rsidRDefault="00000000">
      <w:pPr>
        <w:pStyle w:val="Heading4"/>
      </w:pPr>
      <w:bookmarkStart w:id="72" w:name="méthode-des-cadences-avec-inflation"/>
      <w:bookmarkEnd w:id="71"/>
      <w:r w:rsidRPr="002844B1">
        <w:t>Méthode des cadences avec inflation</w:t>
      </w:r>
    </w:p>
    <w:p w:rsidR="005B279D" w:rsidRPr="002844B1" w:rsidRDefault="00000000" w:rsidP="0061492D">
      <w:pPr>
        <w:pStyle w:val="FirstParagraph"/>
        <w:jc w:val="both"/>
        <w:rPr>
          <w:sz w:val="21"/>
          <w:szCs w:val="21"/>
        </w:rPr>
      </w:pPr>
      <w:r w:rsidRPr="002844B1">
        <w:rPr>
          <w:sz w:val="21"/>
          <w:szCs w:val="21"/>
        </w:rPr>
        <w:t xml:space="preserve">Cette variante de la méthode des cadences tient compte de l’inflation de façon explicite. On calcule les paiements annuels en faisant la différence entre les colonnes successives du triangle des paiements cumulés. On ajuste ces paiements annuels en devises (MAD par exemple) constants en utilisant un indice d’inflation, </w:t>
      </w:r>
      <w:r w:rsidRPr="002844B1">
        <w:rPr>
          <w:sz w:val="21"/>
          <w:szCs w:val="21"/>
        </w:rPr>
        <w:lastRenderedPageBreak/>
        <w:t>puis on les cumule pour obtenir un triangle de montants cumulés en francs constants. On applique ensuite la méthode des cadences.</w:t>
      </w:r>
    </w:p>
    <w:p w:rsidR="005B279D" w:rsidRPr="002844B1" w:rsidRDefault="00000000">
      <w:pPr>
        <w:pStyle w:val="Heading4"/>
      </w:pPr>
      <w:bookmarkStart w:id="73" w:name="la-méthode-du-ratio-de-paiement"/>
      <w:bookmarkEnd w:id="72"/>
      <w:r w:rsidRPr="002844B1">
        <w:t>La méthode du ratio de paiement</w:t>
      </w:r>
    </w:p>
    <w:p w:rsidR="005B279D" w:rsidRPr="002844B1" w:rsidRDefault="00000000" w:rsidP="0061492D">
      <w:pPr>
        <w:pStyle w:val="FirstParagraph"/>
        <w:jc w:val="both"/>
        <w:rPr>
          <w:sz w:val="21"/>
          <w:szCs w:val="21"/>
        </w:rPr>
      </w:pPr>
      <w:r w:rsidRPr="002844B1">
        <w:rPr>
          <w:sz w:val="21"/>
          <w:szCs w:val="21"/>
        </w:rPr>
        <w:t xml:space="preserve">Cette méthode a été à Sawkins 1975 est semblable à la méthode des cadences de développement avec inflation, sauf que les coefficients de passage </w:t>
      </w:r>
      <m:oMath>
        <m:sSub>
          <m:sSubPr>
            <m:ctrlPr>
              <w:rPr>
                <w:rFonts w:ascii="Cambria Math" w:hAnsi="Cambria Math"/>
                <w:sz w:val="21"/>
                <w:szCs w:val="21"/>
              </w:rPr>
            </m:ctrlPr>
          </m:sSubPr>
          <m:e>
            <m:acc>
              <m:accPr>
                <m:ctrlPr>
                  <w:rPr>
                    <w:rFonts w:ascii="Cambria Math" w:hAnsi="Cambria Math"/>
                    <w:sz w:val="21"/>
                    <w:szCs w:val="21"/>
                  </w:rPr>
                </m:ctrlPr>
              </m:accPr>
              <m:e>
                <m:r>
                  <w:rPr>
                    <w:rFonts w:ascii="Cambria Math" w:hAnsi="Cambria Math"/>
                    <w:sz w:val="21"/>
                    <w:szCs w:val="21"/>
                  </w:rPr>
                  <m:t>f</m:t>
                </m:r>
              </m:e>
            </m:acc>
          </m:e>
          <m:sub>
            <m:r>
              <w:rPr>
                <w:rFonts w:ascii="Cambria Math" w:hAnsi="Cambria Math"/>
                <w:sz w:val="21"/>
                <w:szCs w:val="21"/>
              </w:rPr>
              <m:t>j</m:t>
            </m:r>
          </m:sub>
        </m:sSub>
      </m:oMath>
      <w:r w:rsidRPr="002844B1">
        <w:rPr>
          <w:sz w:val="21"/>
          <w:szCs w:val="21"/>
        </w:rPr>
        <w:t xml:space="preserve"> sont calculés comme une moyenne de ratios et non comme un ratio de moyennes :</w:t>
      </w:r>
    </w:p>
    <w:p w:rsidR="005B279D" w:rsidRPr="002844B1" w:rsidRDefault="00000000">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f</m:t>
                  </m:r>
                </m:e>
              </m:acc>
            </m:e>
            <m:sub>
              <m:r>
                <w:rPr>
                  <w:rFonts w:ascii="Cambria Math" w:hAnsi="Cambria Math"/>
                </w:rPr>
                <m:t>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n-j-1</m:t>
              </m:r>
            </m:den>
          </m:f>
          <m:nary>
            <m:naryPr>
              <m:chr m:val="∑"/>
              <m:limLoc m:val="undOvr"/>
              <m:ctrlPr>
                <w:rPr>
                  <w:rFonts w:ascii="Cambria Math" w:hAnsi="Cambria Math"/>
                </w:rPr>
              </m:ctrlPr>
            </m:naryPr>
            <m:sub>
              <m:r>
                <w:rPr>
                  <w:rFonts w:ascii="Cambria Math" w:hAnsi="Cambria Math"/>
                </w:rPr>
                <m:t>i=0</m:t>
              </m:r>
            </m:sub>
            <m:sup>
              <m:r>
                <w:rPr>
                  <w:rFonts w:ascii="Cambria Math" w:hAnsi="Cambria Math"/>
                </w:rPr>
                <m:t>n-j-1</m:t>
              </m:r>
            </m:sup>
            <m:e>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i,j+1</m:t>
                      </m:r>
                    </m:sub>
                  </m:sSub>
                </m:num>
                <m:den>
                  <m:sSub>
                    <m:sSubPr>
                      <m:ctrlPr>
                        <w:rPr>
                          <w:rFonts w:ascii="Cambria Math" w:hAnsi="Cambria Math"/>
                        </w:rPr>
                      </m:ctrlPr>
                    </m:sSubPr>
                    <m:e>
                      <m:r>
                        <w:rPr>
                          <w:rFonts w:ascii="Cambria Math" w:hAnsi="Cambria Math"/>
                        </w:rPr>
                        <m:t>C</m:t>
                      </m:r>
                    </m:e>
                    <m:sub>
                      <m:r>
                        <w:rPr>
                          <w:rFonts w:ascii="Cambria Math" w:hAnsi="Cambria Math"/>
                        </w:rPr>
                        <m:t>i,j</m:t>
                      </m:r>
                    </m:sub>
                  </m:sSub>
                </m:den>
              </m:f>
            </m:e>
          </m:nary>
          <m:r>
            <w:rPr>
              <w:rFonts w:ascii="Cambria Math" w:hAnsi="Cambria Math"/>
            </w:rPr>
            <m:t>  </m:t>
          </m:r>
          <m:d>
            <m:dPr>
              <m:ctrlPr>
                <w:rPr>
                  <w:rFonts w:ascii="Cambria Math" w:hAnsi="Cambria Math"/>
                </w:rPr>
              </m:ctrlPr>
            </m:dPr>
            <m:e>
              <m:r>
                <w:rPr>
                  <w:rFonts w:ascii="Cambria Math" w:hAnsi="Cambria Math"/>
                </w:rPr>
                <m:t>32</m:t>
              </m:r>
            </m:e>
          </m:d>
        </m:oMath>
      </m:oMathPara>
    </w:p>
    <w:p w:rsidR="005B279D" w:rsidRPr="002844B1" w:rsidRDefault="00000000">
      <w:pPr>
        <w:pStyle w:val="Heading4"/>
      </w:pPr>
      <w:bookmarkStart w:id="74" w:name="la-méthode-du-ratio-de-paiement-1"/>
      <w:bookmarkEnd w:id="73"/>
      <w:r w:rsidRPr="002844B1">
        <w:t>La méthode du ratio de paiement</w:t>
      </w:r>
    </w:p>
    <w:p w:rsidR="005B279D" w:rsidRPr="002844B1" w:rsidRDefault="00000000" w:rsidP="0061492D">
      <w:pPr>
        <w:pStyle w:val="FirstParagraph"/>
        <w:jc w:val="both"/>
        <w:rPr>
          <w:sz w:val="21"/>
          <w:szCs w:val="21"/>
        </w:rPr>
      </w:pPr>
      <w:r w:rsidRPr="002844B1">
        <w:rPr>
          <w:sz w:val="21"/>
          <w:szCs w:val="21"/>
        </w:rPr>
        <w:t>La méthode de Bornhuetter-Ferguson</w:t>
      </w:r>
      <w:r w:rsidRPr="002844B1">
        <w:rPr>
          <w:rStyle w:val="FootnoteReference"/>
          <w:sz w:val="20"/>
          <w:szCs w:val="20"/>
        </w:rPr>
        <w:footnoteReference w:id="9"/>
      </w:r>
      <w:r w:rsidRPr="002844B1">
        <w:rPr>
          <w:sz w:val="21"/>
          <w:szCs w:val="21"/>
        </w:rPr>
        <w:t xml:space="preserve"> est une méthode de provisionnement qui repose sur l’idée que les pertes finales, attendues pour une année de survenance sont connues a priori et que le rythme des paiements est stable d’une année à l’autre. Elle combine les caractéristiques de la méthode des cadences et de la méthode du ratio de sinistralité attendu. Elle utilise des facteurs de développement pour estimer le pourcentage de pertes rapportées ou payées et ajoute les pertes attendues multipliées par le pourcentage de pertes non rapportées ou non payées. Elle est surtout utilisée quand les pertes sont de faible fréquence mais de forte gravité.</w:t>
      </w:r>
    </w:p>
    <w:p w:rsidR="005B279D" w:rsidRPr="002844B1" w:rsidRDefault="00000000" w:rsidP="0061492D">
      <w:pPr>
        <w:pStyle w:val="BodyText"/>
        <w:jc w:val="both"/>
        <w:rPr>
          <w:sz w:val="21"/>
          <w:szCs w:val="21"/>
        </w:rPr>
      </w:pPr>
      <w:r w:rsidRPr="002844B1">
        <w:rPr>
          <w:sz w:val="21"/>
          <w:szCs w:val="21"/>
        </w:rPr>
        <w:t xml:space="preserve">En résumé, elle suppose que l’on dispose d’une information externe sur la valeur probable finale du coût total des sinistres, que l’on appelle </w:t>
      </w:r>
      <m:oMath>
        <m:r>
          <w:rPr>
            <w:rFonts w:ascii="Cambria Math" w:hAnsi="Cambria Math"/>
            <w:sz w:val="21"/>
            <w:szCs w:val="21"/>
          </w:rPr>
          <m:t>A</m:t>
        </m:r>
      </m:oMath>
      <w:r w:rsidRPr="002844B1">
        <w:rPr>
          <w:sz w:val="21"/>
          <w:szCs w:val="21"/>
        </w:rPr>
        <w:t xml:space="preserve">, et que l’on connaisse la proportion de sinistres attendus ( </w:t>
      </w:r>
      <w:r w:rsidR="002844B1" w:rsidRPr="002844B1">
        <w:rPr>
          <w:sz w:val="21"/>
          <w:szCs w:val="21"/>
        </w:rPr>
        <w:t>réf</w:t>
      </w:r>
      <w:r w:rsidRPr="002844B1">
        <w:rPr>
          <w:rStyle w:val="FootnoteReference"/>
          <w:sz w:val="20"/>
          <w:szCs w:val="20"/>
        </w:rPr>
        <w:footnoteReference w:id="10"/>
      </w:r>
      <w:r w:rsidRPr="002844B1">
        <w:rPr>
          <w:sz w:val="21"/>
          <w:szCs w:val="21"/>
        </w:rPr>
        <w:t xml:space="preserve"> ). Cette méthode se formule comme suit :</w:t>
      </w:r>
    </w:p>
    <w:p w:rsidR="005B279D" w:rsidRPr="002844B1" w:rsidRDefault="00000000">
      <w:pPr>
        <w:pStyle w:val="BodyText"/>
      </w:pPr>
      <m:oMathPara>
        <m:oMathParaPr>
          <m:jc m:val="center"/>
        </m:oMathParaPr>
        <m:oMath>
          <m:r>
            <w:rPr>
              <w:rFonts w:ascii="Cambria Math" w:hAnsi="Cambria Math"/>
            </w:rPr>
            <m:t>L=D×</m:t>
          </m:r>
          <m:f>
            <m:fPr>
              <m:ctrlPr>
                <w:rPr>
                  <w:rFonts w:ascii="Cambria Math" w:hAnsi="Cambria Math"/>
                </w:rPr>
              </m:ctrlPr>
            </m:fPr>
            <m:num>
              <m:r>
                <w:rPr>
                  <w:rFonts w:ascii="Cambria Math" w:hAnsi="Cambria Math"/>
                </w:rPr>
                <m:t>1</m:t>
              </m:r>
            </m:num>
            <m:den>
              <m:r>
                <w:rPr>
                  <w:rFonts w:ascii="Cambria Math" w:hAnsi="Cambria Math"/>
                </w:rPr>
                <m:t>LDF</m:t>
              </m:r>
            </m:den>
          </m:f>
          <m:r>
            <w:rPr>
              <w:rFonts w:ascii="Cambria Math" w:hAnsi="Cambria Math"/>
            </w:rPr>
            <m:t>+A×</m:t>
          </m:r>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1</m:t>
                  </m:r>
                </m:num>
                <m:den>
                  <m:r>
                    <w:rPr>
                      <w:rFonts w:ascii="Cambria Math" w:hAnsi="Cambria Math"/>
                    </w:rPr>
                    <m:t>LDF</m:t>
                  </m:r>
                </m:den>
              </m:f>
            </m:e>
          </m:d>
          <m:r>
            <w:rPr>
              <w:rFonts w:ascii="Cambria Math" w:hAnsi="Cambria Math"/>
            </w:rPr>
            <m:t> ,  </m:t>
          </m:r>
          <m:d>
            <m:dPr>
              <m:ctrlPr>
                <w:rPr>
                  <w:rFonts w:ascii="Cambria Math" w:hAnsi="Cambria Math"/>
                </w:rPr>
              </m:ctrlPr>
            </m:dPr>
            <m:e>
              <m:r>
                <w:rPr>
                  <w:rFonts w:ascii="Cambria Math" w:hAnsi="Cambria Math"/>
                </w:rPr>
                <m:t>33</m:t>
              </m:r>
            </m:e>
          </m:d>
        </m:oMath>
      </m:oMathPara>
    </w:p>
    <w:p w:rsidR="005B279D" w:rsidRPr="002844B1" w:rsidRDefault="00000000">
      <w:pPr>
        <w:pStyle w:val="FirstParagraph"/>
      </w:pPr>
      <w:r w:rsidRPr="002844B1">
        <w:t>avec :</w:t>
      </w:r>
    </w:p>
    <w:p w:rsidR="005B279D" w:rsidRPr="002844B1" w:rsidRDefault="00000000" w:rsidP="005C634B">
      <w:pPr>
        <w:pStyle w:val="Compact"/>
        <w:numPr>
          <w:ilvl w:val="0"/>
          <w:numId w:val="34"/>
        </w:numPr>
        <w:jc w:val="both"/>
        <w:rPr>
          <w:sz w:val="21"/>
          <w:szCs w:val="21"/>
        </w:rPr>
      </w:pPr>
      <m:oMath>
        <m:r>
          <w:rPr>
            <w:rFonts w:ascii="Cambria Math" w:hAnsi="Cambria Math"/>
            <w:sz w:val="21"/>
            <w:szCs w:val="21"/>
          </w:rPr>
          <m:t>L</m:t>
        </m:r>
      </m:oMath>
      <w:r w:rsidRPr="002844B1">
        <w:rPr>
          <w:sz w:val="21"/>
          <w:szCs w:val="21"/>
        </w:rPr>
        <w:t xml:space="preserve"> : coût total estimé par cette méthode.</w:t>
      </w:r>
    </w:p>
    <w:p w:rsidR="005B279D" w:rsidRPr="002844B1" w:rsidRDefault="00000000" w:rsidP="005C634B">
      <w:pPr>
        <w:pStyle w:val="Compact"/>
        <w:numPr>
          <w:ilvl w:val="0"/>
          <w:numId w:val="34"/>
        </w:numPr>
        <w:jc w:val="both"/>
        <w:rPr>
          <w:sz w:val="21"/>
          <w:szCs w:val="21"/>
        </w:rPr>
      </w:pPr>
      <m:oMath>
        <m:r>
          <w:rPr>
            <w:rFonts w:ascii="Cambria Math" w:hAnsi="Cambria Math"/>
            <w:sz w:val="21"/>
            <w:szCs w:val="21"/>
          </w:rPr>
          <m:t>D</m:t>
        </m:r>
      </m:oMath>
      <w:r w:rsidRPr="002844B1">
        <w:rPr>
          <w:sz w:val="21"/>
          <w:szCs w:val="21"/>
        </w:rPr>
        <w:t xml:space="preserve"> : coût total estimé en fonction des sinistres connues.</w:t>
      </w:r>
    </w:p>
    <w:p w:rsidR="005B279D" w:rsidRPr="002844B1" w:rsidRDefault="00000000" w:rsidP="005C634B">
      <w:pPr>
        <w:pStyle w:val="Compact"/>
        <w:numPr>
          <w:ilvl w:val="0"/>
          <w:numId w:val="34"/>
        </w:numPr>
        <w:jc w:val="both"/>
        <w:rPr>
          <w:sz w:val="21"/>
          <w:szCs w:val="21"/>
        </w:rPr>
      </w:pPr>
      <m:oMath>
        <m:r>
          <w:rPr>
            <w:rFonts w:ascii="Cambria Math" w:hAnsi="Cambria Math"/>
            <w:sz w:val="21"/>
            <w:szCs w:val="21"/>
          </w:rPr>
          <m:t>A</m:t>
        </m:r>
      </m:oMath>
      <w:r w:rsidRPr="002844B1">
        <w:rPr>
          <w:sz w:val="21"/>
          <w:szCs w:val="21"/>
        </w:rPr>
        <w:t xml:space="preserve"> : coût total (connus + tardifs) attendu a priori.</w:t>
      </w:r>
    </w:p>
    <w:p w:rsidR="005B279D" w:rsidRPr="002844B1" w:rsidRDefault="00000000" w:rsidP="005C634B">
      <w:pPr>
        <w:pStyle w:val="Compact"/>
        <w:numPr>
          <w:ilvl w:val="0"/>
          <w:numId w:val="34"/>
        </w:numPr>
        <w:jc w:val="both"/>
        <w:rPr>
          <w:sz w:val="21"/>
          <w:szCs w:val="21"/>
        </w:rPr>
      </w:pPr>
      <m:oMath>
        <m:r>
          <w:rPr>
            <w:rFonts w:ascii="Cambria Math" w:hAnsi="Cambria Math"/>
            <w:sz w:val="21"/>
            <w:szCs w:val="21"/>
          </w:rPr>
          <m:t>LDF</m:t>
        </m:r>
      </m:oMath>
      <w:r w:rsidRPr="002844B1">
        <w:rPr>
          <w:sz w:val="21"/>
          <w:szCs w:val="21"/>
        </w:rPr>
        <w:t xml:space="preserve"> : proportion de la liquidation déjà constatée.</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638"/>
      </w:tblGrid>
      <w:tr w:rsidR="005B279D" w:rsidRPr="002844B1" w:rsidTr="005B279D">
        <w:trPr>
          <w:cantSplit/>
        </w:trPr>
        <w:tc>
          <w:tcPr>
            <w:tcW w:w="0" w:type="auto"/>
            <w:tcMar>
              <w:left w:w="144" w:type="dxa"/>
              <w:right w:w="144" w:type="dxa"/>
            </w:tcMar>
          </w:tcPr>
          <w:p w:rsidR="005B279D" w:rsidRPr="002844B1" w:rsidRDefault="00000000">
            <w:pPr>
              <w:pStyle w:val="FirstParagraph"/>
              <w:spacing w:before="0" w:after="8"/>
              <w:jc w:val="center"/>
            </w:pPr>
            <w:r w:rsidRPr="002844B1">
              <w:rPr>
                <w:noProof/>
              </w:rPr>
              <w:lastRenderedPageBreak/>
              <w:drawing>
                <wp:inline distT="0" distB="0" distL="0" distR="0">
                  <wp:extent cx="152400" cy="152400"/>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152" name="Picture" descr="/Applications/quarto/share/formats/docx/tip.png"/>
                          <pic:cNvPicPr>
                            <a:picLocks noChangeAspect="1" noChangeArrowheads="1"/>
                          </pic:cNvPicPr>
                        </pic:nvPicPr>
                        <pic:blipFill>
                          <a:blip r:embed="rId9"/>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rsidR="005B279D" w:rsidRPr="002844B1" w:rsidRDefault="00000000">
            <w:pPr>
              <w:pStyle w:val="BodyText"/>
              <w:spacing w:before="16" w:after="64"/>
            </w:pPr>
            <w:r w:rsidRPr="002844B1">
              <w:rPr>
                <w:b/>
                <w:bCs/>
              </w:rPr>
              <w:t>Exemple</w:t>
            </w:r>
          </w:p>
          <w:p w:rsidR="005B279D" w:rsidRPr="002844B1" w:rsidRDefault="00000000">
            <w:pPr>
              <w:pStyle w:val="BodyText"/>
              <w:spacing w:before="16"/>
            </w:pPr>
            <w:r w:rsidRPr="002844B1">
              <w:t xml:space="preserve">Imaginons que le tarif ait été fixé en prévoyant une sinistralité totale de </w:t>
            </w:r>
            <m:oMath>
              <m:r>
                <w:rPr>
                  <w:rFonts w:ascii="Cambria Math" w:hAnsi="Cambria Math"/>
                </w:rPr>
                <m:t>90</m:t>
              </m:r>
            </m:oMath>
            <w:r w:rsidRPr="002844B1">
              <w:t xml:space="preserve">, que la part des sinistres connus au premier bilan soit habituellement de </w:t>
            </w:r>
            <m:oMath>
              <m:r>
                <w:rPr>
                  <w:rFonts w:ascii="Cambria Math" w:hAnsi="Cambria Math"/>
                </w:rPr>
                <m:t>40%</m:t>
              </m:r>
            </m:oMath>
            <w:r w:rsidRPr="002844B1">
              <w:t xml:space="preserve"> et que la sinistralité observée au premier bilan soit de </w:t>
            </w:r>
            <m:oMath>
              <m:r>
                <w:rPr>
                  <w:rFonts w:ascii="Cambria Math" w:hAnsi="Cambria Math"/>
                </w:rPr>
                <m:t>36</m:t>
              </m:r>
            </m:oMath>
            <w:r w:rsidRPr="002844B1">
              <w:t>.</w:t>
            </w:r>
          </w:p>
          <w:p w:rsidR="005B279D" w:rsidRPr="002844B1" w:rsidRDefault="00000000">
            <w:pPr>
              <w:pStyle w:val="BodyText"/>
            </w:pPr>
            <w:r w:rsidRPr="002844B1">
              <w:t xml:space="preserve">Si l’on pense que le tarif était bien établi, il n’y a pas lieu de changer la sinistralité totale et le montant des tardifs à provisionner est de </w:t>
            </w:r>
            <m:oMath>
              <m:r>
                <w:rPr>
                  <w:rFonts w:ascii="Cambria Math" w:hAnsi="Cambria Math"/>
                </w:rPr>
                <m:t>90-36=54</m:t>
              </m:r>
            </m:oMath>
            <w:r w:rsidRPr="002844B1">
              <w:t>.</w:t>
            </w:r>
          </w:p>
          <w:p w:rsidR="005B279D" w:rsidRPr="002844B1" w:rsidRDefault="00000000">
            <w:pPr>
              <w:pStyle w:val="BodyText"/>
            </w:pPr>
            <w:r w:rsidRPr="002844B1">
              <w:t xml:space="preserve">Si l’on pense que la part des sinistres connus au premier bilan est un indicateur fiable, il y a lieu de considérer que la sinistralité totale sera de </w:t>
            </w:r>
            <m:oMath>
              <m:r>
                <w:rPr>
                  <w:rFonts w:ascii="Cambria Math" w:hAnsi="Cambria Math"/>
                </w:rPr>
                <m:t>36/40%=90</m:t>
              </m:r>
            </m:oMath>
            <w:r w:rsidRPr="002844B1">
              <w:t xml:space="preserve"> et de provisionner 54 de tardifs.</w:t>
            </w:r>
          </w:p>
          <w:p w:rsidR="005B279D" w:rsidRPr="002844B1" w:rsidRDefault="00000000">
            <w:pPr>
              <w:pStyle w:val="BodyText"/>
            </w:pPr>
            <w:r w:rsidRPr="002844B1">
              <w:t>L’application de la méthode Bornhuetter-Ferguson donne un résultat intermédiaire calculé ainsi :</w:t>
            </w:r>
          </w:p>
          <w:p w:rsidR="005B279D" w:rsidRPr="002844B1" w:rsidRDefault="00000000">
            <w:pPr>
              <w:pStyle w:val="BodyText"/>
              <w:spacing w:after="16"/>
            </w:pPr>
            <m:oMath>
              <m:r>
                <w:rPr>
                  <w:rFonts w:ascii="Cambria Math" w:hAnsi="Cambria Math"/>
                </w:rPr>
                <m:t>L=90×40%+90×60%=90</m:t>
              </m:r>
            </m:oMath>
            <w:r w:rsidRPr="002844B1">
              <w:t xml:space="preserve">, soit un volume de tardifs attendu de </w:t>
            </w:r>
            <m:oMath>
              <m:r>
                <w:rPr>
                  <w:rFonts w:ascii="Cambria Math" w:hAnsi="Cambria Math"/>
                </w:rPr>
                <m:t>54</m:t>
              </m:r>
            </m:oMath>
            <w:r w:rsidRPr="002844B1">
              <w:t>.</w:t>
            </w:r>
          </w:p>
        </w:tc>
      </w:tr>
    </w:tbl>
    <w:p w:rsidR="005B279D" w:rsidRPr="002844B1" w:rsidRDefault="00000000" w:rsidP="005C634B">
      <w:pPr>
        <w:pStyle w:val="BodyText"/>
        <w:jc w:val="both"/>
        <w:rPr>
          <w:sz w:val="21"/>
          <w:szCs w:val="21"/>
        </w:rPr>
      </w:pPr>
      <w:r w:rsidRPr="002844B1">
        <w:rPr>
          <w:sz w:val="21"/>
          <w:szCs w:val="21"/>
        </w:rPr>
        <w:t>Plusieurs auteurs ont exprimé l’opinion que cette méthode est plus performante que la méthode des cadences de développement, en début de développement.</w:t>
      </w:r>
    </w:p>
    <w:p w:rsidR="005B279D" w:rsidRPr="002844B1" w:rsidRDefault="00000000">
      <w:pPr>
        <w:pStyle w:val="Heading3"/>
      </w:pPr>
      <w:bookmarkStart w:id="75" w:name="X7e63ab4301a770f99d7cb8d654e83cd2564e4b4"/>
      <w:bookmarkStart w:id="76" w:name="_Toc137651019"/>
      <w:bookmarkEnd w:id="66"/>
      <w:bookmarkEnd w:id="74"/>
      <w:r w:rsidRPr="002844B1">
        <w:t>La meilleure estimation des frais de gestion</w:t>
      </w:r>
      <w:bookmarkEnd w:id="76"/>
    </w:p>
    <w:p w:rsidR="005B279D" w:rsidRPr="002844B1" w:rsidRDefault="00000000" w:rsidP="005C634B">
      <w:pPr>
        <w:pStyle w:val="FirstParagraph"/>
        <w:jc w:val="both"/>
        <w:rPr>
          <w:sz w:val="21"/>
          <w:szCs w:val="21"/>
        </w:rPr>
      </w:pPr>
      <w:r w:rsidRPr="002844B1">
        <w:rPr>
          <w:sz w:val="21"/>
          <w:szCs w:val="21"/>
        </w:rPr>
        <w:t>la meilleure estimation des frais de gestion correspond à la somme actualisée des flux de frais de gestion futurs liés aux contrats.</w:t>
      </w:r>
    </w:p>
    <w:p w:rsidR="005B279D" w:rsidRPr="002844B1" w:rsidRDefault="00000000">
      <w:pPr>
        <w:pStyle w:val="BodyText"/>
      </w:pPr>
      <m:oMathPara>
        <m:oMathParaPr>
          <m:jc m:val="center"/>
        </m:oMathParaPr>
        <m:oMath>
          <m:r>
            <w:rPr>
              <w:rFonts w:ascii="Cambria Math" w:hAnsi="Cambria Math"/>
            </w:rPr>
            <m:t>BEFG=</m:t>
          </m:r>
          <m:nary>
            <m:naryPr>
              <m:chr m:val="∑"/>
              <m:limLoc m:val="undOvr"/>
              <m:supHide m:val="1"/>
              <m:ctrlPr>
                <w:rPr>
                  <w:rFonts w:ascii="Cambria Math" w:hAnsi="Cambria Math"/>
                </w:rPr>
              </m:ctrlPr>
            </m:naryPr>
            <m:sub>
              <m:r>
                <w:rPr>
                  <w:rFonts w:ascii="Cambria Math" w:hAnsi="Cambria Math"/>
                </w:rPr>
                <m:t>t≥1</m:t>
              </m:r>
            </m:sub>
            <m:sup>
              <m:r>
                <w:rPr>
                  <w:rFonts w:ascii="Cambria Math" w:hAnsi="Cambria Math"/>
                </w:rPr>
                <m:t>​</m:t>
              </m:r>
            </m:sup>
            <m:e>
              <m:f>
                <m:fPr>
                  <m:ctrlPr>
                    <w:rPr>
                      <w:rFonts w:ascii="Cambria Math" w:hAnsi="Cambria Math"/>
                    </w:rPr>
                  </m:ctrlPr>
                </m:fPr>
                <m:num>
                  <m:r>
                    <w:rPr>
                      <w:rFonts w:ascii="Cambria Math" w:hAnsi="Cambria Math"/>
                    </w:rPr>
                    <m:t>FFG</m:t>
                  </m:r>
                  <m:sSub>
                    <m:sSubPr>
                      <m:ctrlPr>
                        <w:rPr>
                          <w:rFonts w:ascii="Cambria Math" w:hAnsi="Cambria Math"/>
                        </w:rPr>
                      </m:ctrlPr>
                    </m:sSubPr>
                    <m:e>
                      <m:r>
                        <w:rPr>
                          <w:rFonts w:ascii="Cambria Math" w:hAnsi="Cambria Math"/>
                        </w:rPr>
                        <m:t>F</m:t>
                      </m:r>
                    </m:e>
                    <m:sub>
                      <m:r>
                        <w:rPr>
                          <w:rFonts w:ascii="Cambria Math" w:hAnsi="Cambria Math"/>
                        </w:rPr>
                        <m:t>t</m:t>
                      </m:r>
                    </m:sub>
                  </m:sSub>
                </m:num>
                <m:den>
                  <m:sSup>
                    <m:sSupPr>
                      <m:ctrlPr>
                        <w:rPr>
                          <w:rFonts w:ascii="Cambria Math" w:hAnsi="Cambria Math"/>
                        </w:rPr>
                      </m:ctrlPr>
                    </m:sSup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r</m:t>
                              </m:r>
                            </m:e>
                            <m:sub>
                              <m:r>
                                <w:rPr>
                                  <w:rFonts w:ascii="Cambria Math" w:hAnsi="Cambria Math"/>
                                </w:rPr>
                                <m:t>t</m:t>
                              </m:r>
                            </m:sub>
                          </m:sSub>
                        </m:e>
                      </m:d>
                    </m:e>
                    <m:sup>
                      <m:r>
                        <w:rPr>
                          <w:rFonts w:ascii="Cambria Math" w:hAnsi="Cambria Math"/>
                        </w:rPr>
                        <m:t>t</m:t>
                      </m:r>
                    </m:sup>
                  </m:sSup>
                </m:den>
              </m:f>
            </m:e>
          </m:nary>
          <m:r>
            <w:rPr>
              <w:rFonts w:ascii="Cambria Math" w:hAnsi="Cambria Math"/>
            </w:rPr>
            <m:t> ,  </m:t>
          </m:r>
          <m:d>
            <m:dPr>
              <m:ctrlPr>
                <w:rPr>
                  <w:rFonts w:ascii="Cambria Math" w:hAnsi="Cambria Math"/>
                </w:rPr>
              </m:ctrlPr>
            </m:dPr>
            <m:e>
              <m:r>
                <w:rPr>
                  <w:rFonts w:ascii="Cambria Math" w:hAnsi="Cambria Math"/>
                </w:rPr>
                <m:t>34</m:t>
              </m:r>
            </m:e>
          </m:d>
        </m:oMath>
      </m:oMathPara>
    </w:p>
    <w:p w:rsidR="005B279D" w:rsidRPr="002844B1" w:rsidRDefault="00000000">
      <w:pPr>
        <w:pStyle w:val="FirstParagraph"/>
      </w:pPr>
      <w:r w:rsidRPr="002844B1">
        <w:t>avec:</w:t>
      </w:r>
    </w:p>
    <w:p w:rsidR="005B279D" w:rsidRPr="002844B1" w:rsidRDefault="00000000">
      <w:pPr>
        <w:pStyle w:val="Compact"/>
        <w:numPr>
          <w:ilvl w:val="0"/>
          <w:numId w:val="35"/>
        </w:numPr>
      </w:pPr>
      <m:oMath>
        <m:r>
          <w:rPr>
            <w:rFonts w:ascii="Cambria Math" w:hAnsi="Cambria Math"/>
          </w:rPr>
          <m:t>FFGF</m:t>
        </m:r>
      </m:oMath>
      <w:r w:rsidRPr="002844B1">
        <w:t>: les flux de frais de gestion futurs. telle que:</w:t>
      </w:r>
    </w:p>
    <w:p w:rsidR="005B279D" w:rsidRPr="002844B1" w:rsidRDefault="00000000">
      <w:pPr>
        <w:pStyle w:val="Compact"/>
      </w:pPr>
      <m:oMathPara>
        <m:oMathParaPr>
          <m:jc m:val="center"/>
        </m:oMathParaPr>
        <m:oMath>
          <m:r>
            <w:rPr>
              <w:rFonts w:ascii="Cambria Math" w:hAnsi="Cambria Math"/>
            </w:rPr>
            <m:t>FFGF=</m:t>
          </m:r>
          <m:bar>
            <m:barPr>
              <m:pos m:val="top"/>
              <m:ctrlPr>
                <w:rPr>
                  <w:rFonts w:ascii="Cambria Math" w:hAnsi="Cambria Math"/>
                </w:rPr>
              </m:ctrlPr>
            </m:barPr>
            <m:e>
              <m:r>
                <w:rPr>
                  <w:rFonts w:ascii="Cambria Math" w:hAnsi="Cambria Math"/>
                </w:rPr>
                <m:t>TFG</m:t>
              </m:r>
            </m:e>
          </m:bar>
          <m:r>
            <w:rPr>
              <w:rFonts w:ascii="Cambria Math" w:hAnsi="Cambria Math"/>
            </w:rPr>
            <m:t>×</m:t>
          </m:r>
          <m:d>
            <m:dPr>
              <m:ctrlPr>
                <w:rPr>
                  <w:rFonts w:ascii="Cambria Math" w:hAnsi="Cambria Math"/>
                </w:rPr>
              </m:ctrlPr>
            </m:dPr>
            <m:e>
              <m:r>
                <w:rPr>
                  <w:rFonts w:ascii="Cambria Math" w:hAnsi="Cambria Math"/>
                </w:rPr>
                <m:t>BES+BEP</m:t>
              </m:r>
            </m:e>
          </m:d>
          <m:r>
            <w:rPr>
              <w:rFonts w:ascii="Cambria Math" w:hAnsi="Cambria Math"/>
            </w:rPr>
            <m:t> ,  </m:t>
          </m:r>
          <m:d>
            <m:dPr>
              <m:ctrlPr>
                <w:rPr>
                  <w:rFonts w:ascii="Cambria Math" w:hAnsi="Cambria Math"/>
                </w:rPr>
              </m:ctrlPr>
            </m:dPr>
            <m:e>
              <m:r>
                <w:rPr>
                  <w:rFonts w:ascii="Cambria Math" w:hAnsi="Cambria Math"/>
                </w:rPr>
                <m:t>35</m:t>
              </m:r>
            </m:e>
          </m:d>
        </m:oMath>
      </m:oMathPara>
    </w:p>
    <w:p w:rsidR="005B279D" w:rsidRPr="002844B1" w:rsidRDefault="00000000">
      <w:pPr>
        <w:pStyle w:val="FirstParagraph"/>
      </w:pPr>
      <w:r w:rsidRPr="002844B1">
        <w:t>et:</w:t>
      </w:r>
    </w:p>
    <w:p w:rsidR="005B279D" w:rsidRPr="002844B1" w:rsidRDefault="00000000" w:rsidP="005C634B">
      <w:pPr>
        <w:pStyle w:val="Compact"/>
        <w:numPr>
          <w:ilvl w:val="0"/>
          <w:numId w:val="36"/>
        </w:numPr>
        <w:jc w:val="both"/>
        <w:rPr>
          <w:sz w:val="21"/>
          <w:szCs w:val="21"/>
        </w:rPr>
      </w:pPr>
      <m:oMath>
        <m:r>
          <w:rPr>
            <w:rFonts w:ascii="Cambria Math" w:hAnsi="Cambria Math"/>
            <w:sz w:val="21"/>
            <w:szCs w:val="21"/>
          </w:rPr>
          <m:t>TFGM</m:t>
        </m:r>
      </m:oMath>
      <w:r w:rsidRPr="002844B1">
        <w:rPr>
          <w:sz w:val="21"/>
          <w:szCs w:val="21"/>
        </w:rPr>
        <w:t xml:space="preserve"> : Le taux de frais de gestion </w:t>
      </w:r>
      <w:r w:rsidR="002844B1" w:rsidRPr="002844B1">
        <w:rPr>
          <w:sz w:val="21"/>
          <w:szCs w:val="21"/>
        </w:rPr>
        <w:t>moyen, il</w:t>
      </w:r>
      <w:r w:rsidRPr="002844B1">
        <w:rPr>
          <w:sz w:val="21"/>
          <w:szCs w:val="21"/>
        </w:rPr>
        <w:t xml:space="preserve"> est estimé, par sous-catégories d’opérations d’assurance, en considérant la moyenne sur les trois derniers exercices clos des taux de frais de gestion.</w:t>
      </w:r>
    </w:p>
    <w:p w:rsidR="005B279D" w:rsidRPr="002844B1" w:rsidRDefault="00000000" w:rsidP="005C634B">
      <w:pPr>
        <w:pStyle w:val="FirstParagraph"/>
        <w:jc w:val="both"/>
        <w:rPr>
          <w:sz w:val="21"/>
          <w:szCs w:val="21"/>
        </w:rPr>
      </w:pPr>
      <w:r w:rsidRPr="002844B1">
        <w:rPr>
          <w:sz w:val="21"/>
          <w:szCs w:val="21"/>
        </w:rPr>
        <w:t>Donc:</w:t>
      </w:r>
    </w:p>
    <w:p w:rsidR="005B279D" w:rsidRPr="002844B1" w:rsidRDefault="00000000" w:rsidP="005C634B">
      <w:pPr>
        <w:pStyle w:val="BodyText"/>
        <w:jc w:val="both"/>
        <w:rPr>
          <w:sz w:val="21"/>
          <w:szCs w:val="21"/>
        </w:rPr>
      </w:pPr>
      <m:oMathPara>
        <m:oMathParaPr>
          <m:jc m:val="center"/>
        </m:oMathParaPr>
        <m:oMath>
          <m:bar>
            <m:barPr>
              <m:pos m:val="top"/>
              <m:ctrlPr>
                <w:rPr>
                  <w:rFonts w:ascii="Cambria Math" w:hAnsi="Cambria Math"/>
                  <w:sz w:val="21"/>
                  <w:szCs w:val="21"/>
                </w:rPr>
              </m:ctrlPr>
            </m:barPr>
            <m:e>
              <m:r>
                <w:rPr>
                  <w:rFonts w:ascii="Cambria Math" w:hAnsi="Cambria Math"/>
                  <w:sz w:val="21"/>
                  <w:szCs w:val="21"/>
                </w:rPr>
                <m:t>TFG</m:t>
              </m:r>
            </m:e>
          </m:bar>
          <m: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TF</m:t>
              </m:r>
              <m:sSub>
                <m:sSubPr>
                  <m:ctrlPr>
                    <w:rPr>
                      <w:rFonts w:ascii="Cambria Math" w:hAnsi="Cambria Math"/>
                      <w:sz w:val="21"/>
                      <w:szCs w:val="21"/>
                    </w:rPr>
                  </m:ctrlPr>
                </m:sSubPr>
                <m:e>
                  <m:r>
                    <w:rPr>
                      <w:rFonts w:ascii="Cambria Math" w:hAnsi="Cambria Math"/>
                      <w:sz w:val="21"/>
                      <w:szCs w:val="21"/>
                    </w:rPr>
                    <m:t>G</m:t>
                  </m:r>
                </m:e>
                <m:sub>
                  <m:r>
                    <w:rPr>
                      <w:rFonts w:ascii="Cambria Math" w:hAnsi="Cambria Math"/>
                      <w:sz w:val="21"/>
                      <w:szCs w:val="21"/>
                    </w:rPr>
                    <m:t>t</m:t>
                  </m:r>
                </m:sub>
              </m:sSub>
              <m:r>
                <w:rPr>
                  <w:rFonts w:ascii="Cambria Math" w:hAnsi="Cambria Math"/>
                  <w:sz w:val="21"/>
                  <w:szCs w:val="21"/>
                </w:rPr>
                <m:t>+TF</m:t>
              </m:r>
              <m:sSub>
                <m:sSubPr>
                  <m:ctrlPr>
                    <w:rPr>
                      <w:rFonts w:ascii="Cambria Math" w:hAnsi="Cambria Math"/>
                      <w:sz w:val="21"/>
                      <w:szCs w:val="21"/>
                    </w:rPr>
                  </m:ctrlPr>
                </m:sSubPr>
                <m:e>
                  <m:r>
                    <w:rPr>
                      <w:rFonts w:ascii="Cambria Math" w:hAnsi="Cambria Math"/>
                      <w:sz w:val="21"/>
                      <w:szCs w:val="21"/>
                    </w:rPr>
                    <m:t>G</m:t>
                  </m:r>
                </m:e>
                <m:sub>
                  <m:r>
                    <w:rPr>
                      <w:rFonts w:ascii="Cambria Math" w:hAnsi="Cambria Math"/>
                      <w:sz w:val="21"/>
                      <w:szCs w:val="21"/>
                    </w:rPr>
                    <m:t>t-1</m:t>
                  </m:r>
                </m:sub>
              </m:sSub>
              <m:r>
                <w:rPr>
                  <w:rFonts w:ascii="Cambria Math" w:hAnsi="Cambria Math"/>
                  <w:sz w:val="21"/>
                  <w:szCs w:val="21"/>
                </w:rPr>
                <m:t>+TF</m:t>
              </m:r>
              <m:sSub>
                <m:sSubPr>
                  <m:ctrlPr>
                    <w:rPr>
                      <w:rFonts w:ascii="Cambria Math" w:hAnsi="Cambria Math"/>
                      <w:sz w:val="21"/>
                      <w:szCs w:val="21"/>
                    </w:rPr>
                  </m:ctrlPr>
                </m:sSubPr>
                <m:e>
                  <m:r>
                    <w:rPr>
                      <w:rFonts w:ascii="Cambria Math" w:hAnsi="Cambria Math"/>
                      <w:sz w:val="21"/>
                      <w:szCs w:val="21"/>
                    </w:rPr>
                    <m:t>G</m:t>
                  </m:r>
                </m:e>
                <m:sub>
                  <m:r>
                    <w:rPr>
                      <w:rFonts w:ascii="Cambria Math" w:hAnsi="Cambria Math"/>
                      <w:sz w:val="21"/>
                      <w:szCs w:val="21"/>
                    </w:rPr>
                    <m:t>t-2</m:t>
                  </m:r>
                </m:sub>
              </m:sSub>
            </m:num>
            <m:den>
              <m:r>
                <w:rPr>
                  <w:rFonts w:ascii="Cambria Math" w:hAnsi="Cambria Math"/>
                  <w:sz w:val="21"/>
                  <w:szCs w:val="21"/>
                </w:rPr>
                <m:t>3</m:t>
              </m:r>
            </m:den>
          </m:f>
          <m:r>
            <w:rPr>
              <w:rFonts w:ascii="Cambria Math" w:hAnsi="Cambria Math"/>
              <w:sz w:val="21"/>
              <w:szCs w:val="21"/>
            </w:rPr>
            <m:t> ,  </m:t>
          </m:r>
          <m:d>
            <m:dPr>
              <m:ctrlPr>
                <w:rPr>
                  <w:rFonts w:ascii="Cambria Math" w:hAnsi="Cambria Math"/>
                  <w:sz w:val="21"/>
                  <w:szCs w:val="21"/>
                </w:rPr>
              </m:ctrlPr>
            </m:dPr>
            <m:e>
              <m:r>
                <w:rPr>
                  <w:rFonts w:ascii="Cambria Math" w:hAnsi="Cambria Math"/>
                  <w:sz w:val="21"/>
                  <w:szCs w:val="21"/>
                </w:rPr>
                <m:t>36</m:t>
              </m:r>
            </m:e>
          </m:d>
        </m:oMath>
      </m:oMathPara>
    </w:p>
    <w:p w:rsidR="005B279D" w:rsidRPr="002844B1" w:rsidRDefault="00000000" w:rsidP="005C634B">
      <w:pPr>
        <w:pStyle w:val="FirstParagraph"/>
        <w:jc w:val="both"/>
        <w:rPr>
          <w:sz w:val="21"/>
          <w:szCs w:val="21"/>
        </w:rPr>
      </w:pPr>
      <w:r w:rsidRPr="002844B1">
        <w:rPr>
          <w:sz w:val="21"/>
          <w:szCs w:val="21"/>
        </w:rPr>
        <w:t>ainsi que :</w:t>
      </w:r>
    </w:p>
    <w:p w:rsidR="005B279D" w:rsidRPr="002844B1" w:rsidRDefault="00000000" w:rsidP="005C634B">
      <w:pPr>
        <w:pStyle w:val="BodyText"/>
        <w:jc w:val="both"/>
        <w:rPr>
          <w:sz w:val="21"/>
          <w:szCs w:val="21"/>
        </w:rPr>
      </w:pPr>
      <m:oMathPara>
        <m:oMathParaPr>
          <m:jc m:val="center"/>
        </m:oMathParaPr>
        <m:oMath>
          <m:r>
            <w:rPr>
              <w:rFonts w:ascii="Cambria Math" w:hAnsi="Cambria Math"/>
              <w:sz w:val="21"/>
              <w:szCs w:val="21"/>
            </w:rPr>
            <m:t>TF</m:t>
          </m:r>
          <m:sSub>
            <m:sSubPr>
              <m:ctrlPr>
                <w:rPr>
                  <w:rFonts w:ascii="Cambria Math" w:hAnsi="Cambria Math"/>
                  <w:sz w:val="21"/>
                  <w:szCs w:val="21"/>
                </w:rPr>
              </m:ctrlPr>
            </m:sSubPr>
            <m:e>
              <m:r>
                <w:rPr>
                  <w:rFonts w:ascii="Cambria Math" w:hAnsi="Cambria Math"/>
                  <w:sz w:val="21"/>
                  <w:szCs w:val="21"/>
                </w:rPr>
                <m:t>G</m:t>
              </m:r>
            </m:e>
            <m:sub>
              <m:r>
                <w:rPr>
                  <w:rFonts w:ascii="Cambria Math" w:hAnsi="Cambria Math"/>
                  <w:sz w:val="21"/>
                  <w:szCs w:val="21"/>
                </w:rPr>
                <m:t>t</m:t>
              </m:r>
            </m:sub>
          </m:sSub>
          <m: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FG</m:t>
              </m:r>
            </m:num>
            <m:den>
              <m:r>
                <w:rPr>
                  <w:rFonts w:ascii="Cambria Math" w:hAnsi="Cambria Math"/>
                  <w:sz w:val="21"/>
                  <w:szCs w:val="21"/>
                </w:rPr>
                <m:t>BES+REC</m:t>
              </m:r>
            </m:den>
          </m:f>
          <m:r>
            <w:rPr>
              <w:rFonts w:ascii="Cambria Math" w:hAnsi="Cambria Math"/>
              <w:sz w:val="21"/>
              <w:szCs w:val="21"/>
            </w:rPr>
            <m:t> ,  </m:t>
          </m:r>
          <m:d>
            <m:dPr>
              <m:ctrlPr>
                <w:rPr>
                  <w:rFonts w:ascii="Cambria Math" w:hAnsi="Cambria Math"/>
                  <w:sz w:val="21"/>
                  <w:szCs w:val="21"/>
                </w:rPr>
              </m:ctrlPr>
            </m:dPr>
            <m:e>
              <m:r>
                <w:rPr>
                  <w:rFonts w:ascii="Cambria Math" w:hAnsi="Cambria Math"/>
                  <w:sz w:val="21"/>
                  <w:szCs w:val="21"/>
                </w:rPr>
                <m:t>37</m:t>
              </m:r>
            </m:e>
          </m:d>
        </m:oMath>
      </m:oMathPara>
    </w:p>
    <w:p w:rsidR="005B279D" w:rsidRPr="002844B1" w:rsidRDefault="00000000" w:rsidP="005C634B">
      <w:pPr>
        <w:pStyle w:val="FirstParagraph"/>
        <w:jc w:val="both"/>
        <w:rPr>
          <w:sz w:val="21"/>
          <w:szCs w:val="21"/>
        </w:rPr>
      </w:pPr>
      <w:r w:rsidRPr="002844B1">
        <w:rPr>
          <w:sz w:val="21"/>
          <w:szCs w:val="21"/>
        </w:rPr>
        <w:t>avec :</w:t>
      </w:r>
    </w:p>
    <w:p w:rsidR="005B279D" w:rsidRPr="002844B1" w:rsidRDefault="00000000" w:rsidP="005C634B">
      <w:pPr>
        <w:pStyle w:val="Compact"/>
        <w:numPr>
          <w:ilvl w:val="0"/>
          <w:numId w:val="37"/>
        </w:numPr>
        <w:jc w:val="both"/>
        <w:rPr>
          <w:sz w:val="21"/>
          <w:szCs w:val="21"/>
        </w:rPr>
      </w:pPr>
      <m:oMath>
        <m:r>
          <w:rPr>
            <w:rFonts w:ascii="Cambria Math" w:hAnsi="Cambria Math"/>
            <w:sz w:val="21"/>
            <w:szCs w:val="21"/>
          </w:rPr>
          <m:t>FG</m:t>
        </m:r>
      </m:oMath>
      <w:r w:rsidRPr="002844B1">
        <w:rPr>
          <w:sz w:val="21"/>
          <w:szCs w:val="21"/>
        </w:rPr>
        <w:t>: le montant frais de gestion.</w:t>
      </w:r>
    </w:p>
    <w:p w:rsidR="005B279D" w:rsidRPr="002844B1" w:rsidRDefault="00000000" w:rsidP="005C634B">
      <w:pPr>
        <w:pStyle w:val="Compact"/>
        <w:numPr>
          <w:ilvl w:val="0"/>
          <w:numId w:val="37"/>
        </w:numPr>
        <w:jc w:val="both"/>
        <w:rPr>
          <w:sz w:val="21"/>
          <w:szCs w:val="21"/>
        </w:rPr>
      </w:pPr>
      <m:oMath>
        <m:r>
          <w:rPr>
            <w:rFonts w:ascii="Cambria Math" w:hAnsi="Cambria Math"/>
            <w:sz w:val="21"/>
            <w:szCs w:val="21"/>
          </w:rPr>
          <m:t>REC</m:t>
        </m:r>
      </m:oMath>
      <w:r w:rsidRPr="002844B1">
        <w:rPr>
          <w:sz w:val="21"/>
          <w:szCs w:val="21"/>
        </w:rPr>
        <w:t xml:space="preserve"> : les règlements au titre de l’exercice clos.</w:t>
      </w:r>
    </w:p>
    <w:p w:rsidR="005C634B" w:rsidRPr="002844B1" w:rsidRDefault="005C634B">
      <w:pPr>
        <w:rPr>
          <w:sz w:val="21"/>
          <w:szCs w:val="21"/>
        </w:rPr>
      </w:pPr>
      <w:r w:rsidRPr="002844B1">
        <w:rPr>
          <w:sz w:val="21"/>
          <w:szCs w:val="21"/>
        </w:rPr>
        <w:br w:type="page"/>
      </w:r>
    </w:p>
    <w:p w:rsidR="005C634B" w:rsidRPr="002844B1" w:rsidRDefault="005C634B" w:rsidP="005C634B">
      <w:pPr>
        <w:pStyle w:val="Compact"/>
        <w:jc w:val="both"/>
        <w:rPr>
          <w:sz w:val="21"/>
          <w:szCs w:val="21"/>
        </w:rPr>
      </w:pPr>
    </w:p>
    <w:p w:rsidR="005B279D" w:rsidRPr="002844B1" w:rsidRDefault="00000000" w:rsidP="00AA7351">
      <w:pPr>
        <w:pStyle w:val="headAOD"/>
      </w:pPr>
      <w:bookmarkStart w:id="77" w:name="_Toc137651020"/>
      <w:bookmarkEnd w:id="64"/>
      <w:bookmarkEnd w:id="65"/>
      <w:bookmarkEnd w:id="75"/>
      <w:r w:rsidRPr="002844B1">
        <w:t>5. CHAPITRE V : Part des cessionnaires</w:t>
      </w:r>
      <w:bookmarkEnd w:id="77"/>
    </w:p>
    <w:p w:rsidR="005B279D" w:rsidRPr="002844B1" w:rsidRDefault="00000000" w:rsidP="005C634B">
      <w:pPr>
        <w:pStyle w:val="FirstParagraph"/>
        <w:jc w:val="both"/>
        <w:rPr>
          <w:sz w:val="21"/>
          <w:szCs w:val="21"/>
        </w:rPr>
      </w:pPr>
      <w:r w:rsidRPr="002844B1">
        <w:rPr>
          <w:sz w:val="21"/>
          <w:szCs w:val="21"/>
        </w:rPr>
        <w:t>La cession est une opération par laquelle un assureur transfère une partie de son risque accepté à un réassureur. Elle permet à l’assuré, la cédante, de réduire son exposition au risque en transférant une parties de ces engagements à un ou plusieurs cessionnaires en échange de primes versées. La réassurance renforce ainsi la solvabilité de l’assureur.</w:t>
      </w:r>
    </w:p>
    <w:p w:rsidR="005B279D" w:rsidRPr="002844B1" w:rsidRDefault="00000000">
      <w:pPr>
        <w:pStyle w:val="Heading2"/>
      </w:pPr>
      <w:bookmarkStart w:id="78" w:name="_Toc137651021"/>
      <w:r w:rsidRPr="002844B1">
        <w:t>5.1 Part des cessionnaires dans les provisions techniques prudentielles</w:t>
      </w:r>
      <w:bookmarkStart w:id="79" w:name="Xf3f8abd7a5710234231d4d992dd0ccf8ee2969b"/>
      <w:bookmarkEnd w:id="78"/>
    </w:p>
    <w:p w:rsidR="005B279D" w:rsidRPr="002844B1" w:rsidRDefault="00000000" w:rsidP="005C634B">
      <w:pPr>
        <w:pStyle w:val="FirstParagraph"/>
        <w:jc w:val="both"/>
        <w:rPr>
          <w:sz w:val="21"/>
          <w:szCs w:val="21"/>
        </w:rPr>
      </w:pPr>
      <w:r w:rsidRPr="002844B1">
        <w:rPr>
          <w:sz w:val="21"/>
          <w:szCs w:val="21"/>
        </w:rPr>
        <w:t>La part des cessionnaires dans les provisions techniques prudentielles est évaluée en considérant la différence entre d’une part, la meilleure estimation des engagements cédés et d’autre part, l’ajustement pour défaut de contrepartie.</w:t>
      </w:r>
    </w:p>
    <w:p w:rsidR="005B279D" w:rsidRPr="002844B1" w:rsidRDefault="00000000">
      <w:pPr>
        <w:pStyle w:val="BodyText"/>
      </w:pPr>
      <m:oMathPara>
        <m:oMathParaPr>
          <m:jc m:val="center"/>
        </m:oMathParaPr>
        <m:oMath>
          <m:r>
            <w:rPr>
              <w:rFonts w:ascii="Cambria Math" w:hAnsi="Cambria Math"/>
            </w:rPr>
            <m:t>PC=BEC-Adj  </m:t>
          </m:r>
          <m:d>
            <m:dPr>
              <m:ctrlPr>
                <w:rPr>
                  <w:rFonts w:ascii="Cambria Math" w:hAnsi="Cambria Math"/>
                </w:rPr>
              </m:ctrlPr>
            </m:dPr>
            <m:e>
              <m:r>
                <w:rPr>
                  <w:rFonts w:ascii="Cambria Math" w:hAnsi="Cambria Math"/>
                </w:rPr>
                <m:t>38</m:t>
              </m:r>
            </m:e>
          </m:d>
        </m:oMath>
      </m:oMathPara>
    </w:p>
    <w:p w:rsidR="005B279D" w:rsidRPr="002844B1" w:rsidRDefault="00000000">
      <w:pPr>
        <w:pStyle w:val="Heading2"/>
      </w:pPr>
      <w:bookmarkStart w:id="80" w:name="_Toc137651022"/>
      <w:bookmarkEnd w:id="79"/>
      <w:r w:rsidRPr="002844B1">
        <w:t>5.2 La meilleure estimation des engagements cédés (</w:t>
      </w:r>
      <m:oMath>
        <m:r>
          <m:rPr>
            <m:sty m:val="bi"/>
          </m:rPr>
          <w:rPr>
            <w:rFonts w:ascii="Cambria Math" w:hAnsi="Cambria Math"/>
          </w:rPr>
          <m:t>BEC</m:t>
        </m:r>
      </m:oMath>
      <w:r w:rsidRPr="002844B1">
        <w:t>)</w:t>
      </w:r>
      <w:bookmarkStart w:id="81" w:name="Xa95ba47c318081750f82f16389a34a7647ac1fa"/>
      <w:bookmarkEnd w:id="80"/>
    </w:p>
    <w:p w:rsidR="005B279D" w:rsidRPr="002844B1" w:rsidRDefault="00000000">
      <w:pPr>
        <w:pStyle w:val="Heading3"/>
      </w:pPr>
      <w:bookmarkStart w:id="82" w:name="X0f00ae71319169104bfd1725b5f02737fc4d35e"/>
      <w:bookmarkStart w:id="83" w:name="_Toc137651023"/>
      <w:r w:rsidRPr="002844B1">
        <w:t>Les opérations d’assurance vie, décès ou de capitalisation</w:t>
      </w:r>
      <w:bookmarkEnd w:id="83"/>
    </w:p>
    <w:p w:rsidR="005B279D" w:rsidRPr="002844B1" w:rsidRDefault="00000000" w:rsidP="005C634B">
      <w:pPr>
        <w:pStyle w:val="FirstParagraph"/>
        <w:jc w:val="both"/>
        <w:rPr>
          <w:sz w:val="21"/>
          <w:szCs w:val="21"/>
        </w:rPr>
      </w:pPr>
      <w:r w:rsidRPr="002844B1">
        <w:rPr>
          <w:sz w:val="21"/>
          <w:szCs w:val="21"/>
        </w:rPr>
        <w:t>la meilleure estimation des engagements cédés est évaluée en multipliant la meilleure estimation des engagements par le rapport entre d’une part, la part des cessionnaires dans les provisions mathématiques et dans les provisions pour capitaux, rentes et rachats à payer et d’autre part, la somme des provisions mathématiques , des provisions pour capitaux, rentes et rachats à payer bruts de réassurance.</w:t>
      </w:r>
    </w:p>
    <w:p w:rsidR="005B279D" w:rsidRPr="002844B1" w:rsidRDefault="00000000">
      <w:pPr>
        <w:pStyle w:val="BodyText"/>
      </w:pPr>
      <m:oMathPara>
        <m:oMathParaPr>
          <m:jc m:val="center"/>
        </m:oMathParaPr>
        <m:oMath>
          <m:r>
            <w:rPr>
              <w:rFonts w:ascii="Cambria Math" w:hAnsi="Cambria Math"/>
            </w:rPr>
            <m:t>BEC=TC×B</m:t>
          </m:r>
          <m:sSub>
            <m:sSubPr>
              <m:ctrlPr>
                <w:rPr>
                  <w:rFonts w:ascii="Cambria Math" w:hAnsi="Cambria Math"/>
                </w:rPr>
              </m:ctrlPr>
            </m:sSubPr>
            <m:e>
              <m:r>
                <w:rPr>
                  <w:rFonts w:ascii="Cambria Math" w:hAnsi="Cambria Math"/>
                </w:rPr>
                <m:t>E</m:t>
              </m:r>
            </m:e>
            <m:sub>
              <m:r>
                <w:rPr>
                  <w:rFonts w:ascii="Cambria Math" w:hAnsi="Cambria Math"/>
                </w:rPr>
                <m:t>eng</m:t>
              </m:r>
            </m:sub>
          </m:sSub>
          <m:r>
            <w:rPr>
              <w:rFonts w:ascii="Cambria Math" w:hAnsi="Cambria Math"/>
            </w:rPr>
            <m:t> ,  </m:t>
          </m:r>
          <m:d>
            <m:dPr>
              <m:ctrlPr>
                <w:rPr>
                  <w:rFonts w:ascii="Cambria Math" w:hAnsi="Cambria Math"/>
                </w:rPr>
              </m:ctrlPr>
            </m:dPr>
            <m:e>
              <m:r>
                <w:rPr>
                  <w:rFonts w:ascii="Cambria Math" w:hAnsi="Cambria Math"/>
                </w:rPr>
                <m:t>39</m:t>
              </m:r>
            </m:e>
          </m:d>
        </m:oMath>
      </m:oMathPara>
    </w:p>
    <w:p w:rsidR="005B279D" w:rsidRPr="002844B1" w:rsidRDefault="00000000" w:rsidP="005C634B">
      <w:pPr>
        <w:pStyle w:val="FirstParagraph"/>
        <w:jc w:val="both"/>
        <w:rPr>
          <w:sz w:val="21"/>
          <w:szCs w:val="21"/>
        </w:rPr>
      </w:pPr>
      <w:r w:rsidRPr="002844B1">
        <w:rPr>
          <w:sz w:val="21"/>
          <w:szCs w:val="21"/>
        </w:rPr>
        <w:t>avec :</w:t>
      </w:r>
    </w:p>
    <w:p w:rsidR="005B279D" w:rsidRPr="002844B1" w:rsidRDefault="00000000" w:rsidP="005C634B">
      <w:pPr>
        <w:pStyle w:val="Compact"/>
        <w:numPr>
          <w:ilvl w:val="0"/>
          <w:numId w:val="38"/>
        </w:numPr>
        <w:jc w:val="both"/>
        <w:rPr>
          <w:sz w:val="21"/>
          <w:szCs w:val="21"/>
        </w:rPr>
      </w:pPr>
      <m:oMath>
        <m:r>
          <w:rPr>
            <w:rFonts w:ascii="Cambria Math" w:hAnsi="Cambria Math"/>
            <w:sz w:val="21"/>
            <w:szCs w:val="21"/>
          </w:rPr>
          <m:t>TC</m:t>
        </m:r>
      </m:oMath>
      <w:r w:rsidRPr="002844B1">
        <w:rPr>
          <w:sz w:val="21"/>
          <w:szCs w:val="21"/>
        </w:rPr>
        <w:t xml:space="preserve"> (taux de cession): le rapport entre d’une part, la part des cessionnaires dans les provisions mathématiques et dans les provisions pour capitaux, rentes et rachats à payer et d’autre part, la somme des provisions mathématiques, des provisions pour capitaux, rentes et rachats à payer bruts de réassurance.</w:t>
      </w:r>
    </w:p>
    <w:p w:rsidR="005B279D" w:rsidRPr="002844B1" w:rsidRDefault="00000000">
      <w:pPr>
        <w:pStyle w:val="Heading3"/>
      </w:pPr>
      <w:bookmarkStart w:id="84" w:name="les-opérations-non-vie"/>
      <w:bookmarkStart w:id="85" w:name="_Toc137651024"/>
      <w:bookmarkEnd w:id="82"/>
      <w:r w:rsidRPr="002844B1">
        <w:t>Les opérations non-vie</w:t>
      </w:r>
      <w:bookmarkEnd w:id="85"/>
    </w:p>
    <w:p w:rsidR="005B279D" w:rsidRPr="002844B1" w:rsidRDefault="00000000" w:rsidP="005C634B">
      <w:pPr>
        <w:pStyle w:val="FirstParagraph"/>
        <w:jc w:val="both"/>
        <w:rPr>
          <w:sz w:val="21"/>
          <w:szCs w:val="21"/>
        </w:rPr>
      </w:pPr>
      <w:r w:rsidRPr="002844B1">
        <w:rPr>
          <w:sz w:val="21"/>
          <w:szCs w:val="21"/>
        </w:rPr>
        <w:t>Pour les opérations non vie, la meilleure estimation des engagements cédés correspond à la somme de la meilleure estimation des engagements pour sinistres cédés et de la meilleure estimation des engagements pour primes cédés.</w:t>
      </w:r>
    </w:p>
    <w:p w:rsidR="005B279D" w:rsidRPr="002844B1" w:rsidRDefault="00000000" w:rsidP="005C634B">
      <w:pPr>
        <w:pStyle w:val="BodyText"/>
        <w:jc w:val="both"/>
        <w:rPr>
          <w:sz w:val="21"/>
          <w:szCs w:val="21"/>
        </w:rPr>
      </w:pPr>
      <m:oMathPara>
        <m:oMathParaPr>
          <m:jc m:val="center"/>
        </m:oMathParaPr>
        <m:oMath>
          <m:r>
            <w:rPr>
              <w:rFonts w:ascii="Cambria Math" w:hAnsi="Cambria Math"/>
              <w:sz w:val="21"/>
              <w:szCs w:val="21"/>
            </w:rPr>
            <m:t>BEC= BESC+ BEPC ,  </m:t>
          </m:r>
          <m:d>
            <m:dPr>
              <m:ctrlPr>
                <w:rPr>
                  <w:rFonts w:ascii="Cambria Math" w:hAnsi="Cambria Math"/>
                  <w:sz w:val="21"/>
                  <w:szCs w:val="21"/>
                </w:rPr>
              </m:ctrlPr>
            </m:dPr>
            <m:e>
              <m:r>
                <w:rPr>
                  <w:rFonts w:ascii="Cambria Math" w:hAnsi="Cambria Math"/>
                  <w:sz w:val="21"/>
                  <w:szCs w:val="21"/>
                </w:rPr>
                <m:t>40</m:t>
              </m:r>
            </m:e>
          </m:d>
        </m:oMath>
      </m:oMathPara>
    </w:p>
    <w:p w:rsidR="005B279D" w:rsidRPr="002844B1" w:rsidRDefault="00000000" w:rsidP="005C634B">
      <w:pPr>
        <w:pStyle w:val="FirstParagraph"/>
        <w:jc w:val="both"/>
        <w:rPr>
          <w:sz w:val="21"/>
          <w:szCs w:val="21"/>
        </w:rPr>
      </w:pPr>
      <w:r w:rsidRPr="002844B1">
        <w:rPr>
          <w:sz w:val="21"/>
          <w:szCs w:val="21"/>
        </w:rPr>
        <w:t>avec :</w:t>
      </w:r>
    </w:p>
    <w:p w:rsidR="005B279D" w:rsidRPr="002844B1" w:rsidRDefault="00000000" w:rsidP="005C634B">
      <w:pPr>
        <w:numPr>
          <w:ilvl w:val="0"/>
          <w:numId w:val="39"/>
        </w:numPr>
        <w:jc w:val="both"/>
        <w:rPr>
          <w:sz w:val="21"/>
          <w:szCs w:val="21"/>
        </w:rPr>
      </w:pPr>
      <m:oMath>
        <m:r>
          <w:rPr>
            <w:rFonts w:ascii="Cambria Math" w:hAnsi="Cambria Math"/>
            <w:sz w:val="21"/>
            <w:szCs w:val="21"/>
          </w:rPr>
          <m:t>BESC=TCS×BES</m:t>
        </m:r>
      </m:oMath>
      <w:r w:rsidRPr="002844B1">
        <w:rPr>
          <w:sz w:val="21"/>
          <w:szCs w:val="21"/>
        </w:rPr>
        <w:t xml:space="preserve"> : La meilleure estimation des engagements pour sinistres cédés est évaluée en multipliant la meilleure estimation des engagements pour sinistres nets de recours par ($TCS}$), le </w:t>
      </w:r>
      <w:r w:rsidRPr="002844B1">
        <w:rPr>
          <w:sz w:val="21"/>
          <w:szCs w:val="21"/>
        </w:rPr>
        <w:lastRenderedPageBreak/>
        <w:t>rapport entre la part des cessionnaires dans les provisions pour sinistres à payer et la provision pour sinistres à payer brute de réassurance.</w:t>
      </w:r>
    </w:p>
    <w:p w:rsidR="005B279D" w:rsidRPr="002844B1" w:rsidRDefault="00000000" w:rsidP="005C634B">
      <w:pPr>
        <w:numPr>
          <w:ilvl w:val="0"/>
          <w:numId w:val="39"/>
        </w:numPr>
        <w:jc w:val="both"/>
        <w:rPr>
          <w:sz w:val="21"/>
          <w:szCs w:val="21"/>
        </w:rPr>
      </w:pPr>
      <m:oMath>
        <m:r>
          <w:rPr>
            <w:rFonts w:ascii="Cambria Math" w:hAnsi="Cambria Math"/>
            <w:sz w:val="21"/>
            <w:szCs w:val="21"/>
          </w:rPr>
          <m:t>BEPC=TCP×BEP</m:t>
        </m:r>
      </m:oMath>
      <w:r w:rsidRPr="002844B1">
        <w:rPr>
          <w:sz w:val="21"/>
          <w:szCs w:val="21"/>
        </w:rPr>
        <w:t xml:space="preserve"> : La meilleure estimation des engagements pour primes cédés est évaluée en multipliant la meilleure estimation des engagements pour primes par le taux de cession de primes. Le taux de cession (</w:t>
      </w:r>
      <m:oMath>
        <m:r>
          <w:rPr>
            <w:rFonts w:ascii="Cambria Math" w:hAnsi="Cambria Math"/>
            <w:sz w:val="21"/>
            <w:szCs w:val="21"/>
          </w:rPr>
          <m:t>TCP</m:t>
        </m:r>
      </m:oMath>
      <w:r w:rsidRPr="002844B1">
        <w:rPr>
          <w:sz w:val="21"/>
          <w:szCs w:val="21"/>
        </w:rPr>
        <w:t>) de primes précité correspond au rapport entre les primes brutes non vie (cessions) et les primes émises de l’exercice.</w:t>
      </w:r>
    </w:p>
    <w:p w:rsidR="005B279D" w:rsidRPr="002844B1" w:rsidRDefault="00000000">
      <w:pPr>
        <w:pStyle w:val="Heading2"/>
      </w:pPr>
      <w:bookmarkStart w:id="86" w:name="_Toc137651025"/>
      <w:bookmarkEnd w:id="81"/>
      <w:bookmarkEnd w:id="84"/>
      <w:r w:rsidRPr="002844B1">
        <w:t>5.3 L’ajustement pour défaut de contrepartie</w:t>
      </w:r>
      <w:bookmarkStart w:id="87" w:name="chapitre-v-part-des-cessionnaires"/>
      <w:bookmarkStart w:id="88" w:name="lajustement-pour-défaut-de-contrepartie"/>
      <w:bookmarkEnd w:id="86"/>
    </w:p>
    <w:p w:rsidR="005B279D" w:rsidRPr="002844B1" w:rsidRDefault="00000000" w:rsidP="005C634B">
      <w:pPr>
        <w:pStyle w:val="FirstParagraph"/>
        <w:jc w:val="both"/>
        <w:rPr>
          <w:sz w:val="21"/>
          <w:szCs w:val="21"/>
        </w:rPr>
      </w:pPr>
      <w:r w:rsidRPr="002844B1">
        <w:rPr>
          <w:sz w:val="21"/>
          <w:szCs w:val="21"/>
        </w:rPr>
        <w:t xml:space="preserve">En cas de </w:t>
      </w:r>
      <w:r w:rsidR="002844B1" w:rsidRPr="002844B1">
        <w:rPr>
          <w:sz w:val="21"/>
          <w:szCs w:val="21"/>
        </w:rPr>
        <w:t>réassurance</w:t>
      </w:r>
      <w:r w:rsidRPr="002844B1">
        <w:rPr>
          <w:sz w:val="21"/>
          <w:szCs w:val="21"/>
        </w:rPr>
        <w:t>, la compagnie d’assurance se confronte à un nouveau risque, celui de défaut de contrepartie. En effet, il se pourrait que les risques cédés par l’assureur ne soient pas supportés par le réassureur. Il est ainsi primordial de tenir en compte ce risque dans le calcul des meilleures estimations en effectuant un ajustement. L’ajustement pour défaut de contrepartie est déterminé en actualisant les flux d’ajustement futurs sur la base de la courbe des taux fixée par l’Autorité. Il correspond à la perte anticipée résultant de la défaillance probable du cessionnaire.</w:t>
      </w:r>
    </w:p>
    <w:p w:rsidR="005B279D" w:rsidRPr="002844B1" w:rsidRDefault="00000000" w:rsidP="005C634B">
      <w:pPr>
        <w:pStyle w:val="BodyText"/>
        <w:jc w:val="both"/>
        <w:rPr>
          <w:sz w:val="21"/>
          <w:szCs w:val="21"/>
        </w:rPr>
      </w:pPr>
      <w:r w:rsidRPr="002844B1">
        <w:rPr>
          <w:sz w:val="21"/>
          <w:szCs w:val="21"/>
        </w:rPr>
        <w:t xml:space="preserve">L’ACAPS propose une méthode de détermination des flux d’ajustement futurs décrite à </w:t>
      </w:r>
      <w:r w:rsidRPr="002844B1">
        <w:rPr>
          <w:b/>
          <w:bCs/>
          <w:sz w:val="21"/>
          <w:szCs w:val="21"/>
        </w:rPr>
        <w:t>l’annexe N°6</w:t>
      </w:r>
      <w:r w:rsidRPr="002844B1">
        <w:rPr>
          <w:sz w:val="21"/>
          <w:szCs w:val="21"/>
        </w:rPr>
        <w:t xml:space="preserve"> de la circulaire. Cette méthode suit un certain nombre d’étapes que nous décrivons ci-après</w:t>
      </w: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5B279D" w:rsidRPr="002844B1" w:rsidTr="005B279D">
        <w:trPr>
          <w:cantSplit/>
        </w:trPr>
        <w:tc>
          <w:tcPr>
            <w:tcW w:w="0" w:type="auto"/>
            <w:shd w:val="clear" w:color="auto" w:fill="DAE6FB"/>
            <w:tcMar>
              <w:top w:w="92" w:type="dxa"/>
              <w:bottom w:w="92" w:type="dxa"/>
            </w:tcMar>
          </w:tcPr>
          <w:p w:rsidR="005B279D" w:rsidRPr="002844B1" w:rsidRDefault="00000000">
            <w:pPr>
              <w:pStyle w:val="BodyText"/>
              <w:spacing w:before="0" w:after="0"/>
              <w:textAlignment w:val="center"/>
            </w:pPr>
            <w:r w:rsidRPr="002844B1">
              <w:rPr>
                <w:noProof/>
              </w:rPr>
              <w:drawing>
                <wp:inline distT="0" distB="0" distL="0" distR="0">
                  <wp:extent cx="152400" cy="152400"/>
                  <wp:effectExtent l="0" t="0" r="0" b="0"/>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Applications/quarto/share/formats/docx/note.png"/>
                          <pic:cNvPicPr>
                            <a:picLocks noChangeAspect="1" noChangeArrowheads="1"/>
                          </pic:cNvPicPr>
                        </pic:nvPicPr>
                        <pic:blipFill>
                          <a:blip r:embed="rId18"/>
                          <a:stretch>
                            <a:fillRect/>
                          </a:stretch>
                        </pic:blipFill>
                        <pic:spPr bwMode="auto">
                          <a:xfrm>
                            <a:off x="0" y="0"/>
                            <a:ext cx="152400" cy="152400"/>
                          </a:xfrm>
                          <a:prstGeom prst="rect">
                            <a:avLst/>
                          </a:prstGeom>
                          <a:noFill/>
                          <a:ln w="9525">
                            <a:noFill/>
                            <a:headEnd/>
                            <a:tailEnd/>
                          </a:ln>
                        </pic:spPr>
                      </pic:pic>
                    </a:graphicData>
                  </a:graphic>
                </wp:inline>
              </w:drawing>
            </w:r>
            <w:r w:rsidRPr="002844B1">
              <w:t xml:space="preserve">  </w:t>
            </w:r>
            <w:r w:rsidR="002844B1" w:rsidRPr="002844B1">
              <w:t>Étape</w:t>
            </w:r>
            <w:r w:rsidRPr="002844B1">
              <w:t xml:space="preserve"> Nº1: Calcul des meilleures estimations cédées projetées</w:t>
            </w:r>
          </w:p>
        </w:tc>
      </w:tr>
      <w:tr w:rsidR="005B279D" w:rsidRPr="002844B1" w:rsidTr="005B279D">
        <w:trPr>
          <w:cantSplit/>
        </w:trPr>
        <w:tc>
          <w:tcPr>
            <w:tcW w:w="0" w:type="auto"/>
            <w:tcMar>
              <w:top w:w="108" w:type="dxa"/>
              <w:bottom w:w="108" w:type="dxa"/>
            </w:tcMar>
          </w:tcPr>
          <w:p w:rsidR="005B279D" w:rsidRPr="002844B1" w:rsidRDefault="00000000" w:rsidP="005C634B">
            <w:pPr>
              <w:pStyle w:val="BlockText"/>
              <w:jc w:val="both"/>
              <w:rPr>
                <w:b/>
                <w:bCs/>
                <w:sz w:val="21"/>
                <w:szCs w:val="21"/>
              </w:rPr>
            </w:pPr>
            <w:r w:rsidRPr="002844B1">
              <w:rPr>
                <w:b/>
                <w:bCs/>
                <w:sz w:val="21"/>
                <w:szCs w:val="21"/>
              </w:rPr>
              <w:lastRenderedPageBreak/>
              <w:t>Pour les opérations d’assurance non-vie hors rentes:</w:t>
            </w:r>
          </w:p>
          <w:p w:rsidR="005B279D" w:rsidRPr="002844B1" w:rsidRDefault="00000000" w:rsidP="005C634B">
            <w:pPr>
              <w:pStyle w:val="FirstParagraph"/>
              <w:jc w:val="both"/>
              <w:rPr>
                <w:sz w:val="21"/>
                <w:szCs w:val="21"/>
              </w:rPr>
            </w:pPr>
            <w:r w:rsidRPr="002844B1">
              <w:rPr>
                <w:sz w:val="21"/>
                <w:szCs w:val="21"/>
              </w:rPr>
              <w:t xml:space="preserve">Posons </w:t>
            </w:r>
            <m:oMath>
              <m:sSub>
                <m:sSubPr>
                  <m:ctrlPr>
                    <w:rPr>
                      <w:rFonts w:ascii="Cambria Math" w:hAnsi="Cambria Math"/>
                      <w:sz w:val="21"/>
                      <w:szCs w:val="21"/>
                    </w:rPr>
                  </m:ctrlPr>
                </m:sSubPr>
                <m:e>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F</m:t>
                          </m:r>
                        </m:e>
                        <m:sub>
                          <m:r>
                            <w:rPr>
                              <w:rFonts w:ascii="Cambria Math" w:hAnsi="Cambria Math"/>
                              <w:sz w:val="21"/>
                              <w:szCs w:val="21"/>
                            </w:rPr>
                            <m:t>t</m:t>
                          </m:r>
                        </m:sub>
                      </m:sSub>
                    </m:e>
                  </m:d>
                </m:e>
                <m:sub>
                  <m:r>
                    <w:rPr>
                      <w:rFonts w:ascii="Cambria Math" w:hAnsi="Cambria Math"/>
                      <w:sz w:val="21"/>
                      <w:szCs w:val="21"/>
                    </w:rPr>
                    <m:t>t&gt;0</m:t>
                  </m:r>
                </m:sub>
              </m:sSub>
            </m:oMath>
            <w:r w:rsidRPr="002844B1">
              <w:rPr>
                <w:sz w:val="21"/>
                <w:szCs w:val="21"/>
              </w:rPr>
              <w:t xml:space="preserve"> étant les flux de règlements futurs probabilisés. La meilleure estimation des engagements cédés au titre de l’année de projection </w:t>
            </w:r>
            <m:oMath>
              <m:r>
                <w:rPr>
                  <w:rFonts w:ascii="Cambria Math" w:hAnsi="Cambria Math"/>
                  <w:sz w:val="21"/>
                  <w:szCs w:val="21"/>
                </w:rPr>
                <m:t>BE</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m:t>
                  </m:r>
                </m:sub>
              </m:sSub>
            </m:oMath>
            <w:r w:rsidRPr="002844B1">
              <w:rPr>
                <w:sz w:val="21"/>
                <w:szCs w:val="21"/>
              </w:rPr>
              <w:t xml:space="preserve"> est calculée comme suit :</w:t>
            </w:r>
          </w:p>
          <w:p w:rsidR="005B279D" w:rsidRPr="002844B1" w:rsidRDefault="00000000" w:rsidP="005C634B">
            <w:pPr>
              <w:pStyle w:val="BodyText"/>
              <w:jc w:val="both"/>
              <w:rPr>
                <w:sz w:val="21"/>
                <w:szCs w:val="21"/>
              </w:rPr>
            </w:pPr>
            <m:oMathPara>
              <m:oMathParaPr>
                <m:jc m:val="center"/>
              </m:oMathParaPr>
              <m:oMath>
                <m:r>
                  <w:rPr>
                    <w:rFonts w:ascii="Cambria Math" w:hAnsi="Cambria Math"/>
                    <w:sz w:val="21"/>
                    <w:szCs w:val="21"/>
                  </w:rPr>
                  <m:t>BE</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m:t>
                    </m:r>
                  </m:sub>
                </m:sSub>
                <m:r>
                  <w:rPr>
                    <w:rFonts w:ascii="Cambria Math" w:hAnsi="Cambria Math"/>
                    <w:sz w:val="21"/>
                    <w:szCs w:val="21"/>
                  </w:rPr>
                  <m:t>=</m:t>
                </m:r>
                <m:d>
                  <m:dPr>
                    <m:ctrlPr>
                      <w:rPr>
                        <w:rFonts w:ascii="Cambria Math" w:hAnsi="Cambria Math"/>
                        <w:sz w:val="21"/>
                        <w:szCs w:val="21"/>
                      </w:rPr>
                    </m:ctrlPr>
                  </m:dPr>
                  <m:e>
                    <m:r>
                      <w:rPr>
                        <w:rFonts w:ascii="Cambria Math" w:hAnsi="Cambria Math"/>
                        <w:sz w:val="21"/>
                        <w:szCs w:val="21"/>
                      </w:rPr>
                      <m:t>BE</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×R</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0</m:t>
                        </m:r>
                      </m:sub>
                    </m:sSub>
                    <m:r>
                      <w:rPr>
                        <w:rFonts w:ascii="Cambria Math" w:hAnsi="Cambria Math"/>
                        <w:sz w:val="21"/>
                        <w:szCs w:val="21"/>
                      </w:rPr>
                      <m:t>+BE</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w:rPr>
                        <w:rFonts w:ascii="Cambria Math" w:hAnsi="Cambria Math"/>
                        <w:sz w:val="21"/>
                        <w:szCs w:val="21"/>
                      </w:rPr>
                      <m:t>×R</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0</m:t>
                        </m:r>
                      </m:sub>
                    </m:sSub>
                  </m:e>
                </m:d>
                <m:r>
                  <w:rPr>
                    <w:rFonts w:ascii="Cambria Math" w:hAnsi="Cambria Math"/>
                    <w:sz w:val="21"/>
                    <w:szCs w:val="21"/>
                  </w:rPr>
                  <m:t> ,  </m:t>
                </m:r>
                <m:d>
                  <m:dPr>
                    <m:ctrlPr>
                      <w:rPr>
                        <w:rFonts w:ascii="Cambria Math" w:hAnsi="Cambria Math"/>
                        <w:sz w:val="21"/>
                        <w:szCs w:val="21"/>
                      </w:rPr>
                    </m:ctrlPr>
                  </m:dPr>
                  <m:e>
                    <m:r>
                      <w:rPr>
                        <w:rFonts w:ascii="Cambria Math" w:hAnsi="Cambria Math"/>
                        <w:sz w:val="21"/>
                        <w:szCs w:val="21"/>
                      </w:rPr>
                      <m:t>41</m:t>
                    </m:r>
                  </m:e>
                </m:d>
              </m:oMath>
            </m:oMathPara>
          </w:p>
          <w:p w:rsidR="005B279D" w:rsidRPr="002844B1" w:rsidRDefault="00000000" w:rsidP="005C634B">
            <w:pPr>
              <w:pStyle w:val="FirstParagraph"/>
              <w:jc w:val="both"/>
              <w:rPr>
                <w:sz w:val="21"/>
                <w:szCs w:val="21"/>
              </w:rPr>
            </w:pPr>
            <w:r w:rsidRPr="002844B1">
              <w:rPr>
                <w:sz w:val="21"/>
                <w:szCs w:val="21"/>
              </w:rPr>
              <w:t>où:</w:t>
            </w:r>
          </w:p>
          <w:p w:rsidR="005B279D" w:rsidRPr="002844B1" w:rsidRDefault="00000000" w:rsidP="005C634B">
            <w:pPr>
              <w:pStyle w:val="Compact"/>
              <w:numPr>
                <w:ilvl w:val="0"/>
                <w:numId w:val="40"/>
              </w:numPr>
              <w:jc w:val="both"/>
              <w:rPr>
                <w:sz w:val="21"/>
                <w:szCs w:val="21"/>
              </w:rPr>
            </w:pPr>
            <m:oMath>
              <m:r>
                <w:rPr>
                  <w:rFonts w:ascii="Cambria Math" w:hAnsi="Cambria Math"/>
                  <w:sz w:val="21"/>
                  <w:szCs w:val="21"/>
                </w:rPr>
                <m:t>BE</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nary>
                <m:naryPr>
                  <m:chr m:val="∑"/>
                  <m:limLoc m:val="undOvr"/>
                  <m:supHide m:val="1"/>
                  <m:ctrlPr>
                    <w:rPr>
                      <w:rFonts w:ascii="Cambria Math" w:hAnsi="Cambria Math"/>
                      <w:sz w:val="21"/>
                      <w:szCs w:val="21"/>
                    </w:rPr>
                  </m:ctrlPr>
                </m:naryPr>
                <m:sub>
                  <m:r>
                    <w:rPr>
                      <w:rFonts w:ascii="Cambria Math" w:hAnsi="Cambria Math"/>
                      <w:sz w:val="21"/>
                      <w:szCs w:val="21"/>
                    </w:rPr>
                    <m:t>t&gt;i</m:t>
                  </m:r>
                </m:sub>
                <m:sup>
                  <m:r>
                    <w:rPr>
                      <w:rFonts w:ascii="Cambria Math" w:hAnsi="Cambria Math"/>
                      <w:sz w:val="21"/>
                      <w:szCs w:val="21"/>
                    </w:rPr>
                    <m:t>​</m:t>
                  </m:r>
                </m:sup>
                <m:e>
                  <m:f>
                    <m:fPr>
                      <m:ctrlPr>
                        <w:rPr>
                          <w:rFonts w:ascii="Cambria Math" w:hAnsi="Cambria Math"/>
                          <w:sz w:val="21"/>
                          <w:szCs w:val="21"/>
                        </w:rPr>
                      </m:ctrlPr>
                    </m:fPr>
                    <m:num>
                      <m:sSub>
                        <m:sSubPr>
                          <m:ctrlPr>
                            <w:rPr>
                              <w:rFonts w:ascii="Cambria Math" w:hAnsi="Cambria Math"/>
                              <w:sz w:val="21"/>
                              <w:szCs w:val="21"/>
                            </w:rPr>
                          </m:ctrlPr>
                        </m:sSubPr>
                        <m:e>
                          <m:r>
                            <w:rPr>
                              <w:rFonts w:ascii="Cambria Math" w:hAnsi="Cambria Math"/>
                              <w:sz w:val="21"/>
                              <w:szCs w:val="21"/>
                            </w:rPr>
                            <m:t>F</m:t>
                          </m:r>
                        </m:e>
                        <m:sub>
                          <m:r>
                            <w:rPr>
                              <w:rFonts w:ascii="Cambria Math" w:hAnsi="Cambria Math"/>
                              <w:sz w:val="21"/>
                              <w:szCs w:val="21"/>
                            </w:rPr>
                            <m:t>t</m:t>
                          </m:r>
                        </m:sub>
                      </m:sSub>
                    </m:num>
                    <m:den>
                      <m:sSup>
                        <m:sSupPr>
                          <m:ctrlPr>
                            <w:rPr>
                              <w:rFonts w:ascii="Cambria Math" w:hAnsi="Cambria Math"/>
                              <w:sz w:val="21"/>
                              <w:szCs w:val="21"/>
                            </w:rPr>
                          </m:ctrlPr>
                        </m:sSupPr>
                        <m:e>
                          <m:d>
                            <m:dPr>
                              <m:ctrlPr>
                                <w:rPr>
                                  <w:rFonts w:ascii="Cambria Math" w:hAnsi="Cambria Math"/>
                                  <w:sz w:val="21"/>
                                  <w:szCs w:val="21"/>
                                </w:rPr>
                              </m:ctrlPr>
                            </m:dPr>
                            <m:e>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t</m:t>
                                  </m:r>
                                </m:sub>
                              </m:sSub>
                            </m:e>
                          </m:d>
                        </m:e>
                        <m:sup>
                          <m:r>
                            <w:rPr>
                              <w:rFonts w:ascii="Cambria Math" w:hAnsi="Cambria Math"/>
                              <w:sz w:val="21"/>
                              <w:szCs w:val="21"/>
                            </w:rPr>
                            <m:t>t</m:t>
                          </m:r>
                        </m:sup>
                      </m:sSup>
                    </m:den>
                  </m:f>
                </m:e>
              </m:nary>
            </m:oMath>
            <w:r w:rsidRPr="002844B1">
              <w:rPr>
                <w:sz w:val="21"/>
                <w:szCs w:val="21"/>
              </w:rPr>
              <w:t xml:space="preserve">, avec </w:t>
            </w:r>
            <m:oMath>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t</m:t>
                      </m:r>
                    </m:sub>
                  </m:sSub>
                </m:e>
              </m:d>
            </m:oMath>
            <w:r w:rsidRPr="002844B1">
              <w:rPr>
                <w:sz w:val="21"/>
                <w:szCs w:val="21"/>
              </w:rPr>
              <w:t xml:space="preserve"> calculés à partir de la courbe des taux fixée par l’Autorité.</w:t>
            </w:r>
          </w:p>
          <w:p w:rsidR="005B279D" w:rsidRPr="002844B1" w:rsidRDefault="00000000" w:rsidP="005C634B">
            <w:pPr>
              <w:pStyle w:val="Compact"/>
              <w:numPr>
                <w:ilvl w:val="0"/>
                <w:numId w:val="40"/>
              </w:numPr>
              <w:jc w:val="both"/>
              <w:rPr>
                <w:sz w:val="21"/>
                <w:szCs w:val="21"/>
              </w:rPr>
            </w:pPr>
            <m:oMath>
              <m:r>
                <w:rPr>
                  <w:rFonts w:ascii="Cambria Math" w:hAnsi="Cambria Math"/>
                  <w:sz w:val="21"/>
                  <w:szCs w:val="21"/>
                </w:rPr>
                <m:t>BE</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2844B1">
              <w:rPr>
                <w:sz w:val="21"/>
                <w:szCs w:val="21"/>
              </w:rPr>
              <w:t>: correspond à la meilleure estimation des engagements pour primes projetée à la date i.</w:t>
            </w:r>
          </w:p>
          <w:p w:rsidR="005B279D" w:rsidRPr="002844B1" w:rsidRDefault="00000000" w:rsidP="005C634B">
            <w:pPr>
              <w:pStyle w:val="Compact"/>
              <w:numPr>
                <w:ilvl w:val="0"/>
                <w:numId w:val="40"/>
              </w:numPr>
              <w:jc w:val="both"/>
              <w:rPr>
                <w:sz w:val="21"/>
                <w:szCs w:val="21"/>
              </w:rPr>
            </w:pPr>
            <w:r w:rsidRPr="002844B1">
              <w:rPr>
                <w:sz w:val="21"/>
                <w:szCs w:val="21"/>
              </w:rPr>
              <w:t xml:space="preserve">Les termes </w:t>
            </w:r>
            <m:oMath>
              <m:r>
                <w:rPr>
                  <w:rFonts w:ascii="Cambria Math" w:hAnsi="Cambria Math"/>
                  <w:sz w:val="21"/>
                  <w:szCs w:val="21"/>
                </w:rPr>
                <m:t>R</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0</m:t>
                  </m:r>
                </m:sub>
              </m:sSub>
            </m:oMath>
            <w:r w:rsidRPr="002844B1">
              <w:rPr>
                <w:sz w:val="21"/>
                <w:szCs w:val="21"/>
              </w:rPr>
              <w:t xml:space="preserve"> et </w:t>
            </w:r>
            <m:oMath>
              <m:r>
                <w:rPr>
                  <w:rFonts w:ascii="Cambria Math" w:hAnsi="Cambria Math"/>
                  <w:sz w:val="21"/>
                  <w:szCs w:val="21"/>
                </w:rPr>
                <m:t>R</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0</m:t>
                  </m:r>
                </m:sub>
              </m:sSub>
            </m:oMath>
            <w:r w:rsidRPr="002844B1">
              <w:rPr>
                <w:sz w:val="21"/>
                <w:szCs w:val="21"/>
              </w:rPr>
              <w:t xml:space="preserve"> correspondent aux ratios de passage utilisés pour le calcul de la meilleure estimation des engagements pour sinistres cédés et pour primes cédés respectivement à la date d’inventaire.</w:t>
            </w:r>
          </w:p>
          <w:p w:rsidR="005B279D" w:rsidRPr="002844B1" w:rsidRDefault="00000000" w:rsidP="005C634B">
            <w:pPr>
              <w:pStyle w:val="BlockText"/>
              <w:jc w:val="both"/>
              <w:rPr>
                <w:sz w:val="21"/>
                <w:szCs w:val="21"/>
              </w:rPr>
            </w:pPr>
            <w:r w:rsidRPr="002844B1">
              <w:rPr>
                <w:sz w:val="21"/>
                <w:szCs w:val="21"/>
              </w:rPr>
              <w:t>Pour les opérations d’assurance vie, décès ou de capitalisation:</w:t>
            </w:r>
          </w:p>
          <w:p w:rsidR="005B279D" w:rsidRPr="002844B1" w:rsidRDefault="00000000" w:rsidP="005C634B">
            <w:pPr>
              <w:pStyle w:val="FirstParagraph"/>
              <w:jc w:val="both"/>
              <w:rPr>
                <w:sz w:val="21"/>
                <w:szCs w:val="21"/>
              </w:rPr>
            </w:pPr>
            <w:r w:rsidRPr="002844B1">
              <w:rPr>
                <w:sz w:val="21"/>
                <w:szCs w:val="21"/>
              </w:rPr>
              <w:t xml:space="preserve">La meilleure estimation des engagements </w:t>
            </w:r>
            <w:r w:rsidR="002844B1" w:rsidRPr="002844B1">
              <w:rPr>
                <w:sz w:val="21"/>
                <w:szCs w:val="21"/>
              </w:rPr>
              <w:t>cédés</w:t>
            </w:r>
            <w:r w:rsidRPr="002844B1">
              <w:rPr>
                <w:sz w:val="21"/>
                <w:szCs w:val="21"/>
              </w:rPr>
              <w:t xml:space="preserve"> est déterminée par la formule suivante :</w:t>
            </w:r>
          </w:p>
          <w:p w:rsidR="005B279D" w:rsidRPr="002844B1" w:rsidRDefault="00000000" w:rsidP="005C634B">
            <w:pPr>
              <w:pStyle w:val="BodyText"/>
              <w:jc w:val="both"/>
              <w:rPr>
                <w:sz w:val="21"/>
                <w:szCs w:val="21"/>
              </w:rPr>
            </w:pPr>
            <m:oMathPara>
              <m:oMathParaPr>
                <m:jc m:val="center"/>
              </m:oMathParaPr>
              <m:oMath>
                <m:r>
                  <w:rPr>
                    <w:rFonts w:ascii="Cambria Math" w:hAnsi="Cambria Math"/>
                    <w:sz w:val="21"/>
                    <w:szCs w:val="21"/>
                  </w:rPr>
                  <m:t>BE</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m:t>
                    </m:r>
                  </m:sub>
                </m:sSub>
                <m:r>
                  <w:rPr>
                    <w:rFonts w:ascii="Cambria Math" w:hAnsi="Cambria Math"/>
                    <w:sz w:val="21"/>
                    <w:szCs w:val="21"/>
                  </w:rPr>
                  <m:t>=</m:t>
                </m:r>
                <m:d>
                  <m:dPr>
                    <m:ctrlPr>
                      <w:rPr>
                        <w:rFonts w:ascii="Cambria Math" w:hAnsi="Cambria Math"/>
                        <w:sz w:val="21"/>
                        <w:szCs w:val="21"/>
                      </w:rPr>
                    </m:ctrlPr>
                  </m:dPr>
                  <m:e>
                    <m:r>
                      <w:rPr>
                        <w:rFonts w:ascii="Cambria Math" w:hAnsi="Cambria Math"/>
                        <w:sz w:val="21"/>
                        <w:szCs w:val="21"/>
                      </w:rPr>
                      <m:t>BEG</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w:rPr>
                        <w:rFonts w:ascii="Cambria Math" w:hAnsi="Cambria Math"/>
                        <w:sz w:val="21"/>
                        <w:szCs w:val="21"/>
                      </w:rPr>
                      <m:t>+BD</m:t>
                    </m:r>
                    <m:sSub>
                      <m:sSubPr>
                        <m:ctrlPr>
                          <w:rPr>
                            <w:rFonts w:ascii="Cambria Math" w:hAnsi="Cambria Math"/>
                            <w:sz w:val="21"/>
                            <w:szCs w:val="21"/>
                          </w:rPr>
                        </m:ctrlPr>
                      </m:sSubPr>
                      <m:e>
                        <m:r>
                          <w:rPr>
                            <w:rFonts w:ascii="Cambria Math" w:hAnsi="Cambria Math"/>
                            <w:sz w:val="21"/>
                            <w:szCs w:val="21"/>
                          </w:rPr>
                          <m:t>F</m:t>
                        </m:r>
                      </m:e>
                      <m:sub>
                        <m:r>
                          <w:rPr>
                            <w:rFonts w:ascii="Cambria Math" w:hAnsi="Cambria Math"/>
                            <w:sz w:val="21"/>
                            <w:szCs w:val="21"/>
                          </w:rPr>
                          <m:t>i</m:t>
                        </m:r>
                      </m:sub>
                    </m:sSub>
                  </m:e>
                </m:d>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0</m:t>
                    </m:r>
                  </m:sub>
                </m:sSub>
                <m:r>
                  <w:rPr>
                    <w:rFonts w:ascii="Cambria Math" w:hAnsi="Cambria Math"/>
                    <w:sz w:val="21"/>
                    <w:szCs w:val="21"/>
                  </w:rPr>
                  <m:t> ,  </m:t>
                </m:r>
                <m:d>
                  <m:dPr>
                    <m:ctrlPr>
                      <w:rPr>
                        <w:rFonts w:ascii="Cambria Math" w:hAnsi="Cambria Math"/>
                        <w:sz w:val="21"/>
                        <w:szCs w:val="21"/>
                      </w:rPr>
                    </m:ctrlPr>
                  </m:dPr>
                  <m:e>
                    <m:r>
                      <w:rPr>
                        <w:rFonts w:ascii="Cambria Math" w:hAnsi="Cambria Math"/>
                        <w:sz w:val="21"/>
                        <w:szCs w:val="21"/>
                      </w:rPr>
                      <m:t>42</m:t>
                    </m:r>
                  </m:e>
                </m:d>
              </m:oMath>
            </m:oMathPara>
          </w:p>
          <w:p w:rsidR="005C634B" w:rsidRPr="002844B1" w:rsidRDefault="00000000" w:rsidP="005C634B">
            <w:pPr>
              <w:pStyle w:val="FirstParagraph"/>
              <w:jc w:val="both"/>
              <w:rPr>
                <w:sz w:val="21"/>
                <w:szCs w:val="21"/>
              </w:rPr>
            </w:pPr>
            <w:r w:rsidRPr="002844B1">
              <w:rPr>
                <w:sz w:val="21"/>
                <w:szCs w:val="21"/>
              </w:rPr>
              <w:t xml:space="preserve">où : </w:t>
            </w:r>
          </w:p>
          <w:p w:rsidR="005C634B" w:rsidRPr="002844B1" w:rsidRDefault="00000000" w:rsidP="005C634B">
            <w:pPr>
              <w:pStyle w:val="FirstParagraph"/>
              <w:numPr>
                <w:ilvl w:val="0"/>
                <w:numId w:val="110"/>
              </w:numPr>
              <w:jc w:val="both"/>
              <w:rPr>
                <w:sz w:val="21"/>
                <w:szCs w:val="21"/>
              </w:rPr>
            </w:pPr>
            <m:oMath>
              <m:r>
                <w:rPr>
                  <w:rFonts w:ascii="Cambria Math" w:hAnsi="Cambria Math"/>
                  <w:sz w:val="21"/>
                  <w:szCs w:val="21"/>
                </w:rPr>
                <m:t>MEG</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w:rPr>
                  <w:rFonts w:ascii="Cambria Math" w:hAnsi="Cambria Math"/>
                  <w:sz w:val="21"/>
                  <w:szCs w:val="21"/>
                </w:rPr>
                <m:t>=</m:t>
              </m:r>
              <m:nary>
                <m:naryPr>
                  <m:chr m:val="∑"/>
                  <m:limLoc m:val="undOvr"/>
                  <m:supHide m:val="1"/>
                  <m:ctrlPr>
                    <w:rPr>
                      <w:rFonts w:ascii="Cambria Math" w:hAnsi="Cambria Math"/>
                      <w:sz w:val="21"/>
                      <w:szCs w:val="21"/>
                    </w:rPr>
                  </m:ctrlPr>
                </m:naryPr>
                <m:sub>
                  <m:r>
                    <w:rPr>
                      <w:rFonts w:ascii="Cambria Math" w:hAnsi="Cambria Math"/>
                      <w:sz w:val="21"/>
                      <w:szCs w:val="21"/>
                    </w:rPr>
                    <m:t>t&gt;i</m:t>
                  </m:r>
                </m:sub>
                <m:sup>
                  <m:r>
                    <w:rPr>
                      <w:rFonts w:ascii="Cambria Math" w:hAnsi="Cambria Math"/>
                      <w:sz w:val="21"/>
                      <w:szCs w:val="21"/>
                    </w:rPr>
                    <m:t>​</m:t>
                  </m:r>
                </m:sup>
                <m:e>
                  <m:f>
                    <m:fPr>
                      <m:ctrlPr>
                        <w:rPr>
                          <w:rFonts w:ascii="Cambria Math" w:hAnsi="Cambria Math"/>
                          <w:sz w:val="21"/>
                          <w:szCs w:val="21"/>
                        </w:rPr>
                      </m:ctrlPr>
                    </m:fPr>
                    <m:num>
                      <m:sSub>
                        <m:sSubPr>
                          <m:ctrlPr>
                            <w:rPr>
                              <w:rFonts w:ascii="Cambria Math" w:hAnsi="Cambria Math"/>
                              <w:sz w:val="21"/>
                              <w:szCs w:val="21"/>
                            </w:rPr>
                          </m:ctrlPr>
                        </m:sSubPr>
                        <m:e>
                          <m:r>
                            <w:rPr>
                              <w:rFonts w:ascii="Cambria Math" w:hAnsi="Cambria Math"/>
                              <w:sz w:val="21"/>
                              <w:szCs w:val="21"/>
                            </w:rPr>
                            <m:t>F</m:t>
                          </m:r>
                        </m:e>
                        <m:sub>
                          <m:r>
                            <w:rPr>
                              <w:rFonts w:ascii="Cambria Math" w:hAnsi="Cambria Math"/>
                              <w:sz w:val="21"/>
                              <w:szCs w:val="21"/>
                            </w:rPr>
                            <m:t>t</m:t>
                          </m:r>
                        </m:sub>
                      </m:sSub>
                    </m:num>
                    <m:den>
                      <m:sSup>
                        <m:sSupPr>
                          <m:ctrlPr>
                            <w:rPr>
                              <w:rFonts w:ascii="Cambria Math" w:hAnsi="Cambria Math"/>
                              <w:sz w:val="21"/>
                              <w:szCs w:val="21"/>
                            </w:rPr>
                          </m:ctrlPr>
                        </m:sSupPr>
                        <m:e>
                          <m:d>
                            <m:dPr>
                              <m:ctrlPr>
                                <w:rPr>
                                  <w:rFonts w:ascii="Cambria Math" w:hAnsi="Cambria Math"/>
                                  <w:sz w:val="21"/>
                                  <w:szCs w:val="21"/>
                                </w:rPr>
                              </m:ctrlPr>
                            </m:dPr>
                            <m:e>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t</m:t>
                                  </m:r>
                                </m:sub>
                              </m:sSub>
                            </m:e>
                          </m:d>
                        </m:e>
                        <m:sup>
                          <m:r>
                            <w:rPr>
                              <w:rFonts w:ascii="Cambria Math" w:hAnsi="Cambria Math"/>
                              <w:sz w:val="21"/>
                              <w:szCs w:val="21"/>
                            </w:rPr>
                            <m:t>t</m:t>
                          </m:r>
                        </m:sup>
                      </m:sSup>
                    </m:den>
                  </m:f>
                </m:e>
              </m:nary>
            </m:oMath>
            <w:r w:rsidRPr="002844B1">
              <w:rPr>
                <w:sz w:val="21"/>
                <w:szCs w:val="21"/>
              </w:rPr>
              <w:t xml:space="preserve">, avec </w:t>
            </w:r>
            <m:oMath>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t</m:t>
                      </m:r>
                    </m:sub>
                  </m:sSub>
                </m:e>
              </m:d>
            </m:oMath>
            <w:r w:rsidRPr="002844B1">
              <w:rPr>
                <w:sz w:val="21"/>
                <w:szCs w:val="21"/>
              </w:rPr>
              <w:t xml:space="preserve"> calculés à partir de la courbe des taux fixée par l’Autorité et </w:t>
            </w:r>
            <m:oMath>
              <m:sSub>
                <m:sSubPr>
                  <m:ctrlPr>
                    <w:rPr>
                      <w:rFonts w:ascii="Cambria Math" w:hAnsi="Cambria Math"/>
                      <w:sz w:val="21"/>
                      <w:szCs w:val="21"/>
                    </w:rPr>
                  </m:ctrlPr>
                </m:sSubPr>
                <m:e>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F</m:t>
                          </m:r>
                        </m:e>
                        <m:sub>
                          <m:r>
                            <w:rPr>
                              <w:rFonts w:ascii="Cambria Math" w:hAnsi="Cambria Math"/>
                              <w:sz w:val="21"/>
                              <w:szCs w:val="21"/>
                            </w:rPr>
                            <m:t>t</m:t>
                          </m:r>
                        </m:sub>
                      </m:sSub>
                    </m:e>
                  </m:d>
                </m:e>
                <m:sub>
                  <m:r>
                    <w:rPr>
                      <w:rFonts w:ascii="Cambria Math" w:hAnsi="Cambria Math"/>
                      <w:sz w:val="21"/>
                      <w:szCs w:val="21"/>
                    </w:rPr>
                    <m:t>t&gt;0</m:t>
                  </m:r>
                </m:sub>
              </m:sSub>
            </m:oMath>
            <w:r w:rsidRPr="002844B1">
              <w:rPr>
                <w:sz w:val="21"/>
                <w:szCs w:val="21"/>
              </w:rPr>
              <w:t xml:space="preserve"> les flux de trésorerie futurs probabilisés.</w:t>
            </w:r>
          </w:p>
          <w:p w:rsidR="005C634B" w:rsidRPr="002844B1" w:rsidRDefault="00000000" w:rsidP="005C634B">
            <w:pPr>
              <w:pStyle w:val="FirstParagraph"/>
              <w:numPr>
                <w:ilvl w:val="0"/>
                <w:numId w:val="110"/>
              </w:numPr>
              <w:jc w:val="both"/>
              <w:rPr>
                <w:sz w:val="21"/>
                <w:szCs w:val="21"/>
              </w:rPr>
            </w:pPr>
            <m:oMath>
              <m:r>
                <w:rPr>
                  <w:rFonts w:ascii="Cambria Math" w:hAnsi="Cambria Math"/>
                  <w:sz w:val="21"/>
                  <w:szCs w:val="21"/>
                </w:rPr>
                <m:t>BD</m:t>
              </m:r>
              <m:sSub>
                <m:sSubPr>
                  <m:ctrlPr>
                    <w:rPr>
                      <w:rFonts w:ascii="Cambria Math" w:hAnsi="Cambria Math"/>
                      <w:sz w:val="21"/>
                      <w:szCs w:val="21"/>
                    </w:rPr>
                  </m:ctrlPr>
                </m:sSubPr>
                <m:e>
                  <m:r>
                    <w:rPr>
                      <w:rFonts w:ascii="Cambria Math" w:hAnsi="Cambria Math"/>
                      <w:sz w:val="21"/>
                      <w:szCs w:val="21"/>
                    </w:rPr>
                    <m:t>F</m:t>
                  </m:r>
                </m:e>
                <m:sub>
                  <m:r>
                    <w:rPr>
                      <w:rFonts w:ascii="Cambria Math" w:hAnsi="Cambria Math"/>
                      <w:sz w:val="21"/>
                      <w:szCs w:val="21"/>
                    </w:rPr>
                    <m:t>i</m:t>
                  </m:r>
                </m:sub>
              </m:sSub>
              <m: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MEG</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num>
                <m:den>
                  <m:r>
                    <w:rPr>
                      <w:rFonts w:ascii="Cambria Math" w:hAnsi="Cambria Math"/>
                      <w:sz w:val="21"/>
                      <w:szCs w:val="21"/>
                    </w:rPr>
                    <m:t>MEG</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0</m:t>
                      </m:r>
                    </m:sub>
                  </m:sSub>
                </m:den>
              </m:f>
              <m:r>
                <w:rPr>
                  <w:rFonts w:ascii="Cambria Math" w:hAnsi="Cambria Math"/>
                  <w:sz w:val="21"/>
                  <w:szCs w:val="21"/>
                </w:rPr>
                <m:t>×BD</m:t>
              </m:r>
              <m:sSub>
                <m:sSubPr>
                  <m:ctrlPr>
                    <w:rPr>
                      <w:rFonts w:ascii="Cambria Math" w:hAnsi="Cambria Math"/>
                      <w:sz w:val="21"/>
                      <w:szCs w:val="21"/>
                    </w:rPr>
                  </m:ctrlPr>
                </m:sSubPr>
                <m:e>
                  <m:r>
                    <w:rPr>
                      <w:rFonts w:ascii="Cambria Math" w:hAnsi="Cambria Math"/>
                      <w:sz w:val="21"/>
                      <w:szCs w:val="21"/>
                    </w:rPr>
                    <m:t>F</m:t>
                  </m:r>
                </m:e>
                <m:sub>
                  <m:r>
                    <w:rPr>
                      <w:rFonts w:ascii="Cambria Math" w:hAnsi="Cambria Math"/>
                      <w:sz w:val="21"/>
                      <w:szCs w:val="21"/>
                    </w:rPr>
                    <m:t>0</m:t>
                  </m:r>
                </m:sub>
              </m:sSub>
              <m:r>
                <w:rPr>
                  <w:rFonts w:ascii="Cambria Math" w:hAnsi="Cambria Math"/>
                  <w:sz w:val="21"/>
                  <w:szCs w:val="21"/>
                </w:rPr>
                <m:t>×</m:t>
              </m:r>
              <m:sSup>
                <m:sSupPr>
                  <m:ctrlPr>
                    <w:rPr>
                      <w:rFonts w:ascii="Cambria Math" w:hAnsi="Cambria Math"/>
                      <w:sz w:val="21"/>
                      <w:szCs w:val="21"/>
                    </w:rPr>
                  </m:ctrlPr>
                </m:sSupPr>
                <m:e>
                  <m:d>
                    <m:dPr>
                      <m:ctrlPr>
                        <w:rPr>
                          <w:rFonts w:ascii="Cambria Math" w:hAnsi="Cambria Math"/>
                          <w:sz w:val="21"/>
                          <w:szCs w:val="21"/>
                        </w:rPr>
                      </m:ctrlPr>
                    </m:dPr>
                    <m:e>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e>
                <m:sup>
                  <m:r>
                    <w:rPr>
                      <w:rFonts w:ascii="Cambria Math" w:hAnsi="Cambria Math"/>
                      <w:sz w:val="21"/>
                      <w:szCs w:val="21"/>
                    </w:rPr>
                    <m:t>i</m:t>
                  </m:r>
                </m:sup>
              </m:sSup>
            </m:oMath>
            <w:r w:rsidRPr="002844B1">
              <w:rPr>
                <w:sz w:val="21"/>
                <w:szCs w:val="21"/>
              </w:rPr>
              <w:t xml:space="preserve">, avec </w:t>
            </w:r>
            <m:oMath>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t</m:t>
                      </m:r>
                    </m:sub>
                  </m:sSub>
                </m:e>
              </m:d>
            </m:oMath>
            <w:r w:rsidRPr="002844B1">
              <w:rPr>
                <w:sz w:val="21"/>
                <w:szCs w:val="21"/>
              </w:rPr>
              <w:t xml:space="preserve"> calculés à partir de la courbe des taux fixée par l’Autorité.</w:t>
            </w:r>
          </w:p>
          <w:p w:rsidR="005B279D" w:rsidRPr="002844B1" w:rsidRDefault="00000000" w:rsidP="005C634B">
            <w:pPr>
              <w:pStyle w:val="FirstParagraph"/>
              <w:numPr>
                <w:ilvl w:val="0"/>
                <w:numId w:val="110"/>
              </w:numPr>
              <w:jc w:val="both"/>
              <w:rPr>
                <w:sz w:val="21"/>
                <w:szCs w:val="21"/>
              </w:rPr>
            </w:pPr>
            <w:r w:rsidRPr="002844B1">
              <w:rPr>
                <w:sz w:val="21"/>
                <w:szCs w:val="21"/>
              </w:rPr>
              <w:t xml:space="preserve">  </w:t>
            </w:r>
            <m:oMath>
              <m:r>
                <w:rPr>
                  <w:rFonts w:ascii="Cambria Math" w:hAnsi="Cambria Math"/>
                  <w:sz w:val="21"/>
                  <w:szCs w:val="21"/>
                </w:rPr>
                <m:t>BD</m:t>
              </m:r>
              <m:sSub>
                <m:sSubPr>
                  <m:ctrlPr>
                    <w:rPr>
                      <w:rFonts w:ascii="Cambria Math" w:hAnsi="Cambria Math"/>
                      <w:sz w:val="21"/>
                      <w:szCs w:val="21"/>
                    </w:rPr>
                  </m:ctrlPr>
                </m:sSubPr>
                <m:e>
                  <m:r>
                    <w:rPr>
                      <w:rFonts w:ascii="Cambria Math" w:hAnsi="Cambria Math"/>
                      <w:sz w:val="21"/>
                      <w:szCs w:val="21"/>
                    </w:rPr>
                    <m:t>F</m:t>
                  </m:r>
                </m:e>
                <m:sub>
                  <m:r>
                    <w:rPr>
                      <w:rFonts w:ascii="Cambria Math" w:hAnsi="Cambria Math"/>
                      <w:sz w:val="21"/>
                      <w:szCs w:val="21"/>
                    </w:rPr>
                    <m:t>0</m:t>
                  </m:r>
                </m:sub>
              </m:sSub>
            </m:oMath>
            <w:r w:rsidRPr="002844B1">
              <w:rPr>
                <w:sz w:val="21"/>
                <w:szCs w:val="21"/>
              </w:rPr>
              <w:t xml:space="preserve"> correspond aux bénéfices discrétionnaires futurs à la date d’inventaire. - Le terme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0</m:t>
                  </m:r>
                </m:sub>
              </m:sSub>
            </m:oMath>
            <w:r w:rsidRPr="002844B1">
              <w:rPr>
                <w:sz w:val="21"/>
                <w:szCs w:val="21"/>
              </w:rPr>
              <w:t xml:space="preserve"> correspond au ratio de passage utilisé pour le calcul de la meilleure estimation des engagements cédés à la date d’inventaire.</w:t>
            </w:r>
          </w:p>
          <w:p w:rsidR="005B279D" w:rsidRPr="002844B1" w:rsidRDefault="00000000" w:rsidP="005C634B">
            <w:pPr>
              <w:pStyle w:val="BlockText"/>
              <w:jc w:val="both"/>
              <w:rPr>
                <w:b/>
                <w:bCs/>
                <w:sz w:val="21"/>
                <w:szCs w:val="21"/>
              </w:rPr>
            </w:pPr>
            <w:r w:rsidRPr="002844B1">
              <w:rPr>
                <w:b/>
                <w:bCs/>
                <w:sz w:val="21"/>
                <w:szCs w:val="21"/>
              </w:rPr>
              <w:t>Pour les rentes découlant des opérations non-vie:</w:t>
            </w:r>
          </w:p>
          <w:p w:rsidR="005B279D" w:rsidRPr="002844B1" w:rsidRDefault="00000000" w:rsidP="005C634B">
            <w:pPr>
              <w:pStyle w:val="FirstParagraph"/>
              <w:jc w:val="both"/>
              <w:rPr>
                <w:sz w:val="21"/>
                <w:szCs w:val="21"/>
              </w:rPr>
            </w:pPr>
            <w:r w:rsidRPr="002844B1">
              <w:rPr>
                <w:sz w:val="21"/>
                <w:szCs w:val="21"/>
              </w:rPr>
              <w:t xml:space="preserve">La meilleure estimation des engagements </w:t>
            </w:r>
            <w:r w:rsidR="002844B1" w:rsidRPr="002844B1">
              <w:rPr>
                <w:sz w:val="21"/>
                <w:szCs w:val="21"/>
              </w:rPr>
              <w:t>cédés</w:t>
            </w:r>
            <w:r w:rsidRPr="002844B1">
              <w:rPr>
                <w:sz w:val="21"/>
                <w:szCs w:val="21"/>
              </w:rPr>
              <w:t xml:space="preserve"> au titre de l’année de projection correspond à :</w:t>
            </w:r>
          </w:p>
          <w:p w:rsidR="005B279D" w:rsidRPr="002844B1" w:rsidRDefault="00000000" w:rsidP="005C634B">
            <w:pPr>
              <w:pStyle w:val="BodyText"/>
              <w:jc w:val="both"/>
              <w:rPr>
                <w:sz w:val="21"/>
                <w:szCs w:val="21"/>
              </w:rPr>
            </w:pPr>
            <m:oMathPara>
              <m:oMathParaPr>
                <m:jc m:val="center"/>
              </m:oMathParaPr>
              <m:oMath>
                <m:r>
                  <w:rPr>
                    <w:rFonts w:ascii="Cambria Math" w:hAnsi="Cambria Math"/>
                    <w:sz w:val="21"/>
                    <w:szCs w:val="21"/>
                  </w:rPr>
                  <m:t>BEC=BEG</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0</m:t>
                    </m:r>
                  </m:sub>
                </m:sSub>
                <m:r>
                  <w:rPr>
                    <w:rFonts w:ascii="Cambria Math" w:hAnsi="Cambria Math"/>
                    <w:sz w:val="21"/>
                    <w:szCs w:val="21"/>
                  </w:rPr>
                  <m:t> ,  </m:t>
                </m:r>
                <m:d>
                  <m:dPr>
                    <m:ctrlPr>
                      <w:rPr>
                        <w:rFonts w:ascii="Cambria Math" w:hAnsi="Cambria Math"/>
                        <w:sz w:val="21"/>
                        <w:szCs w:val="21"/>
                      </w:rPr>
                    </m:ctrlPr>
                  </m:dPr>
                  <m:e>
                    <m:r>
                      <w:rPr>
                        <w:rFonts w:ascii="Cambria Math" w:hAnsi="Cambria Math"/>
                        <w:sz w:val="21"/>
                        <w:szCs w:val="21"/>
                      </w:rPr>
                      <m:t>43</m:t>
                    </m:r>
                  </m:e>
                </m:d>
              </m:oMath>
            </m:oMathPara>
          </w:p>
          <w:p w:rsidR="005B279D" w:rsidRPr="002844B1" w:rsidRDefault="00000000" w:rsidP="005C634B">
            <w:pPr>
              <w:pStyle w:val="FirstParagraph"/>
              <w:jc w:val="both"/>
              <w:rPr>
                <w:sz w:val="21"/>
                <w:szCs w:val="21"/>
              </w:rPr>
            </w:pPr>
            <w:r w:rsidRPr="002844B1">
              <w:rPr>
                <w:sz w:val="21"/>
                <w:szCs w:val="21"/>
              </w:rPr>
              <w:t>où :</w:t>
            </w:r>
          </w:p>
          <w:p w:rsidR="005B279D" w:rsidRPr="002844B1" w:rsidRDefault="00000000" w:rsidP="005C634B">
            <w:pPr>
              <w:numPr>
                <w:ilvl w:val="0"/>
                <w:numId w:val="41"/>
              </w:numPr>
              <w:jc w:val="both"/>
              <w:rPr>
                <w:sz w:val="21"/>
                <w:szCs w:val="21"/>
              </w:rPr>
            </w:pPr>
            <m:oMath>
              <m:r>
                <w:rPr>
                  <w:rFonts w:ascii="Cambria Math" w:hAnsi="Cambria Math"/>
                  <w:sz w:val="21"/>
                  <w:szCs w:val="21"/>
                </w:rPr>
                <m:t>MEG</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w:rPr>
                  <w:rFonts w:ascii="Cambria Math" w:hAnsi="Cambria Math"/>
                  <w:sz w:val="21"/>
                  <w:szCs w:val="21"/>
                </w:rPr>
                <m:t>=</m:t>
              </m:r>
              <m:nary>
                <m:naryPr>
                  <m:chr m:val="∑"/>
                  <m:limLoc m:val="undOvr"/>
                  <m:supHide m:val="1"/>
                  <m:ctrlPr>
                    <w:rPr>
                      <w:rFonts w:ascii="Cambria Math" w:hAnsi="Cambria Math"/>
                      <w:sz w:val="21"/>
                      <w:szCs w:val="21"/>
                    </w:rPr>
                  </m:ctrlPr>
                </m:naryPr>
                <m:sub>
                  <m:r>
                    <w:rPr>
                      <w:rFonts w:ascii="Cambria Math" w:hAnsi="Cambria Math"/>
                      <w:sz w:val="21"/>
                      <w:szCs w:val="21"/>
                    </w:rPr>
                    <m:t>t&gt;i</m:t>
                  </m:r>
                </m:sub>
                <m:sup>
                  <m:r>
                    <w:rPr>
                      <w:rFonts w:ascii="Cambria Math" w:hAnsi="Cambria Math"/>
                      <w:sz w:val="21"/>
                      <w:szCs w:val="21"/>
                    </w:rPr>
                    <m:t>​</m:t>
                  </m:r>
                </m:sup>
                <m:e>
                  <m:f>
                    <m:fPr>
                      <m:ctrlPr>
                        <w:rPr>
                          <w:rFonts w:ascii="Cambria Math" w:hAnsi="Cambria Math"/>
                          <w:sz w:val="21"/>
                          <w:szCs w:val="21"/>
                        </w:rPr>
                      </m:ctrlPr>
                    </m:fPr>
                    <m:num>
                      <m:sSub>
                        <m:sSubPr>
                          <m:ctrlPr>
                            <w:rPr>
                              <w:rFonts w:ascii="Cambria Math" w:hAnsi="Cambria Math"/>
                              <w:sz w:val="21"/>
                              <w:szCs w:val="21"/>
                            </w:rPr>
                          </m:ctrlPr>
                        </m:sSubPr>
                        <m:e>
                          <m:r>
                            <w:rPr>
                              <w:rFonts w:ascii="Cambria Math" w:hAnsi="Cambria Math"/>
                              <w:sz w:val="21"/>
                              <w:szCs w:val="21"/>
                            </w:rPr>
                            <m:t>F</m:t>
                          </m:r>
                        </m:e>
                        <m:sub>
                          <m:r>
                            <w:rPr>
                              <w:rFonts w:ascii="Cambria Math" w:hAnsi="Cambria Math"/>
                              <w:sz w:val="21"/>
                              <w:szCs w:val="21"/>
                            </w:rPr>
                            <m:t>t</m:t>
                          </m:r>
                        </m:sub>
                      </m:sSub>
                    </m:num>
                    <m:den>
                      <m:sSup>
                        <m:sSupPr>
                          <m:ctrlPr>
                            <w:rPr>
                              <w:rFonts w:ascii="Cambria Math" w:hAnsi="Cambria Math"/>
                              <w:sz w:val="21"/>
                              <w:szCs w:val="21"/>
                            </w:rPr>
                          </m:ctrlPr>
                        </m:sSupPr>
                        <m:e>
                          <m:d>
                            <m:dPr>
                              <m:ctrlPr>
                                <w:rPr>
                                  <w:rFonts w:ascii="Cambria Math" w:hAnsi="Cambria Math"/>
                                  <w:sz w:val="21"/>
                                  <w:szCs w:val="21"/>
                                </w:rPr>
                              </m:ctrlPr>
                            </m:dPr>
                            <m:e>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t</m:t>
                                  </m:r>
                                </m:sub>
                              </m:sSub>
                            </m:e>
                          </m:d>
                        </m:e>
                        <m:sup>
                          <m:r>
                            <w:rPr>
                              <w:rFonts w:ascii="Cambria Math" w:hAnsi="Cambria Math"/>
                              <w:sz w:val="21"/>
                              <w:szCs w:val="21"/>
                            </w:rPr>
                            <m:t>t</m:t>
                          </m:r>
                        </m:sup>
                      </m:sSup>
                    </m:den>
                  </m:f>
                </m:e>
              </m:nary>
            </m:oMath>
            <w:r w:rsidRPr="002844B1">
              <w:rPr>
                <w:sz w:val="21"/>
                <w:szCs w:val="21"/>
              </w:rPr>
              <w:t xml:space="preserve">, avec </w:t>
            </w:r>
            <m:oMath>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t</m:t>
                      </m:r>
                    </m:sub>
                  </m:sSub>
                </m:e>
              </m:d>
            </m:oMath>
            <w:r w:rsidRPr="002844B1">
              <w:rPr>
                <w:sz w:val="21"/>
                <w:szCs w:val="21"/>
              </w:rPr>
              <w:t xml:space="preserve"> calculés à partir de la courbe des taux fixée par l’Autorité et </w:t>
            </w:r>
            <m:oMath>
              <m:sSub>
                <m:sSubPr>
                  <m:ctrlPr>
                    <w:rPr>
                      <w:rFonts w:ascii="Cambria Math" w:hAnsi="Cambria Math"/>
                      <w:sz w:val="21"/>
                      <w:szCs w:val="21"/>
                    </w:rPr>
                  </m:ctrlPr>
                </m:sSubPr>
                <m:e>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F</m:t>
                          </m:r>
                        </m:e>
                        <m:sub>
                          <m:r>
                            <w:rPr>
                              <w:rFonts w:ascii="Cambria Math" w:hAnsi="Cambria Math"/>
                              <w:sz w:val="21"/>
                              <w:szCs w:val="21"/>
                            </w:rPr>
                            <m:t>t</m:t>
                          </m:r>
                        </m:sub>
                      </m:sSub>
                    </m:e>
                  </m:d>
                </m:e>
                <m:sub>
                  <m:r>
                    <w:rPr>
                      <w:rFonts w:ascii="Cambria Math" w:hAnsi="Cambria Math"/>
                      <w:sz w:val="21"/>
                      <w:szCs w:val="21"/>
                    </w:rPr>
                    <m:t>t&gt;0</m:t>
                  </m:r>
                </m:sub>
              </m:sSub>
            </m:oMath>
            <w:r w:rsidRPr="002844B1">
              <w:rPr>
                <w:sz w:val="21"/>
                <w:szCs w:val="21"/>
              </w:rPr>
              <w:t xml:space="preserve"> les flux de trésorerie futurs probabilisés.</w:t>
            </w:r>
          </w:p>
          <w:p w:rsidR="005B279D" w:rsidRPr="002844B1" w:rsidRDefault="00000000" w:rsidP="005C634B">
            <w:pPr>
              <w:numPr>
                <w:ilvl w:val="0"/>
                <w:numId w:val="41"/>
              </w:numPr>
              <w:jc w:val="both"/>
              <w:rPr>
                <w:sz w:val="21"/>
                <w:szCs w:val="21"/>
              </w:rPr>
            </w:pPr>
            <w:r w:rsidRPr="002844B1">
              <w:rPr>
                <w:sz w:val="21"/>
                <w:szCs w:val="21"/>
              </w:rPr>
              <w:t xml:space="preserve">Le terme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0</m:t>
                  </m:r>
                </m:sub>
              </m:sSub>
            </m:oMath>
            <w:r w:rsidRPr="002844B1">
              <w:rPr>
                <w:sz w:val="21"/>
                <w:szCs w:val="21"/>
              </w:rPr>
              <w:t xml:space="preserve"> correspond au ratio de passage utilisé pour le calcul de la meilleure estimation des engagements cédés à la date d’inventaire.</w:t>
            </w:r>
          </w:p>
        </w:tc>
      </w:tr>
      <w:tr w:rsidR="005B279D" w:rsidRPr="002844B1" w:rsidTr="005B279D">
        <w:trPr>
          <w:cantSplit/>
        </w:trPr>
        <w:tc>
          <w:tcPr>
            <w:tcW w:w="0" w:type="auto"/>
            <w:shd w:val="clear" w:color="auto" w:fill="DAE6FB"/>
            <w:tcMar>
              <w:top w:w="92" w:type="dxa"/>
              <w:bottom w:w="92" w:type="dxa"/>
            </w:tcMar>
          </w:tcPr>
          <w:p w:rsidR="005B279D" w:rsidRPr="002844B1" w:rsidRDefault="00000000">
            <w:pPr>
              <w:pStyle w:val="FirstParagraph"/>
              <w:spacing w:before="0" w:after="0"/>
              <w:textAlignment w:val="center"/>
            </w:pPr>
            <w:r w:rsidRPr="002844B1">
              <w:rPr>
                <w:noProof/>
              </w:rPr>
              <w:lastRenderedPageBreak/>
              <w:drawing>
                <wp:inline distT="0" distB="0" distL="0" distR="0">
                  <wp:extent cx="152400" cy="152400"/>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Applications/quarto/share/formats/docx/note.png"/>
                          <pic:cNvPicPr>
                            <a:picLocks noChangeAspect="1" noChangeArrowheads="1"/>
                          </pic:cNvPicPr>
                        </pic:nvPicPr>
                        <pic:blipFill>
                          <a:blip r:embed="rId18"/>
                          <a:stretch>
                            <a:fillRect/>
                          </a:stretch>
                        </pic:blipFill>
                        <pic:spPr bwMode="auto">
                          <a:xfrm>
                            <a:off x="0" y="0"/>
                            <a:ext cx="152400" cy="152400"/>
                          </a:xfrm>
                          <a:prstGeom prst="rect">
                            <a:avLst/>
                          </a:prstGeom>
                          <a:noFill/>
                          <a:ln w="9525">
                            <a:noFill/>
                            <a:headEnd/>
                            <a:tailEnd/>
                          </a:ln>
                        </pic:spPr>
                      </pic:pic>
                    </a:graphicData>
                  </a:graphic>
                </wp:inline>
              </w:drawing>
            </w:r>
            <w:r w:rsidRPr="002844B1">
              <w:t xml:space="preserve">  </w:t>
            </w:r>
            <w:r w:rsidR="002844B1" w:rsidRPr="002844B1">
              <w:t>Étape</w:t>
            </w:r>
            <w:r w:rsidRPr="002844B1">
              <w:t xml:space="preserve"> Nº2: Calcul des flux d’ajustement projetés</w:t>
            </w:r>
          </w:p>
        </w:tc>
      </w:tr>
      <w:tr w:rsidR="005B279D" w:rsidRPr="002844B1" w:rsidTr="005B279D">
        <w:trPr>
          <w:cantSplit/>
        </w:trPr>
        <w:tc>
          <w:tcPr>
            <w:tcW w:w="0" w:type="auto"/>
            <w:tcMar>
              <w:top w:w="108" w:type="dxa"/>
              <w:bottom w:w="108" w:type="dxa"/>
            </w:tcMar>
          </w:tcPr>
          <w:p w:rsidR="005B279D" w:rsidRPr="002844B1" w:rsidRDefault="00000000" w:rsidP="005C634B">
            <w:pPr>
              <w:pStyle w:val="BodyText"/>
              <w:spacing w:before="16"/>
              <w:jc w:val="both"/>
              <w:rPr>
                <w:sz w:val="21"/>
                <w:szCs w:val="21"/>
              </w:rPr>
            </w:pPr>
            <w:r w:rsidRPr="002844B1">
              <w:rPr>
                <w:sz w:val="21"/>
                <w:szCs w:val="21"/>
              </w:rPr>
              <w:t xml:space="preserve">Au titre de l’année de projection </w:t>
            </w:r>
            <m:oMath>
              <m:r>
                <w:rPr>
                  <w:rFonts w:ascii="Cambria Math" w:hAnsi="Cambria Math"/>
                  <w:sz w:val="21"/>
                  <w:szCs w:val="21"/>
                </w:rPr>
                <m:t>i</m:t>
              </m:r>
            </m:oMath>
            <w:r w:rsidRPr="002844B1">
              <w:rPr>
                <w:sz w:val="21"/>
                <w:szCs w:val="21"/>
              </w:rPr>
              <w:t>, le flux d’ajustement est calculé ainsi :</w:t>
            </w:r>
          </w:p>
          <w:p w:rsidR="005B279D" w:rsidRPr="002844B1" w:rsidRDefault="00000000" w:rsidP="005C634B">
            <w:pPr>
              <w:pStyle w:val="BodyText"/>
              <w:jc w:val="both"/>
              <w:rPr>
                <w:sz w:val="21"/>
                <w:szCs w:val="21"/>
              </w:rPr>
            </w:pPr>
            <m:oMathPara>
              <m:oMathParaPr>
                <m:jc m:val="center"/>
              </m:oMathParaPr>
              <m:oMath>
                <m:r>
                  <w:rPr>
                    <w:rFonts w:ascii="Cambria Math" w:hAnsi="Cambria Math"/>
                    <w:sz w:val="21"/>
                    <w:szCs w:val="21"/>
                  </w:rPr>
                  <m:t>Ad</m:t>
                </m:r>
                <m:sSub>
                  <m:sSubPr>
                    <m:ctrlPr>
                      <w:rPr>
                        <w:rFonts w:ascii="Cambria Math" w:hAnsi="Cambria Math"/>
                        <w:sz w:val="21"/>
                        <w:szCs w:val="21"/>
                      </w:rPr>
                    </m:ctrlPr>
                  </m:sSubPr>
                  <m:e>
                    <m:r>
                      <w:rPr>
                        <w:rFonts w:ascii="Cambria Math" w:hAnsi="Cambria Math"/>
                        <w:sz w:val="21"/>
                        <w:szCs w:val="21"/>
                      </w:rPr>
                      <m:t>j</m:t>
                    </m:r>
                  </m:e>
                  <m:sub>
                    <m:r>
                      <w:rPr>
                        <w:rFonts w:ascii="Cambria Math" w:hAnsi="Cambria Math"/>
                        <w:sz w:val="21"/>
                        <w:szCs w:val="21"/>
                      </w:rPr>
                      <m:t>i</m:t>
                    </m:r>
                  </m:sub>
                </m:sSub>
                <m: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r>
                  <w:rPr>
                    <w:rFonts w:ascii="Cambria Math" w:hAnsi="Cambria Math"/>
                    <w:sz w:val="21"/>
                    <w:szCs w:val="21"/>
                  </w:rPr>
                  <m:t>×max</m:t>
                </m:r>
                <m:d>
                  <m:dPr>
                    <m:ctrlPr>
                      <w:rPr>
                        <w:rFonts w:ascii="Cambria Math" w:hAnsi="Cambria Math"/>
                        <w:sz w:val="21"/>
                        <w:szCs w:val="21"/>
                      </w:rPr>
                    </m:ctrlPr>
                  </m:dPr>
                  <m:e>
                    <m:r>
                      <w:rPr>
                        <w:rFonts w:ascii="Cambria Math" w:hAnsi="Cambria Math"/>
                        <w:sz w:val="21"/>
                        <w:szCs w:val="21"/>
                      </w:rPr>
                      <m:t>BEC-DEV+SDR;0</m:t>
                    </m:r>
                  </m:e>
                </m:d>
                <m:r>
                  <w:rPr>
                    <w:rFonts w:ascii="Cambria Math" w:hAnsi="Cambria Math"/>
                    <w:sz w:val="21"/>
                    <w:szCs w:val="21"/>
                  </w:rPr>
                  <m:t>×PD×</m:t>
                </m:r>
                <m:sSup>
                  <m:sSupPr>
                    <m:ctrlPr>
                      <w:rPr>
                        <w:rFonts w:ascii="Cambria Math" w:hAnsi="Cambria Math"/>
                        <w:sz w:val="21"/>
                        <w:szCs w:val="21"/>
                      </w:rPr>
                    </m:ctrlPr>
                  </m:sSupPr>
                  <m:e>
                    <m:d>
                      <m:dPr>
                        <m:ctrlPr>
                          <w:rPr>
                            <w:rFonts w:ascii="Cambria Math" w:hAnsi="Cambria Math"/>
                            <w:sz w:val="21"/>
                            <w:szCs w:val="21"/>
                          </w:rPr>
                        </m:ctrlPr>
                      </m:dPr>
                      <m:e>
                        <m:r>
                          <w:rPr>
                            <w:rFonts w:ascii="Cambria Math" w:hAnsi="Cambria Math"/>
                            <w:sz w:val="21"/>
                            <w:szCs w:val="21"/>
                          </w:rPr>
                          <m:t>1-PD</m:t>
                        </m:r>
                      </m:e>
                    </m:d>
                  </m:e>
                  <m:sup>
                    <m:r>
                      <w:rPr>
                        <w:rFonts w:ascii="Cambria Math" w:hAnsi="Cambria Math"/>
                        <w:sz w:val="21"/>
                        <w:szCs w:val="21"/>
                      </w:rPr>
                      <m:t>i-1</m:t>
                    </m:r>
                  </m:sup>
                </m:sSup>
                <m:r>
                  <w:rPr>
                    <w:rFonts w:ascii="Cambria Math" w:hAnsi="Cambria Math"/>
                    <w:sz w:val="21"/>
                    <w:szCs w:val="21"/>
                  </w:rPr>
                  <m:t> ,  </m:t>
                </m:r>
                <m:d>
                  <m:dPr>
                    <m:ctrlPr>
                      <w:rPr>
                        <w:rFonts w:ascii="Cambria Math" w:hAnsi="Cambria Math"/>
                        <w:sz w:val="21"/>
                        <w:szCs w:val="21"/>
                      </w:rPr>
                    </m:ctrlPr>
                  </m:dPr>
                  <m:e>
                    <m:r>
                      <w:rPr>
                        <w:rFonts w:ascii="Cambria Math" w:hAnsi="Cambria Math"/>
                        <w:sz w:val="21"/>
                        <w:szCs w:val="21"/>
                      </w:rPr>
                      <m:t>44</m:t>
                    </m:r>
                  </m:e>
                </m:d>
              </m:oMath>
            </m:oMathPara>
          </w:p>
          <w:p w:rsidR="005B279D" w:rsidRPr="002844B1" w:rsidRDefault="00000000" w:rsidP="005C634B">
            <w:pPr>
              <w:pStyle w:val="FirstParagraph"/>
              <w:jc w:val="both"/>
              <w:rPr>
                <w:sz w:val="21"/>
                <w:szCs w:val="21"/>
              </w:rPr>
            </w:pPr>
            <w:r w:rsidRPr="002844B1">
              <w:rPr>
                <w:sz w:val="21"/>
                <w:szCs w:val="21"/>
              </w:rPr>
              <w:t>avec:</w:t>
            </w:r>
          </w:p>
          <w:p w:rsidR="005B279D" w:rsidRPr="002844B1" w:rsidRDefault="00000000" w:rsidP="005C634B">
            <w:pPr>
              <w:pStyle w:val="Compact"/>
              <w:numPr>
                <w:ilvl w:val="0"/>
                <w:numId w:val="42"/>
              </w:numPr>
              <w:jc w:val="both"/>
              <w:rPr>
                <w:sz w:val="21"/>
                <w:szCs w:val="21"/>
              </w:rPr>
            </w:pPr>
            <m:oMath>
              <m:r>
                <w:rPr>
                  <w:rFonts w:ascii="Cambria Math" w:hAnsi="Cambria Math"/>
                  <w:sz w:val="21"/>
                  <w:szCs w:val="21"/>
                </w:rPr>
                <m:t>DEV</m:t>
              </m:r>
            </m:oMath>
            <w:r w:rsidRPr="002844B1">
              <w:rPr>
                <w:sz w:val="21"/>
                <w:szCs w:val="21"/>
              </w:rPr>
              <w:t xml:space="preserve"> :dépôtven espèces et en valeurs.</w:t>
            </w:r>
          </w:p>
          <w:p w:rsidR="005B279D" w:rsidRPr="002844B1" w:rsidRDefault="00000000" w:rsidP="005C634B">
            <w:pPr>
              <w:pStyle w:val="Compact"/>
              <w:numPr>
                <w:ilvl w:val="0"/>
                <w:numId w:val="42"/>
              </w:numPr>
              <w:jc w:val="both"/>
              <w:rPr>
                <w:sz w:val="21"/>
                <w:szCs w:val="21"/>
              </w:rPr>
            </w:pPr>
            <m:oMath>
              <m:r>
                <w:rPr>
                  <w:rFonts w:ascii="Cambria Math" w:hAnsi="Cambria Math"/>
                  <w:sz w:val="21"/>
                  <w:szCs w:val="21"/>
                </w:rPr>
                <m:t>SDR</m:t>
              </m:r>
            </m:oMath>
            <w:r w:rsidRPr="002844B1">
              <w:rPr>
                <w:sz w:val="21"/>
                <w:szCs w:val="21"/>
              </w:rPr>
              <w:t xml:space="preserve"> :solde de réassurance</w:t>
            </w:r>
          </w:p>
          <w:p w:rsidR="005B279D" w:rsidRPr="002844B1" w:rsidRDefault="00000000" w:rsidP="005C634B">
            <w:pPr>
              <w:pStyle w:val="FirstParagraph"/>
              <w:spacing w:after="16"/>
              <w:jc w:val="both"/>
            </w:pPr>
            <w:r w:rsidRPr="002844B1">
              <w:rPr>
                <w:sz w:val="21"/>
                <w:szCs w:val="21"/>
              </w:rPr>
              <w:t xml:space="preserve">La probabilité de défaut annuelle </w:t>
            </w:r>
            <m:oMath>
              <m:r>
                <w:rPr>
                  <w:rFonts w:ascii="Cambria Math" w:hAnsi="Cambria Math"/>
                  <w:sz w:val="21"/>
                  <w:szCs w:val="21"/>
                </w:rPr>
                <m:t>PD</m:t>
              </m:r>
            </m:oMath>
            <w:r w:rsidRPr="002844B1">
              <w:rPr>
                <w:sz w:val="21"/>
                <w:szCs w:val="21"/>
              </w:rPr>
              <w:t xml:space="preserve"> du cessionnaire est établie conformément au tableau prévu en ANNEXE N°2 de ce rapport .</w:t>
            </w:r>
          </w:p>
        </w:tc>
      </w:tr>
      <w:tr w:rsidR="005B279D" w:rsidRPr="002844B1" w:rsidTr="005B279D">
        <w:trPr>
          <w:cantSplit/>
        </w:trPr>
        <w:tc>
          <w:tcPr>
            <w:tcW w:w="0" w:type="auto"/>
            <w:shd w:val="clear" w:color="auto" w:fill="DAE6FB"/>
            <w:tcMar>
              <w:top w:w="92" w:type="dxa"/>
              <w:bottom w:w="92" w:type="dxa"/>
            </w:tcMar>
          </w:tcPr>
          <w:p w:rsidR="005B279D" w:rsidRPr="002844B1" w:rsidRDefault="00000000">
            <w:pPr>
              <w:pStyle w:val="BodyText"/>
              <w:spacing w:before="0" w:after="0"/>
              <w:textAlignment w:val="center"/>
            </w:pPr>
            <w:r w:rsidRPr="002844B1">
              <w:rPr>
                <w:noProof/>
              </w:rPr>
              <w:drawing>
                <wp:inline distT="0" distB="0" distL="0" distR="0">
                  <wp:extent cx="152400" cy="15240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Applications/quarto/share/formats/docx/note.png"/>
                          <pic:cNvPicPr>
                            <a:picLocks noChangeAspect="1" noChangeArrowheads="1"/>
                          </pic:cNvPicPr>
                        </pic:nvPicPr>
                        <pic:blipFill>
                          <a:blip r:embed="rId18"/>
                          <a:stretch>
                            <a:fillRect/>
                          </a:stretch>
                        </pic:blipFill>
                        <pic:spPr bwMode="auto">
                          <a:xfrm>
                            <a:off x="0" y="0"/>
                            <a:ext cx="152400" cy="152400"/>
                          </a:xfrm>
                          <a:prstGeom prst="rect">
                            <a:avLst/>
                          </a:prstGeom>
                          <a:noFill/>
                          <a:ln w="9525">
                            <a:noFill/>
                            <a:headEnd/>
                            <a:tailEnd/>
                          </a:ln>
                        </pic:spPr>
                      </pic:pic>
                    </a:graphicData>
                  </a:graphic>
                </wp:inline>
              </w:drawing>
            </w:r>
            <w:r w:rsidRPr="002844B1">
              <w:t xml:space="preserve">  </w:t>
            </w:r>
            <w:r w:rsidR="002844B1" w:rsidRPr="002844B1">
              <w:t>Étape</w:t>
            </w:r>
            <w:r w:rsidRPr="002844B1">
              <w:t xml:space="preserve"> Nº3: Calcul de l’ajustement pour défaut de contrepartie</w:t>
            </w:r>
          </w:p>
        </w:tc>
      </w:tr>
      <w:tr w:rsidR="005B279D" w:rsidRPr="002844B1" w:rsidTr="005B279D">
        <w:trPr>
          <w:cantSplit/>
        </w:trPr>
        <w:tc>
          <w:tcPr>
            <w:tcW w:w="0" w:type="auto"/>
            <w:tcMar>
              <w:top w:w="108" w:type="dxa"/>
              <w:bottom w:w="108" w:type="dxa"/>
            </w:tcMar>
          </w:tcPr>
          <w:p w:rsidR="005B279D" w:rsidRPr="002844B1" w:rsidRDefault="005B279D" w:rsidP="005C634B">
            <w:pPr>
              <w:pStyle w:val="BodyText"/>
              <w:spacing w:before="16" w:after="16"/>
              <w:jc w:val="both"/>
              <w:rPr>
                <w:sz w:val="21"/>
                <w:szCs w:val="21"/>
              </w:rPr>
            </w:pPr>
          </w:p>
          <w:p w:rsidR="005B279D" w:rsidRPr="002844B1" w:rsidRDefault="00000000" w:rsidP="005C634B">
            <w:pPr>
              <w:pStyle w:val="BodyText"/>
              <w:jc w:val="both"/>
              <w:rPr>
                <w:sz w:val="21"/>
                <w:szCs w:val="21"/>
              </w:rPr>
            </w:pPr>
            <m:oMathPara>
              <m:oMathParaPr>
                <m:jc m:val="center"/>
              </m:oMathParaPr>
              <m:oMath>
                <m:r>
                  <w:rPr>
                    <w:rFonts w:ascii="Cambria Math" w:hAnsi="Cambria Math"/>
                    <w:sz w:val="21"/>
                    <w:szCs w:val="21"/>
                  </w:rPr>
                  <m:t>Adj=</m:t>
                </m:r>
                <m:nary>
                  <m:naryPr>
                    <m:chr m:val="∑"/>
                    <m:limLoc m:val="undOvr"/>
                    <m:supHide m:val="1"/>
                    <m:ctrlPr>
                      <w:rPr>
                        <w:rFonts w:ascii="Cambria Math" w:hAnsi="Cambria Math"/>
                        <w:sz w:val="21"/>
                        <w:szCs w:val="21"/>
                      </w:rPr>
                    </m:ctrlPr>
                  </m:naryPr>
                  <m:sub>
                    <m:r>
                      <w:rPr>
                        <w:rFonts w:ascii="Cambria Math" w:hAnsi="Cambria Math"/>
                        <w:sz w:val="21"/>
                        <w:szCs w:val="21"/>
                      </w:rPr>
                      <m:t>i&gt;0</m:t>
                    </m:r>
                  </m:sub>
                  <m:sup>
                    <m:r>
                      <w:rPr>
                        <w:rFonts w:ascii="Cambria Math" w:hAnsi="Cambria Math"/>
                        <w:sz w:val="21"/>
                        <w:szCs w:val="21"/>
                      </w:rPr>
                      <m:t>​</m:t>
                    </m:r>
                  </m:sup>
                  <m:e>
                    <m:f>
                      <m:fPr>
                        <m:ctrlPr>
                          <w:rPr>
                            <w:rFonts w:ascii="Cambria Math" w:hAnsi="Cambria Math"/>
                            <w:sz w:val="21"/>
                            <w:szCs w:val="21"/>
                          </w:rPr>
                        </m:ctrlPr>
                      </m:fPr>
                      <m:num>
                        <m:r>
                          <w:rPr>
                            <w:rFonts w:ascii="Cambria Math" w:hAnsi="Cambria Math"/>
                            <w:sz w:val="21"/>
                            <w:szCs w:val="21"/>
                          </w:rPr>
                          <m:t>Ad</m:t>
                        </m:r>
                        <m:sSub>
                          <m:sSubPr>
                            <m:ctrlPr>
                              <w:rPr>
                                <w:rFonts w:ascii="Cambria Math" w:hAnsi="Cambria Math"/>
                                <w:sz w:val="21"/>
                                <w:szCs w:val="21"/>
                              </w:rPr>
                            </m:ctrlPr>
                          </m:sSubPr>
                          <m:e>
                            <m:r>
                              <w:rPr>
                                <w:rFonts w:ascii="Cambria Math" w:hAnsi="Cambria Math"/>
                                <w:sz w:val="21"/>
                                <w:szCs w:val="21"/>
                              </w:rPr>
                              <m:t>j</m:t>
                            </m:r>
                          </m:e>
                          <m:sub>
                            <m:r>
                              <w:rPr>
                                <w:rFonts w:ascii="Cambria Math" w:hAnsi="Cambria Math"/>
                                <w:sz w:val="21"/>
                                <w:szCs w:val="21"/>
                              </w:rPr>
                              <m:t>i</m:t>
                            </m:r>
                          </m:sub>
                        </m:sSub>
                      </m:num>
                      <m:den>
                        <m:sSup>
                          <m:sSupPr>
                            <m:ctrlPr>
                              <w:rPr>
                                <w:rFonts w:ascii="Cambria Math" w:hAnsi="Cambria Math"/>
                                <w:sz w:val="21"/>
                                <w:szCs w:val="21"/>
                              </w:rPr>
                            </m:ctrlPr>
                          </m:sSupPr>
                          <m:e>
                            <m:d>
                              <m:dPr>
                                <m:ctrlPr>
                                  <w:rPr>
                                    <w:rFonts w:ascii="Cambria Math" w:hAnsi="Cambria Math"/>
                                    <w:sz w:val="21"/>
                                    <w:szCs w:val="21"/>
                                  </w:rPr>
                                </m:ctrlPr>
                              </m:dPr>
                              <m:e>
                                <m:r>
                                  <w:rPr>
                                    <w:rFonts w:ascii="Cambria Math" w:hAnsi="Cambria Math"/>
                                    <w:sz w:val="21"/>
                                    <w:szCs w:val="21"/>
                                  </w:rPr>
                                  <m:t>1+</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e>
                          <m:sup>
                            <m:r>
                              <w:rPr>
                                <w:rFonts w:ascii="Cambria Math" w:hAnsi="Cambria Math"/>
                                <w:sz w:val="21"/>
                                <w:szCs w:val="21"/>
                              </w:rPr>
                              <m:t>i</m:t>
                            </m:r>
                          </m:sup>
                        </m:sSup>
                      </m:den>
                    </m:f>
                  </m:e>
                </m:nary>
                <m:r>
                  <w:rPr>
                    <w:rFonts w:ascii="Cambria Math" w:hAnsi="Cambria Math"/>
                    <w:sz w:val="21"/>
                    <w:szCs w:val="21"/>
                  </w:rPr>
                  <m:t> ,  </m:t>
                </m:r>
                <m:d>
                  <m:dPr>
                    <m:ctrlPr>
                      <w:rPr>
                        <w:rFonts w:ascii="Cambria Math" w:hAnsi="Cambria Math"/>
                        <w:sz w:val="21"/>
                        <w:szCs w:val="21"/>
                      </w:rPr>
                    </m:ctrlPr>
                  </m:dPr>
                  <m:e>
                    <m:r>
                      <w:rPr>
                        <w:rFonts w:ascii="Cambria Math" w:hAnsi="Cambria Math"/>
                        <w:sz w:val="21"/>
                        <w:szCs w:val="21"/>
                      </w:rPr>
                      <m:t>45</m:t>
                    </m:r>
                  </m:e>
                </m:d>
              </m:oMath>
            </m:oMathPara>
          </w:p>
          <w:p w:rsidR="005B279D" w:rsidRPr="002844B1" w:rsidRDefault="00000000" w:rsidP="005C634B">
            <w:pPr>
              <w:pStyle w:val="FirstParagraph"/>
              <w:jc w:val="both"/>
              <w:rPr>
                <w:sz w:val="21"/>
                <w:szCs w:val="21"/>
              </w:rPr>
            </w:pPr>
            <w:r w:rsidRPr="002844B1">
              <w:rPr>
                <w:sz w:val="21"/>
                <w:szCs w:val="21"/>
              </w:rPr>
              <w:t xml:space="preserve">avec </w:t>
            </w:r>
            <m:oMath>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oMath>
            <w:r w:rsidRPr="002844B1">
              <w:rPr>
                <w:sz w:val="21"/>
                <w:szCs w:val="21"/>
              </w:rPr>
              <w:t xml:space="preserve"> calculés à partir de la courbe des taux fixée par l’Autorité.</w:t>
            </w:r>
          </w:p>
        </w:tc>
      </w:tr>
    </w:tbl>
    <w:p w:rsidR="005C634B" w:rsidRPr="002844B1" w:rsidRDefault="005C634B" w:rsidP="005C634B">
      <w:pPr>
        <w:rPr>
          <w:rFonts w:eastAsiaTheme="majorEastAsia" w:cstheme="majorBidi"/>
          <w:color w:val="224E76" w:themeColor="accent2" w:themeShade="7F"/>
          <w:sz w:val="36"/>
          <w:szCs w:val="22"/>
        </w:rPr>
      </w:pPr>
      <w:bookmarkStart w:id="89" w:name="_Toc137651026"/>
      <w:bookmarkEnd w:id="87"/>
      <w:bookmarkEnd w:id="88"/>
      <w:r w:rsidRPr="002844B1">
        <w:br w:type="page"/>
      </w:r>
    </w:p>
    <w:p w:rsidR="005B279D" w:rsidRPr="002844B1" w:rsidRDefault="00000000" w:rsidP="00AA7351">
      <w:pPr>
        <w:pStyle w:val="headAOD"/>
      </w:pPr>
      <w:r w:rsidRPr="002844B1">
        <w:lastRenderedPageBreak/>
        <w:t>6. CHAPITRE VI : Capital de Solvabilité Requis</w:t>
      </w:r>
      <w:bookmarkEnd w:id="89"/>
    </w:p>
    <w:p w:rsidR="005B279D" w:rsidRPr="002844B1" w:rsidRDefault="00000000">
      <w:pPr>
        <w:pStyle w:val="Heading2"/>
      </w:pPr>
      <w:bookmarkStart w:id="90" w:name="_Toc137651027"/>
      <w:r w:rsidRPr="002844B1">
        <w:t>6.1 Définition générale</w:t>
      </w:r>
      <w:bookmarkStart w:id="91" w:name="définition-générale"/>
      <w:bookmarkEnd w:id="90"/>
    </w:p>
    <w:p w:rsidR="005B279D" w:rsidRPr="002844B1" w:rsidRDefault="00000000" w:rsidP="005C634B">
      <w:pPr>
        <w:pStyle w:val="FirstParagraph"/>
        <w:jc w:val="both"/>
        <w:rPr>
          <w:sz w:val="21"/>
          <w:szCs w:val="21"/>
        </w:rPr>
      </w:pPr>
      <w:r w:rsidRPr="002844B1">
        <w:rPr>
          <w:sz w:val="21"/>
          <w:szCs w:val="21"/>
        </w:rPr>
        <w:t xml:space="preserve">Au cours de son existence, la compagnie d’assurance ou de réassurance fait face à plusieurs engagements dont la </w:t>
      </w:r>
      <w:r w:rsidR="002844B1" w:rsidRPr="002844B1">
        <w:rPr>
          <w:sz w:val="21"/>
          <w:szCs w:val="21"/>
        </w:rPr>
        <w:t>plupart</w:t>
      </w:r>
      <w:r w:rsidRPr="002844B1">
        <w:rPr>
          <w:sz w:val="21"/>
          <w:szCs w:val="21"/>
        </w:rPr>
        <w:t xml:space="preserve"> sont risqués. Ce tas de risques encourus demande donc des préventions afin d’éviter ou de supporter leur avènement. Subséquemment, il est normal de se demandait quel montant la compagnie devrait avoir à l’instant </w:t>
      </w:r>
      <m:oMath>
        <m:r>
          <w:rPr>
            <w:rFonts w:ascii="Cambria Math" w:hAnsi="Cambria Math"/>
            <w:sz w:val="21"/>
            <w:szCs w:val="21"/>
          </w:rPr>
          <m:t>t</m:t>
        </m:r>
      </m:oMath>
      <w:r w:rsidRPr="002844B1">
        <w:rPr>
          <w:sz w:val="21"/>
          <w:szCs w:val="21"/>
        </w:rPr>
        <w:t xml:space="preserve"> pour se couvrir des risques éventuels d’où l’introduction de la notion de Capital de Solvabilité Requis (</w:t>
      </w:r>
      <m:oMath>
        <m:r>
          <w:rPr>
            <w:rFonts w:ascii="Cambria Math" w:hAnsi="Cambria Math"/>
            <w:sz w:val="21"/>
            <w:szCs w:val="21"/>
          </w:rPr>
          <m:t>CSR</m:t>
        </m:r>
      </m:oMath>
      <w:r w:rsidRPr="002844B1">
        <w:rPr>
          <w:sz w:val="21"/>
          <w:szCs w:val="21"/>
        </w:rPr>
        <w:t>).</w:t>
      </w:r>
    </w:p>
    <w:p w:rsidR="005B279D" w:rsidRPr="002844B1" w:rsidRDefault="00000000" w:rsidP="005C634B">
      <w:pPr>
        <w:pStyle w:val="BodyText"/>
        <w:jc w:val="both"/>
        <w:rPr>
          <w:sz w:val="21"/>
          <w:szCs w:val="21"/>
        </w:rPr>
      </w:pPr>
      <w:r w:rsidRPr="002844B1">
        <w:rPr>
          <w:sz w:val="21"/>
          <w:szCs w:val="21"/>
        </w:rPr>
        <w:t>Comme son nom l’indique, le CSR correspond au capital dont a besoin une entreprise d’assurance ou de réassurance pour faire face à tous les risques qui peuvent survenir dans le futur et limiter la probabilité de ruine.</w:t>
      </w:r>
    </w:p>
    <w:p w:rsidR="005B279D" w:rsidRPr="002844B1" w:rsidRDefault="00000000" w:rsidP="005C634B">
      <w:pPr>
        <w:pStyle w:val="BodyText"/>
        <w:jc w:val="both"/>
        <w:rPr>
          <w:sz w:val="21"/>
          <w:szCs w:val="21"/>
        </w:rPr>
      </w:pPr>
      <w:r w:rsidRPr="002844B1">
        <w:rPr>
          <w:sz w:val="21"/>
          <w:szCs w:val="21"/>
        </w:rPr>
        <w:t>Commençons d’abord par la définition des différents risques dans les secteurs d’assurance et de réassurance pris en compte dans le projet SBR :</w:t>
      </w:r>
    </w:p>
    <w:p w:rsidR="005B279D" w:rsidRPr="002844B1" w:rsidRDefault="00000000" w:rsidP="005C634B">
      <w:pPr>
        <w:numPr>
          <w:ilvl w:val="0"/>
          <w:numId w:val="43"/>
        </w:numPr>
        <w:jc w:val="both"/>
        <w:rPr>
          <w:sz w:val="21"/>
          <w:szCs w:val="21"/>
        </w:rPr>
      </w:pPr>
      <w:r w:rsidRPr="002844B1">
        <w:rPr>
          <w:b/>
          <w:bCs/>
          <w:sz w:val="21"/>
          <w:szCs w:val="21"/>
        </w:rPr>
        <w:t>Risque de souscription</w:t>
      </w:r>
      <w:r w:rsidRPr="002844B1">
        <w:rPr>
          <w:sz w:val="21"/>
          <w:szCs w:val="21"/>
        </w:rPr>
        <w:t xml:space="preserve"> : le risque de perte ou de changement défavorable de la situation financière, en raison d’hypothèses inadéquates en matière de sinistralité, de tarification et de provisionnement.</w:t>
      </w:r>
    </w:p>
    <w:p w:rsidR="005B279D" w:rsidRPr="002844B1" w:rsidRDefault="00000000" w:rsidP="005C634B">
      <w:pPr>
        <w:numPr>
          <w:ilvl w:val="0"/>
          <w:numId w:val="43"/>
        </w:numPr>
        <w:jc w:val="both"/>
        <w:rPr>
          <w:sz w:val="21"/>
          <w:szCs w:val="21"/>
        </w:rPr>
      </w:pPr>
      <w:r w:rsidRPr="002844B1">
        <w:rPr>
          <w:b/>
          <w:bCs/>
          <w:sz w:val="21"/>
          <w:szCs w:val="21"/>
        </w:rPr>
        <w:t>Risque de marché</w:t>
      </w:r>
      <w:r w:rsidRPr="002844B1">
        <w:rPr>
          <w:sz w:val="21"/>
          <w:szCs w:val="21"/>
        </w:rPr>
        <w:t xml:space="preserve"> : le risque de perte ou de changement défavorable de la situation financière résultant, directement ou indirectement, de fluctuations affectant le niveau de la valeur des actifs, des passifs et des instruments financiers.</w:t>
      </w:r>
    </w:p>
    <w:p w:rsidR="005B279D" w:rsidRPr="002844B1" w:rsidRDefault="00000000" w:rsidP="005C634B">
      <w:pPr>
        <w:numPr>
          <w:ilvl w:val="0"/>
          <w:numId w:val="43"/>
        </w:numPr>
        <w:jc w:val="both"/>
        <w:rPr>
          <w:sz w:val="21"/>
          <w:szCs w:val="21"/>
        </w:rPr>
      </w:pPr>
      <w:r w:rsidRPr="002844B1">
        <w:rPr>
          <w:b/>
          <w:bCs/>
          <w:sz w:val="21"/>
          <w:szCs w:val="21"/>
        </w:rPr>
        <w:t>Risque de spread</w:t>
      </w:r>
      <w:r w:rsidRPr="002844B1">
        <w:rPr>
          <w:sz w:val="21"/>
          <w:szCs w:val="21"/>
        </w:rPr>
        <w:t xml:space="preserve"> (marge de crédit) : le risque de perte ou de changement défavorable de la situation financière résultant des changements touchant les marges additionnelles par rapport aux taux de référence exigée par les investisseurs sur les emprunts émis par des entités autres que l’</w:t>
      </w:r>
      <w:r w:rsidR="002844B1" w:rsidRPr="002844B1">
        <w:rPr>
          <w:sz w:val="21"/>
          <w:szCs w:val="21"/>
        </w:rPr>
        <w:t>État</w:t>
      </w:r>
      <w:r w:rsidRPr="002844B1">
        <w:rPr>
          <w:sz w:val="21"/>
          <w:szCs w:val="21"/>
        </w:rPr>
        <w:t>.</w:t>
      </w:r>
    </w:p>
    <w:p w:rsidR="005B279D" w:rsidRPr="002844B1" w:rsidRDefault="00000000" w:rsidP="005C634B">
      <w:pPr>
        <w:numPr>
          <w:ilvl w:val="0"/>
          <w:numId w:val="43"/>
        </w:numPr>
        <w:jc w:val="both"/>
        <w:rPr>
          <w:sz w:val="21"/>
          <w:szCs w:val="21"/>
        </w:rPr>
      </w:pPr>
      <w:r w:rsidRPr="002844B1">
        <w:rPr>
          <w:b/>
          <w:bCs/>
          <w:sz w:val="21"/>
          <w:szCs w:val="21"/>
        </w:rPr>
        <w:t>Risque de contrepartie</w:t>
      </w:r>
      <w:r w:rsidRPr="002844B1">
        <w:rPr>
          <w:sz w:val="21"/>
          <w:szCs w:val="21"/>
        </w:rPr>
        <w:t xml:space="preserve"> : le risque de perte ou de changement défavorable de la situation financière résultant d’un défaut de paiement d’une contrepartie ou d’une dégradation de sa qualité de crédit.</w:t>
      </w:r>
    </w:p>
    <w:p w:rsidR="005B279D" w:rsidRPr="002844B1" w:rsidRDefault="00000000" w:rsidP="005C634B">
      <w:pPr>
        <w:numPr>
          <w:ilvl w:val="0"/>
          <w:numId w:val="43"/>
        </w:numPr>
        <w:jc w:val="both"/>
        <w:rPr>
          <w:sz w:val="21"/>
          <w:szCs w:val="21"/>
        </w:rPr>
      </w:pPr>
      <w:r w:rsidRPr="002844B1">
        <w:rPr>
          <w:b/>
          <w:bCs/>
          <w:sz w:val="21"/>
          <w:szCs w:val="21"/>
        </w:rPr>
        <w:t>Risque opérationnel</w:t>
      </w:r>
      <w:r w:rsidRPr="002844B1">
        <w:rPr>
          <w:sz w:val="21"/>
          <w:szCs w:val="21"/>
        </w:rPr>
        <w:t xml:space="preserve"> : le risque de perte ou de changement défavorable de la situation financière résultant de procédures internes, de membres du personnel, de systèmes inadéquats ou défaillants, ou d’événements extérieurs.</w:t>
      </w:r>
    </w:p>
    <w:p w:rsidR="005B279D" w:rsidRPr="002844B1" w:rsidRDefault="00000000" w:rsidP="005C634B">
      <w:pPr>
        <w:numPr>
          <w:ilvl w:val="0"/>
          <w:numId w:val="43"/>
        </w:numPr>
        <w:jc w:val="both"/>
        <w:rPr>
          <w:sz w:val="21"/>
          <w:szCs w:val="21"/>
        </w:rPr>
      </w:pPr>
      <w:r w:rsidRPr="002844B1">
        <w:rPr>
          <w:b/>
          <w:bCs/>
          <w:sz w:val="21"/>
          <w:szCs w:val="21"/>
        </w:rPr>
        <w:t>Risque de concentration</w:t>
      </w:r>
      <w:r w:rsidRPr="002844B1">
        <w:rPr>
          <w:sz w:val="21"/>
          <w:szCs w:val="21"/>
        </w:rPr>
        <w:t xml:space="preserve"> : le risque de perte ou de changement défavorable de la situation financière résultant d’un manque de diversité des émetteurs auxquels l’entreprise d’assurances et de réassurance est exposée.</w:t>
      </w:r>
    </w:p>
    <w:p w:rsidR="005B279D" w:rsidRPr="002844B1" w:rsidRDefault="00000000" w:rsidP="005C634B">
      <w:pPr>
        <w:pStyle w:val="FirstParagraph"/>
        <w:jc w:val="both"/>
        <w:rPr>
          <w:sz w:val="21"/>
          <w:szCs w:val="21"/>
        </w:rPr>
      </w:pPr>
      <w:r w:rsidRPr="002844B1">
        <w:rPr>
          <w:sz w:val="21"/>
          <w:szCs w:val="21"/>
        </w:rPr>
        <w:t>Tous les risques supportés par le capital de solvabilité requis sont répertoriés dans le schéma suivant :</w:t>
      </w:r>
    </w:p>
    <w:p w:rsidR="005C634B" w:rsidRPr="002844B1" w:rsidRDefault="005C634B" w:rsidP="005C634B">
      <w:pPr>
        <w:pStyle w:val="Caption"/>
        <w:keepNext/>
      </w:pPr>
      <w:r w:rsidRPr="002844B1">
        <w:lastRenderedPageBreak/>
        <w:t xml:space="preserve">Figure </w:t>
      </w:r>
      <w:r w:rsidRPr="002844B1">
        <w:fldChar w:fldCharType="begin"/>
      </w:r>
      <w:r w:rsidRPr="002844B1">
        <w:instrText xml:space="preserve"> SEQ Figure \* ARABIC </w:instrText>
      </w:r>
      <w:r w:rsidRPr="002844B1">
        <w:fldChar w:fldCharType="separate"/>
      </w:r>
      <w:r w:rsidR="008E2C01" w:rsidRPr="002844B1">
        <w:rPr>
          <w:noProof/>
        </w:rPr>
        <w:t>8</w:t>
      </w:r>
      <w:r w:rsidRPr="002844B1">
        <w:fldChar w:fldCharType="end"/>
      </w:r>
      <w:r w:rsidRPr="002844B1">
        <w:t>: Présentation des risques</w:t>
      </w:r>
    </w:p>
    <w:tbl>
      <w:tblPr>
        <w:tblStyle w:val="Table"/>
        <w:tblW w:w="5000" w:type="pct"/>
        <w:tblLook w:val="0000" w:firstRow="0" w:lastRow="0" w:firstColumn="0" w:lastColumn="0" w:noHBand="0" w:noVBand="0"/>
      </w:tblPr>
      <w:tblGrid>
        <w:gridCol w:w="9360"/>
      </w:tblGrid>
      <w:tr w:rsidR="005B279D" w:rsidRPr="002844B1">
        <w:tc>
          <w:tcPr>
            <w:tcW w:w="0" w:type="auto"/>
          </w:tcPr>
          <w:p w:rsidR="005B279D" w:rsidRPr="002844B1" w:rsidRDefault="00000000" w:rsidP="005C634B">
            <w:pPr>
              <w:jc w:val="center"/>
            </w:pPr>
            <w:bookmarkStart w:id="92" w:name="fig-piliers"/>
            <w:r w:rsidRPr="002844B1">
              <w:rPr>
                <w:noProof/>
              </w:rPr>
              <w:drawing>
                <wp:inline distT="0" distB="0" distL="0" distR="0">
                  <wp:extent cx="5334000" cy="3015219"/>
                  <wp:effectExtent l="0" t="0" r="0" b="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Rapport-PFE_files/figure-html/Risques.png"/>
                          <pic:cNvPicPr>
                            <a:picLocks noChangeAspect="1" noChangeArrowheads="1"/>
                          </pic:cNvPicPr>
                        </pic:nvPicPr>
                        <pic:blipFill>
                          <a:blip r:embed="rId19"/>
                          <a:stretch>
                            <a:fillRect/>
                          </a:stretch>
                        </pic:blipFill>
                        <pic:spPr bwMode="auto">
                          <a:xfrm>
                            <a:off x="0" y="0"/>
                            <a:ext cx="5334000" cy="3015219"/>
                          </a:xfrm>
                          <a:prstGeom prst="rect">
                            <a:avLst/>
                          </a:prstGeom>
                          <a:noFill/>
                          <a:ln w="9525">
                            <a:noFill/>
                            <a:headEnd/>
                            <a:tailEnd/>
                          </a:ln>
                        </pic:spPr>
                      </pic:pic>
                    </a:graphicData>
                  </a:graphic>
                </wp:inline>
              </w:drawing>
            </w:r>
          </w:p>
          <w:p w:rsidR="005C634B" w:rsidRPr="002844B1" w:rsidRDefault="005C634B" w:rsidP="005C634B">
            <w:pPr>
              <w:jc w:val="center"/>
            </w:pPr>
          </w:p>
        </w:tc>
        <w:bookmarkEnd w:id="92"/>
      </w:tr>
    </w:tbl>
    <w:p w:rsidR="005B279D" w:rsidRPr="002844B1" w:rsidRDefault="00000000" w:rsidP="005C634B">
      <w:pPr>
        <w:pStyle w:val="BodyText"/>
        <w:jc w:val="both"/>
        <w:rPr>
          <w:sz w:val="21"/>
          <w:szCs w:val="21"/>
        </w:rPr>
      </w:pPr>
      <w:r w:rsidRPr="002844B1">
        <w:rPr>
          <w:sz w:val="21"/>
          <w:szCs w:val="21"/>
        </w:rPr>
        <w:t>Selon le circulaire de l’autorité de Contrôle des assurances et de la Prévoyance Sociale (ACAPS) le capital de solvabilité requis est constitué de la somme des éléments suivants :</w:t>
      </w:r>
    </w:p>
    <w:p w:rsidR="005B279D" w:rsidRPr="002844B1" w:rsidRDefault="00000000" w:rsidP="005C634B">
      <w:pPr>
        <w:numPr>
          <w:ilvl w:val="0"/>
          <w:numId w:val="44"/>
        </w:numPr>
        <w:jc w:val="both"/>
        <w:rPr>
          <w:sz w:val="21"/>
          <w:szCs w:val="21"/>
        </w:rPr>
      </w:pPr>
      <w:r w:rsidRPr="002844B1">
        <w:rPr>
          <w:sz w:val="21"/>
          <w:szCs w:val="21"/>
        </w:rPr>
        <w:t>Le capital de solvabilité requis de base.</w:t>
      </w:r>
    </w:p>
    <w:p w:rsidR="005B279D" w:rsidRPr="002844B1" w:rsidRDefault="00000000" w:rsidP="005C634B">
      <w:pPr>
        <w:numPr>
          <w:ilvl w:val="0"/>
          <w:numId w:val="44"/>
        </w:numPr>
        <w:jc w:val="both"/>
        <w:rPr>
          <w:sz w:val="21"/>
          <w:szCs w:val="21"/>
        </w:rPr>
      </w:pPr>
      <w:r w:rsidRPr="002844B1">
        <w:rPr>
          <w:sz w:val="21"/>
          <w:szCs w:val="21"/>
        </w:rPr>
        <w:t>L’exigence de capital relative au risque opérationnel.</w:t>
      </w:r>
    </w:p>
    <w:p w:rsidR="005B279D" w:rsidRPr="002844B1" w:rsidRDefault="00000000" w:rsidP="005C634B">
      <w:pPr>
        <w:numPr>
          <w:ilvl w:val="0"/>
          <w:numId w:val="44"/>
        </w:numPr>
        <w:jc w:val="both"/>
        <w:rPr>
          <w:sz w:val="21"/>
          <w:szCs w:val="21"/>
        </w:rPr>
      </w:pPr>
      <w:r w:rsidRPr="002844B1">
        <w:rPr>
          <w:sz w:val="21"/>
          <w:szCs w:val="21"/>
        </w:rPr>
        <w:t>L’ajustement visant à tenir compte de la capacité d’absorption des pertes par les assurés.</w:t>
      </w:r>
    </w:p>
    <w:p w:rsidR="005B279D" w:rsidRPr="002844B1" w:rsidRDefault="00000000" w:rsidP="005C634B">
      <w:pPr>
        <w:numPr>
          <w:ilvl w:val="0"/>
          <w:numId w:val="44"/>
        </w:numPr>
        <w:jc w:val="both"/>
        <w:rPr>
          <w:sz w:val="21"/>
          <w:szCs w:val="21"/>
        </w:rPr>
      </w:pPr>
      <w:r w:rsidRPr="002844B1">
        <w:rPr>
          <w:sz w:val="21"/>
          <w:szCs w:val="21"/>
        </w:rPr>
        <w:t>L’ajustement visant à tenir compte de la capacité d’absorption des pertes par les impôts différés.</w:t>
      </w:r>
    </w:p>
    <w:p w:rsidR="005B279D" w:rsidRPr="002844B1" w:rsidRDefault="00000000" w:rsidP="005C634B">
      <w:pPr>
        <w:pStyle w:val="FirstParagraph"/>
        <w:jc w:val="both"/>
        <w:rPr>
          <w:sz w:val="21"/>
          <w:szCs w:val="21"/>
        </w:rPr>
      </w:pPr>
      <m:oMathPara>
        <m:oMathParaPr>
          <m:jc m:val="center"/>
        </m:oMathParaPr>
        <m:oMath>
          <m:r>
            <w:rPr>
              <w:rFonts w:ascii="Cambria Math" w:hAnsi="Cambria Math"/>
              <w:sz w:val="21"/>
              <w:szCs w:val="21"/>
            </w:rPr>
            <m:t>CSR=CSRB+CSRO-max</m:t>
          </m:r>
          <m:d>
            <m:dPr>
              <m:ctrlPr>
                <w:rPr>
                  <w:rFonts w:ascii="Cambria Math" w:hAnsi="Cambria Math"/>
                  <w:sz w:val="21"/>
                  <w:szCs w:val="21"/>
                </w:rPr>
              </m:ctrlPr>
            </m:dPr>
            <m:e>
              <m:r>
                <w:rPr>
                  <w:rFonts w:ascii="Cambria Math" w:hAnsi="Cambria Math"/>
                  <w:sz w:val="21"/>
                  <w:szCs w:val="21"/>
                </w:rPr>
                <m:t>Adj,0</m:t>
              </m:r>
            </m:e>
          </m:d>
          <m:r>
            <w:rPr>
              <w:rFonts w:ascii="Cambria Math" w:hAnsi="Cambria Math"/>
              <w:sz w:val="21"/>
              <w:szCs w:val="21"/>
            </w:rPr>
            <m:t>  </m:t>
          </m:r>
          <m:d>
            <m:dPr>
              <m:ctrlPr>
                <w:rPr>
                  <w:rFonts w:ascii="Cambria Math" w:hAnsi="Cambria Math"/>
                  <w:sz w:val="21"/>
                  <w:szCs w:val="21"/>
                </w:rPr>
              </m:ctrlPr>
            </m:dPr>
            <m:e>
              <m:r>
                <w:rPr>
                  <w:rFonts w:ascii="Cambria Math" w:hAnsi="Cambria Math"/>
                  <w:sz w:val="21"/>
                  <w:szCs w:val="21"/>
                </w:rPr>
                <m:t>46</m:t>
              </m:r>
            </m:e>
          </m:d>
        </m:oMath>
      </m:oMathPara>
    </w:p>
    <w:p w:rsidR="005B279D" w:rsidRPr="002844B1" w:rsidRDefault="00000000">
      <w:pPr>
        <w:pStyle w:val="Heading2"/>
      </w:pPr>
      <w:bookmarkStart w:id="93" w:name="_Toc137651028"/>
      <w:bookmarkEnd w:id="91"/>
      <w:r w:rsidRPr="002844B1">
        <w:t>6.2 Le capital de solvabilité requis de base (</w:t>
      </w:r>
      <m:oMath>
        <m:r>
          <m:rPr>
            <m:sty m:val="bi"/>
          </m:rPr>
          <w:rPr>
            <w:rFonts w:ascii="Cambria Math" w:hAnsi="Cambria Math"/>
          </w:rPr>
          <m:t>CSRB</m:t>
        </m:r>
      </m:oMath>
      <w:r w:rsidRPr="002844B1">
        <w:t>)</w:t>
      </w:r>
      <w:bookmarkStart w:id="94" w:name="X996f6371680290ab18e96c29df36c0fb21384d3"/>
      <w:bookmarkStart w:id="95" w:name="X0beb716fe9114a411569a04c6802232189d90bd"/>
      <w:bookmarkEnd w:id="93"/>
    </w:p>
    <w:p w:rsidR="005B279D" w:rsidRPr="002844B1" w:rsidRDefault="00000000" w:rsidP="005C634B">
      <w:pPr>
        <w:pStyle w:val="FirstParagraph"/>
        <w:jc w:val="both"/>
        <w:rPr>
          <w:sz w:val="21"/>
          <w:szCs w:val="21"/>
        </w:rPr>
      </w:pPr>
      <w:r w:rsidRPr="002844B1">
        <w:rPr>
          <w:sz w:val="21"/>
          <w:szCs w:val="21"/>
        </w:rPr>
        <w:t xml:space="preserve">Le capital de solvabilité requis de base est le montant total des exigences de capitaux liées aux risques de </w:t>
      </w:r>
      <w:r w:rsidRPr="002844B1">
        <w:rPr>
          <w:b/>
          <w:bCs/>
          <w:sz w:val="21"/>
          <w:szCs w:val="21"/>
        </w:rPr>
        <w:t>marché</w:t>
      </w:r>
      <w:r w:rsidRPr="002844B1">
        <w:rPr>
          <w:sz w:val="21"/>
          <w:szCs w:val="21"/>
        </w:rPr>
        <w:t xml:space="preserve">, de </w:t>
      </w:r>
      <w:r w:rsidRPr="002844B1">
        <w:rPr>
          <w:b/>
          <w:bCs/>
          <w:sz w:val="21"/>
          <w:szCs w:val="21"/>
        </w:rPr>
        <w:t>concentration</w:t>
      </w:r>
      <w:r w:rsidRPr="002844B1">
        <w:rPr>
          <w:sz w:val="21"/>
          <w:szCs w:val="21"/>
        </w:rPr>
        <w:t xml:space="preserve">, de </w:t>
      </w:r>
      <w:r w:rsidRPr="002844B1">
        <w:rPr>
          <w:b/>
          <w:bCs/>
          <w:sz w:val="21"/>
          <w:szCs w:val="21"/>
        </w:rPr>
        <w:t>contrepartie</w:t>
      </w:r>
      <w:r w:rsidRPr="002844B1">
        <w:rPr>
          <w:sz w:val="21"/>
          <w:szCs w:val="21"/>
        </w:rPr>
        <w:t xml:space="preserve">, de </w:t>
      </w:r>
      <w:r w:rsidRPr="002844B1">
        <w:rPr>
          <w:b/>
          <w:bCs/>
          <w:sz w:val="21"/>
          <w:szCs w:val="21"/>
        </w:rPr>
        <w:t>souscription vie</w:t>
      </w:r>
      <w:r w:rsidRPr="002844B1">
        <w:rPr>
          <w:sz w:val="21"/>
          <w:szCs w:val="21"/>
        </w:rPr>
        <w:t xml:space="preserve"> et de </w:t>
      </w:r>
      <w:r w:rsidRPr="002844B1">
        <w:rPr>
          <w:b/>
          <w:bCs/>
          <w:sz w:val="21"/>
          <w:szCs w:val="21"/>
        </w:rPr>
        <w:t>souscription non-vie</w:t>
      </w:r>
      <w:r w:rsidRPr="002844B1">
        <w:rPr>
          <w:sz w:val="21"/>
          <w:szCs w:val="21"/>
        </w:rPr>
        <w:t xml:space="preserve"> et ce, après application des coefficients de corrélations.</w:t>
      </w:r>
    </w:p>
    <w:p w:rsidR="005B279D" w:rsidRPr="002844B1" w:rsidRDefault="00000000" w:rsidP="005C634B">
      <w:pPr>
        <w:pStyle w:val="BodyText"/>
        <w:jc w:val="both"/>
        <w:rPr>
          <w:sz w:val="21"/>
          <w:szCs w:val="21"/>
        </w:rPr>
      </w:pPr>
      <w:r w:rsidRPr="002844B1">
        <w:rPr>
          <w:sz w:val="21"/>
          <w:szCs w:val="21"/>
        </w:rPr>
        <w:t>En d’autres termes, il s’agit du montant total des capitaux nécessaires pour faire face à ces divers types de risques. les exigences de capitaux sont évaluées individuellement pour chaque catégorie de risque, puis agrégées en appliquant les coefficients de corrélations, pour déterminer le capital de solvabilité requis de base. Cela permet aux compagnies d’assurance et de réassurance d’évaluer de manière précise les montants de capitaux nécessaires pour couvrir leurs risques spécifiques et d’assurer une solvabilité adéquate.</w:t>
      </w:r>
    </w:p>
    <w:p w:rsidR="005B279D" w:rsidRPr="002844B1" w:rsidRDefault="00000000" w:rsidP="005C634B">
      <w:pPr>
        <w:pStyle w:val="BodyText"/>
        <w:jc w:val="both"/>
        <w:rPr>
          <w:sz w:val="21"/>
          <w:szCs w:val="21"/>
        </w:rPr>
      </w:pPr>
      <w:r w:rsidRPr="002844B1">
        <w:rPr>
          <w:sz w:val="21"/>
          <w:szCs w:val="21"/>
        </w:rPr>
        <w:t>Le capital de solvabilité requis de base s’écrit mathématiquement comme suit:</w:t>
      </w:r>
    </w:p>
    <w:p w:rsidR="005B279D" w:rsidRPr="002844B1" w:rsidRDefault="00000000">
      <w:pPr>
        <w:pStyle w:val="BodyText"/>
      </w:pPr>
      <m:oMathPara>
        <m:oMathParaPr>
          <m:jc m:val="center"/>
        </m:oMathParaPr>
        <m:oMath>
          <m:r>
            <w:rPr>
              <w:rFonts w:ascii="Cambria Math" w:hAnsi="Cambria Math"/>
            </w:rPr>
            <w:lastRenderedPageBreak/>
            <m:t>CSRB=</m:t>
          </m:r>
          <m:rad>
            <m:radPr>
              <m:degHide m:val="1"/>
              <m:ctrlPr>
                <w:rPr>
                  <w:rFonts w:ascii="Cambria Math" w:hAnsi="Cambria Math"/>
                </w:rPr>
              </m:ctrlPr>
            </m:radPr>
            <m:deg/>
            <m:e>
              <m:nary>
                <m:naryPr>
                  <m:chr m:val="∑"/>
                  <m:limLoc m:val="undOvr"/>
                  <m:supHide m:val="1"/>
                  <m:ctrlPr>
                    <w:rPr>
                      <w:rFonts w:ascii="Cambria Math" w:hAnsi="Cambria Math"/>
                    </w:rPr>
                  </m:ctrlPr>
                </m:naryPr>
                <m:sub>
                  <m:r>
                    <w:rPr>
                      <w:rFonts w:ascii="Cambria Math" w:hAnsi="Cambria Math"/>
                    </w:rPr>
                    <m:t>i,j∈R</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hAnsi="Cambria Math"/>
                            </w:rPr>
                            <m:t>ρ</m:t>
                          </m:r>
                        </m:e>
                        <m:sub>
                          <m:r>
                            <w:rPr>
                              <w:rFonts w:ascii="Cambria Math" w:hAnsi="Cambria Math"/>
                            </w:rPr>
                            <m:t>i,j</m:t>
                          </m:r>
                        </m:sub>
                      </m:sSub>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j</m:t>
                          </m:r>
                        </m:sub>
                      </m:sSub>
                    </m:e>
                  </m:d>
                </m:e>
              </m:nary>
            </m:e>
          </m:rad>
          <m:r>
            <w:rPr>
              <w:rFonts w:ascii="Cambria Math" w:hAnsi="Cambria Math"/>
            </w:rPr>
            <m:t> ,  </m:t>
          </m:r>
          <m:d>
            <m:dPr>
              <m:ctrlPr>
                <w:rPr>
                  <w:rFonts w:ascii="Cambria Math" w:hAnsi="Cambria Math"/>
                </w:rPr>
              </m:ctrlPr>
            </m:dPr>
            <m:e>
              <m:r>
                <w:rPr>
                  <w:rFonts w:ascii="Cambria Math" w:hAnsi="Cambria Math"/>
                </w:rPr>
                <m:t>47</m:t>
              </m:r>
            </m:e>
          </m:d>
        </m:oMath>
      </m:oMathPara>
    </w:p>
    <w:p w:rsidR="005B279D" w:rsidRPr="002844B1" w:rsidRDefault="00000000" w:rsidP="005C634B">
      <w:pPr>
        <w:pStyle w:val="FirstParagraph"/>
        <w:jc w:val="both"/>
        <w:rPr>
          <w:sz w:val="21"/>
          <w:szCs w:val="21"/>
        </w:rPr>
      </w:pPr>
      <w:r w:rsidRPr="002844B1">
        <w:rPr>
          <w:sz w:val="21"/>
          <w:szCs w:val="21"/>
        </w:rPr>
        <w:t>avec :</w:t>
      </w:r>
    </w:p>
    <w:p w:rsidR="005B279D" w:rsidRPr="002844B1" w:rsidRDefault="00000000" w:rsidP="005C634B">
      <w:pPr>
        <w:numPr>
          <w:ilvl w:val="0"/>
          <w:numId w:val="45"/>
        </w:numPr>
        <w:jc w:val="both"/>
        <w:rPr>
          <w:sz w:val="21"/>
          <w:szCs w:val="21"/>
        </w:rPr>
      </w:pPr>
      <w:r w:rsidRPr="002844B1">
        <w:rPr>
          <w:sz w:val="21"/>
          <w:szCs w:val="21"/>
        </w:rPr>
        <w:t xml:space="preserve">R </w:t>
      </w:r>
      <m:oMath>
        <m:r>
          <w:rPr>
            <w:rFonts w:ascii="Cambria Math" w:hAnsi="Cambria Math"/>
            <w:sz w:val="21"/>
            <w:szCs w:val="21"/>
          </w:rPr>
          <m:t>=</m:t>
        </m:r>
      </m:oMath>
      <w:r w:rsidRPr="002844B1">
        <w:rPr>
          <w:sz w:val="21"/>
          <w:szCs w:val="21"/>
        </w:rPr>
        <w:t xml:space="preserve"> {Marché, Concentration, Contrepartie, Souscription Vie, Souscription Non - Vie}</w:t>
      </w:r>
    </w:p>
    <w:p w:rsidR="005B279D" w:rsidRPr="002844B1" w:rsidRDefault="00000000" w:rsidP="005C634B">
      <w:pPr>
        <w:numPr>
          <w:ilvl w:val="0"/>
          <w:numId w:val="45"/>
        </w:numPr>
        <w:jc w:val="both"/>
        <w:rPr>
          <w:sz w:val="21"/>
          <w:szCs w:val="21"/>
        </w:rPr>
      </w:pPr>
      <m:oMath>
        <m:r>
          <w:rPr>
            <w:rFonts w:ascii="Cambria Math" w:hAnsi="Cambria Math"/>
            <w:sz w:val="21"/>
            <w:szCs w:val="21"/>
          </w:rPr>
          <m:t>ρ</m:t>
        </m:r>
      </m:oMath>
      <w:r w:rsidRPr="002844B1">
        <w:rPr>
          <w:sz w:val="21"/>
          <w:szCs w:val="21"/>
        </w:rPr>
        <w:t xml:space="preserve"> : Coefficients de corrélations.</w:t>
      </w:r>
    </w:p>
    <w:p w:rsidR="005B279D" w:rsidRPr="002844B1" w:rsidRDefault="00000000" w:rsidP="005C634B">
      <w:pPr>
        <w:pStyle w:val="FirstParagraph"/>
        <w:jc w:val="both"/>
        <w:rPr>
          <w:sz w:val="21"/>
          <w:szCs w:val="21"/>
        </w:rPr>
      </w:pPr>
      <w:r w:rsidRPr="002844B1">
        <w:rPr>
          <w:sz w:val="21"/>
          <w:szCs w:val="21"/>
        </w:rPr>
        <w:t>Jusqu’à présent, les coefficients de corrélation exactes entre les sous risques ne sont pas encore publiés par l’ACAPS, c’est pour cette raison que nous avons supposé l’indépendance entres tous ces sous risques, donc la matrice de corrélation va être de cette forme :</w:t>
      </w:r>
    </w:p>
    <w:tbl>
      <w:tblPr>
        <w:tblStyle w:val="TableGrid"/>
        <w:tblW w:w="5000" w:type="pct"/>
        <w:tblLook w:val="0020" w:firstRow="1" w:lastRow="0" w:firstColumn="0" w:lastColumn="0" w:noHBand="0" w:noVBand="0"/>
      </w:tblPr>
      <w:tblGrid>
        <w:gridCol w:w="1793"/>
        <w:gridCol w:w="1079"/>
        <w:gridCol w:w="1793"/>
        <w:gridCol w:w="1634"/>
        <w:gridCol w:w="1284"/>
        <w:gridCol w:w="1767"/>
      </w:tblGrid>
      <w:tr w:rsidR="005C634B" w:rsidRPr="002844B1" w:rsidTr="007E5632">
        <w:tc>
          <w:tcPr>
            <w:tcW w:w="0" w:type="auto"/>
          </w:tcPr>
          <w:p w:rsidR="005C634B" w:rsidRPr="002844B1" w:rsidRDefault="005C634B" w:rsidP="007E5632">
            <w:pPr>
              <w:pStyle w:val="Compact"/>
            </w:pPr>
          </w:p>
        </w:tc>
        <w:tc>
          <w:tcPr>
            <w:tcW w:w="0" w:type="auto"/>
          </w:tcPr>
          <w:p w:rsidR="005C634B" w:rsidRPr="002844B1" w:rsidRDefault="005C634B" w:rsidP="007E5632">
            <w:pPr>
              <w:pStyle w:val="Compact"/>
            </w:pPr>
            <w:r w:rsidRPr="002844B1">
              <w:t>Marché</w:t>
            </w:r>
          </w:p>
        </w:tc>
        <w:tc>
          <w:tcPr>
            <w:tcW w:w="0" w:type="auto"/>
          </w:tcPr>
          <w:p w:rsidR="005C634B" w:rsidRPr="002844B1" w:rsidRDefault="005C634B" w:rsidP="007E5632">
            <w:pPr>
              <w:pStyle w:val="Compact"/>
            </w:pPr>
            <w:r w:rsidRPr="002844B1">
              <w:t>Concentration</w:t>
            </w:r>
          </w:p>
        </w:tc>
        <w:tc>
          <w:tcPr>
            <w:tcW w:w="0" w:type="auto"/>
          </w:tcPr>
          <w:p w:rsidR="005C634B" w:rsidRPr="002844B1" w:rsidRDefault="005C634B" w:rsidP="007E5632">
            <w:pPr>
              <w:pStyle w:val="Compact"/>
            </w:pPr>
            <w:r w:rsidRPr="002844B1">
              <w:t>Contrepartie</w:t>
            </w:r>
          </w:p>
        </w:tc>
        <w:tc>
          <w:tcPr>
            <w:tcW w:w="0" w:type="auto"/>
          </w:tcPr>
          <w:p w:rsidR="005C634B" w:rsidRPr="002844B1" w:rsidRDefault="005C634B" w:rsidP="007E5632">
            <w:pPr>
              <w:pStyle w:val="Compact"/>
            </w:pPr>
            <w:r w:rsidRPr="002844B1">
              <w:t>Sousc. vie</w:t>
            </w:r>
          </w:p>
        </w:tc>
        <w:tc>
          <w:tcPr>
            <w:tcW w:w="0" w:type="auto"/>
          </w:tcPr>
          <w:p w:rsidR="005C634B" w:rsidRPr="002844B1" w:rsidRDefault="005C634B" w:rsidP="007E5632">
            <w:pPr>
              <w:pStyle w:val="Compact"/>
            </w:pPr>
            <w:r w:rsidRPr="002844B1">
              <w:t>Sousc. non-vie</w:t>
            </w:r>
          </w:p>
        </w:tc>
      </w:tr>
      <w:tr w:rsidR="005C634B" w:rsidRPr="002844B1" w:rsidTr="007E5632">
        <w:tc>
          <w:tcPr>
            <w:tcW w:w="0" w:type="auto"/>
          </w:tcPr>
          <w:p w:rsidR="005C634B" w:rsidRPr="002844B1" w:rsidRDefault="005C634B" w:rsidP="007E5632">
            <w:pPr>
              <w:pStyle w:val="Compact"/>
            </w:pPr>
            <w:r w:rsidRPr="002844B1">
              <w:t>Marché</w:t>
            </w:r>
          </w:p>
        </w:tc>
        <w:tc>
          <w:tcPr>
            <w:tcW w:w="0" w:type="auto"/>
          </w:tcPr>
          <w:p w:rsidR="005C634B" w:rsidRPr="002844B1" w:rsidRDefault="005C634B" w:rsidP="007E5632">
            <w:pPr>
              <w:pStyle w:val="Compact"/>
            </w:pPr>
            <w:r w:rsidRPr="002844B1">
              <w:t>1</w:t>
            </w:r>
          </w:p>
        </w:tc>
        <w:tc>
          <w:tcPr>
            <w:tcW w:w="0" w:type="auto"/>
          </w:tcPr>
          <w:p w:rsidR="005C634B" w:rsidRPr="002844B1" w:rsidRDefault="005C634B" w:rsidP="007E5632">
            <w:pPr>
              <w:pStyle w:val="Compact"/>
            </w:pPr>
            <w:r w:rsidRPr="002844B1">
              <w:t>0</w:t>
            </w:r>
          </w:p>
        </w:tc>
        <w:tc>
          <w:tcPr>
            <w:tcW w:w="0" w:type="auto"/>
          </w:tcPr>
          <w:p w:rsidR="005C634B" w:rsidRPr="002844B1" w:rsidRDefault="005C634B" w:rsidP="007E5632">
            <w:pPr>
              <w:pStyle w:val="Compact"/>
            </w:pPr>
            <w:r w:rsidRPr="002844B1">
              <w:t>0</w:t>
            </w:r>
          </w:p>
        </w:tc>
        <w:tc>
          <w:tcPr>
            <w:tcW w:w="0" w:type="auto"/>
          </w:tcPr>
          <w:p w:rsidR="005C634B" w:rsidRPr="002844B1" w:rsidRDefault="005C634B" w:rsidP="007E5632">
            <w:pPr>
              <w:pStyle w:val="Compact"/>
            </w:pPr>
            <w:r w:rsidRPr="002844B1">
              <w:t>0</w:t>
            </w:r>
          </w:p>
        </w:tc>
        <w:tc>
          <w:tcPr>
            <w:tcW w:w="0" w:type="auto"/>
          </w:tcPr>
          <w:p w:rsidR="005C634B" w:rsidRPr="002844B1" w:rsidRDefault="005C634B" w:rsidP="007E5632">
            <w:pPr>
              <w:pStyle w:val="Compact"/>
            </w:pPr>
            <w:r w:rsidRPr="002844B1">
              <w:t>0</w:t>
            </w:r>
          </w:p>
        </w:tc>
      </w:tr>
      <w:tr w:rsidR="005C634B" w:rsidRPr="002844B1" w:rsidTr="007E5632">
        <w:tc>
          <w:tcPr>
            <w:tcW w:w="0" w:type="auto"/>
          </w:tcPr>
          <w:p w:rsidR="005C634B" w:rsidRPr="002844B1" w:rsidRDefault="005C634B" w:rsidP="007E5632">
            <w:pPr>
              <w:pStyle w:val="Compact"/>
            </w:pPr>
            <w:r w:rsidRPr="002844B1">
              <w:t>Concentration</w:t>
            </w:r>
          </w:p>
        </w:tc>
        <w:tc>
          <w:tcPr>
            <w:tcW w:w="0" w:type="auto"/>
          </w:tcPr>
          <w:p w:rsidR="005C634B" w:rsidRPr="002844B1" w:rsidRDefault="005C634B" w:rsidP="007E5632">
            <w:pPr>
              <w:pStyle w:val="Compact"/>
            </w:pPr>
            <w:r w:rsidRPr="002844B1">
              <w:t>0</w:t>
            </w:r>
          </w:p>
        </w:tc>
        <w:tc>
          <w:tcPr>
            <w:tcW w:w="0" w:type="auto"/>
          </w:tcPr>
          <w:p w:rsidR="005C634B" w:rsidRPr="002844B1" w:rsidRDefault="005C634B" w:rsidP="007E5632">
            <w:pPr>
              <w:pStyle w:val="Compact"/>
            </w:pPr>
            <w:r w:rsidRPr="002844B1">
              <w:t>1</w:t>
            </w:r>
          </w:p>
        </w:tc>
        <w:tc>
          <w:tcPr>
            <w:tcW w:w="0" w:type="auto"/>
          </w:tcPr>
          <w:p w:rsidR="005C634B" w:rsidRPr="002844B1" w:rsidRDefault="005C634B" w:rsidP="007E5632">
            <w:pPr>
              <w:pStyle w:val="Compact"/>
            </w:pPr>
            <w:r w:rsidRPr="002844B1">
              <w:t>0</w:t>
            </w:r>
          </w:p>
        </w:tc>
        <w:tc>
          <w:tcPr>
            <w:tcW w:w="0" w:type="auto"/>
          </w:tcPr>
          <w:p w:rsidR="005C634B" w:rsidRPr="002844B1" w:rsidRDefault="005C634B" w:rsidP="007E5632">
            <w:pPr>
              <w:pStyle w:val="Compact"/>
            </w:pPr>
            <w:r w:rsidRPr="002844B1">
              <w:t>0</w:t>
            </w:r>
          </w:p>
        </w:tc>
        <w:tc>
          <w:tcPr>
            <w:tcW w:w="0" w:type="auto"/>
          </w:tcPr>
          <w:p w:rsidR="005C634B" w:rsidRPr="002844B1" w:rsidRDefault="005C634B" w:rsidP="007E5632">
            <w:pPr>
              <w:pStyle w:val="Compact"/>
            </w:pPr>
            <w:r w:rsidRPr="002844B1">
              <w:t>0</w:t>
            </w:r>
          </w:p>
        </w:tc>
      </w:tr>
      <w:tr w:rsidR="005C634B" w:rsidRPr="002844B1" w:rsidTr="007E5632">
        <w:tc>
          <w:tcPr>
            <w:tcW w:w="0" w:type="auto"/>
          </w:tcPr>
          <w:p w:rsidR="005C634B" w:rsidRPr="002844B1" w:rsidRDefault="005C634B" w:rsidP="007E5632">
            <w:pPr>
              <w:pStyle w:val="Compact"/>
            </w:pPr>
            <w:r w:rsidRPr="002844B1">
              <w:t>Contrepartie</w:t>
            </w:r>
          </w:p>
        </w:tc>
        <w:tc>
          <w:tcPr>
            <w:tcW w:w="0" w:type="auto"/>
          </w:tcPr>
          <w:p w:rsidR="005C634B" w:rsidRPr="002844B1" w:rsidRDefault="005C634B" w:rsidP="007E5632">
            <w:pPr>
              <w:pStyle w:val="Compact"/>
            </w:pPr>
            <w:r w:rsidRPr="002844B1">
              <w:t>0</w:t>
            </w:r>
          </w:p>
        </w:tc>
        <w:tc>
          <w:tcPr>
            <w:tcW w:w="0" w:type="auto"/>
          </w:tcPr>
          <w:p w:rsidR="005C634B" w:rsidRPr="002844B1" w:rsidRDefault="005C634B" w:rsidP="007E5632">
            <w:pPr>
              <w:pStyle w:val="Compact"/>
            </w:pPr>
            <w:r w:rsidRPr="002844B1">
              <w:t>0</w:t>
            </w:r>
          </w:p>
        </w:tc>
        <w:tc>
          <w:tcPr>
            <w:tcW w:w="0" w:type="auto"/>
          </w:tcPr>
          <w:p w:rsidR="005C634B" w:rsidRPr="002844B1" w:rsidRDefault="005C634B" w:rsidP="007E5632">
            <w:pPr>
              <w:pStyle w:val="Compact"/>
            </w:pPr>
            <w:r w:rsidRPr="002844B1">
              <w:t>1</w:t>
            </w:r>
          </w:p>
        </w:tc>
        <w:tc>
          <w:tcPr>
            <w:tcW w:w="0" w:type="auto"/>
          </w:tcPr>
          <w:p w:rsidR="005C634B" w:rsidRPr="002844B1" w:rsidRDefault="005C634B" w:rsidP="007E5632">
            <w:pPr>
              <w:pStyle w:val="Compact"/>
            </w:pPr>
            <w:r w:rsidRPr="002844B1">
              <w:t>0</w:t>
            </w:r>
          </w:p>
        </w:tc>
        <w:tc>
          <w:tcPr>
            <w:tcW w:w="0" w:type="auto"/>
          </w:tcPr>
          <w:p w:rsidR="005C634B" w:rsidRPr="002844B1" w:rsidRDefault="005C634B" w:rsidP="007E5632">
            <w:pPr>
              <w:pStyle w:val="Compact"/>
            </w:pPr>
            <w:r w:rsidRPr="002844B1">
              <w:t>0</w:t>
            </w:r>
          </w:p>
        </w:tc>
      </w:tr>
      <w:tr w:rsidR="005C634B" w:rsidRPr="002844B1" w:rsidTr="007E5632">
        <w:tc>
          <w:tcPr>
            <w:tcW w:w="0" w:type="auto"/>
          </w:tcPr>
          <w:p w:rsidR="005C634B" w:rsidRPr="002844B1" w:rsidRDefault="005C634B" w:rsidP="007E5632">
            <w:pPr>
              <w:pStyle w:val="Compact"/>
            </w:pPr>
            <w:r w:rsidRPr="002844B1">
              <w:t>Sousc. vie</w:t>
            </w:r>
          </w:p>
        </w:tc>
        <w:tc>
          <w:tcPr>
            <w:tcW w:w="0" w:type="auto"/>
          </w:tcPr>
          <w:p w:rsidR="005C634B" w:rsidRPr="002844B1" w:rsidRDefault="005C634B" w:rsidP="007E5632">
            <w:pPr>
              <w:pStyle w:val="Compact"/>
            </w:pPr>
            <w:r w:rsidRPr="002844B1">
              <w:t>0</w:t>
            </w:r>
          </w:p>
        </w:tc>
        <w:tc>
          <w:tcPr>
            <w:tcW w:w="0" w:type="auto"/>
          </w:tcPr>
          <w:p w:rsidR="005C634B" w:rsidRPr="002844B1" w:rsidRDefault="005C634B" w:rsidP="007E5632">
            <w:pPr>
              <w:pStyle w:val="Compact"/>
            </w:pPr>
            <w:r w:rsidRPr="002844B1">
              <w:t>0</w:t>
            </w:r>
          </w:p>
        </w:tc>
        <w:tc>
          <w:tcPr>
            <w:tcW w:w="0" w:type="auto"/>
          </w:tcPr>
          <w:p w:rsidR="005C634B" w:rsidRPr="002844B1" w:rsidRDefault="005C634B" w:rsidP="007E5632">
            <w:pPr>
              <w:pStyle w:val="Compact"/>
            </w:pPr>
            <w:r w:rsidRPr="002844B1">
              <w:t>0</w:t>
            </w:r>
          </w:p>
        </w:tc>
        <w:tc>
          <w:tcPr>
            <w:tcW w:w="0" w:type="auto"/>
          </w:tcPr>
          <w:p w:rsidR="005C634B" w:rsidRPr="002844B1" w:rsidRDefault="005C634B" w:rsidP="007E5632">
            <w:pPr>
              <w:pStyle w:val="Compact"/>
            </w:pPr>
            <w:r w:rsidRPr="002844B1">
              <w:t>1</w:t>
            </w:r>
          </w:p>
        </w:tc>
        <w:tc>
          <w:tcPr>
            <w:tcW w:w="0" w:type="auto"/>
          </w:tcPr>
          <w:p w:rsidR="005C634B" w:rsidRPr="002844B1" w:rsidRDefault="005C634B" w:rsidP="007E5632">
            <w:pPr>
              <w:pStyle w:val="Compact"/>
            </w:pPr>
            <w:r w:rsidRPr="002844B1">
              <w:t>0</w:t>
            </w:r>
          </w:p>
        </w:tc>
      </w:tr>
      <w:tr w:rsidR="005C634B" w:rsidRPr="002844B1" w:rsidTr="007E5632">
        <w:tc>
          <w:tcPr>
            <w:tcW w:w="0" w:type="auto"/>
          </w:tcPr>
          <w:p w:rsidR="005C634B" w:rsidRPr="002844B1" w:rsidRDefault="005C634B" w:rsidP="007E5632">
            <w:pPr>
              <w:pStyle w:val="Compact"/>
            </w:pPr>
            <w:r w:rsidRPr="002844B1">
              <w:t>Sousc. non-vie</w:t>
            </w:r>
          </w:p>
        </w:tc>
        <w:tc>
          <w:tcPr>
            <w:tcW w:w="0" w:type="auto"/>
          </w:tcPr>
          <w:p w:rsidR="005C634B" w:rsidRPr="002844B1" w:rsidRDefault="005C634B" w:rsidP="007E5632">
            <w:pPr>
              <w:pStyle w:val="Compact"/>
            </w:pPr>
            <w:r w:rsidRPr="002844B1">
              <w:t>0</w:t>
            </w:r>
          </w:p>
        </w:tc>
        <w:tc>
          <w:tcPr>
            <w:tcW w:w="0" w:type="auto"/>
          </w:tcPr>
          <w:p w:rsidR="005C634B" w:rsidRPr="002844B1" w:rsidRDefault="005C634B" w:rsidP="007E5632">
            <w:pPr>
              <w:pStyle w:val="Compact"/>
            </w:pPr>
            <w:r w:rsidRPr="002844B1">
              <w:t>0</w:t>
            </w:r>
          </w:p>
        </w:tc>
        <w:tc>
          <w:tcPr>
            <w:tcW w:w="0" w:type="auto"/>
          </w:tcPr>
          <w:p w:rsidR="005C634B" w:rsidRPr="002844B1" w:rsidRDefault="005C634B" w:rsidP="007E5632">
            <w:pPr>
              <w:pStyle w:val="Compact"/>
            </w:pPr>
            <w:r w:rsidRPr="002844B1">
              <w:t>0</w:t>
            </w:r>
          </w:p>
        </w:tc>
        <w:tc>
          <w:tcPr>
            <w:tcW w:w="0" w:type="auto"/>
          </w:tcPr>
          <w:p w:rsidR="005C634B" w:rsidRPr="002844B1" w:rsidRDefault="005C634B" w:rsidP="007E5632">
            <w:pPr>
              <w:pStyle w:val="Compact"/>
            </w:pPr>
            <w:r w:rsidRPr="002844B1">
              <w:t>0</w:t>
            </w:r>
          </w:p>
        </w:tc>
        <w:tc>
          <w:tcPr>
            <w:tcW w:w="0" w:type="auto"/>
          </w:tcPr>
          <w:p w:rsidR="005C634B" w:rsidRPr="002844B1" w:rsidRDefault="005C634B" w:rsidP="007E5632">
            <w:pPr>
              <w:pStyle w:val="Compact"/>
            </w:pPr>
            <w:r w:rsidRPr="002844B1">
              <w:t>1</w:t>
            </w:r>
          </w:p>
        </w:tc>
      </w:tr>
    </w:tbl>
    <w:p w:rsidR="005C634B" w:rsidRPr="002844B1" w:rsidRDefault="005C634B" w:rsidP="005C634B">
      <w:pPr>
        <w:pStyle w:val="BodyText"/>
      </w:pPr>
    </w:p>
    <w:p w:rsidR="005C634B" w:rsidRPr="002844B1" w:rsidRDefault="005C634B" w:rsidP="005C634B">
      <w:pPr>
        <w:pStyle w:val="BodyText"/>
      </w:pPr>
    </w:p>
    <w:p w:rsidR="005B279D" w:rsidRPr="002844B1" w:rsidRDefault="00000000">
      <w:pPr>
        <w:pStyle w:val="Heading3"/>
      </w:pPr>
      <w:bookmarkStart w:id="96" w:name="Xcf8d4b28673d83fe23ce8914cf9f40e13d85b14"/>
      <w:bookmarkStart w:id="97" w:name="_Toc137651029"/>
      <w:r w:rsidRPr="002844B1">
        <w:t xml:space="preserve">Exigence de </w:t>
      </w:r>
      <w:r w:rsidR="002844B1" w:rsidRPr="002844B1">
        <w:t>capital</w:t>
      </w:r>
      <w:r w:rsidRPr="002844B1">
        <w:t xml:space="preserve"> relative au risque de marché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M</m:t>
            </m:r>
          </m:sub>
        </m:sSub>
      </m:oMath>
      <w:r w:rsidRPr="002844B1">
        <w:t>)</w:t>
      </w:r>
      <w:bookmarkEnd w:id="97"/>
    </w:p>
    <w:p w:rsidR="005B279D" w:rsidRPr="002844B1" w:rsidRDefault="00000000" w:rsidP="005C634B">
      <w:pPr>
        <w:pStyle w:val="FirstParagraph"/>
        <w:jc w:val="both"/>
        <w:rPr>
          <w:sz w:val="21"/>
          <w:szCs w:val="21"/>
        </w:rPr>
      </w:pPr>
      <w:r w:rsidRPr="002844B1">
        <w:rPr>
          <w:sz w:val="21"/>
          <w:szCs w:val="21"/>
        </w:rPr>
        <w:t>Pour l’exigence de capital relative au risque de marché, il est important de prendre en compte plusieurs sous-risques tel que, les sous-risques action, taux, immobilier, écart de taux et change. Chacun de ces sous-risques présente des caractéristiques uniques et nécessite une évaluation distincte. Une fois que les exigences de capitaux déterminées pour chaque sous-risque, elles sont agrégées pour obtenir l’exigence de capital total relative au risque de marché et ce, après application des coefficients de corrélations appropriés, ce qui permet de tenir compte des interdépendances et des corrélations entre ces différents sous-risques.</w:t>
      </w:r>
    </w:p>
    <w:p w:rsidR="005B279D" w:rsidRPr="002844B1" w:rsidRDefault="00000000" w:rsidP="005C634B">
      <w:pPr>
        <w:pStyle w:val="BodyText"/>
        <w:jc w:val="both"/>
        <w:rPr>
          <w:sz w:val="21"/>
          <w:szCs w:val="21"/>
        </w:rPr>
      </w:pPr>
      <w:r w:rsidRPr="002844B1">
        <w:rPr>
          <w:sz w:val="21"/>
          <w:szCs w:val="21"/>
        </w:rPr>
        <w:t>L’exigence de capital relative au risque de marché peut être représentée comme suit :</w:t>
      </w:r>
    </w:p>
    <w:p w:rsidR="005B279D" w:rsidRPr="002844B1" w:rsidRDefault="00000000">
      <w:pPr>
        <w:pStyle w:val="BodyText"/>
      </w:pPr>
      <m:oMathPara>
        <m:oMathParaPr>
          <m:jc m:val="center"/>
        </m:oMathParaPr>
        <m:oMath>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M</m:t>
              </m:r>
            </m:sub>
          </m:sSub>
          <m:r>
            <w:rPr>
              <w:rFonts w:ascii="Cambria Math" w:hAnsi="Cambria Math"/>
            </w:rPr>
            <m:t>=</m:t>
          </m:r>
          <m:rad>
            <m:radPr>
              <m:degHide m:val="1"/>
              <m:ctrlPr>
                <w:rPr>
                  <w:rFonts w:ascii="Cambria Math" w:hAnsi="Cambria Math"/>
                </w:rPr>
              </m:ctrlPr>
            </m:radPr>
            <m:deg/>
            <m:e>
              <m:nary>
                <m:naryPr>
                  <m:chr m:val="∑"/>
                  <m:limLoc m:val="undOvr"/>
                  <m:supHide m:val="1"/>
                  <m:ctrlPr>
                    <w:rPr>
                      <w:rFonts w:ascii="Cambria Math" w:hAnsi="Cambria Math"/>
                    </w:rPr>
                  </m:ctrlPr>
                </m:naryPr>
                <m:sub>
                  <m:r>
                    <w:rPr>
                      <w:rFonts w:ascii="Cambria Math" w:hAnsi="Cambria Math"/>
                    </w:rPr>
                    <m:t>i,j∈RM</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hAnsi="Cambria Math"/>
                            </w:rPr>
                            <m:t>ρ</m:t>
                          </m:r>
                        </m:e>
                        <m:sub>
                          <m:r>
                            <w:rPr>
                              <w:rFonts w:ascii="Cambria Math" w:hAnsi="Cambria Math"/>
                            </w:rPr>
                            <m:t>i,j</m:t>
                          </m:r>
                        </m:sub>
                      </m:sSub>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j</m:t>
                          </m:r>
                        </m:sub>
                      </m:sSub>
                    </m:e>
                  </m:d>
                </m:e>
              </m:nary>
            </m:e>
          </m:rad>
          <m:r>
            <w:rPr>
              <w:rFonts w:ascii="Cambria Math" w:hAnsi="Cambria Math"/>
            </w:rPr>
            <m:t> ,  </m:t>
          </m:r>
          <m:d>
            <m:dPr>
              <m:ctrlPr>
                <w:rPr>
                  <w:rFonts w:ascii="Cambria Math" w:hAnsi="Cambria Math"/>
                </w:rPr>
              </m:ctrlPr>
            </m:dPr>
            <m:e>
              <m:r>
                <w:rPr>
                  <w:rFonts w:ascii="Cambria Math" w:hAnsi="Cambria Math"/>
                </w:rPr>
                <m:t>48</m:t>
              </m:r>
            </m:e>
          </m:d>
        </m:oMath>
      </m:oMathPara>
    </w:p>
    <w:p w:rsidR="005B279D" w:rsidRPr="002844B1" w:rsidRDefault="00000000" w:rsidP="005C634B">
      <w:pPr>
        <w:pStyle w:val="FirstParagraph"/>
        <w:jc w:val="both"/>
        <w:rPr>
          <w:sz w:val="21"/>
          <w:szCs w:val="21"/>
        </w:rPr>
      </w:pPr>
      <w:r w:rsidRPr="002844B1">
        <w:rPr>
          <w:sz w:val="21"/>
          <w:szCs w:val="21"/>
        </w:rPr>
        <w:t>avec :</w:t>
      </w:r>
    </w:p>
    <w:p w:rsidR="005B279D" w:rsidRPr="002844B1" w:rsidRDefault="00000000" w:rsidP="005C634B">
      <w:pPr>
        <w:numPr>
          <w:ilvl w:val="0"/>
          <w:numId w:val="46"/>
        </w:numPr>
        <w:jc w:val="both"/>
        <w:rPr>
          <w:sz w:val="21"/>
          <w:szCs w:val="21"/>
        </w:rPr>
      </w:pPr>
      <w:r w:rsidRPr="002844B1">
        <w:rPr>
          <w:sz w:val="21"/>
          <w:szCs w:val="21"/>
        </w:rPr>
        <w:t xml:space="preserve">RM </w:t>
      </w:r>
      <m:oMath>
        <m:r>
          <w:rPr>
            <w:rFonts w:ascii="Cambria Math" w:hAnsi="Cambria Math"/>
            <w:sz w:val="21"/>
            <w:szCs w:val="21"/>
          </w:rPr>
          <m:t>∈</m:t>
        </m:r>
      </m:oMath>
      <w:r w:rsidRPr="002844B1">
        <w:rPr>
          <w:sz w:val="21"/>
          <w:szCs w:val="21"/>
        </w:rPr>
        <w:t xml:space="preserve"> {action, taux, immobilier, écart de taux et change}</w:t>
      </w:r>
    </w:p>
    <w:p w:rsidR="005B279D" w:rsidRPr="002844B1" w:rsidRDefault="00000000" w:rsidP="005C634B">
      <w:pPr>
        <w:numPr>
          <w:ilvl w:val="0"/>
          <w:numId w:val="46"/>
        </w:numPr>
        <w:jc w:val="both"/>
        <w:rPr>
          <w:sz w:val="21"/>
          <w:szCs w:val="21"/>
        </w:rPr>
      </w:pPr>
      <m:oMath>
        <m:r>
          <w:rPr>
            <w:rFonts w:ascii="Cambria Math" w:hAnsi="Cambria Math"/>
            <w:sz w:val="21"/>
            <w:szCs w:val="21"/>
          </w:rPr>
          <m:t>ρ</m:t>
        </m:r>
      </m:oMath>
      <w:r w:rsidRPr="002844B1">
        <w:rPr>
          <w:sz w:val="21"/>
          <w:szCs w:val="21"/>
        </w:rPr>
        <w:t xml:space="preserve"> : Coefficients de corrélations.</w:t>
      </w:r>
    </w:p>
    <w:p w:rsidR="005C634B" w:rsidRPr="002844B1" w:rsidRDefault="005C634B" w:rsidP="005C634B">
      <w:pPr>
        <w:ind w:left="720"/>
        <w:jc w:val="both"/>
        <w:rPr>
          <w:sz w:val="21"/>
          <w:szCs w:val="21"/>
        </w:rPr>
      </w:pPr>
    </w:p>
    <w:p w:rsidR="005B279D" w:rsidRPr="002844B1" w:rsidRDefault="00000000">
      <w:pPr>
        <w:pStyle w:val="Heading4"/>
      </w:pPr>
      <w:bookmarkStart w:id="98" w:name="X00e0c68f46971b87c6648cfb4c5abb243b9d28f"/>
      <w:r w:rsidRPr="002844B1">
        <w:t>L’exigence de capital relative au risque action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A</m:t>
            </m:r>
          </m:sub>
        </m:sSub>
      </m:oMath>
      <w:r w:rsidRPr="002844B1">
        <w:t>)</w:t>
      </w:r>
    </w:p>
    <w:p w:rsidR="005B279D" w:rsidRPr="002844B1" w:rsidRDefault="00000000" w:rsidP="005C634B">
      <w:pPr>
        <w:pStyle w:val="FirstParagraph"/>
        <w:jc w:val="both"/>
        <w:rPr>
          <w:sz w:val="21"/>
          <w:szCs w:val="21"/>
        </w:rPr>
      </w:pPr>
      <w:r w:rsidRPr="002844B1">
        <w:rPr>
          <w:sz w:val="21"/>
          <w:szCs w:val="21"/>
        </w:rPr>
        <w:lastRenderedPageBreak/>
        <w:t>Lorsqu’on parle de l’exigence de capital relative au risque action, il s’agit du montant de perte potentiel des fonds propres d’une institution financière résultant de baisses simultanées des valeurs des actions. Ce type de risque est lié à la volatilité et à la corrélation entre les différentes actions détenues dans le portefeuille d’actions.</w:t>
      </w:r>
    </w:p>
    <w:p w:rsidR="005B279D" w:rsidRPr="002844B1" w:rsidRDefault="00000000" w:rsidP="005C634B">
      <w:pPr>
        <w:pStyle w:val="BodyText"/>
        <w:jc w:val="both"/>
        <w:rPr>
          <w:sz w:val="21"/>
          <w:szCs w:val="21"/>
        </w:rPr>
      </w:pPr>
      <w:r w:rsidRPr="002844B1">
        <w:rPr>
          <w:sz w:val="21"/>
          <w:szCs w:val="21"/>
        </w:rPr>
        <w:t>Les taux de baisse à appliquer pour le calcul de l’exigence précitée sont fixés pour les catégories d’actions suivantes:</w:t>
      </w:r>
    </w:p>
    <w:p w:rsidR="005B279D" w:rsidRPr="002844B1" w:rsidRDefault="00000000" w:rsidP="005C634B">
      <w:pPr>
        <w:pStyle w:val="Compact"/>
        <w:numPr>
          <w:ilvl w:val="0"/>
          <w:numId w:val="47"/>
        </w:numPr>
        <w:jc w:val="both"/>
        <w:rPr>
          <w:sz w:val="21"/>
          <w:szCs w:val="21"/>
        </w:rPr>
      </w:pPr>
      <w:r w:rsidRPr="002844B1">
        <w:rPr>
          <w:sz w:val="21"/>
          <w:szCs w:val="21"/>
        </w:rPr>
        <w:t>Actions cotées à long terme.</w:t>
      </w:r>
    </w:p>
    <w:p w:rsidR="005B279D" w:rsidRPr="002844B1" w:rsidRDefault="00000000" w:rsidP="005C634B">
      <w:pPr>
        <w:pStyle w:val="Compact"/>
        <w:numPr>
          <w:ilvl w:val="0"/>
          <w:numId w:val="47"/>
        </w:numPr>
        <w:jc w:val="both"/>
        <w:rPr>
          <w:sz w:val="21"/>
          <w:szCs w:val="21"/>
        </w:rPr>
      </w:pPr>
      <w:r w:rsidRPr="002844B1">
        <w:rPr>
          <w:sz w:val="21"/>
          <w:szCs w:val="21"/>
        </w:rPr>
        <w:t>Autres actions cotées.</w:t>
      </w:r>
    </w:p>
    <w:p w:rsidR="005B279D" w:rsidRPr="002844B1" w:rsidRDefault="00000000" w:rsidP="005C634B">
      <w:pPr>
        <w:pStyle w:val="Compact"/>
        <w:numPr>
          <w:ilvl w:val="0"/>
          <w:numId w:val="47"/>
        </w:numPr>
        <w:jc w:val="both"/>
        <w:rPr>
          <w:sz w:val="21"/>
          <w:szCs w:val="21"/>
        </w:rPr>
      </w:pPr>
      <w:r w:rsidRPr="002844B1">
        <w:rPr>
          <w:sz w:val="21"/>
          <w:szCs w:val="21"/>
        </w:rPr>
        <w:t>Actions non cotées à long terme.</w:t>
      </w:r>
    </w:p>
    <w:p w:rsidR="005B279D" w:rsidRPr="002844B1" w:rsidRDefault="00000000" w:rsidP="005C634B">
      <w:pPr>
        <w:pStyle w:val="Compact"/>
        <w:numPr>
          <w:ilvl w:val="0"/>
          <w:numId w:val="47"/>
        </w:numPr>
        <w:jc w:val="both"/>
        <w:rPr>
          <w:sz w:val="21"/>
          <w:szCs w:val="21"/>
        </w:rPr>
      </w:pPr>
      <w:r w:rsidRPr="002844B1">
        <w:rPr>
          <w:sz w:val="21"/>
          <w:szCs w:val="21"/>
        </w:rPr>
        <w:t>Autres actions non cotées.</w:t>
      </w:r>
    </w:p>
    <w:p w:rsidR="005B279D" w:rsidRPr="002844B1" w:rsidRDefault="00000000" w:rsidP="005C634B">
      <w:pPr>
        <w:pStyle w:val="Compact"/>
        <w:numPr>
          <w:ilvl w:val="0"/>
          <w:numId w:val="47"/>
        </w:numPr>
        <w:jc w:val="both"/>
        <w:rPr>
          <w:sz w:val="21"/>
          <w:szCs w:val="21"/>
        </w:rPr>
      </w:pPr>
      <w:r w:rsidRPr="002844B1">
        <w:rPr>
          <w:sz w:val="21"/>
          <w:szCs w:val="21"/>
        </w:rPr>
        <w:t>Entités d’infrastructures.</w:t>
      </w:r>
    </w:p>
    <w:p w:rsidR="005B279D" w:rsidRPr="002844B1" w:rsidRDefault="00000000">
      <w:pPr>
        <w:pStyle w:val="FirstParagraph"/>
      </w:pPr>
      <m:oMathPara>
        <m:oMathParaPr>
          <m:jc m:val="center"/>
        </m:oMathParaPr>
        <m:oMath>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A</m:t>
              </m:r>
            </m:sub>
          </m:sSub>
          <m:r>
            <w:rPr>
              <w:rFonts w:ascii="Cambria Math" w:hAnsi="Cambria Math"/>
            </w:rPr>
            <m:t>=B</m:t>
          </m:r>
          <m:sSub>
            <m:sSubPr>
              <m:ctrlPr>
                <w:rPr>
                  <w:rFonts w:ascii="Cambria Math" w:hAnsi="Cambria Math"/>
                </w:rPr>
              </m:ctrlPr>
            </m:sSubPr>
            <m:e>
              <m:r>
                <w:rPr>
                  <w:rFonts w:ascii="Cambria Math" w:hAnsi="Cambria Math"/>
                </w:rPr>
                <m:t>E</m:t>
              </m:r>
            </m:e>
            <m:sub>
              <m:r>
                <w:rPr>
                  <w:rFonts w:ascii="Cambria Math" w:hAnsi="Cambria Math"/>
                </w:rPr>
                <m:t>eng</m:t>
              </m:r>
            </m:sub>
          </m:sSub>
          <m:d>
            <m:dPr>
              <m:ctrlPr>
                <w:rPr>
                  <w:rFonts w:ascii="Cambria Math" w:hAnsi="Cambria Math"/>
                </w:rPr>
              </m:ctrlPr>
            </m:dPr>
            <m:e>
              <m:r>
                <w:rPr>
                  <w:rFonts w:ascii="Cambria Math" w:hAnsi="Cambria Math"/>
                </w:rPr>
                <m:t>Choc</m:t>
              </m:r>
            </m:e>
          </m:d>
          <m:r>
            <w:rPr>
              <w:rFonts w:ascii="Cambria Math" w:hAnsi="Cambria Math"/>
            </w:rPr>
            <m:t>-B</m:t>
          </m:r>
          <m:sSub>
            <m:sSubPr>
              <m:ctrlPr>
                <w:rPr>
                  <w:rFonts w:ascii="Cambria Math" w:hAnsi="Cambria Math"/>
                </w:rPr>
              </m:ctrlPr>
            </m:sSubPr>
            <m:e>
              <m:r>
                <w:rPr>
                  <w:rFonts w:ascii="Cambria Math" w:hAnsi="Cambria Math"/>
                </w:rPr>
                <m:t>E</m:t>
              </m:r>
            </m:e>
            <m:sub>
              <m:r>
                <w:rPr>
                  <w:rFonts w:ascii="Cambria Math" w:hAnsi="Cambria Math"/>
                </w:rPr>
                <m:t>eng</m:t>
              </m:r>
            </m:sub>
          </m:sSub>
          <m:r>
            <w:rPr>
              <w:rFonts w:ascii="Cambria Math" w:hAnsi="Cambria Math"/>
            </w:rPr>
            <m:t> ,  </m:t>
          </m:r>
          <m:d>
            <m:dPr>
              <m:ctrlPr>
                <w:rPr>
                  <w:rFonts w:ascii="Cambria Math" w:hAnsi="Cambria Math"/>
                </w:rPr>
              </m:ctrlPr>
            </m:dPr>
            <m:e>
              <m:r>
                <w:rPr>
                  <w:rFonts w:ascii="Cambria Math" w:hAnsi="Cambria Math"/>
                </w:rPr>
                <m:t>49</m:t>
              </m:r>
            </m:e>
          </m:d>
        </m:oMath>
      </m:oMathPara>
    </w:p>
    <w:p w:rsidR="005B279D" w:rsidRPr="002844B1" w:rsidRDefault="00000000" w:rsidP="005C634B">
      <w:pPr>
        <w:pStyle w:val="FirstParagraph"/>
        <w:jc w:val="both"/>
        <w:rPr>
          <w:sz w:val="21"/>
          <w:szCs w:val="21"/>
        </w:rPr>
      </w:pPr>
      <w:r w:rsidRPr="002844B1">
        <w:rPr>
          <w:sz w:val="21"/>
          <w:szCs w:val="21"/>
        </w:rPr>
        <w:t>avec :</w:t>
      </w:r>
    </w:p>
    <w:p w:rsidR="005B279D" w:rsidRPr="002844B1" w:rsidRDefault="00000000" w:rsidP="005C634B">
      <w:pPr>
        <w:pStyle w:val="Compact"/>
        <w:numPr>
          <w:ilvl w:val="0"/>
          <w:numId w:val="48"/>
        </w:numPr>
        <w:jc w:val="both"/>
        <w:rPr>
          <w:sz w:val="21"/>
          <w:szCs w:val="21"/>
        </w:rPr>
      </w:pPr>
      <m:oMath>
        <m:r>
          <w:rPr>
            <w:rFonts w:ascii="Cambria Math" w:hAnsi="Cambria Math"/>
            <w:sz w:val="21"/>
            <w:szCs w:val="21"/>
          </w:rPr>
          <m:t>BE</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eng</m:t>
            </m:r>
          </m:sub>
        </m:sSub>
        <m:d>
          <m:dPr>
            <m:ctrlPr>
              <w:rPr>
                <w:rFonts w:ascii="Cambria Math" w:hAnsi="Cambria Math"/>
                <w:sz w:val="21"/>
                <w:szCs w:val="21"/>
              </w:rPr>
            </m:ctrlPr>
          </m:dPr>
          <m:e>
            <m:r>
              <w:rPr>
                <w:rFonts w:ascii="Cambria Math" w:hAnsi="Cambria Math"/>
                <w:sz w:val="21"/>
                <w:szCs w:val="21"/>
              </w:rPr>
              <m:t>Choc</m:t>
            </m:r>
          </m:e>
        </m:d>
      </m:oMath>
      <w:r w:rsidRPr="002844B1">
        <w:rPr>
          <w:sz w:val="21"/>
          <w:szCs w:val="21"/>
        </w:rPr>
        <w:t xml:space="preserve"> : Best estimant des engagements après le choque de la valeur du marché des action.</w:t>
      </w:r>
    </w:p>
    <w:p w:rsidR="005B279D" w:rsidRPr="002844B1" w:rsidRDefault="00000000" w:rsidP="005C634B">
      <w:pPr>
        <w:pStyle w:val="Compact"/>
        <w:numPr>
          <w:ilvl w:val="0"/>
          <w:numId w:val="48"/>
        </w:numPr>
        <w:jc w:val="both"/>
        <w:rPr>
          <w:sz w:val="21"/>
          <w:szCs w:val="21"/>
        </w:rPr>
      </w:pPr>
      <m:oMath>
        <m:r>
          <w:rPr>
            <w:rFonts w:ascii="Cambria Math" w:hAnsi="Cambria Math"/>
            <w:sz w:val="21"/>
            <w:szCs w:val="21"/>
          </w:rPr>
          <m:t>B</m:t>
        </m:r>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eng</m:t>
            </m:r>
          </m:sub>
        </m:sSub>
      </m:oMath>
      <w:r w:rsidRPr="002844B1">
        <w:rPr>
          <w:sz w:val="21"/>
          <w:szCs w:val="21"/>
        </w:rPr>
        <w:t>: Best estimant des engagements.</w:t>
      </w:r>
    </w:p>
    <w:p w:rsidR="005B279D" w:rsidRPr="002844B1" w:rsidRDefault="00000000">
      <w:pPr>
        <w:pStyle w:val="Heading4"/>
      </w:pPr>
      <w:bookmarkStart w:id="99" w:name="Xb5fc351290b7d10916dfe69a1c5c8a08a269b48"/>
      <w:bookmarkEnd w:id="98"/>
      <w:r w:rsidRPr="002844B1">
        <w:t>L’exigence de capital relative au risque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T</m:t>
            </m:r>
          </m:sub>
        </m:sSub>
      </m:oMath>
      <w:r w:rsidRPr="002844B1">
        <w:t>)</w:t>
      </w:r>
    </w:p>
    <w:p w:rsidR="005B279D" w:rsidRPr="002844B1" w:rsidRDefault="00000000" w:rsidP="005C634B">
      <w:pPr>
        <w:pStyle w:val="FirstParagraph"/>
        <w:jc w:val="both"/>
        <w:rPr>
          <w:sz w:val="21"/>
          <w:szCs w:val="21"/>
        </w:rPr>
      </w:pPr>
      <w:r w:rsidRPr="002844B1">
        <w:rPr>
          <w:sz w:val="21"/>
          <w:szCs w:val="21"/>
        </w:rPr>
        <w:t>L’exigence de capital relative au risque de taux représente le montant estimé de la perte maximale en fonds propres subit en raison de la baisse ou de la hausse des taux d’intérêt appliquées à l’ensemble de ses actifs et passifs.</w:t>
      </w:r>
    </w:p>
    <w:p w:rsidR="005B279D" w:rsidRPr="002844B1" w:rsidRDefault="00000000" w:rsidP="005C634B">
      <w:pPr>
        <w:pStyle w:val="BodyText"/>
        <w:jc w:val="both"/>
        <w:rPr>
          <w:sz w:val="21"/>
          <w:szCs w:val="21"/>
        </w:rPr>
      </w:pPr>
      <w:r w:rsidRPr="002844B1">
        <w:rPr>
          <w:sz w:val="21"/>
          <w:szCs w:val="21"/>
        </w:rPr>
        <w:t>l’exigence de capital relative au risque de taux est une mesure essentielle pour évaluer et gérer les risques liés aux fluctuations des taux d’intérêt. Elle contribue à assurer la stabilité financière en prévoyant une réserve adéquate pour faire face aux pertes potentielles résultant de ces variations.</w:t>
      </w:r>
    </w:p>
    <w:p w:rsidR="005B279D" w:rsidRPr="002844B1" w:rsidRDefault="00000000" w:rsidP="005C634B">
      <w:pPr>
        <w:pStyle w:val="BodyText"/>
        <w:jc w:val="both"/>
        <w:rPr>
          <w:sz w:val="21"/>
          <w:szCs w:val="21"/>
        </w:rPr>
      </w:pPr>
      <w:r w:rsidRPr="002844B1">
        <w:rPr>
          <w:sz w:val="21"/>
          <w:szCs w:val="21"/>
        </w:rPr>
        <w:t>La formule peut s’écrire comme suit:</w:t>
      </w:r>
    </w:p>
    <w:p w:rsidR="005B279D" w:rsidRPr="002844B1" w:rsidRDefault="00000000">
      <w:pPr>
        <w:pStyle w:val="BodyText"/>
      </w:pPr>
      <m:oMathPara>
        <m:oMathParaPr>
          <m:jc m:val="center"/>
        </m:oMathParaPr>
        <m:oMath>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=max</m:t>
          </m:r>
          <m:d>
            <m:dPr>
              <m:ctrlPr>
                <w:rPr>
                  <w:rFonts w:ascii="Cambria Math" w:hAnsi="Cambria Math"/>
                </w:rPr>
              </m:ctrlPr>
            </m:dPr>
            <m:e>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TH</m:t>
                  </m:r>
                </m:sub>
              </m:sSub>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TB</m:t>
                  </m:r>
                </m:sub>
              </m:sSub>
            </m:e>
          </m:d>
          <m:r>
            <w:rPr>
              <w:rFonts w:ascii="Cambria Math" w:hAnsi="Cambria Math"/>
            </w:rPr>
            <m:t> ,  </m:t>
          </m:r>
          <m:d>
            <m:dPr>
              <m:ctrlPr>
                <w:rPr>
                  <w:rFonts w:ascii="Cambria Math" w:hAnsi="Cambria Math"/>
                </w:rPr>
              </m:ctrlPr>
            </m:dPr>
            <m:e>
              <m:r>
                <w:rPr>
                  <w:rFonts w:ascii="Cambria Math" w:hAnsi="Cambria Math"/>
                </w:rPr>
                <m:t>50</m:t>
              </m:r>
            </m:e>
          </m:d>
        </m:oMath>
      </m:oMathPara>
    </w:p>
    <w:p w:rsidR="005B279D" w:rsidRPr="002844B1" w:rsidRDefault="00000000">
      <w:pPr>
        <w:pStyle w:val="FirstParagraph"/>
        <w:rPr>
          <w:sz w:val="21"/>
          <w:szCs w:val="21"/>
        </w:rPr>
      </w:pPr>
      <w:r w:rsidRPr="002844B1">
        <w:rPr>
          <w:sz w:val="21"/>
          <w:szCs w:val="21"/>
        </w:rPr>
        <w:t>avec :</w:t>
      </w:r>
    </w:p>
    <w:p w:rsidR="005B279D" w:rsidRPr="002844B1" w:rsidRDefault="00000000">
      <w:pPr>
        <w:pStyle w:val="Compact"/>
        <w:numPr>
          <w:ilvl w:val="0"/>
          <w:numId w:val="49"/>
        </w:numPr>
        <w:rPr>
          <w:sz w:val="21"/>
          <w:szCs w:val="21"/>
        </w:rPr>
      </w:pPr>
      <m:oMath>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TH</m:t>
            </m:r>
          </m:sub>
        </m:sSub>
      </m:oMath>
      <w:r w:rsidRPr="002844B1">
        <w:rPr>
          <w:sz w:val="21"/>
          <w:szCs w:val="21"/>
        </w:rPr>
        <w:t>:Best estimate des engagements pour le scénario de hausse de taux</w:t>
      </w:r>
      <w:r w:rsidR="005C634B" w:rsidRPr="002844B1">
        <w:rPr>
          <w:sz w:val="21"/>
          <w:szCs w:val="21"/>
        </w:rPr>
        <w:t>,</w:t>
      </w:r>
    </w:p>
    <w:p w:rsidR="005B279D" w:rsidRPr="002844B1" w:rsidRDefault="00000000">
      <w:pPr>
        <w:pStyle w:val="Compact"/>
        <w:numPr>
          <w:ilvl w:val="0"/>
          <w:numId w:val="49"/>
        </w:numPr>
        <w:rPr>
          <w:sz w:val="21"/>
          <w:szCs w:val="21"/>
        </w:rPr>
      </w:pPr>
      <m:oMath>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TB</m:t>
            </m:r>
          </m:sub>
        </m:sSub>
      </m:oMath>
      <w:r w:rsidRPr="002844B1">
        <w:rPr>
          <w:sz w:val="21"/>
          <w:szCs w:val="21"/>
        </w:rPr>
        <w:t>:Best estimate des engagements pour le scénario baisse de taux</w:t>
      </w:r>
      <w:r w:rsidR="005C634B" w:rsidRPr="002844B1">
        <w:rPr>
          <w:sz w:val="21"/>
          <w:szCs w:val="21"/>
        </w:rPr>
        <w:t>,</w:t>
      </w:r>
    </w:p>
    <w:p w:rsidR="005B279D" w:rsidRPr="002844B1" w:rsidRDefault="00000000">
      <w:pPr>
        <w:pStyle w:val="FirstParagraph"/>
        <w:rPr>
          <w:sz w:val="21"/>
          <w:szCs w:val="21"/>
        </w:rPr>
      </w:pPr>
      <w:r w:rsidRPr="002844B1">
        <w:rPr>
          <w:sz w:val="21"/>
          <w:szCs w:val="21"/>
        </w:rPr>
        <w:t>telle que :</w:t>
      </w:r>
    </w:p>
    <w:p w:rsidR="005B279D" w:rsidRPr="002844B1" w:rsidRDefault="00000000">
      <w:pPr>
        <w:pStyle w:val="BodyText"/>
      </w:pPr>
      <m:oMathPara>
        <m:oMathParaPr>
          <m:jc m:val="center"/>
        </m:oMathParaPr>
        <m:oMath>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TB</m:t>
              </m:r>
            </m:sub>
          </m:sSub>
          <m:r>
            <w:rPr>
              <w:rFonts w:ascii="Cambria Math" w:hAnsi="Cambria Math"/>
            </w:rPr>
            <m:t>=B</m:t>
          </m:r>
          <m:sSub>
            <m:sSubPr>
              <m:ctrlPr>
                <w:rPr>
                  <w:rFonts w:ascii="Cambria Math" w:hAnsi="Cambria Math"/>
                </w:rPr>
              </m:ctrlPr>
            </m:sSubPr>
            <m:e>
              <m:r>
                <w:rPr>
                  <w:rFonts w:ascii="Cambria Math" w:hAnsi="Cambria Math"/>
                </w:rPr>
                <m:t>E</m:t>
              </m:r>
            </m:e>
            <m:sub>
              <m:r>
                <w:rPr>
                  <w:rFonts w:ascii="Cambria Math" w:hAnsi="Cambria Math"/>
                </w:rPr>
                <m:t>TB</m:t>
              </m:r>
            </m:sub>
          </m:sSub>
          <m:r>
            <w:rPr>
              <w:rFonts w:ascii="Cambria Math" w:hAnsi="Cambria Math"/>
            </w:rPr>
            <m:t>-BE</m:t>
          </m:r>
        </m:oMath>
      </m:oMathPara>
    </w:p>
    <w:p w:rsidR="005B279D" w:rsidRPr="002844B1" w:rsidRDefault="00000000">
      <w:pPr>
        <w:pStyle w:val="FirstParagraph"/>
      </w:pPr>
      <w:r w:rsidRPr="002844B1">
        <w:br/>
      </w:r>
    </w:p>
    <w:p w:rsidR="005B279D" w:rsidRPr="002844B1" w:rsidRDefault="00000000">
      <w:pPr>
        <w:pStyle w:val="BodyText"/>
      </w:pPr>
      <m:oMathPara>
        <m:oMathParaPr>
          <m:jc m:val="center"/>
        </m:oMathParaPr>
        <m:oMath>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TH</m:t>
              </m:r>
            </m:sub>
          </m:sSub>
          <m:r>
            <w:rPr>
              <w:rFonts w:ascii="Cambria Math" w:hAnsi="Cambria Math"/>
            </w:rPr>
            <m:t>=B</m:t>
          </m:r>
          <m:sSub>
            <m:sSubPr>
              <m:ctrlPr>
                <w:rPr>
                  <w:rFonts w:ascii="Cambria Math" w:hAnsi="Cambria Math"/>
                </w:rPr>
              </m:ctrlPr>
            </m:sSubPr>
            <m:e>
              <m:r>
                <w:rPr>
                  <w:rFonts w:ascii="Cambria Math" w:hAnsi="Cambria Math"/>
                </w:rPr>
                <m:t>E</m:t>
              </m:r>
            </m:e>
            <m:sub>
              <m:r>
                <w:rPr>
                  <w:rFonts w:ascii="Cambria Math" w:hAnsi="Cambria Math"/>
                </w:rPr>
                <m:t>TH</m:t>
              </m:r>
            </m:sub>
          </m:sSub>
          <m:r>
            <w:rPr>
              <w:rFonts w:ascii="Cambria Math" w:hAnsi="Cambria Math"/>
            </w:rPr>
            <m:t>-BE</m:t>
          </m:r>
        </m:oMath>
      </m:oMathPara>
    </w:p>
    <w:p w:rsidR="005B279D" w:rsidRPr="002844B1" w:rsidRDefault="00000000">
      <w:pPr>
        <w:pStyle w:val="Heading4"/>
      </w:pPr>
      <w:bookmarkStart w:id="100" w:name="Xeb2f88f8cd8813d75e563cba8910ca5b880a2ff"/>
      <w:bookmarkEnd w:id="99"/>
      <w:r w:rsidRPr="002844B1">
        <w:lastRenderedPageBreak/>
        <w:t>L’exigence de capital relative au risque immobilier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I</m:t>
            </m:r>
          </m:sub>
        </m:sSub>
      </m:oMath>
      <w:r w:rsidRPr="002844B1">
        <w:t>)</w:t>
      </w:r>
    </w:p>
    <w:p w:rsidR="005B279D" w:rsidRPr="002844B1" w:rsidRDefault="00000000" w:rsidP="005C634B">
      <w:pPr>
        <w:pStyle w:val="FirstParagraph"/>
        <w:jc w:val="both"/>
        <w:rPr>
          <w:sz w:val="21"/>
          <w:szCs w:val="21"/>
        </w:rPr>
      </w:pPr>
      <w:r w:rsidRPr="002844B1">
        <w:rPr>
          <w:sz w:val="21"/>
          <w:szCs w:val="21"/>
        </w:rPr>
        <w:t>L’exigence de capital relative au risque immobilier est la perte de fonds propres due à une baisse de la valeur des actifs immobiliers.</w:t>
      </w:r>
    </w:p>
    <w:p w:rsidR="005B279D" w:rsidRPr="002844B1" w:rsidRDefault="00000000" w:rsidP="005C634B">
      <w:pPr>
        <w:pStyle w:val="BodyText"/>
        <w:jc w:val="both"/>
        <w:rPr>
          <w:sz w:val="21"/>
          <w:szCs w:val="21"/>
        </w:rPr>
      </w:pPr>
      <w:r w:rsidRPr="002844B1">
        <w:rPr>
          <w:sz w:val="21"/>
          <w:szCs w:val="21"/>
        </w:rPr>
        <w:t>Cette exigence est établie pour évaluer les réserves financières nécessaires face à une potentielle baisse de valeur des biens immobiliers pour minimiser les risques.</w:t>
      </w:r>
    </w:p>
    <w:p w:rsidR="005B279D" w:rsidRPr="002844B1" w:rsidRDefault="00000000">
      <w:pPr>
        <w:pStyle w:val="BodyText"/>
      </w:pPr>
      <m:oMathPara>
        <m:oMathParaPr>
          <m:jc m:val="center"/>
        </m:oMathParaPr>
        <m:oMath>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=B</m:t>
          </m:r>
          <m:sSub>
            <m:sSubPr>
              <m:ctrlPr>
                <w:rPr>
                  <w:rFonts w:ascii="Cambria Math" w:hAnsi="Cambria Math"/>
                </w:rPr>
              </m:ctrlPr>
            </m:sSubPr>
            <m:e>
              <m:r>
                <w:rPr>
                  <w:rFonts w:ascii="Cambria Math" w:hAnsi="Cambria Math"/>
                </w:rPr>
                <m:t>E</m:t>
              </m:r>
            </m:e>
            <m:sub>
              <m:r>
                <w:rPr>
                  <w:rFonts w:ascii="Cambria Math" w:hAnsi="Cambria Math"/>
                </w:rPr>
                <m:t>eng</m:t>
              </m:r>
            </m:sub>
          </m:sSub>
          <m:d>
            <m:dPr>
              <m:ctrlPr>
                <w:rPr>
                  <w:rFonts w:ascii="Cambria Math" w:hAnsi="Cambria Math"/>
                </w:rPr>
              </m:ctrlPr>
            </m:dPr>
            <m:e>
              <m:r>
                <w:rPr>
                  <w:rFonts w:ascii="Cambria Math" w:hAnsi="Cambria Math"/>
                </w:rPr>
                <m:t>Choc</m:t>
              </m:r>
            </m:e>
          </m:d>
          <m:r>
            <w:rPr>
              <w:rFonts w:ascii="Cambria Math" w:hAnsi="Cambria Math"/>
            </w:rPr>
            <m:t>-B</m:t>
          </m:r>
          <m:sSub>
            <m:sSubPr>
              <m:ctrlPr>
                <w:rPr>
                  <w:rFonts w:ascii="Cambria Math" w:hAnsi="Cambria Math"/>
                </w:rPr>
              </m:ctrlPr>
            </m:sSubPr>
            <m:e>
              <m:r>
                <w:rPr>
                  <w:rFonts w:ascii="Cambria Math" w:hAnsi="Cambria Math"/>
                </w:rPr>
                <m:t>E</m:t>
              </m:r>
            </m:e>
            <m:sub>
              <m:r>
                <w:rPr>
                  <w:rFonts w:ascii="Cambria Math" w:hAnsi="Cambria Math"/>
                </w:rPr>
                <m:t>eng</m:t>
              </m:r>
            </m:sub>
          </m:sSub>
          <m:r>
            <w:rPr>
              <w:rFonts w:ascii="Cambria Math" w:hAnsi="Cambria Math"/>
            </w:rPr>
            <m:t> ,  </m:t>
          </m:r>
          <m:d>
            <m:dPr>
              <m:ctrlPr>
                <w:rPr>
                  <w:rFonts w:ascii="Cambria Math" w:hAnsi="Cambria Math"/>
                </w:rPr>
              </m:ctrlPr>
            </m:dPr>
            <m:e>
              <m:r>
                <w:rPr>
                  <w:rFonts w:ascii="Cambria Math" w:hAnsi="Cambria Math"/>
                </w:rPr>
                <m:t>51</m:t>
              </m:r>
            </m:e>
          </m:d>
        </m:oMath>
      </m:oMathPara>
    </w:p>
    <w:p w:rsidR="005B279D" w:rsidRPr="002844B1" w:rsidRDefault="00000000" w:rsidP="005C634B">
      <w:pPr>
        <w:pStyle w:val="FirstParagraph"/>
        <w:jc w:val="both"/>
        <w:rPr>
          <w:sz w:val="21"/>
          <w:szCs w:val="21"/>
        </w:rPr>
      </w:pPr>
      <w:r w:rsidRPr="002844B1">
        <w:rPr>
          <w:sz w:val="21"/>
          <w:szCs w:val="21"/>
        </w:rPr>
        <w:t>avec :</w:t>
      </w:r>
    </w:p>
    <w:p w:rsidR="005B279D" w:rsidRPr="002844B1" w:rsidRDefault="00000000" w:rsidP="005C634B">
      <w:pPr>
        <w:numPr>
          <w:ilvl w:val="0"/>
          <w:numId w:val="50"/>
        </w:numPr>
        <w:jc w:val="both"/>
        <w:rPr>
          <w:sz w:val="21"/>
          <w:szCs w:val="21"/>
        </w:rPr>
      </w:pPr>
      <m:oMath>
        <m:r>
          <w:rPr>
            <w:rFonts w:ascii="Cambria Math" w:hAnsi="Cambria Math"/>
            <w:sz w:val="21"/>
            <w:szCs w:val="21"/>
          </w:rPr>
          <m:t>B</m:t>
        </m:r>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eng</m:t>
            </m:r>
          </m:sub>
        </m:sSub>
        <m:d>
          <m:dPr>
            <m:ctrlPr>
              <w:rPr>
                <w:rFonts w:ascii="Cambria Math" w:hAnsi="Cambria Math"/>
                <w:sz w:val="21"/>
                <w:szCs w:val="21"/>
              </w:rPr>
            </m:ctrlPr>
          </m:dPr>
          <m:e>
            <m:r>
              <w:rPr>
                <w:rFonts w:ascii="Cambria Math" w:hAnsi="Cambria Math"/>
                <w:sz w:val="21"/>
                <w:szCs w:val="21"/>
              </w:rPr>
              <m:t>Choc</m:t>
            </m:r>
          </m:e>
        </m:d>
      </m:oMath>
      <w:r w:rsidRPr="002844B1">
        <w:rPr>
          <w:sz w:val="21"/>
          <w:szCs w:val="21"/>
        </w:rPr>
        <w:t xml:space="preserve"> : La meilleure estimation des engagements choqué par une baisse de la valeur des actifs immobiliers,</w:t>
      </w:r>
    </w:p>
    <w:p w:rsidR="005B279D" w:rsidRPr="002844B1" w:rsidRDefault="00000000" w:rsidP="005C634B">
      <w:pPr>
        <w:numPr>
          <w:ilvl w:val="0"/>
          <w:numId w:val="50"/>
        </w:numPr>
        <w:jc w:val="both"/>
        <w:rPr>
          <w:sz w:val="21"/>
          <w:szCs w:val="21"/>
        </w:rPr>
      </w:pPr>
      <m:oMath>
        <m:r>
          <w:rPr>
            <w:rFonts w:ascii="Cambria Math" w:hAnsi="Cambria Math"/>
            <w:sz w:val="21"/>
            <w:szCs w:val="21"/>
          </w:rPr>
          <m:t>B</m:t>
        </m:r>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eng</m:t>
            </m:r>
          </m:sub>
        </m:sSub>
      </m:oMath>
      <w:r w:rsidRPr="002844B1">
        <w:rPr>
          <w:sz w:val="21"/>
          <w:szCs w:val="21"/>
        </w:rPr>
        <w:t xml:space="preserve"> : La meilleure estimation des engagements avant choque.</w:t>
      </w:r>
    </w:p>
    <w:p w:rsidR="005C634B" w:rsidRPr="002844B1" w:rsidRDefault="005C634B" w:rsidP="005C634B">
      <w:pPr>
        <w:ind w:left="240"/>
        <w:jc w:val="both"/>
        <w:rPr>
          <w:sz w:val="21"/>
          <w:szCs w:val="21"/>
        </w:rPr>
      </w:pPr>
    </w:p>
    <w:p w:rsidR="005B279D" w:rsidRPr="002844B1" w:rsidRDefault="00000000">
      <w:pPr>
        <w:pStyle w:val="Heading4"/>
      </w:pPr>
      <w:bookmarkStart w:id="101" w:name="X26a52ae9805b11f9d1baa2a487f517d03749fc0"/>
      <w:bookmarkEnd w:id="100"/>
      <w:r w:rsidRPr="002844B1">
        <w:t>L’exigence de capital relative au risque d’écart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ET</m:t>
            </m:r>
          </m:sub>
        </m:sSub>
      </m:oMath>
      <w:r w:rsidRPr="002844B1">
        <w:t>)</w:t>
      </w:r>
    </w:p>
    <w:p w:rsidR="005B279D" w:rsidRPr="002844B1" w:rsidRDefault="00000000" w:rsidP="005C634B">
      <w:pPr>
        <w:pStyle w:val="FirstParagraph"/>
        <w:jc w:val="both"/>
        <w:rPr>
          <w:sz w:val="21"/>
          <w:szCs w:val="21"/>
        </w:rPr>
      </w:pPr>
      <w:r w:rsidRPr="002844B1">
        <w:rPr>
          <w:sz w:val="21"/>
          <w:szCs w:val="21"/>
        </w:rPr>
        <w:t>L’exigence de capital relative au risque d’écart de taux est la perte de fonds propres due à l’application des taux de baisse à la valeur des titres de créances non émis ou non garantis par l’</w:t>
      </w:r>
      <w:r w:rsidR="002844B1" w:rsidRPr="002844B1">
        <w:rPr>
          <w:sz w:val="21"/>
          <w:szCs w:val="21"/>
        </w:rPr>
        <w:t>État</w:t>
      </w:r>
      <w:r w:rsidRPr="002844B1">
        <w:rPr>
          <w:sz w:val="21"/>
          <w:szCs w:val="21"/>
        </w:rPr>
        <w:t>.</w:t>
      </w:r>
    </w:p>
    <w:p w:rsidR="005B279D" w:rsidRPr="002844B1" w:rsidRDefault="00000000">
      <w:pPr>
        <w:pStyle w:val="BodyText"/>
      </w:pPr>
      <m:oMathPara>
        <m:oMathParaPr>
          <m:jc m:val="center"/>
        </m:oMathParaPr>
        <m:oMath>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ET</m:t>
              </m:r>
            </m:sub>
          </m:sSub>
          <m:r>
            <w:rPr>
              <w:rFonts w:ascii="Cambria Math" w:hAnsi="Cambria Math"/>
            </w:rPr>
            <m:t>=B</m:t>
          </m:r>
          <m:sSub>
            <m:sSubPr>
              <m:ctrlPr>
                <w:rPr>
                  <w:rFonts w:ascii="Cambria Math" w:hAnsi="Cambria Math"/>
                </w:rPr>
              </m:ctrlPr>
            </m:sSubPr>
            <m:e>
              <m:r>
                <w:rPr>
                  <w:rFonts w:ascii="Cambria Math" w:hAnsi="Cambria Math"/>
                </w:rPr>
                <m:t>E</m:t>
              </m:r>
            </m:e>
            <m:sub>
              <m:r>
                <w:rPr>
                  <w:rFonts w:ascii="Cambria Math" w:hAnsi="Cambria Math"/>
                </w:rPr>
                <m:t>eng</m:t>
              </m:r>
            </m:sub>
          </m:sSub>
          <m:d>
            <m:dPr>
              <m:ctrlPr>
                <w:rPr>
                  <w:rFonts w:ascii="Cambria Math" w:hAnsi="Cambria Math"/>
                </w:rPr>
              </m:ctrlPr>
            </m:dPr>
            <m:e>
              <m:r>
                <w:rPr>
                  <w:rFonts w:ascii="Cambria Math" w:hAnsi="Cambria Math"/>
                </w:rPr>
                <m:t>Choc</m:t>
              </m:r>
            </m:e>
          </m:d>
          <m:r>
            <w:rPr>
              <w:rFonts w:ascii="Cambria Math" w:hAnsi="Cambria Math"/>
            </w:rPr>
            <m:t>-B</m:t>
          </m:r>
          <m:sSub>
            <m:sSubPr>
              <m:ctrlPr>
                <w:rPr>
                  <w:rFonts w:ascii="Cambria Math" w:hAnsi="Cambria Math"/>
                </w:rPr>
              </m:ctrlPr>
            </m:sSubPr>
            <m:e>
              <m:r>
                <w:rPr>
                  <w:rFonts w:ascii="Cambria Math" w:hAnsi="Cambria Math"/>
                </w:rPr>
                <m:t>E</m:t>
              </m:r>
            </m:e>
            <m:sub>
              <m:r>
                <w:rPr>
                  <w:rFonts w:ascii="Cambria Math" w:hAnsi="Cambria Math"/>
                </w:rPr>
                <m:t>eng</m:t>
              </m:r>
            </m:sub>
          </m:sSub>
          <m:r>
            <w:rPr>
              <w:rFonts w:ascii="Cambria Math" w:hAnsi="Cambria Math"/>
            </w:rPr>
            <m:t> ,  </m:t>
          </m:r>
          <m:d>
            <m:dPr>
              <m:ctrlPr>
                <w:rPr>
                  <w:rFonts w:ascii="Cambria Math" w:hAnsi="Cambria Math"/>
                </w:rPr>
              </m:ctrlPr>
            </m:dPr>
            <m:e>
              <m:r>
                <w:rPr>
                  <w:rFonts w:ascii="Cambria Math" w:hAnsi="Cambria Math"/>
                </w:rPr>
                <m:t>52</m:t>
              </m:r>
            </m:e>
          </m:d>
        </m:oMath>
      </m:oMathPara>
    </w:p>
    <w:p w:rsidR="005B279D" w:rsidRPr="002844B1" w:rsidRDefault="00000000" w:rsidP="005C634B">
      <w:pPr>
        <w:pStyle w:val="Compact"/>
        <w:numPr>
          <w:ilvl w:val="0"/>
          <w:numId w:val="51"/>
        </w:numPr>
        <w:jc w:val="both"/>
        <w:rPr>
          <w:sz w:val="21"/>
          <w:szCs w:val="21"/>
        </w:rPr>
      </w:pPr>
      <m:oMath>
        <m:r>
          <w:rPr>
            <w:rFonts w:ascii="Cambria Math" w:hAnsi="Cambria Math"/>
            <w:sz w:val="21"/>
            <w:szCs w:val="21"/>
          </w:rPr>
          <m:t>B</m:t>
        </m:r>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eng</m:t>
            </m:r>
          </m:sub>
        </m:sSub>
      </m:oMath>
      <w:r w:rsidRPr="002844B1">
        <w:rPr>
          <w:sz w:val="21"/>
          <w:szCs w:val="21"/>
        </w:rPr>
        <w:t xml:space="preserve"> : La meilleure estimation des engagements avant choque,</w:t>
      </w:r>
    </w:p>
    <w:p w:rsidR="005B279D" w:rsidRPr="002844B1" w:rsidRDefault="00000000" w:rsidP="005C634B">
      <w:pPr>
        <w:pStyle w:val="Compact"/>
        <w:numPr>
          <w:ilvl w:val="0"/>
          <w:numId w:val="51"/>
        </w:numPr>
        <w:jc w:val="both"/>
        <w:rPr>
          <w:sz w:val="21"/>
          <w:szCs w:val="21"/>
        </w:rPr>
      </w:pPr>
      <m:oMath>
        <m:r>
          <w:rPr>
            <w:rFonts w:ascii="Cambria Math" w:hAnsi="Cambria Math"/>
            <w:sz w:val="21"/>
            <w:szCs w:val="21"/>
          </w:rPr>
          <m:t>B</m:t>
        </m:r>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eng</m:t>
            </m:r>
          </m:sub>
        </m:sSub>
        <m:d>
          <m:dPr>
            <m:ctrlPr>
              <w:rPr>
                <w:rFonts w:ascii="Cambria Math" w:hAnsi="Cambria Math"/>
                <w:sz w:val="21"/>
                <w:szCs w:val="21"/>
              </w:rPr>
            </m:ctrlPr>
          </m:dPr>
          <m:e>
            <m:r>
              <w:rPr>
                <w:rFonts w:ascii="Cambria Math" w:hAnsi="Cambria Math"/>
                <w:sz w:val="21"/>
                <w:szCs w:val="21"/>
              </w:rPr>
              <m:t>Choc</m:t>
            </m:r>
          </m:e>
        </m:d>
      </m:oMath>
      <w:r w:rsidRPr="002844B1">
        <w:rPr>
          <w:sz w:val="21"/>
          <w:szCs w:val="21"/>
        </w:rPr>
        <w:t xml:space="preserve"> : La meilleure estimation des engagements choqué par une baisse de la valeur des titres de créances non émis ou non garantis par l’Etat.</w:t>
      </w:r>
    </w:p>
    <w:p w:rsidR="005B279D" w:rsidRPr="002844B1" w:rsidRDefault="00000000" w:rsidP="005C634B">
      <w:pPr>
        <w:pStyle w:val="FirstParagraph"/>
        <w:jc w:val="both"/>
        <w:rPr>
          <w:sz w:val="21"/>
          <w:szCs w:val="21"/>
        </w:rPr>
      </w:pPr>
      <w:r w:rsidRPr="002844B1">
        <w:rPr>
          <w:sz w:val="21"/>
          <w:szCs w:val="21"/>
        </w:rPr>
        <w:t>Les taux de baisse à appliquer sont calculés en fonction de la duration et de la prime de risque à l’émission.</w:t>
      </w:r>
    </w:p>
    <w:p w:rsidR="005B279D" w:rsidRPr="002844B1" w:rsidRDefault="00000000">
      <w:pPr>
        <w:pStyle w:val="Heading4"/>
      </w:pPr>
      <w:bookmarkStart w:id="102" w:name="X5e99c74a71772d632d6e09c172891fadaa66da1"/>
      <w:bookmarkEnd w:id="101"/>
      <w:r w:rsidRPr="002844B1">
        <w:t>L’exigence de capital relative au sous-risque de change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Ch</m:t>
            </m:r>
          </m:sub>
        </m:sSub>
      </m:oMath>
      <w:r w:rsidRPr="002844B1">
        <w:t>)</w:t>
      </w:r>
    </w:p>
    <w:p w:rsidR="005B279D" w:rsidRPr="002844B1" w:rsidRDefault="00000000" w:rsidP="005C634B">
      <w:pPr>
        <w:pStyle w:val="FirstParagraph"/>
        <w:jc w:val="both"/>
        <w:rPr>
          <w:sz w:val="21"/>
          <w:szCs w:val="21"/>
        </w:rPr>
      </w:pPr>
      <w:r w:rsidRPr="002844B1">
        <w:rPr>
          <w:sz w:val="21"/>
          <w:szCs w:val="21"/>
        </w:rPr>
        <w:t>L’exigence de capital relative au sous-risque de change correspond à la somme des exigences de capitaux pour risque de change pour chaque devise étrangère.</w:t>
      </w:r>
    </w:p>
    <w:p w:rsidR="005B279D" w:rsidRPr="002844B1" w:rsidRDefault="00000000" w:rsidP="005C634B">
      <w:pPr>
        <w:pStyle w:val="BodyText"/>
        <w:jc w:val="both"/>
        <w:rPr>
          <w:sz w:val="21"/>
          <w:szCs w:val="21"/>
        </w:rPr>
      </w:pPr>
      <w:r w:rsidRPr="002844B1">
        <w:rPr>
          <w:sz w:val="21"/>
          <w:szCs w:val="21"/>
        </w:rPr>
        <w:t>L’exigence de capital pour risque de change pour chaque devise étrangère correspond à la plus élevée des exigences de capitaux suivantes:</w:t>
      </w:r>
    </w:p>
    <w:p w:rsidR="005B279D" w:rsidRPr="002844B1" w:rsidRDefault="00000000" w:rsidP="005C634B">
      <w:pPr>
        <w:pStyle w:val="Compact"/>
        <w:numPr>
          <w:ilvl w:val="0"/>
          <w:numId w:val="52"/>
        </w:numPr>
        <w:jc w:val="both"/>
        <w:rPr>
          <w:sz w:val="21"/>
          <w:szCs w:val="21"/>
        </w:rPr>
      </w:pPr>
      <w:r w:rsidRPr="002844B1">
        <w:rPr>
          <w:sz w:val="21"/>
          <w:szCs w:val="21"/>
        </w:rPr>
        <w:t>l’exigence de capital pour risque d’augmentation de la valeur de la devise étrangère par rapport au dirham.</w:t>
      </w:r>
    </w:p>
    <w:p w:rsidR="005B279D" w:rsidRPr="002844B1" w:rsidRDefault="00000000" w:rsidP="005C634B">
      <w:pPr>
        <w:pStyle w:val="Compact"/>
        <w:numPr>
          <w:ilvl w:val="0"/>
          <w:numId w:val="52"/>
        </w:numPr>
        <w:jc w:val="both"/>
        <w:rPr>
          <w:sz w:val="21"/>
          <w:szCs w:val="21"/>
        </w:rPr>
      </w:pPr>
      <w:r w:rsidRPr="002844B1">
        <w:rPr>
          <w:sz w:val="21"/>
          <w:szCs w:val="21"/>
        </w:rPr>
        <w:t>l’exigence de capital pour risque de diminution de la valeur de la devise étrangère par rapport au dirham.</w:t>
      </w:r>
    </w:p>
    <w:p w:rsidR="005B279D" w:rsidRPr="002844B1" w:rsidRDefault="00000000" w:rsidP="005C634B">
      <w:pPr>
        <w:pStyle w:val="FirstParagraph"/>
        <w:jc w:val="both"/>
        <w:rPr>
          <w:sz w:val="21"/>
          <w:szCs w:val="21"/>
        </w:rPr>
      </w:pPr>
      <w:r w:rsidRPr="002844B1">
        <w:rPr>
          <w:sz w:val="21"/>
          <w:szCs w:val="21"/>
        </w:rPr>
        <w:t xml:space="preserve">L’exigence de capital pour risques d’augmentation ou de diminution de la valeur de la devise étrangère par rapport au dirham est égale à la perte de fonds propres qui résulterait des scénarios d’augmentation ou de diminution, respectivement de </w:t>
      </w:r>
      <m:oMath>
        <m:r>
          <w:rPr>
            <w:rFonts w:ascii="Cambria Math" w:hAnsi="Cambria Math"/>
            <w:sz w:val="21"/>
            <w:szCs w:val="21"/>
          </w:rPr>
          <m:t>X%</m:t>
        </m:r>
      </m:oMath>
      <w:r w:rsidRPr="002844B1">
        <w:rPr>
          <w:sz w:val="21"/>
          <w:szCs w:val="21"/>
        </w:rPr>
        <w:t xml:space="preserve"> et </w:t>
      </w:r>
      <m:oMath>
        <m:r>
          <w:rPr>
            <w:rFonts w:ascii="Cambria Math" w:hAnsi="Cambria Math"/>
            <w:sz w:val="21"/>
            <w:szCs w:val="21"/>
          </w:rPr>
          <m:t>X%</m:t>
        </m:r>
      </m:oMath>
      <w:r w:rsidRPr="002844B1">
        <w:rPr>
          <w:sz w:val="21"/>
          <w:szCs w:val="21"/>
        </w:rPr>
        <w:t>, de la valeur de la devise étrangère par rapport au dirham.</w:t>
      </w:r>
    </w:p>
    <w:p w:rsidR="005B279D" w:rsidRPr="002844B1" w:rsidRDefault="00000000">
      <w:pPr>
        <w:pStyle w:val="BodyText"/>
      </w:pPr>
      <m:oMathPara>
        <m:oMathParaPr>
          <m:jc m:val="center"/>
        </m:oMathParaPr>
        <m:oMath>
          <m:r>
            <w:rPr>
              <w:rFonts w:ascii="Cambria Math" w:hAnsi="Cambria Math"/>
            </w:rPr>
            <w:lastRenderedPageBreak/>
            <m:t>CS</m:t>
          </m:r>
          <m:sSub>
            <m:sSubPr>
              <m:ctrlPr>
                <w:rPr>
                  <w:rFonts w:ascii="Cambria Math" w:hAnsi="Cambria Math"/>
                </w:rPr>
              </m:ctrlPr>
            </m:sSubPr>
            <m:e>
              <m:r>
                <w:rPr>
                  <w:rFonts w:ascii="Cambria Math" w:hAnsi="Cambria Math"/>
                </w:rPr>
                <m:t>R</m:t>
              </m:r>
            </m:e>
            <m:sub>
              <m:r>
                <w:rPr>
                  <w:rFonts w:ascii="Cambria Math" w:hAnsi="Cambria Math"/>
                </w:rPr>
                <m:t>Ch</m:t>
              </m:r>
            </m:sub>
          </m:sSub>
          <m:r>
            <w:rPr>
              <w:rFonts w:ascii="Cambria Math" w:hAnsi="Cambria Math"/>
            </w:rPr>
            <m:t>=</m:t>
          </m:r>
          <m:nary>
            <m:naryPr>
              <m:chr m:val="∑"/>
              <m:limLoc m:val="undOvr"/>
              <m:supHide m:val="1"/>
              <m:ctrlPr>
                <w:rPr>
                  <w:rFonts w:ascii="Cambria Math" w:hAnsi="Cambria Math"/>
                </w:rPr>
              </m:ctrlPr>
            </m:naryPr>
            <m:sub>
              <m:r>
                <w:rPr>
                  <w:rFonts w:ascii="Cambria Math" w:hAnsi="Cambria Math"/>
                </w:rPr>
                <m:t>i∈RC</m:t>
              </m:r>
            </m:sub>
            <m:sup>
              <m:r>
                <w:rPr>
                  <w:rFonts w:ascii="Cambria Math" w:hAnsi="Cambria Math"/>
                </w:rPr>
                <m:t>​</m:t>
              </m:r>
            </m:sup>
            <m:e>
              <m:r>
                <w:rPr>
                  <w:rFonts w:ascii="Cambria Math" w:hAnsi="Cambria Math"/>
                </w:rPr>
                <m:t>C</m:t>
              </m:r>
            </m:e>
          </m:nary>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C</m:t>
              </m:r>
              <m:sSub>
                <m:sSubPr>
                  <m:ctrlPr>
                    <w:rPr>
                      <w:rFonts w:ascii="Cambria Math" w:hAnsi="Cambria Math"/>
                    </w:rPr>
                  </m:ctrlPr>
                </m:sSubPr>
                <m:e>
                  <m:r>
                    <w:rPr>
                      <w:rFonts w:ascii="Cambria Math" w:hAnsi="Cambria Math"/>
                    </w:rPr>
                    <m:t>h</m:t>
                  </m:r>
                </m:e>
                <m:sub>
                  <m:r>
                    <w:rPr>
                      <w:rFonts w:ascii="Cambria Math" w:hAnsi="Cambria Math"/>
                    </w:rPr>
                    <m:t>i</m:t>
                  </m:r>
                </m:sub>
              </m:sSub>
            </m:sub>
          </m:sSub>
          <m:r>
            <w:rPr>
              <w:rFonts w:ascii="Cambria Math" w:hAnsi="Cambria Math"/>
            </w:rPr>
            <m:t> ,  </m:t>
          </m:r>
          <m:d>
            <m:dPr>
              <m:ctrlPr>
                <w:rPr>
                  <w:rFonts w:ascii="Cambria Math" w:hAnsi="Cambria Math"/>
                </w:rPr>
              </m:ctrlPr>
            </m:dPr>
            <m:e>
              <m:r>
                <w:rPr>
                  <w:rFonts w:ascii="Cambria Math" w:hAnsi="Cambria Math"/>
                </w:rPr>
                <m:t>53</m:t>
              </m:r>
            </m:e>
          </m:d>
        </m:oMath>
      </m:oMathPara>
    </w:p>
    <w:p w:rsidR="005B279D" w:rsidRPr="002844B1" w:rsidRDefault="00000000" w:rsidP="005C634B">
      <w:pPr>
        <w:pStyle w:val="FirstParagraph"/>
        <w:jc w:val="both"/>
        <w:rPr>
          <w:sz w:val="21"/>
          <w:szCs w:val="21"/>
        </w:rPr>
      </w:pPr>
      <w:r w:rsidRPr="002844B1">
        <w:rPr>
          <w:sz w:val="21"/>
          <w:szCs w:val="21"/>
        </w:rPr>
        <w:t>avec :</w:t>
      </w:r>
    </w:p>
    <w:p w:rsidR="005B279D" w:rsidRPr="002844B1" w:rsidRDefault="00000000" w:rsidP="005C634B">
      <w:pPr>
        <w:pStyle w:val="BodyText"/>
        <w:jc w:val="both"/>
        <w:rPr>
          <w:sz w:val="21"/>
          <w:szCs w:val="21"/>
        </w:rPr>
      </w:pPr>
      <m:oMath>
        <m:r>
          <w:rPr>
            <w:rFonts w:ascii="Cambria Math" w:hAnsi="Cambria Math"/>
            <w:sz w:val="21"/>
            <w:szCs w:val="21"/>
          </w:rPr>
          <m:t>RC</m:t>
        </m:r>
      </m:oMath>
      <w:r w:rsidRPr="002844B1">
        <w:rPr>
          <w:sz w:val="21"/>
          <w:szCs w:val="21"/>
        </w:rPr>
        <w:t xml:space="preserve"> = {risque de change pour chaque devise étrangère }</w:t>
      </w:r>
    </w:p>
    <w:p w:rsidR="005B279D" w:rsidRPr="002844B1" w:rsidRDefault="005C634B" w:rsidP="005C634B">
      <w:pPr>
        <w:pStyle w:val="BodyText"/>
        <w:jc w:val="both"/>
        <w:rPr>
          <w:sz w:val="21"/>
          <w:szCs w:val="21"/>
        </w:rPr>
      </w:pPr>
      <w:r w:rsidRPr="002844B1">
        <w:rPr>
          <w:sz w:val="21"/>
          <w:szCs w:val="21"/>
        </w:rPr>
        <w:t>e</w:t>
      </w:r>
      <w:r w:rsidR="00000000" w:rsidRPr="002844B1">
        <w:rPr>
          <w:sz w:val="21"/>
          <w:szCs w:val="21"/>
        </w:rPr>
        <w:t>t</w:t>
      </w:r>
      <w:r w:rsidRPr="002844B1">
        <w:rPr>
          <w:sz w:val="21"/>
          <w:szCs w:val="21"/>
        </w:rPr>
        <w:t> :</w:t>
      </w:r>
    </w:p>
    <w:p w:rsidR="005B279D" w:rsidRPr="002844B1" w:rsidRDefault="00000000">
      <w:pPr>
        <w:pStyle w:val="BodyText"/>
      </w:pPr>
      <m:oMathPara>
        <m:oMathParaPr>
          <m:jc m:val="center"/>
        </m:oMathParaPr>
        <m:oMath>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C</m:t>
              </m:r>
              <m:sSub>
                <m:sSubPr>
                  <m:ctrlPr>
                    <w:rPr>
                      <w:rFonts w:ascii="Cambria Math" w:hAnsi="Cambria Math"/>
                    </w:rPr>
                  </m:ctrlPr>
                </m:sSubPr>
                <m:e>
                  <m:r>
                    <w:rPr>
                      <w:rFonts w:ascii="Cambria Math" w:hAnsi="Cambria Math"/>
                    </w:rPr>
                    <m:t>h</m:t>
                  </m:r>
                </m:e>
                <m:sub>
                  <m:r>
                    <w:rPr>
                      <w:rFonts w:ascii="Cambria Math" w:hAnsi="Cambria Math"/>
                    </w:rPr>
                    <m:t>i</m:t>
                  </m:r>
                </m:sub>
              </m:sSub>
            </m:sub>
          </m:sSub>
          <m:r>
            <w:rPr>
              <w:rFonts w:ascii="Cambria Math" w:hAnsi="Cambria Math"/>
            </w:rPr>
            <m:t>=max</m:t>
          </m:r>
          <m:d>
            <m:dPr>
              <m:ctrlPr>
                <w:rPr>
                  <w:rFonts w:ascii="Cambria Math" w:hAnsi="Cambria Math"/>
                </w:rPr>
              </m:ctrlPr>
            </m:dPr>
            <m:e>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i</m:t>
                  </m:r>
                </m:sub>
              </m:sSub>
              <m:d>
                <m:dPr>
                  <m:ctrlPr>
                    <w:rPr>
                      <w:rFonts w:ascii="Cambria Math" w:hAnsi="Cambria Math"/>
                    </w:rPr>
                  </m:ctrlPr>
                </m:dPr>
                <m:e>
                  <m:r>
                    <w:rPr>
                      <w:rFonts w:ascii="Cambria Math" w:hAnsi="Cambria Math"/>
                    </w:rPr>
                    <m:t>Aug</m:t>
                  </m:r>
                </m:e>
              </m:d>
              <m:r>
                <w:rPr>
                  <w:rFonts w:ascii="Cambria Math" w:hAnsi="Cambria Math"/>
                </w:rPr>
                <m:t> ; CS</m:t>
              </m:r>
              <m:sSub>
                <m:sSubPr>
                  <m:ctrlPr>
                    <w:rPr>
                      <w:rFonts w:ascii="Cambria Math" w:hAnsi="Cambria Math"/>
                    </w:rPr>
                  </m:ctrlPr>
                </m:sSubPr>
                <m:e>
                  <m:r>
                    <w:rPr>
                      <w:rFonts w:ascii="Cambria Math" w:hAnsi="Cambria Math"/>
                    </w:rPr>
                    <m:t>R</m:t>
                  </m:r>
                </m:e>
                <m:sub>
                  <m:r>
                    <w:rPr>
                      <w:rFonts w:ascii="Cambria Math" w:hAnsi="Cambria Math"/>
                    </w:rPr>
                    <m:t>i</m:t>
                  </m:r>
                </m:sub>
              </m:sSub>
              <m:d>
                <m:dPr>
                  <m:ctrlPr>
                    <w:rPr>
                      <w:rFonts w:ascii="Cambria Math" w:hAnsi="Cambria Math"/>
                    </w:rPr>
                  </m:ctrlPr>
                </m:dPr>
                <m:e>
                  <m:r>
                    <w:rPr>
                      <w:rFonts w:ascii="Cambria Math" w:hAnsi="Cambria Math"/>
                    </w:rPr>
                    <m:t>Dim</m:t>
                  </m:r>
                </m:e>
              </m:d>
            </m:e>
          </m:d>
        </m:oMath>
      </m:oMathPara>
    </w:p>
    <w:p w:rsidR="005B279D" w:rsidRPr="002844B1" w:rsidRDefault="00000000" w:rsidP="005C634B">
      <w:pPr>
        <w:pStyle w:val="FirstParagraph"/>
        <w:jc w:val="both"/>
        <w:rPr>
          <w:sz w:val="21"/>
          <w:szCs w:val="21"/>
        </w:rPr>
      </w:pPr>
      <w:r w:rsidRPr="002844B1">
        <w:rPr>
          <w:sz w:val="21"/>
          <w:szCs w:val="21"/>
        </w:rPr>
        <w:t>où :</w:t>
      </w:r>
    </w:p>
    <w:p w:rsidR="005B279D" w:rsidRPr="002844B1" w:rsidRDefault="00000000" w:rsidP="005C634B">
      <w:pPr>
        <w:pStyle w:val="Compact"/>
        <w:numPr>
          <w:ilvl w:val="0"/>
          <w:numId w:val="53"/>
        </w:numPr>
        <w:jc w:val="both"/>
        <w:rPr>
          <w:sz w:val="21"/>
          <w:szCs w:val="21"/>
        </w:rPr>
      </w:pPr>
      <m:oMath>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d>
          <m:dPr>
            <m:ctrlPr>
              <w:rPr>
                <w:rFonts w:ascii="Cambria Math" w:hAnsi="Cambria Math"/>
                <w:sz w:val="21"/>
                <w:szCs w:val="21"/>
              </w:rPr>
            </m:ctrlPr>
          </m:dPr>
          <m:e>
            <m:r>
              <w:rPr>
                <w:rFonts w:ascii="Cambria Math" w:hAnsi="Cambria Math"/>
                <w:sz w:val="21"/>
                <w:szCs w:val="21"/>
              </w:rPr>
              <m:t>Aug</m:t>
            </m:r>
          </m:e>
        </m:d>
      </m:oMath>
      <w:r w:rsidRPr="002844B1">
        <w:rPr>
          <w:sz w:val="21"/>
          <w:szCs w:val="21"/>
        </w:rPr>
        <w:t xml:space="preserve"> : L’exigence de capital pour risque d’augmentation de la valeur de la devise étrangère par rapport au dirham,</w:t>
      </w:r>
    </w:p>
    <w:p w:rsidR="005B279D" w:rsidRPr="002844B1" w:rsidRDefault="00000000" w:rsidP="005C634B">
      <w:pPr>
        <w:pStyle w:val="Compact"/>
        <w:numPr>
          <w:ilvl w:val="0"/>
          <w:numId w:val="53"/>
        </w:numPr>
        <w:jc w:val="both"/>
        <w:rPr>
          <w:sz w:val="21"/>
          <w:szCs w:val="21"/>
        </w:rPr>
      </w:pPr>
      <m:oMath>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d>
          <m:dPr>
            <m:ctrlPr>
              <w:rPr>
                <w:rFonts w:ascii="Cambria Math" w:hAnsi="Cambria Math"/>
                <w:sz w:val="21"/>
                <w:szCs w:val="21"/>
              </w:rPr>
            </m:ctrlPr>
          </m:dPr>
          <m:e>
            <m:r>
              <w:rPr>
                <w:rFonts w:ascii="Cambria Math" w:hAnsi="Cambria Math"/>
                <w:sz w:val="21"/>
                <w:szCs w:val="21"/>
              </w:rPr>
              <m:t>Dim</m:t>
            </m:r>
          </m:e>
        </m:d>
      </m:oMath>
      <w:r w:rsidRPr="002844B1">
        <w:rPr>
          <w:sz w:val="21"/>
          <w:szCs w:val="21"/>
        </w:rPr>
        <w:t xml:space="preserve"> : L’exigence de capital pour risque de diminution de la valeur de la devise étrangère par rapport au dirham,</w:t>
      </w:r>
    </w:p>
    <w:p w:rsidR="005B279D" w:rsidRPr="002844B1" w:rsidRDefault="00000000" w:rsidP="005C634B">
      <w:pPr>
        <w:pStyle w:val="FirstParagraph"/>
        <w:jc w:val="both"/>
        <w:rPr>
          <w:sz w:val="21"/>
          <w:szCs w:val="21"/>
        </w:rPr>
      </w:pPr>
      <w:r w:rsidRPr="002844B1">
        <w:rPr>
          <w:sz w:val="21"/>
          <w:szCs w:val="21"/>
        </w:rPr>
        <w:t>tell que:</w:t>
      </w:r>
    </w:p>
    <w:p w:rsidR="005B279D" w:rsidRPr="002844B1" w:rsidRDefault="00000000">
      <w:pPr>
        <w:pStyle w:val="BodyText"/>
      </w:pPr>
      <m:oMathPara>
        <m:oMathParaPr>
          <m:jc m:val="center"/>
        </m:oMathParaPr>
        <m:oMath>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i</m:t>
              </m:r>
            </m:sub>
          </m:sSub>
          <m:d>
            <m:dPr>
              <m:ctrlPr>
                <w:rPr>
                  <w:rFonts w:ascii="Cambria Math" w:hAnsi="Cambria Math"/>
                </w:rPr>
              </m:ctrlPr>
            </m:dPr>
            <m:e>
              <m:r>
                <w:rPr>
                  <w:rFonts w:ascii="Cambria Math" w:hAnsi="Cambria Math"/>
                </w:rPr>
                <m:t>Aug</m:t>
              </m:r>
            </m:e>
          </m:d>
          <m:r>
            <w:rPr>
              <w:rFonts w:ascii="Cambria Math" w:hAnsi="Cambria Math"/>
            </w:rPr>
            <m:t>=BE</m:t>
          </m:r>
          <m:d>
            <m:dPr>
              <m:ctrlPr>
                <w:rPr>
                  <w:rFonts w:ascii="Cambria Math" w:hAnsi="Cambria Math"/>
                </w:rPr>
              </m:ctrlPr>
            </m:dPr>
            <m:e>
              <m:r>
                <w:rPr>
                  <w:rFonts w:ascii="Cambria Math" w:hAnsi="Cambria Math"/>
                </w:rPr>
                <m:t>Aug</m:t>
              </m:r>
            </m:e>
          </m:d>
          <m:r>
            <w:rPr>
              <w:rFonts w:ascii="Cambria Math" w:hAnsi="Cambria Math"/>
            </w:rPr>
            <m:t>-BE ;</m:t>
          </m:r>
        </m:oMath>
      </m:oMathPara>
    </w:p>
    <w:p w:rsidR="005B279D" w:rsidRPr="002844B1" w:rsidRDefault="00000000">
      <w:pPr>
        <w:pStyle w:val="FirstParagraph"/>
      </w:pPr>
      <m:oMathPara>
        <m:oMathParaPr>
          <m:jc m:val="center"/>
        </m:oMathParaPr>
        <m:oMath>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i</m:t>
              </m:r>
            </m:sub>
          </m:sSub>
          <m:d>
            <m:dPr>
              <m:ctrlPr>
                <w:rPr>
                  <w:rFonts w:ascii="Cambria Math" w:hAnsi="Cambria Math"/>
                </w:rPr>
              </m:ctrlPr>
            </m:dPr>
            <m:e>
              <m:r>
                <w:rPr>
                  <w:rFonts w:ascii="Cambria Math" w:hAnsi="Cambria Math"/>
                </w:rPr>
                <m:t>Dim</m:t>
              </m:r>
            </m:e>
          </m:d>
          <m:r>
            <w:rPr>
              <w:rFonts w:ascii="Cambria Math" w:hAnsi="Cambria Math"/>
            </w:rPr>
            <m:t>=BE</m:t>
          </m:r>
          <m:d>
            <m:dPr>
              <m:ctrlPr>
                <w:rPr>
                  <w:rFonts w:ascii="Cambria Math" w:hAnsi="Cambria Math"/>
                </w:rPr>
              </m:ctrlPr>
            </m:dPr>
            <m:e>
              <m:r>
                <w:rPr>
                  <w:rFonts w:ascii="Cambria Math" w:hAnsi="Cambria Math"/>
                </w:rPr>
                <m:t>Dim</m:t>
              </m:r>
            </m:e>
          </m:d>
          <m:r>
            <w:rPr>
              <w:rFonts w:ascii="Cambria Math" w:hAnsi="Cambria Math"/>
            </w:rPr>
            <m:t>-BE ;</m:t>
          </m:r>
        </m:oMath>
      </m:oMathPara>
    </w:p>
    <w:p w:rsidR="005B279D" w:rsidRPr="002844B1" w:rsidRDefault="00000000" w:rsidP="005C634B">
      <w:pPr>
        <w:pStyle w:val="FirstParagraph"/>
        <w:jc w:val="both"/>
        <w:rPr>
          <w:sz w:val="21"/>
          <w:szCs w:val="21"/>
        </w:rPr>
      </w:pPr>
      <w:r w:rsidRPr="002844B1">
        <w:rPr>
          <w:sz w:val="21"/>
          <w:szCs w:val="21"/>
        </w:rPr>
        <w:t>en considérant :</w:t>
      </w:r>
    </w:p>
    <w:p w:rsidR="005B279D" w:rsidRPr="002844B1" w:rsidRDefault="00000000" w:rsidP="005C634B">
      <w:pPr>
        <w:pStyle w:val="BodyText"/>
        <w:jc w:val="both"/>
        <w:rPr>
          <w:sz w:val="21"/>
          <w:szCs w:val="21"/>
        </w:rPr>
      </w:pPr>
      <m:oMath>
        <m:r>
          <w:rPr>
            <w:rFonts w:ascii="Cambria Math" w:hAnsi="Cambria Math"/>
            <w:sz w:val="21"/>
            <w:szCs w:val="21"/>
          </w:rPr>
          <m:t>BE</m:t>
        </m:r>
        <m:d>
          <m:dPr>
            <m:ctrlPr>
              <w:rPr>
                <w:rFonts w:ascii="Cambria Math" w:hAnsi="Cambria Math"/>
                <w:sz w:val="21"/>
                <w:szCs w:val="21"/>
              </w:rPr>
            </m:ctrlPr>
          </m:dPr>
          <m:e>
            <m:r>
              <w:rPr>
                <w:rFonts w:ascii="Cambria Math" w:hAnsi="Cambria Math"/>
                <w:sz w:val="21"/>
                <w:szCs w:val="21"/>
              </w:rPr>
              <m:t>Aug</m:t>
            </m:r>
          </m:e>
        </m:d>
      </m:oMath>
      <w:r w:rsidRPr="002844B1">
        <w:rPr>
          <w:sz w:val="21"/>
          <w:szCs w:val="21"/>
        </w:rPr>
        <w:t xml:space="preserve"> : Meilleur estimation des engagement pour le scénario d’augmentation de la valeur de la devise étrangère par rapport au dirham.</w:t>
      </w:r>
    </w:p>
    <w:p w:rsidR="005B279D" w:rsidRPr="002844B1" w:rsidRDefault="00000000" w:rsidP="005C634B">
      <w:pPr>
        <w:pStyle w:val="BodyText"/>
        <w:jc w:val="both"/>
        <w:rPr>
          <w:sz w:val="21"/>
          <w:szCs w:val="21"/>
        </w:rPr>
      </w:pPr>
      <m:oMath>
        <m:r>
          <w:rPr>
            <w:rFonts w:ascii="Cambria Math" w:hAnsi="Cambria Math"/>
            <w:sz w:val="21"/>
            <w:szCs w:val="21"/>
          </w:rPr>
          <m:t>BE</m:t>
        </m:r>
        <m:d>
          <m:dPr>
            <m:ctrlPr>
              <w:rPr>
                <w:rFonts w:ascii="Cambria Math" w:hAnsi="Cambria Math"/>
                <w:sz w:val="21"/>
                <w:szCs w:val="21"/>
              </w:rPr>
            </m:ctrlPr>
          </m:dPr>
          <m:e>
            <m:r>
              <w:rPr>
                <w:rFonts w:ascii="Cambria Math" w:hAnsi="Cambria Math"/>
                <w:sz w:val="21"/>
                <w:szCs w:val="21"/>
              </w:rPr>
              <m:t>Dim</m:t>
            </m:r>
          </m:e>
        </m:d>
      </m:oMath>
      <w:r w:rsidRPr="002844B1">
        <w:rPr>
          <w:sz w:val="21"/>
          <w:szCs w:val="21"/>
        </w:rPr>
        <w:t xml:space="preserve"> : Meilleur estimation des engagement pour le scénario de diminution de la valeur de la devise étrangère par rapport au dirham.</w:t>
      </w:r>
    </w:p>
    <w:p w:rsidR="005B279D" w:rsidRPr="002844B1" w:rsidRDefault="00000000">
      <w:pPr>
        <w:pStyle w:val="Heading3"/>
      </w:pPr>
      <w:bookmarkStart w:id="103" w:name="Xd0f4af3e42e2da5a32c41da94ab3029f0007a55"/>
      <w:bookmarkStart w:id="104" w:name="_Toc137651030"/>
      <w:bookmarkEnd w:id="96"/>
      <w:bookmarkEnd w:id="102"/>
      <w:r w:rsidRPr="002844B1">
        <w:t>Exigence de capital relative au risque de contrepartie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Cp</m:t>
            </m:r>
          </m:sub>
        </m:sSub>
      </m:oMath>
      <w:r w:rsidRPr="002844B1">
        <w:t>)</w:t>
      </w:r>
      <w:bookmarkEnd w:id="104"/>
    </w:p>
    <w:p w:rsidR="005B279D" w:rsidRPr="002844B1" w:rsidRDefault="00000000">
      <w:pPr>
        <w:pStyle w:val="FirstParagraph"/>
      </w:pPr>
      <w:r w:rsidRPr="002844B1">
        <w:t>L’exigence de capital relative au risque de contrepartie est le montant total des exigences de capitaux relatives aux sous-risques de contrepartie de type 1 et de type 2 , une fois les coefficients de corrélation appliqués.</w:t>
      </w:r>
    </w:p>
    <w:p w:rsidR="005B279D" w:rsidRPr="002844B1" w:rsidRDefault="00000000">
      <w:pPr>
        <w:pStyle w:val="BodyText"/>
      </w:pPr>
      <m:oMathPara>
        <m:oMathParaPr>
          <m:jc m:val="center"/>
        </m:oMathParaPr>
        <m:oMath>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Cp</m:t>
              </m:r>
            </m:sub>
          </m:sSub>
          <m:r>
            <w:rPr>
              <w:rFonts w:ascii="Cambria Math" w:hAnsi="Cambria Math"/>
            </w:rPr>
            <m:t>=</m:t>
          </m:r>
          <m:rad>
            <m:radPr>
              <m:degHide m:val="1"/>
              <m:ctrlPr>
                <w:rPr>
                  <w:rFonts w:ascii="Cambria Math" w:hAnsi="Cambria Math"/>
                </w:rPr>
              </m:ctrlPr>
            </m:radPr>
            <m:deg/>
            <m:e>
              <m:nary>
                <m:naryPr>
                  <m:chr m:val="∑"/>
                  <m:limLoc m:val="undOvr"/>
                  <m:supHide m:val="1"/>
                  <m:ctrlPr>
                    <w:rPr>
                      <w:rFonts w:ascii="Cambria Math" w:hAnsi="Cambria Math"/>
                    </w:rPr>
                  </m:ctrlPr>
                </m:naryPr>
                <m:sub>
                  <m:r>
                    <w:rPr>
                      <w:rFonts w:ascii="Cambria Math" w:hAnsi="Cambria Math"/>
                    </w:rPr>
                    <m:t>i,j∈Type</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hAnsi="Cambria Math"/>
                            </w:rPr>
                            <m:t>ρ</m:t>
                          </m:r>
                        </m:e>
                        <m:sub>
                          <m:r>
                            <w:rPr>
                              <w:rFonts w:ascii="Cambria Math" w:hAnsi="Cambria Math"/>
                            </w:rPr>
                            <m:t>i,j</m:t>
                          </m:r>
                        </m:sub>
                      </m:sSub>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C</m:t>
                          </m:r>
                          <m:sSub>
                            <m:sSubPr>
                              <m:ctrlPr>
                                <w:rPr>
                                  <w:rFonts w:ascii="Cambria Math" w:hAnsi="Cambria Math"/>
                                </w:rPr>
                              </m:ctrlPr>
                            </m:sSubPr>
                            <m:e>
                              <m:r>
                                <w:rPr>
                                  <w:rFonts w:ascii="Cambria Math" w:hAnsi="Cambria Math"/>
                                </w:rPr>
                                <m:t>p</m:t>
                              </m:r>
                            </m:e>
                            <m:sub>
                              <m:r>
                                <w:rPr>
                                  <w:rFonts w:ascii="Cambria Math" w:hAnsi="Cambria Math"/>
                                </w:rPr>
                                <m:t>i</m:t>
                              </m:r>
                            </m:sub>
                          </m:sSub>
                        </m:sub>
                      </m:sSub>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C</m:t>
                          </m:r>
                          <m:sSub>
                            <m:sSubPr>
                              <m:ctrlPr>
                                <w:rPr>
                                  <w:rFonts w:ascii="Cambria Math" w:hAnsi="Cambria Math"/>
                                </w:rPr>
                              </m:ctrlPr>
                            </m:sSubPr>
                            <m:e>
                              <m:r>
                                <w:rPr>
                                  <w:rFonts w:ascii="Cambria Math" w:hAnsi="Cambria Math"/>
                                </w:rPr>
                                <m:t>p</m:t>
                              </m:r>
                            </m:e>
                            <m:sub>
                              <m:r>
                                <w:rPr>
                                  <w:rFonts w:ascii="Cambria Math" w:hAnsi="Cambria Math"/>
                                </w:rPr>
                                <m:t>j</m:t>
                              </m:r>
                            </m:sub>
                          </m:sSub>
                        </m:sub>
                      </m:sSub>
                    </m:e>
                  </m:d>
                </m:e>
              </m:nary>
            </m:e>
          </m:rad>
          <m:r>
            <w:rPr>
              <w:rFonts w:ascii="Cambria Math" w:hAnsi="Cambria Math"/>
            </w:rPr>
            <m:t> ,  </m:t>
          </m:r>
          <m:d>
            <m:dPr>
              <m:ctrlPr>
                <w:rPr>
                  <w:rFonts w:ascii="Cambria Math" w:hAnsi="Cambria Math"/>
                </w:rPr>
              </m:ctrlPr>
            </m:dPr>
            <m:e>
              <m:r>
                <w:rPr>
                  <w:rFonts w:ascii="Cambria Math" w:hAnsi="Cambria Math"/>
                </w:rPr>
                <m:t>54</m:t>
              </m:r>
            </m:e>
          </m:d>
        </m:oMath>
      </m:oMathPara>
    </w:p>
    <w:p w:rsidR="005B279D" w:rsidRPr="002844B1" w:rsidRDefault="00000000">
      <w:pPr>
        <w:pStyle w:val="FirstParagraph"/>
      </w:pPr>
      <w:r w:rsidRPr="002844B1">
        <w:t xml:space="preserve">avec : Type = {  </w:t>
      </w:r>
      <w:r w:rsidR="00A96318" w:rsidRPr="002844B1">
        <w:t>type 1, type 2</w:t>
      </w:r>
      <w:r w:rsidRPr="002844B1">
        <w:t xml:space="preserve">  }</w:t>
      </w:r>
    </w:p>
    <w:p w:rsidR="005B279D" w:rsidRPr="002844B1" w:rsidRDefault="00000000">
      <w:pPr>
        <w:pStyle w:val="Heading4"/>
      </w:pPr>
      <w:bookmarkStart w:id="105" w:name="X303ad4190ba297cc4664f228835544b0eb3361f"/>
      <w:r w:rsidRPr="002844B1">
        <w:t>Exigence de capital relative au risque de contrepartie de type 1</w:t>
      </w:r>
    </w:p>
    <w:p w:rsidR="005B279D" w:rsidRPr="002844B1" w:rsidRDefault="00000000" w:rsidP="00A96318">
      <w:pPr>
        <w:pStyle w:val="FirstParagraph"/>
        <w:jc w:val="both"/>
        <w:rPr>
          <w:sz w:val="21"/>
          <w:szCs w:val="21"/>
        </w:rPr>
      </w:pPr>
      <w:r w:rsidRPr="002844B1">
        <w:rPr>
          <w:sz w:val="21"/>
          <w:szCs w:val="21"/>
        </w:rPr>
        <w:t xml:space="preserve">L’exigence de capital relative au risque de contrepartie de type 1 est calculé en fonction des montants de pertes en cas de défaut des cessionnaires, des cédantes et des organismes dépositaires, selon la méthode décrite dans </w:t>
      </w:r>
      <w:r w:rsidRPr="002844B1">
        <w:rPr>
          <w:b/>
          <w:bCs/>
          <w:sz w:val="21"/>
          <w:szCs w:val="21"/>
        </w:rPr>
        <w:t>l’annexe 9</w:t>
      </w:r>
      <w:r w:rsidRPr="002844B1">
        <w:rPr>
          <w:sz w:val="21"/>
          <w:szCs w:val="21"/>
        </w:rPr>
        <w:t xml:space="preserve"> du circulaire de l’ACAPS. Cette méthode est la suivante :</w:t>
      </w:r>
    </w:p>
    <w:p w:rsidR="005B279D" w:rsidRPr="002844B1" w:rsidRDefault="00000000" w:rsidP="00A96318">
      <w:pPr>
        <w:pStyle w:val="BodyText"/>
        <w:jc w:val="both"/>
        <w:rPr>
          <w:sz w:val="21"/>
          <w:szCs w:val="21"/>
        </w:rPr>
      </w:pPr>
      <w:r w:rsidRPr="002844B1">
        <w:rPr>
          <w:b/>
          <w:bCs/>
          <w:sz w:val="21"/>
          <w:szCs w:val="21"/>
          <w:u w:val="single"/>
        </w:rPr>
        <w:t>1ère étape</w:t>
      </w:r>
      <w:r w:rsidRPr="002844B1">
        <w:rPr>
          <w:b/>
          <w:bCs/>
          <w:sz w:val="21"/>
          <w:szCs w:val="21"/>
        </w:rPr>
        <w:t>:</w:t>
      </w:r>
      <w:r w:rsidRPr="002844B1">
        <w:rPr>
          <w:sz w:val="21"/>
          <w:szCs w:val="21"/>
        </w:rPr>
        <w:t xml:space="preserve"> Calcul des pertes en cas de défaut des différentes contreparties </w:t>
      </w:r>
      <m:oMath>
        <m:r>
          <w:rPr>
            <w:rFonts w:ascii="Cambria Math" w:hAnsi="Cambria Math"/>
            <w:sz w:val="21"/>
            <w:szCs w:val="21"/>
          </w:rPr>
          <m:t>i</m:t>
        </m:r>
      </m:oMath>
      <w:r w:rsidRPr="002844B1">
        <w:rPr>
          <w:sz w:val="21"/>
          <w:szCs w:val="21"/>
        </w:rPr>
        <w:t>.</w:t>
      </w:r>
    </w:p>
    <w:p w:rsidR="005B279D" w:rsidRPr="002844B1" w:rsidRDefault="00000000" w:rsidP="00A96318">
      <w:pPr>
        <w:pStyle w:val="Compact"/>
        <w:numPr>
          <w:ilvl w:val="0"/>
          <w:numId w:val="54"/>
        </w:numPr>
        <w:jc w:val="both"/>
        <w:rPr>
          <w:sz w:val="21"/>
          <w:szCs w:val="21"/>
        </w:rPr>
      </w:pPr>
      <w:r w:rsidRPr="002844B1">
        <w:rPr>
          <w:sz w:val="21"/>
          <w:szCs w:val="21"/>
        </w:rPr>
        <w:t>Pour un contrat de réassurance:</w:t>
      </w:r>
    </w:p>
    <w:p w:rsidR="005B279D" w:rsidRPr="002844B1" w:rsidRDefault="00000000" w:rsidP="00A96318">
      <w:pPr>
        <w:pStyle w:val="FirstParagraph"/>
        <w:jc w:val="both"/>
        <w:rPr>
          <w:sz w:val="21"/>
          <w:szCs w:val="21"/>
        </w:rPr>
      </w:pPr>
      <m:oMathPara>
        <m:oMathParaPr>
          <m:jc m:val="center"/>
        </m:oMathParaPr>
        <m:oMath>
          <m:r>
            <w:rPr>
              <w:rFonts w:ascii="Cambria Math" w:hAnsi="Cambria Math"/>
              <w:sz w:val="21"/>
              <w:szCs w:val="21"/>
            </w:rPr>
            <w:lastRenderedPageBreak/>
            <m:t>LG</m:t>
          </m:r>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i</m:t>
              </m:r>
            </m:sub>
          </m:sSub>
          <m:r>
            <w:rPr>
              <w:rFonts w:ascii="Cambria Math" w:hAnsi="Cambria Math"/>
              <w:sz w:val="21"/>
              <w:szCs w:val="21"/>
            </w:rPr>
            <m:t>=max</m:t>
          </m:r>
          <m:d>
            <m:dPr>
              <m:ctrlPr>
                <w:rPr>
                  <w:rFonts w:ascii="Cambria Math" w:hAnsi="Cambria Math"/>
                  <w:sz w:val="21"/>
                  <w:szCs w:val="21"/>
                </w:rPr>
              </m:ctrlPr>
            </m:dPr>
            <m:e>
              <m:r>
                <w:rPr>
                  <w:rFonts w:ascii="Cambria Math" w:hAnsi="Cambria Math"/>
                  <w:sz w:val="21"/>
                  <w:szCs w:val="21"/>
                </w:rPr>
                <m:t>X*</m:t>
              </m:r>
              <m:d>
                <m:dPr>
                  <m:ctrlPr>
                    <w:rPr>
                      <w:rFonts w:ascii="Cambria Math" w:hAnsi="Cambria Math"/>
                      <w:sz w:val="21"/>
                      <w:szCs w:val="21"/>
                    </w:rPr>
                  </m:ctrlPr>
                </m:dPr>
                <m:e>
                  <m:r>
                    <w:rPr>
                      <w:rFonts w:ascii="Cambria Math" w:hAnsi="Cambria Math"/>
                      <w:sz w:val="21"/>
                      <w:szCs w:val="21"/>
                    </w:rPr>
                    <m:t>B</m:t>
                  </m:r>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cédé</m:t>
                      </m:r>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i</m:t>
                          </m:r>
                        </m:sub>
                      </m:sSub>
                    </m:sub>
                  </m:sSub>
                  <m:r>
                    <w:rPr>
                      <w:rFonts w:ascii="Cambria Math" w:hAnsi="Cambria Math"/>
                      <w:sz w:val="21"/>
                      <w:szCs w:val="21"/>
                    </w:rPr>
                    <m:t>+CrC+A</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m:t>
              </m:r>
              <m:r>
                <m:rPr>
                  <m:nor/>
                </m:rPr>
                <w:rPr>
                  <w:sz w:val="21"/>
                  <w:szCs w:val="21"/>
                </w:rPr>
                <m:t>DEV</m:t>
              </m:r>
              <m:r>
                <w:rPr>
                  <w:rFonts w:ascii="Cambria Math" w:hAnsi="Cambria Math"/>
                  <w:sz w:val="21"/>
                  <w:szCs w:val="21"/>
                </w:rPr>
                <m:t>;0</m:t>
              </m:r>
            </m:e>
          </m:d>
          <m:r>
            <w:rPr>
              <w:rFonts w:ascii="Cambria Math" w:hAnsi="Cambria Math"/>
              <w:sz w:val="21"/>
              <w:szCs w:val="21"/>
            </w:rPr>
            <m:t>  </m:t>
          </m:r>
          <m:d>
            <m:dPr>
              <m:ctrlPr>
                <w:rPr>
                  <w:rFonts w:ascii="Cambria Math" w:hAnsi="Cambria Math"/>
                  <w:sz w:val="21"/>
                  <w:szCs w:val="21"/>
                </w:rPr>
              </m:ctrlPr>
            </m:dPr>
            <m:e>
              <m:r>
                <w:rPr>
                  <w:rFonts w:ascii="Cambria Math" w:hAnsi="Cambria Math"/>
                  <w:sz w:val="21"/>
                  <w:szCs w:val="21"/>
                </w:rPr>
                <m:t>55</m:t>
              </m:r>
            </m:e>
          </m:d>
        </m:oMath>
      </m:oMathPara>
    </w:p>
    <w:p w:rsidR="005B279D" w:rsidRPr="002844B1" w:rsidRDefault="00000000" w:rsidP="00A96318">
      <w:pPr>
        <w:pStyle w:val="FirstParagraph"/>
        <w:jc w:val="both"/>
        <w:rPr>
          <w:sz w:val="21"/>
          <w:szCs w:val="21"/>
        </w:rPr>
      </w:pPr>
      <w:r w:rsidRPr="002844B1">
        <w:rPr>
          <w:sz w:val="21"/>
          <w:szCs w:val="21"/>
        </w:rPr>
        <w:t>Où :</w:t>
      </w:r>
    </w:p>
    <w:p w:rsidR="005B279D" w:rsidRPr="002844B1" w:rsidRDefault="00000000" w:rsidP="00A96318">
      <w:pPr>
        <w:pStyle w:val="Compact"/>
        <w:numPr>
          <w:ilvl w:val="0"/>
          <w:numId w:val="55"/>
        </w:numPr>
        <w:jc w:val="both"/>
        <w:rPr>
          <w:sz w:val="21"/>
          <w:szCs w:val="21"/>
        </w:rPr>
      </w:pPr>
      <m:oMath>
        <m:r>
          <w:rPr>
            <w:rFonts w:ascii="Cambria Math" w:hAnsi="Cambria Math"/>
            <w:sz w:val="21"/>
            <w:szCs w:val="21"/>
          </w:rPr>
          <m:t>BE</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m:t>
            </m:r>
          </m:sub>
        </m:sSub>
      </m:oMath>
      <w:r w:rsidRPr="002844B1">
        <w:rPr>
          <w:sz w:val="21"/>
          <w:szCs w:val="21"/>
        </w:rPr>
        <w:t xml:space="preserve"> : La meilleure estimation des engagements cédés au cessionnaire ;</w:t>
      </w:r>
    </w:p>
    <w:p w:rsidR="005B279D" w:rsidRPr="002844B1" w:rsidRDefault="00000000" w:rsidP="00A96318">
      <w:pPr>
        <w:pStyle w:val="Compact"/>
        <w:numPr>
          <w:ilvl w:val="0"/>
          <w:numId w:val="55"/>
        </w:numPr>
        <w:jc w:val="both"/>
        <w:rPr>
          <w:sz w:val="21"/>
          <w:szCs w:val="21"/>
        </w:rPr>
      </w:pPr>
      <m:oMath>
        <m:r>
          <w:rPr>
            <w:rFonts w:ascii="Cambria Math" w:hAnsi="Cambria Math"/>
            <w:sz w:val="21"/>
            <w:szCs w:val="21"/>
          </w:rPr>
          <m:t>LG</m:t>
        </m:r>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i</m:t>
            </m:r>
          </m:sub>
        </m:sSub>
      </m:oMath>
      <w:r w:rsidRPr="002844B1">
        <w:rPr>
          <w:sz w:val="21"/>
          <w:szCs w:val="21"/>
        </w:rPr>
        <w:t xml:space="preserve"> : la perte en cas de défaut du cessionnaire i ;</w:t>
      </w:r>
    </w:p>
    <w:p w:rsidR="005B279D" w:rsidRPr="002844B1" w:rsidRDefault="00000000" w:rsidP="00A96318">
      <w:pPr>
        <w:pStyle w:val="Compact"/>
        <w:numPr>
          <w:ilvl w:val="0"/>
          <w:numId w:val="55"/>
        </w:numPr>
        <w:jc w:val="both"/>
        <w:rPr>
          <w:sz w:val="21"/>
          <w:szCs w:val="21"/>
        </w:rPr>
      </w:pPr>
      <m:oMath>
        <m:r>
          <w:rPr>
            <w:rFonts w:ascii="Cambria Math" w:hAnsi="Cambria Math"/>
            <w:sz w:val="21"/>
            <w:szCs w:val="21"/>
          </w:rPr>
          <m:t>DEV</m:t>
        </m:r>
      </m:oMath>
      <w:r w:rsidRPr="002844B1">
        <w:rPr>
          <w:sz w:val="21"/>
          <w:szCs w:val="21"/>
        </w:rPr>
        <w:t xml:space="preserve"> : le montant des dépôts en espèces ou en valeurs du cessionnaire i ;</w:t>
      </w:r>
    </w:p>
    <w:p w:rsidR="005B279D" w:rsidRPr="002844B1" w:rsidRDefault="00000000" w:rsidP="00A96318">
      <w:pPr>
        <w:pStyle w:val="Compact"/>
        <w:numPr>
          <w:ilvl w:val="0"/>
          <w:numId w:val="55"/>
        </w:numPr>
        <w:jc w:val="both"/>
        <w:rPr>
          <w:sz w:val="21"/>
          <w:szCs w:val="21"/>
        </w:rPr>
      </w:pPr>
      <m:oMath>
        <m:r>
          <w:rPr>
            <w:rFonts w:ascii="Cambria Math" w:hAnsi="Cambria Math"/>
            <w:sz w:val="21"/>
            <w:szCs w:val="21"/>
          </w:rPr>
          <m:t>CrC</m:t>
        </m:r>
      </m:oMath>
      <w:r w:rsidRPr="002844B1">
        <w:rPr>
          <w:sz w:val="21"/>
          <w:szCs w:val="21"/>
        </w:rPr>
        <w:t xml:space="preserve"> : les créances sur les </w:t>
      </w:r>
      <w:r w:rsidR="002844B1" w:rsidRPr="002844B1">
        <w:rPr>
          <w:sz w:val="21"/>
          <w:szCs w:val="21"/>
        </w:rPr>
        <w:t>cessionnaires</w:t>
      </w:r>
    </w:p>
    <w:p w:rsidR="005B279D" w:rsidRPr="002844B1" w:rsidRDefault="00000000" w:rsidP="00A96318">
      <w:pPr>
        <w:pStyle w:val="Compact"/>
        <w:numPr>
          <w:ilvl w:val="0"/>
          <w:numId w:val="55"/>
        </w:numPr>
        <w:jc w:val="both"/>
        <w:rPr>
          <w:sz w:val="21"/>
          <w:szCs w:val="21"/>
        </w:rPr>
      </w:pPr>
      <m:oMath>
        <m:r>
          <w:rPr>
            <w:rFonts w:ascii="Cambria Math" w:hAnsi="Cambria Math"/>
            <w:sz w:val="21"/>
            <w:szCs w:val="21"/>
          </w:rPr>
          <m:t>A</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2844B1">
        <w:rPr>
          <w:sz w:val="21"/>
          <w:szCs w:val="21"/>
        </w:rPr>
        <w:t xml:space="preserve"> : le montant d’atténuation du risque via les différents contrats de réassurance conclus avec le cessionnaire i. Il correspond à la différence entre les montants d’exigences de capital pour les risques de souscription vie et non-vie calculés compte non tenu de la réassurance et compte tenu de la réassurance.</w:t>
      </w:r>
    </w:p>
    <w:p w:rsidR="005B279D" w:rsidRPr="002844B1" w:rsidRDefault="00000000">
      <w:pPr>
        <w:pStyle w:val="Heading6"/>
      </w:pPr>
      <w:bookmarkStart w:id="106" w:name="pour-un-contrat-dacceptation"/>
      <w:r w:rsidRPr="002844B1">
        <w:t>Pour un contrat d’acceptation :</w:t>
      </w:r>
    </w:p>
    <w:p w:rsidR="005B279D" w:rsidRPr="002844B1" w:rsidRDefault="00000000">
      <w:pPr>
        <w:pStyle w:val="FirstParagraph"/>
      </w:pPr>
      <m:oMathPara>
        <m:oMathParaPr>
          <m:jc m:val="center"/>
        </m:oMathParaPr>
        <m:oMath>
          <m:r>
            <w:rPr>
              <w:rFonts w:ascii="Cambria Math" w:hAnsi="Cambria Math"/>
            </w:rPr>
            <m:t>LG</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=max</m:t>
          </m:r>
          <m:d>
            <m:dPr>
              <m:ctrlPr>
                <w:rPr>
                  <w:rFonts w:ascii="Cambria Math" w:hAnsi="Cambria Math"/>
                </w:rPr>
              </m:ctrlPr>
            </m:dPr>
            <m:e>
              <m:r>
                <w:rPr>
                  <w:rFonts w:ascii="Cambria Math" w:hAnsi="Cambria Math"/>
                </w:rPr>
                <m:t>DE</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+CrC</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-P</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 ; 0</m:t>
              </m:r>
            </m:e>
          </m:d>
          <m:r>
            <w:rPr>
              <w:rFonts w:ascii="Cambria Math" w:hAnsi="Cambria Math"/>
            </w:rPr>
            <m:t> ,  </m:t>
          </m:r>
          <m:d>
            <m:dPr>
              <m:ctrlPr>
                <w:rPr>
                  <w:rFonts w:ascii="Cambria Math" w:hAnsi="Cambria Math"/>
                </w:rPr>
              </m:ctrlPr>
            </m:dPr>
            <m:e>
              <m:r>
                <w:rPr>
                  <w:rFonts w:ascii="Cambria Math" w:hAnsi="Cambria Math"/>
                </w:rPr>
                <m:t>56</m:t>
              </m:r>
            </m:e>
          </m:d>
        </m:oMath>
      </m:oMathPara>
    </w:p>
    <w:p w:rsidR="005B279D" w:rsidRPr="002844B1" w:rsidRDefault="00000000" w:rsidP="00A96318">
      <w:pPr>
        <w:pStyle w:val="FirstParagraph"/>
        <w:jc w:val="both"/>
        <w:rPr>
          <w:sz w:val="21"/>
          <w:szCs w:val="21"/>
        </w:rPr>
      </w:pPr>
      <w:r w:rsidRPr="002844B1">
        <w:rPr>
          <w:sz w:val="21"/>
          <w:szCs w:val="21"/>
        </w:rPr>
        <w:t>où :</w:t>
      </w:r>
    </w:p>
    <w:p w:rsidR="005B279D" w:rsidRPr="002844B1" w:rsidRDefault="00000000" w:rsidP="00A96318">
      <w:pPr>
        <w:pStyle w:val="Compact"/>
        <w:numPr>
          <w:ilvl w:val="0"/>
          <w:numId w:val="56"/>
        </w:numPr>
        <w:jc w:val="both"/>
        <w:rPr>
          <w:sz w:val="21"/>
          <w:szCs w:val="21"/>
        </w:rPr>
      </w:pPr>
      <m:oMath>
        <m:r>
          <w:rPr>
            <w:rFonts w:ascii="Cambria Math" w:hAnsi="Cambria Math"/>
            <w:sz w:val="21"/>
            <w:szCs w:val="21"/>
          </w:rPr>
          <m:t>LG</m:t>
        </m:r>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i</m:t>
            </m:r>
          </m:sub>
        </m:sSub>
      </m:oMath>
      <w:r w:rsidRPr="002844B1">
        <w:rPr>
          <w:sz w:val="21"/>
          <w:szCs w:val="21"/>
        </w:rPr>
        <w:t>: la perte en cas de défaut de la cédante i ;</w:t>
      </w:r>
    </w:p>
    <w:p w:rsidR="005B279D" w:rsidRPr="002844B1" w:rsidRDefault="00A96318" w:rsidP="00A96318">
      <w:pPr>
        <w:pStyle w:val="Compact"/>
        <w:numPr>
          <w:ilvl w:val="0"/>
          <w:numId w:val="56"/>
        </w:numPr>
        <w:jc w:val="both"/>
        <w:rPr>
          <w:sz w:val="21"/>
          <w:szCs w:val="21"/>
        </w:rPr>
      </w:pPr>
      <m:oMath>
        <m:r>
          <w:rPr>
            <w:rFonts w:ascii="Cambria Math" w:hAnsi="Cambria Math"/>
            <w:sz w:val="21"/>
            <w:szCs w:val="21"/>
          </w:rPr>
          <m:t>DE</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m:t>
            </m:r>
          </m:sub>
        </m:sSub>
      </m:oMath>
      <w:r w:rsidRPr="002844B1">
        <w:rPr>
          <w:sz w:val="21"/>
          <w:szCs w:val="21"/>
        </w:rPr>
        <w:t xml:space="preserve"> : </w:t>
      </w:r>
      <w:r w:rsidR="00000000" w:rsidRPr="002844B1">
        <w:rPr>
          <w:sz w:val="21"/>
          <w:szCs w:val="21"/>
        </w:rPr>
        <w:t>le montant des dépôts en espèces déposés chez la cédante i ;</w:t>
      </w:r>
    </w:p>
    <w:p w:rsidR="005B279D" w:rsidRPr="002844B1" w:rsidRDefault="00A96318" w:rsidP="00A96318">
      <w:pPr>
        <w:pStyle w:val="Compact"/>
        <w:numPr>
          <w:ilvl w:val="0"/>
          <w:numId w:val="56"/>
        </w:numPr>
        <w:jc w:val="both"/>
        <w:rPr>
          <w:sz w:val="21"/>
          <w:szCs w:val="21"/>
        </w:rPr>
      </w:pPr>
      <m:oMath>
        <m:r>
          <w:rPr>
            <w:rFonts w:ascii="Cambria Math" w:hAnsi="Cambria Math"/>
            <w:sz w:val="21"/>
            <w:szCs w:val="21"/>
          </w:rPr>
          <m:t>CrC</m:t>
        </m:r>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i</m:t>
            </m:r>
          </m:sub>
        </m:sSub>
      </m:oMath>
      <w:r w:rsidRPr="002844B1">
        <w:rPr>
          <w:sz w:val="21"/>
          <w:szCs w:val="21"/>
        </w:rPr>
        <w:t xml:space="preserve"> </w:t>
      </w:r>
      <w:r w:rsidR="00000000" w:rsidRPr="002844B1">
        <w:rPr>
          <w:sz w:val="21"/>
          <w:szCs w:val="21"/>
        </w:rPr>
        <w:t>: la Créance sur la cédante ;</w:t>
      </w:r>
    </w:p>
    <w:p w:rsidR="005B279D" w:rsidRPr="002844B1" w:rsidRDefault="00000000" w:rsidP="00A96318">
      <w:pPr>
        <w:pStyle w:val="Compact"/>
        <w:numPr>
          <w:ilvl w:val="0"/>
          <w:numId w:val="56"/>
        </w:numPr>
        <w:jc w:val="both"/>
        <w:rPr>
          <w:sz w:val="21"/>
          <w:szCs w:val="21"/>
        </w:rPr>
      </w:pPr>
      <m:oMath>
        <m:r>
          <w:rPr>
            <w:rFonts w:ascii="Cambria Math" w:hAnsi="Cambria Math"/>
            <w:sz w:val="21"/>
            <w:szCs w:val="21"/>
          </w:rPr>
          <m:t>P</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i</m:t>
            </m:r>
          </m:sub>
        </m:sSub>
      </m:oMath>
      <w:r w:rsidRPr="002844B1">
        <w:rPr>
          <w:sz w:val="21"/>
          <w:szCs w:val="21"/>
        </w:rPr>
        <w:t xml:space="preserve"> : le montant des provisions techniques acceptées avec la cédante i ;</w:t>
      </w:r>
    </w:p>
    <w:p w:rsidR="005B279D" w:rsidRPr="002844B1" w:rsidRDefault="00000000">
      <w:pPr>
        <w:pStyle w:val="FirstParagraph"/>
      </w:pPr>
      <w:r w:rsidRPr="002844B1">
        <w:rPr>
          <w:b/>
          <w:bCs/>
        </w:rPr>
        <w:t>Pour un avoir auprès d’un organisme dépositaire</w:t>
      </w:r>
      <w:r w:rsidRPr="002844B1">
        <w:t xml:space="preserve"> :</w:t>
      </w:r>
    </w:p>
    <w:p w:rsidR="005B279D" w:rsidRPr="002844B1" w:rsidRDefault="00000000">
      <w:pPr>
        <w:pStyle w:val="BodyText"/>
      </w:pPr>
      <m:oMathPara>
        <m:oMathParaPr>
          <m:jc m:val="center"/>
        </m:oMathParaPr>
        <m:oMath>
          <m:r>
            <w:rPr>
              <w:rFonts w:ascii="Cambria Math" w:hAnsi="Cambria Math"/>
            </w:rPr>
            <m:t>LG</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=max</m:t>
          </m:r>
          <m:d>
            <m:dPr>
              <m:ctrlPr>
                <w:rPr>
                  <w:rFonts w:ascii="Cambria Math" w:hAnsi="Cambria Math"/>
                </w:rPr>
              </m:ctrlPr>
            </m:dPr>
            <m:e>
              <m:r>
                <w:rPr>
                  <w:rFonts w:ascii="Cambria Math" w:hAnsi="Cambria Math"/>
                </w:rPr>
                <m: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;0</m:t>
              </m:r>
            </m:e>
          </m:d>
          <m:r>
            <w:rPr>
              <w:rFonts w:ascii="Cambria Math" w:hAnsi="Cambria Math"/>
            </w:rPr>
            <m:t>  </m:t>
          </m:r>
          <m:d>
            <m:dPr>
              <m:ctrlPr>
                <w:rPr>
                  <w:rFonts w:ascii="Cambria Math" w:hAnsi="Cambria Math"/>
                </w:rPr>
              </m:ctrlPr>
            </m:dPr>
            <m:e>
              <m:r>
                <w:rPr>
                  <w:rFonts w:ascii="Cambria Math" w:hAnsi="Cambria Math"/>
                </w:rPr>
                <m:t>57</m:t>
              </m:r>
            </m:e>
          </m:d>
        </m:oMath>
      </m:oMathPara>
    </w:p>
    <w:p w:rsidR="005B279D" w:rsidRPr="002844B1" w:rsidRDefault="00000000">
      <w:pPr>
        <w:pStyle w:val="FirstParagraph"/>
      </w:pPr>
      <w:r w:rsidRPr="002844B1">
        <w:t>où :</w:t>
      </w:r>
    </w:p>
    <w:p w:rsidR="005B279D" w:rsidRPr="002844B1" w:rsidRDefault="00000000">
      <w:pPr>
        <w:pStyle w:val="BodyText"/>
      </w:pPr>
      <w:r w:rsidRPr="002844B1">
        <w:t>-</w:t>
      </w:r>
      <m:oMath>
        <m:r>
          <w:rPr>
            <w:rFonts w:ascii="Cambria Math" w:hAnsi="Cambria Math"/>
          </w:rPr>
          <m:t>LG</m:t>
        </m:r>
        <m:sSub>
          <m:sSubPr>
            <m:ctrlPr>
              <w:rPr>
                <w:rFonts w:ascii="Cambria Math" w:hAnsi="Cambria Math"/>
              </w:rPr>
            </m:ctrlPr>
          </m:sSubPr>
          <m:e>
            <m:r>
              <w:rPr>
                <w:rFonts w:ascii="Cambria Math" w:hAnsi="Cambria Math"/>
              </w:rPr>
              <m:t>D</m:t>
            </m:r>
          </m:e>
          <m:sub>
            <m:r>
              <w:rPr>
                <w:rFonts w:ascii="Cambria Math" w:hAnsi="Cambria Math"/>
              </w:rPr>
              <m:t>i</m:t>
            </m:r>
          </m:sub>
        </m:sSub>
      </m:oMath>
      <w:r w:rsidRPr="002844B1">
        <w:t xml:space="preserve"> : la perte en cas de défaut de la banque i ; -</w:t>
      </w:r>
      <m:oMath>
        <m:r>
          <w:rPr>
            <w:rFonts w:ascii="Cambria Math" w:hAnsi="Cambria Math"/>
          </w:rPr>
          <m:t>AB</m:t>
        </m:r>
      </m:oMath>
      <w:r w:rsidRPr="002844B1">
        <w:t xml:space="preserve"> : L’Avoir en banque.</w:t>
      </w:r>
    </w:p>
    <w:p w:rsidR="005B279D" w:rsidRPr="002844B1" w:rsidRDefault="00000000">
      <w:pPr>
        <w:pStyle w:val="BodyText"/>
      </w:pPr>
      <w:r w:rsidRPr="002844B1">
        <w:rPr>
          <w:b/>
          <w:bCs/>
          <w:u w:val="single"/>
        </w:rPr>
        <w:t>2ème étape</w:t>
      </w:r>
      <w:r w:rsidRPr="002844B1">
        <w:rPr>
          <w:b/>
          <w:bCs/>
        </w:rPr>
        <w:t>:</w:t>
      </w:r>
      <w:r w:rsidR="00A96318" w:rsidRPr="002844B1">
        <w:rPr>
          <w:b/>
          <w:bCs/>
        </w:rPr>
        <w:t xml:space="preserve"> </w:t>
      </w:r>
      <w:r w:rsidRPr="002844B1">
        <w:t xml:space="preserve"> Sommation des LGD par échelle de notation :</w:t>
      </w:r>
    </w:p>
    <w:p w:rsidR="005B279D" w:rsidRPr="002844B1" w:rsidRDefault="00000000">
      <w:pPr>
        <w:pStyle w:val="BodyText"/>
      </w:pPr>
      <w:r w:rsidRPr="002844B1">
        <w:rPr>
          <w:b/>
          <w:bCs/>
        </w:rPr>
        <w:t>Pour chaque échelle de notation</w:t>
      </w:r>
      <w:r w:rsidRPr="002844B1">
        <w:t xml:space="preserve"> </w:t>
      </w:r>
      <m:oMath>
        <m:r>
          <w:rPr>
            <w:rFonts w:ascii="Cambria Math" w:hAnsi="Cambria Math"/>
          </w:rPr>
          <m:t>k</m:t>
        </m:r>
      </m:oMath>
      <w:r w:rsidRPr="002844B1">
        <w:t xml:space="preserve"> :</w:t>
      </w:r>
    </w:p>
    <w:p w:rsidR="005B279D" w:rsidRPr="002844B1" w:rsidRDefault="00000000">
      <w:pPr>
        <w:pStyle w:val="BodyText"/>
      </w:pPr>
      <m:oMathPara>
        <m:oMathParaPr>
          <m:jc m:val="center"/>
        </m:oMathParaPr>
        <m:oMath>
          <m:r>
            <w:rPr>
              <w:rFonts w:ascii="Cambria Math" w:hAnsi="Cambria Math"/>
            </w:rPr>
            <m:t>TLG</m:t>
          </m:r>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r>
                <w:rPr>
                  <w:rFonts w:ascii="Cambria Math" w:hAnsi="Cambria Math"/>
                </w:rPr>
                <m:t>L</m:t>
              </m:r>
            </m:e>
          </m:nary>
          <m:r>
            <w:rPr>
              <w:rFonts w:ascii="Cambria Math" w:hAnsi="Cambria Math"/>
            </w:rPr>
            <m:t>G</m:t>
          </m:r>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 ,  </m:t>
          </m:r>
          <m:d>
            <m:dPr>
              <m:ctrlPr>
                <w:rPr>
                  <w:rFonts w:ascii="Cambria Math" w:hAnsi="Cambria Math"/>
                </w:rPr>
              </m:ctrlPr>
            </m:dPr>
            <m:e>
              <m:r>
                <w:rPr>
                  <w:rFonts w:ascii="Cambria Math" w:hAnsi="Cambria Math"/>
                </w:rPr>
                <m:t>58</m:t>
              </m:r>
            </m:e>
          </m:d>
        </m:oMath>
      </m:oMathPara>
    </w:p>
    <w:p w:rsidR="005B279D" w:rsidRPr="002844B1" w:rsidRDefault="00000000">
      <w:pPr>
        <w:pStyle w:val="FirstParagraph"/>
      </w:pPr>
      <w:r w:rsidRPr="002844B1">
        <w:t>avec :</w:t>
      </w:r>
    </w:p>
    <w:p w:rsidR="005B279D" w:rsidRPr="002844B1" w:rsidRDefault="00000000">
      <w:pPr>
        <w:pStyle w:val="BodyText"/>
      </w:pPr>
      <m:oMathPara>
        <m:oMath>
          <m:r>
            <w:rPr>
              <w:rFonts w:ascii="Cambria Math" w:hAnsi="Cambria Math"/>
            </w:rPr>
            <m:t>i={</m:t>
          </m:r>
          <m:r>
            <m:rPr>
              <m:nor/>
            </m:rPr>
            <m:t>Contrepartie faisant partie de la même échels de notation k</m:t>
          </m:r>
          <m:r>
            <w:rPr>
              <w:rFonts w:ascii="Cambria Math" w:hAnsi="Cambria Math"/>
            </w:rPr>
            <m:t>}</m:t>
          </m:r>
        </m:oMath>
      </m:oMathPara>
    </w:p>
    <w:p w:rsidR="005B279D" w:rsidRPr="002844B1" w:rsidRDefault="00000000">
      <w:pPr>
        <w:pStyle w:val="BodyText"/>
      </w:pPr>
      <w:r w:rsidRPr="002844B1">
        <w:rPr>
          <w:b/>
          <w:bCs/>
          <w:u w:val="single"/>
        </w:rPr>
        <w:t>3ème étape:</w:t>
      </w:r>
      <w:r w:rsidRPr="002844B1">
        <w:t xml:space="preserve"> Calcul des volumes suivants :</w:t>
      </w:r>
    </w:p>
    <w:p w:rsidR="005B279D" w:rsidRPr="002844B1" w:rsidRDefault="00000000">
      <w:pPr>
        <w:pStyle w:val="BodyText"/>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inter</m:t>
              </m:r>
            </m:sub>
          </m:sSub>
          <m:r>
            <w:rPr>
              <w:rFonts w:ascii="Cambria Math" w:hAnsi="Cambria Math"/>
            </w:rPr>
            <m:t>=</m:t>
          </m:r>
          <m:nary>
            <m:naryPr>
              <m:chr m:val="∑"/>
              <m:limLoc m:val="undOvr"/>
              <m:supHide m:val="1"/>
              <m:ctrlPr>
                <w:rPr>
                  <w:rFonts w:ascii="Cambria Math" w:hAnsi="Cambria Math"/>
                </w:rPr>
              </m:ctrlPr>
            </m:naryPr>
            <m:sub>
              <m:r>
                <w:rPr>
                  <w:rFonts w:ascii="Cambria Math" w:hAnsi="Cambria Math"/>
                </w:rPr>
                <m:t>j,k</m:t>
              </m:r>
            </m:sub>
            <m:sup>
              <m:r>
                <w:rPr>
                  <w:rFonts w:ascii="Cambria Math" w:hAnsi="Cambria Math"/>
                </w:rPr>
                <m:t>​</m:t>
              </m:r>
            </m:sup>
            <m:e>
              <m:f>
                <m:fPr>
                  <m:ctrlPr>
                    <w:rPr>
                      <w:rFonts w:ascii="Cambria Math" w:hAnsi="Cambria Math"/>
                    </w:rPr>
                  </m:ctrlPr>
                </m:fPr>
                <m:num>
                  <m:r>
                    <w:rPr>
                      <w:rFonts w:ascii="Cambria Math" w:hAnsi="Cambria Math"/>
                    </w:rPr>
                    <m:t>P</m:t>
                  </m:r>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t>
                  </m:r>
                  <m:d>
                    <m:dPr>
                      <m:ctrlPr>
                        <w:rPr>
                          <w:rFonts w:ascii="Cambria Math" w:hAnsi="Cambria Math"/>
                        </w:rPr>
                      </m:ctrlPr>
                    </m:dPr>
                    <m:e>
                      <m:r>
                        <w:rPr>
                          <w:rFonts w:ascii="Cambria Math" w:hAnsi="Cambria Math"/>
                        </w:rPr>
                        <m:t>1-P</m:t>
                      </m:r>
                      <m:sSub>
                        <m:sSubPr>
                          <m:ctrlPr>
                            <w:rPr>
                              <w:rFonts w:ascii="Cambria Math" w:hAnsi="Cambria Math"/>
                            </w:rPr>
                          </m:ctrlPr>
                        </m:sSubPr>
                        <m:e>
                          <m:r>
                            <w:rPr>
                              <w:rFonts w:ascii="Cambria Math" w:hAnsi="Cambria Math"/>
                            </w:rPr>
                            <m:t>D</m:t>
                          </m:r>
                        </m:e>
                        <m:sub>
                          <m:r>
                            <w:rPr>
                              <w:rFonts w:ascii="Cambria Math" w:hAnsi="Cambria Math"/>
                            </w:rPr>
                            <m:t>k</m:t>
                          </m:r>
                        </m:sub>
                      </m:sSub>
                    </m:e>
                  </m:d>
                  <m:r>
                    <w:rPr>
                      <w:rFonts w:ascii="Cambria Math" w:hAnsi="Cambria Math"/>
                    </w:rPr>
                    <m:t>×P</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m:t>
                  </m:r>
                  <m:d>
                    <m:dPr>
                      <m:ctrlPr>
                        <w:rPr>
                          <w:rFonts w:ascii="Cambria Math" w:hAnsi="Cambria Math"/>
                        </w:rPr>
                      </m:ctrlPr>
                    </m:dPr>
                    <m:e>
                      <m:r>
                        <w:rPr>
                          <w:rFonts w:ascii="Cambria Math" w:hAnsi="Cambria Math"/>
                        </w:rPr>
                        <m:t>1-P</m:t>
                      </m:r>
                      <m:sSub>
                        <m:sSubPr>
                          <m:ctrlPr>
                            <w:rPr>
                              <w:rFonts w:ascii="Cambria Math" w:hAnsi="Cambria Math"/>
                            </w:rPr>
                          </m:ctrlPr>
                        </m:sSubPr>
                        <m:e>
                          <m:r>
                            <w:rPr>
                              <w:rFonts w:ascii="Cambria Math" w:hAnsi="Cambria Math"/>
                            </w:rPr>
                            <m:t>D</m:t>
                          </m:r>
                        </m:e>
                        <m:sub>
                          <m:r>
                            <w:rPr>
                              <w:rFonts w:ascii="Cambria Math" w:hAnsi="Cambria Math"/>
                            </w:rPr>
                            <m:t>j</m:t>
                          </m:r>
                        </m:sub>
                      </m:sSub>
                    </m:e>
                  </m:d>
                </m:num>
                <m:den>
                  <m:r>
                    <w:rPr>
                      <w:rFonts w:ascii="Cambria Math" w:hAnsi="Cambria Math"/>
                    </w:rPr>
                    <m:t>X×</m:t>
                  </m:r>
                  <m:d>
                    <m:dPr>
                      <m:ctrlPr>
                        <w:rPr>
                          <w:rFonts w:ascii="Cambria Math" w:hAnsi="Cambria Math"/>
                        </w:rPr>
                      </m:ctrlPr>
                    </m:dPr>
                    <m:e>
                      <m:r>
                        <w:rPr>
                          <w:rFonts w:ascii="Cambria Math" w:hAnsi="Cambria Math"/>
                        </w:rPr>
                        <m:t>P</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+P</m:t>
                      </m:r>
                      <m:sSub>
                        <m:sSubPr>
                          <m:ctrlPr>
                            <w:rPr>
                              <w:rFonts w:ascii="Cambria Math" w:hAnsi="Cambria Math"/>
                            </w:rPr>
                          </m:ctrlPr>
                        </m:sSubPr>
                        <m:e>
                          <m:r>
                            <w:rPr>
                              <w:rFonts w:ascii="Cambria Math" w:hAnsi="Cambria Math"/>
                            </w:rPr>
                            <m:t>D</m:t>
                          </m:r>
                        </m:e>
                        <m:sub>
                          <m:r>
                            <w:rPr>
                              <w:rFonts w:ascii="Cambria Math" w:hAnsi="Cambria Math"/>
                            </w:rPr>
                            <m:t>k</m:t>
                          </m:r>
                        </m:sub>
                      </m:sSub>
                    </m:e>
                  </m:d>
                  <m:r>
                    <w:rPr>
                      <w:rFonts w:ascii="Cambria Math" w:hAnsi="Cambria Math"/>
                    </w:rPr>
                    <m:t>-P</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×P</m:t>
                  </m:r>
                  <m:sSub>
                    <m:sSubPr>
                      <m:ctrlPr>
                        <w:rPr>
                          <w:rFonts w:ascii="Cambria Math" w:hAnsi="Cambria Math"/>
                        </w:rPr>
                      </m:ctrlPr>
                    </m:sSubPr>
                    <m:e>
                      <m:r>
                        <w:rPr>
                          <w:rFonts w:ascii="Cambria Math" w:hAnsi="Cambria Math"/>
                        </w:rPr>
                        <m:t>D</m:t>
                      </m:r>
                    </m:e>
                    <m:sub>
                      <m:r>
                        <w:rPr>
                          <w:rFonts w:ascii="Cambria Math" w:hAnsi="Cambria Math"/>
                        </w:rPr>
                        <m:t>k</m:t>
                      </m:r>
                    </m:sub>
                  </m:sSub>
                </m:den>
              </m:f>
            </m:e>
          </m:nary>
          <m:r>
            <w:rPr>
              <w:rFonts w:ascii="Cambria Math" w:hAnsi="Cambria Math"/>
            </w:rPr>
            <m:t>×TLG</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×TLG</m:t>
          </m:r>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  </m:t>
          </m:r>
          <m:d>
            <m:dPr>
              <m:ctrlPr>
                <w:rPr>
                  <w:rFonts w:ascii="Cambria Math" w:hAnsi="Cambria Math"/>
                </w:rPr>
              </m:ctrlPr>
            </m:dPr>
            <m:e>
              <m:r>
                <w:rPr>
                  <w:rFonts w:ascii="Cambria Math" w:hAnsi="Cambria Math"/>
                </w:rPr>
                <m:t>59</m:t>
              </m:r>
            </m:e>
          </m:d>
        </m:oMath>
      </m:oMathPara>
    </w:p>
    <w:p w:rsidR="005B279D" w:rsidRPr="002844B1" w:rsidRDefault="00000000">
      <w:pPr>
        <w:pStyle w:val="FirstParagraph"/>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inter</m:t>
              </m:r>
            </m:sub>
          </m:sSub>
          <m:r>
            <w:rPr>
              <w:rFonts w:ascii="Cambria Math" w:hAnsi="Cambria Math"/>
            </w:rPr>
            <m:t>=</m:t>
          </m:r>
          <m:nary>
            <m:naryPr>
              <m:chr m:val="∑"/>
              <m:limLoc m:val="undOvr"/>
              <m:supHide m:val="1"/>
              <m:ctrlPr>
                <w:rPr>
                  <w:rFonts w:ascii="Cambria Math" w:hAnsi="Cambria Math"/>
                </w:rPr>
              </m:ctrlPr>
            </m:naryPr>
            <m:sub>
              <m:r>
                <w:rPr>
                  <w:rFonts w:ascii="Cambria Math" w:hAnsi="Cambria Math"/>
                </w:rPr>
                <m:t>j</m:t>
              </m:r>
            </m:sub>
            <m:sup>
              <m:r>
                <w:rPr>
                  <w:rFonts w:ascii="Cambria Math" w:hAnsi="Cambria Math"/>
                </w:rPr>
                <m:t>​</m:t>
              </m:r>
            </m:sup>
            <m:e>
              <m:f>
                <m:fPr>
                  <m:ctrlPr>
                    <w:rPr>
                      <w:rFonts w:ascii="Cambria Math" w:hAnsi="Cambria Math"/>
                    </w:rPr>
                  </m:ctrlPr>
                </m:fPr>
                <m:num>
                  <m:r>
                    <w:rPr>
                      <w:rFonts w:ascii="Cambria Math" w:hAnsi="Cambria Math"/>
                    </w:rPr>
                    <m:t>X×P</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m:t>
                  </m:r>
                  <m:d>
                    <m:dPr>
                      <m:ctrlPr>
                        <w:rPr>
                          <w:rFonts w:ascii="Cambria Math" w:hAnsi="Cambria Math"/>
                        </w:rPr>
                      </m:ctrlPr>
                    </m:dPr>
                    <m:e>
                      <m:r>
                        <w:rPr>
                          <w:rFonts w:ascii="Cambria Math" w:hAnsi="Cambria Math"/>
                        </w:rPr>
                        <m:t>1-P</m:t>
                      </m:r>
                      <m:sSub>
                        <m:sSubPr>
                          <m:ctrlPr>
                            <w:rPr>
                              <w:rFonts w:ascii="Cambria Math" w:hAnsi="Cambria Math"/>
                            </w:rPr>
                          </m:ctrlPr>
                        </m:sSubPr>
                        <m:e>
                          <m:r>
                            <w:rPr>
                              <w:rFonts w:ascii="Cambria Math" w:hAnsi="Cambria Math"/>
                            </w:rPr>
                            <m:t>D</m:t>
                          </m:r>
                        </m:e>
                        <m:sub>
                          <m:r>
                            <w:rPr>
                              <w:rFonts w:ascii="Cambria Math" w:hAnsi="Cambria Math"/>
                            </w:rPr>
                            <m:t>j</m:t>
                          </m:r>
                        </m:sub>
                      </m:sSub>
                    </m:e>
                  </m:d>
                </m:num>
                <m:den>
                  <m:r>
                    <w:rPr>
                      <w:rFonts w:ascii="Cambria Math" w:hAnsi="Cambria Math"/>
                    </w:rPr>
                    <m:t>X-P</m:t>
                  </m:r>
                  <m:sSub>
                    <m:sSubPr>
                      <m:ctrlPr>
                        <w:rPr>
                          <w:rFonts w:ascii="Cambria Math" w:hAnsi="Cambria Math"/>
                        </w:rPr>
                      </m:ctrlPr>
                    </m:sSubPr>
                    <m:e>
                      <m:r>
                        <w:rPr>
                          <w:rFonts w:ascii="Cambria Math" w:hAnsi="Cambria Math"/>
                        </w:rPr>
                        <m:t>D</m:t>
                      </m:r>
                    </m:e>
                    <m:sub>
                      <m:r>
                        <w:rPr>
                          <w:rFonts w:ascii="Cambria Math" w:hAnsi="Cambria Math"/>
                        </w:rPr>
                        <m:t>j</m:t>
                      </m:r>
                    </m:sub>
                  </m:sSub>
                </m:den>
              </m:f>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P</m:t>
              </m:r>
              <m:sSub>
                <m:sSubPr>
                  <m:ctrlPr>
                    <w:rPr>
                      <w:rFonts w:ascii="Cambria Math" w:hAnsi="Cambria Math"/>
                    </w:rPr>
                  </m:ctrlPr>
                </m:sSubPr>
                <m:e>
                  <m:r>
                    <w:rPr>
                      <w:rFonts w:ascii="Cambria Math" w:hAnsi="Cambria Math"/>
                    </w:rPr>
                    <m:t>D</m:t>
                  </m:r>
                </m:e>
                <m:sub>
                  <m:r>
                    <w:rPr>
                      <w:rFonts w:ascii="Cambria Math" w:hAnsi="Cambria Math"/>
                    </w:rPr>
                    <m:t>j</m:t>
                  </m:r>
                </m:sub>
              </m:sSub>
            </m:sub>
            <m:sup>
              <m:r>
                <w:rPr>
                  <w:rFonts w:ascii="Cambria Math" w:hAnsi="Cambria Math"/>
                </w:rPr>
                <m:t>​</m:t>
              </m:r>
            </m:sup>
            <m:e>
              <m:r>
                <w:rPr>
                  <w:rFonts w:ascii="Cambria Math" w:hAnsi="Cambria Math"/>
                </w:rPr>
                <m:t>L</m:t>
              </m:r>
            </m:e>
          </m:nary>
          <m:r>
            <w:rPr>
              <w:rFonts w:ascii="Cambria Math" w:hAnsi="Cambria Math"/>
            </w:rPr>
            <m:t>G</m:t>
          </m:r>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2</m:t>
              </m:r>
            </m:sup>
          </m:sSubSup>
        </m:oMath>
      </m:oMathPara>
    </w:p>
    <w:p w:rsidR="005B279D" w:rsidRPr="002844B1" w:rsidRDefault="00A96318" w:rsidP="00A96318">
      <w:pPr>
        <w:pStyle w:val="FirstParagraph"/>
        <w:jc w:val="both"/>
        <w:rPr>
          <w:sz w:val="21"/>
          <w:szCs w:val="21"/>
        </w:rPr>
      </w:pPr>
      <w:r w:rsidRPr="002844B1">
        <w:rPr>
          <w:sz w:val="21"/>
          <w:szCs w:val="21"/>
        </w:rPr>
        <w:t>o</w:t>
      </w:r>
      <w:r w:rsidR="00000000" w:rsidRPr="002844B1">
        <w:rPr>
          <w:sz w:val="21"/>
          <w:szCs w:val="21"/>
        </w:rPr>
        <w:t>ù :</w:t>
      </w:r>
    </w:p>
    <w:p w:rsidR="005B279D" w:rsidRPr="002844B1" w:rsidRDefault="00000000" w:rsidP="00A96318">
      <w:pPr>
        <w:pStyle w:val="Compact"/>
        <w:numPr>
          <w:ilvl w:val="0"/>
          <w:numId w:val="57"/>
        </w:numPr>
        <w:jc w:val="both"/>
        <w:rPr>
          <w:sz w:val="21"/>
          <w:szCs w:val="21"/>
        </w:rPr>
      </w:pPr>
      <m:oMath>
        <m:r>
          <w:rPr>
            <w:rFonts w:ascii="Cambria Math" w:hAnsi="Cambria Math"/>
            <w:sz w:val="21"/>
            <w:szCs w:val="21"/>
          </w:rPr>
          <m:t>P</m:t>
        </m:r>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j</m:t>
            </m:r>
          </m:sub>
        </m:sSub>
      </m:oMath>
      <w:r w:rsidRPr="002844B1">
        <w:rPr>
          <w:sz w:val="21"/>
          <w:szCs w:val="21"/>
        </w:rPr>
        <w:t xml:space="preserve"> et</w:t>
      </w:r>
      <m:oMath>
        <m:r>
          <w:rPr>
            <w:rFonts w:ascii="Cambria Math" w:hAnsi="Cambria Math"/>
            <w:sz w:val="21"/>
            <w:szCs w:val="21"/>
          </w:rPr>
          <m:t>P</m:t>
        </m:r>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k</m:t>
            </m:r>
          </m:sub>
        </m:sSub>
      </m:oMath>
      <w:r w:rsidRPr="002844B1">
        <w:rPr>
          <w:sz w:val="21"/>
          <w:szCs w:val="21"/>
        </w:rPr>
        <w:t xml:space="preserve">: probabilités de défaut des contreparties j et k, établies conformément aux tableaux de l’ ANNEXE N°2 </w:t>
      </w:r>
      <w:r w:rsidR="00A96318" w:rsidRPr="002844B1">
        <w:rPr>
          <w:sz w:val="21"/>
          <w:szCs w:val="21"/>
        </w:rPr>
        <w:t>,</w:t>
      </w:r>
    </w:p>
    <w:p w:rsidR="005B279D" w:rsidRPr="002844B1" w:rsidRDefault="00000000" w:rsidP="00A96318">
      <w:pPr>
        <w:pStyle w:val="Compact"/>
        <w:numPr>
          <w:ilvl w:val="0"/>
          <w:numId w:val="57"/>
        </w:numPr>
        <w:jc w:val="both"/>
        <w:rPr>
          <w:sz w:val="21"/>
          <w:szCs w:val="21"/>
        </w:rPr>
      </w:pPr>
      <m:oMath>
        <m:r>
          <w:rPr>
            <w:rFonts w:ascii="Cambria Math" w:hAnsi="Cambria Math"/>
            <w:sz w:val="21"/>
            <w:szCs w:val="21"/>
          </w:rPr>
          <m:t>TLG</m:t>
        </m:r>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j</m:t>
            </m:r>
          </m:sub>
        </m:sSub>
      </m:oMath>
      <w:r w:rsidRPr="002844B1">
        <w:rPr>
          <w:sz w:val="21"/>
          <w:szCs w:val="21"/>
        </w:rPr>
        <w:t xml:space="preserve"> et </w:t>
      </w:r>
      <m:oMath>
        <m:r>
          <w:rPr>
            <w:rFonts w:ascii="Cambria Math" w:hAnsi="Cambria Math"/>
            <w:sz w:val="21"/>
            <w:szCs w:val="21"/>
          </w:rPr>
          <m:t>TLG</m:t>
        </m:r>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k</m:t>
            </m:r>
          </m:sub>
        </m:sSub>
      </m:oMath>
      <w:r w:rsidRPr="002844B1">
        <w:rPr>
          <w:sz w:val="21"/>
          <w:szCs w:val="21"/>
        </w:rPr>
        <w:t xml:space="preserve"> : somme des pertes en cas de défaut pour les contreparties dont la probabilité de défaut est, respectivement, de </w:t>
      </w:r>
      <m:oMath>
        <m:r>
          <w:rPr>
            <w:rFonts w:ascii="Cambria Math" w:hAnsi="Cambria Math"/>
            <w:sz w:val="21"/>
            <w:szCs w:val="21"/>
          </w:rPr>
          <m:t>P</m:t>
        </m:r>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j</m:t>
            </m:r>
          </m:sub>
        </m:sSub>
      </m:oMath>
      <w:r w:rsidRPr="002844B1">
        <w:rPr>
          <w:sz w:val="21"/>
          <w:szCs w:val="21"/>
        </w:rPr>
        <w:t xml:space="preserve"> et</w:t>
      </w:r>
      <m:oMath>
        <m:r>
          <w:rPr>
            <w:rFonts w:ascii="Cambria Math" w:hAnsi="Cambria Math"/>
            <w:sz w:val="21"/>
            <w:szCs w:val="21"/>
          </w:rPr>
          <m:t>P</m:t>
        </m:r>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k</m:t>
            </m:r>
          </m:sub>
        </m:sSub>
      </m:oMath>
      <w:r w:rsidR="00A96318" w:rsidRPr="002844B1">
        <w:rPr>
          <w:sz w:val="21"/>
          <w:szCs w:val="21"/>
        </w:rPr>
        <w:t>,</w:t>
      </w:r>
    </w:p>
    <w:p w:rsidR="005B279D" w:rsidRPr="002844B1" w:rsidRDefault="00000000" w:rsidP="00A96318">
      <w:pPr>
        <w:pStyle w:val="Compact"/>
        <w:numPr>
          <w:ilvl w:val="0"/>
          <w:numId w:val="57"/>
        </w:numPr>
        <w:jc w:val="both"/>
        <w:rPr>
          <w:sz w:val="21"/>
          <w:szCs w:val="21"/>
        </w:rPr>
      </w:pPr>
      <m:oMath>
        <m:nary>
          <m:naryPr>
            <m:chr m:val="∑"/>
            <m:limLoc m:val="undOvr"/>
            <m:supHide m:val="1"/>
            <m:ctrlPr>
              <w:rPr>
                <w:rFonts w:ascii="Cambria Math" w:hAnsi="Cambria Math"/>
                <w:sz w:val="21"/>
                <w:szCs w:val="21"/>
              </w:rPr>
            </m:ctrlPr>
          </m:naryPr>
          <m:sub>
            <m:r>
              <w:rPr>
                <w:rFonts w:ascii="Cambria Math" w:hAnsi="Cambria Math"/>
                <w:sz w:val="21"/>
                <w:szCs w:val="21"/>
              </w:rPr>
              <m:t>P</m:t>
            </m:r>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j</m:t>
                </m:r>
              </m:sub>
            </m:sSub>
          </m:sub>
          <m:sup>
            <m:r>
              <w:rPr>
                <w:rFonts w:ascii="Cambria Math" w:hAnsi="Cambria Math"/>
                <w:sz w:val="21"/>
                <w:szCs w:val="21"/>
              </w:rPr>
              <m:t>​</m:t>
            </m:r>
          </m:sup>
          <m:e>
            <m:r>
              <w:rPr>
                <w:rFonts w:ascii="Cambria Math" w:hAnsi="Cambria Math"/>
                <w:sz w:val="21"/>
                <w:szCs w:val="21"/>
              </w:rPr>
              <m:t>L</m:t>
            </m:r>
          </m:e>
        </m:nary>
        <m:r>
          <w:rPr>
            <w:rFonts w:ascii="Cambria Math" w:hAnsi="Cambria Math"/>
            <w:sz w:val="21"/>
            <w:szCs w:val="21"/>
          </w:rPr>
          <m:t>G</m:t>
        </m:r>
        <m:sSubSup>
          <m:sSubSupPr>
            <m:ctrlPr>
              <w:rPr>
                <w:rFonts w:ascii="Cambria Math" w:hAnsi="Cambria Math"/>
                <w:sz w:val="21"/>
                <w:szCs w:val="21"/>
              </w:rPr>
            </m:ctrlPr>
          </m:sSubSupPr>
          <m:e>
            <m:r>
              <w:rPr>
                <w:rFonts w:ascii="Cambria Math" w:hAnsi="Cambria Math"/>
                <w:sz w:val="21"/>
                <w:szCs w:val="21"/>
              </w:rPr>
              <m:t>D</m:t>
            </m:r>
          </m:e>
          <m:sub>
            <m:r>
              <w:rPr>
                <w:rFonts w:ascii="Cambria Math" w:hAnsi="Cambria Math"/>
                <w:sz w:val="21"/>
                <w:szCs w:val="21"/>
              </w:rPr>
              <m:t>i</m:t>
            </m:r>
          </m:sub>
          <m:sup>
            <m:r>
              <w:rPr>
                <w:rFonts w:ascii="Cambria Math" w:hAnsi="Cambria Math"/>
                <w:sz w:val="21"/>
                <w:szCs w:val="21"/>
              </w:rPr>
              <m:t>2</m:t>
            </m:r>
          </m:sup>
        </m:sSubSup>
      </m:oMath>
      <w:r w:rsidRPr="002844B1">
        <w:rPr>
          <w:sz w:val="21"/>
          <w:szCs w:val="21"/>
        </w:rPr>
        <w:t xml:space="preserve"> : somme couvrant toutes les expositions dont la probabilité de défaut est de </w:t>
      </w:r>
      <m:oMath>
        <m:r>
          <w:rPr>
            <w:rFonts w:ascii="Cambria Math" w:hAnsi="Cambria Math"/>
            <w:sz w:val="21"/>
            <w:szCs w:val="21"/>
          </w:rPr>
          <m:t>P</m:t>
        </m:r>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j</m:t>
            </m:r>
          </m:sub>
        </m:sSub>
      </m:oMath>
      <w:r w:rsidRPr="002844B1">
        <w:rPr>
          <w:sz w:val="21"/>
          <w:szCs w:val="21"/>
        </w:rPr>
        <w:t>.</w:t>
      </w:r>
    </w:p>
    <w:p w:rsidR="005B279D" w:rsidRPr="002844B1" w:rsidRDefault="00000000">
      <w:pPr>
        <w:pStyle w:val="FirstParagraph"/>
      </w:pPr>
      <w:r w:rsidRPr="002844B1">
        <w:rPr>
          <w:b/>
          <w:bCs/>
          <w:u w:val="single"/>
        </w:rPr>
        <w:t>4ème étape:</w:t>
      </w:r>
      <w:r w:rsidRPr="002844B1">
        <w:t xml:space="preserve"> Calcul du de la façon suivante :</w:t>
      </w:r>
    </w:p>
    <w:p w:rsidR="005B279D" w:rsidRPr="002844B1" w:rsidRDefault="00000000">
      <w:pPr>
        <w:pStyle w:val="BodyText"/>
      </w:pPr>
      <m:oMathPara>
        <m:oMathParaPr>
          <m:jc m:val="center"/>
        </m:oMathParaPr>
        <m:oMath>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Cr1</m:t>
              </m:r>
            </m:sub>
          </m:sSub>
          <m: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X*</m:t>
                    </m:r>
                    <m:rad>
                      <m:radPr>
                        <m:degHide m:val="1"/>
                        <m:ctrlPr>
                          <w:rPr>
                            <w:rFonts w:ascii="Cambria Math" w:hAnsi="Cambria Math"/>
                          </w:rPr>
                        </m:ctrlPr>
                      </m:radPr>
                      <m:deg/>
                      <m:e>
                        <m:sSub>
                          <m:sSubPr>
                            <m:ctrlPr>
                              <w:rPr>
                                <w:rFonts w:ascii="Cambria Math" w:hAnsi="Cambria Math"/>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intra</m:t>
                            </m:r>
                          </m:sub>
                        </m:sSub>
                      </m:e>
                    </m:rad>
                    <m:r>
                      <w:rPr>
                        <w:rFonts w:ascii="Cambria Math" w:hAnsi="Cambria Math"/>
                      </w:rPr>
                      <m:t>; </m:t>
                    </m:r>
                  </m:e>
                  <m:e>
                    <m:r>
                      <m:rPr>
                        <m:nor/>
                      </m:rPr>
                      <m:t>si</m:t>
                    </m:r>
                    <m:r>
                      <w:rPr>
                        <w:rFonts w:ascii="Cambria Math" w:hAnsi="Cambria Math"/>
                      </w:rPr>
                      <m:t> Q≤x1</m:t>
                    </m:r>
                  </m:e>
                </m:mr>
                <m:mr>
                  <m:e>
                    <m:r>
                      <w:rPr>
                        <w:rFonts w:ascii="Cambria Math" w:hAnsi="Cambria Math"/>
                      </w:rPr>
                      <m:t>X*</m:t>
                    </m:r>
                    <m:rad>
                      <m:radPr>
                        <m:degHide m:val="1"/>
                        <m:ctrlPr>
                          <w:rPr>
                            <w:rFonts w:ascii="Cambria Math" w:hAnsi="Cambria Math"/>
                          </w:rPr>
                        </m:ctrlPr>
                      </m:radPr>
                      <m:deg/>
                      <m:e>
                        <m:sSub>
                          <m:sSubPr>
                            <m:ctrlPr>
                              <w:rPr>
                                <w:rFonts w:ascii="Cambria Math" w:hAnsi="Cambria Math"/>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intra</m:t>
                            </m:r>
                          </m:sub>
                        </m:sSub>
                      </m:e>
                    </m:rad>
                    <m:r>
                      <w:rPr>
                        <w:rFonts w:ascii="Cambria Math" w:hAnsi="Cambria Math"/>
                      </w:rPr>
                      <m:t>; </m:t>
                    </m:r>
                  </m:e>
                  <m:e>
                    <m:r>
                      <m:rPr>
                        <m:nor/>
                      </m:rPr>
                      <m:t>si</m:t>
                    </m:r>
                    <m:r>
                      <w:rPr>
                        <w:rFonts w:ascii="Cambria Math" w:hAnsi="Cambria Math"/>
                      </w:rPr>
                      <m:t> x1≤Q≤x2</m:t>
                    </m:r>
                  </m:e>
                </m:mr>
                <m:mr>
                  <m:e>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r>
                          <w:rPr>
                            <w:rFonts w:ascii="Cambria Math" w:hAnsi="Cambria Math"/>
                          </w:rPr>
                          <m:t>L</m:t>
                        </m:r>
                      </m:e>
                    </m:nary>
                    <m:r>
                      <w:rPr>
                        <w:rFonts w:ascii="Cambria Math" w:hAnsi="Cambria Math"/>
                      </w:rPr>
                      <m:t>G</m:t>
                    </m:r>
                    <m:sSub>
                      <m:sSubPr>
                        <m:ctrlPr>
                          <w:rPr>
                            <w:rFonts w:ascii="Cambria Math" w:hAnsi="Cambria Math"/>
                          </w:rPr>
                        </m:ctrlPr>
                      </m:sSubPr>
                      <m:e>
                        <m:r>
                          <w:rPr>
                            <w:rFonts w:ascii="Cambria Math" w:hAnsi="Cambria Math"/>
                          </w:rPr>
                          <m:t>D</m:t>
                        </m:r>
                      </m:e>
                      <m:sub>
                        <m:r>
                          <w:rPr>
                            <w:rFonts w:ascii="Cambria Math" w:hAnsi="Cambria Math"/>
                          </w:rPr>
                          <m:t>i</m:t>
                        </m:r>
                      </m:sub>
                    </m:sSub>
                  </m:e>
                  <m:e>
                    <m:r>
                      <m:rPr>
                        <m:nor/>
                      </m:rPr>
                      <m:t>si</m:t>
                    </m:r>
                    <m:r>
                      <w:rPr>
                        <w:rFonts w:ascii="Cambria Math" w:hAnsi="Cambria Math"/>
                      </w:rPr>
                      <m:t> Q≥x2</m:t>
                    </m:r>
                  </m:e>
                </m:mr>
              </m:m>
            </m:e>
          </m:d>
          <m:r>
            <w:rPr>
              <w:rFonts w:ascii="Cambria Math" w:hAnsi="Cambria Math"/>
            </w:rPr>
            <m:t>  </m:t>
          </m:r>
          <m:d>
            <m:dPr>
              <m:ctrlPr>
                <w:rPr>
                  <w:rFonts w:ascii="Cambria Math" w:hAnsi="Cambria Math"/>
                </w:rPr>
              </m:ctrlPr>
            </m:dPr>
            <m:e>
              <m:r>
                <w:rPr>
                  <w:rFonts w:ascii="Cambria Math" w:hAnsi="Cambria Math"/>
                </w:rPr>
                <m:t>60</m:t>
              </m:r>
            </m:e>
          </m:d>
        </m:oMath>
      </m:oMathPara>
    </w:p>
    <w:p w:rsidR="005B279D" w:rsidRPr="002844B1" w:rsidRDefault="00000000">
      <w:pPr>
        <w:pStyle w:val="FirstParagraph"/>
      </w:pPr>
      <w:r w:rsidRPr="002844B1">
        <w:t>avec :</w:t>
      </w:r>
    </w:p>
    <w:p w:rsidR="005B279D" w:rsidRPr="002844B1" w:rsidRDefault="00000000">
      <w:pPr>
        <w:pStyle w:val="Compact"/>
        <w:numPr>
          <w:ilvl w:val="0"/>
          <w:numId w:val="58"/>
        </w:numPr>
      </w:pPr>
      <m:oMath>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Cr1</m:t>
            </m:r>
          </m:sub>
        </m:sSub>
      </m:oMath>
      <w:r w:rsidRPr="002844B1">
        <w:t xml:space="preserve"> : Exigence de capital relative au risque de contrepartie de type 1,</w:t>
      </w:r>
    </w:p>
    <w:p w:rsidR="005B279D" w:rsidRPr="002844B1" w:rsidRDefault="00000000">
      <w:pPr>
        <w:pStyle w:val="FirstParagraph"/>
      </w:pPr>
      <w:r w:rsidRPr="002844B1">
        <w:t>et,</w:t>
      </w:r>
    </w:p>
    <w:p w:rsidR="005B279D" w:rsidRPr="002844B1" w:rsidRDefault="00000000">
      <w:pPr>
        <w:pStyle w:val="BodyText"/>
      </w:pPr>
      <m:oMathPara>
        <m:oMathParaPr>
          <m:jc m:val="center"/>
        </m:oMathParaPr>
        <m:oMath>
          <m:r>
            <w:rPr>
              <w:rFonts w:ascii="Cambria Math" w:hAnsi="Cambria Math"/>
            </w:rPr>
            <m:t>Q=</m:t>
          </m:r>
          <m:f>
            <m:fPr>
              <m:ctrlPr>
                <w:rPr>
                  <w:rFonts w:ascii="Cambria Math" w:hAnsi="Cambria Math"/>
                </w:rPr>
              </m:ctrlPr>
            </m:fPr>
            <m:num>
              <m:rad>
                <m:radPr>
                  <m:degHide m:val="1"/>
                  <m:ctrlPr>
                    <w:rPr>
                      <w:rFonts w:ascii="Cambria Math" w:hAnsi="Cambria Math"/>
                    </w:rPr>
                  </m:ctrlPr>
                </m:radPr>
                <m:deg/>
                <m:e>
                  <m:sSub>
                    <m:sSubPr>
                      <m:ctrlPr>
                        <w:rPr>
                          <w:rFonts w:ascii="Cambria Math" w:hAnsi="Cambria Math"/>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intra</m:t>
                      </m:r>
                    </m:sub>
                  </m:sSub>
                </m:e>
              </m:rad>
            </m:num>
            <m:den>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r>
                    <w:rPr>
                      <w:rFonts w:ascii="Cambria Math" w:hAnsi="Cambria Math"/>
                    </w:rPr>
                    <m:t>L</m:t>
                  </m:r>
                </m:e>
              </m:nary>
              <m:r>
                <w:rPr>
                  <w:rFonts w:ascii="Cambria Math" w:hAnsi="Cambria Math"/>
                </w:rPr>
                <m:t>G</m:t>
              </m:r>
              <m:sSub>
                <m:sSubPr>
                  <m:ctrlPr>
                    <w:rPr>
                      <w:rFonts w:ascii="Cambria Math" w:hAnsi="Cambria Math"/>
                    </w:rPr>
                  </m:ctrlPr>
                </m:sSubPr>
                <m:e>
                  <m:r>
                    <w:rPr>
                      <w:rFonts w:ascii="Cambria Math" w:hAnsi="Cambria Math"/>
                    </w:rPr>
                    <m:t>D</m:t>
                  </m:r>
                </m:e>
                <m:sub>
                  <m:r>
                    <w:rPr>
                      <w:rFonts w:ascii="Cambria Math" w:hAnsi="Cambria Math"/>
                    </w:rPr>
                    <m:t>i</m:t>
                  </m:r>
                </m:sub>
              </m:sSub>
            </m:den>
          </m:f>
          <m:r>
            <w:rPr>
              <w:rFonts w:ascii="Cambria Math" w:hAnsi="Cambria Math"/>
            </w:rPr>
            <m:t> .</m:t>
          </m:r>
        </m:oMath>
      </m:oMathPara>
    </w:p>
    <w:p w:rsidR="005B279D" w:rsidRPr="002844B1" w:rsidRDefault="00000000">
      <w:pPr>
        <w:pStyle w:val="FirstParagraph"/>
        <w:rPr>
          <w:sz w:val="21"/>
          <w:szCs w:val="21"/>
        </w:rPr>
      </w:pPr>
      <w:r w:rsidRPr="002844B1">
        <w:rPr>
          <w:sz w:val="21"/>
          <w:szCs w:val="21"/>
        </w:rPr>
        <w:t>Les valeurs de x1, x2 et x3 ne sont pas encore publiées par l’ACAPS.</w:t>
      </w:r>
    </w:p>
    <w:p w:rsidR="005B279D" w:rsidRPr="002844B1" w:rsidRDefault="00000000">
      <w:pPr>
        <w:pStyle w:val="Heading4"/>
      </w:pPr>
      <w:bookmarkStart w:id="107" w:name="Xde70ab66fad04d143ab07d5ec8525e6812bbe93"/>
      <w:bookmarkEnd w:id="105"/>
      <w:bookmarkEnd w:id="106"/>
      <w:r w:rsidRPr="002844B1">
        <w:t>Exigence de capital relative au risque de contrepartie de type 2</w:t>
      </w:r>
    </w:p>
    <w:p w:rsidR="005B279D" w:rsidRPr="002844B1" w:rsidRDefault="00000000" w:rsidP="00A96318">
      <w:pPr>
        <w:pStyle w:val="FirstParagraph"/>
        <w:jc w:val="both"/>
        <w:rPr>
          <w:sz w:val="21"/>
          <w:szCs w:val="21"/>
        </w:rPr>
      </w:pPr>
      <w:r w:rsidRPr="002844B1">
        <w:rPr>
          <w:sz w:val="21"/>
          <w:szCs w:val="21"/>
        </w:rPr>
        <w:t>L’exigence de capital relative au risque de contrepartie de type 2 est le montant total des exigences de capitaux relatives aux risque de contrepartie des assurés, des intermédiaires et des autres contreparties :</w:t>
      </w:r>
    </w:p>
    <w:p w:rsidR="005B279D" w:rsidRPr="002844B1" w:rsidRDefault="00000000" w:rsidP="00A96318">
      <w:pPr>
        <w:pStyle w:val="BodyText"/>
        <w:jc w:val="both"/>
        <w:rPr>
          <w:sz w:val="21"/>
          <w:szCs w:val="21"/>
        </w:rPr>
      </w:pPr>
      <m:oMathPara>
        <m:oMathParaPr>
          <m:jc m:val="center"/>
        </m:oMathParaPr>
        <m:oMath>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Cr2</m:t>
              </m:r>
            </m:sub>
          </m:sSub>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CrAs</m:t>
              </m:r>
            </m:sub>
          </m:sSub>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CrI</m:t>
              </m:r>
            </m:sub>
          </m:sSub>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ACr</m:t>
              </m:r>
            </m:sub>
          </m:sSub>
          <m:r>
            <w:rPr>
              <w:rFonts w:ascii="Cambria Math" w:hAnsi="Cambria Math"/>
              <w:sz w:val="21"/>
              <w:szCs w:val="21"/>
            </w:rPr>
            <m:t> ,  </m:t>
          </m:r>
          <m:d>
            <m:dPr>
              <m:ctrlPr>
                <w:rPr>
                  <w:rFonts w:ascii="Cambria Math" w:hAnsi="Cambria Math"/>
                  <w:sz w:val="21"/>
                  <w:szCs w:val="21"/>
                </w:rPr>
              </m:ctrlPr>
            </m:dPr>
            <m:e>
              <m:r>
                <w:rPr>
                  <w:rFonts w:ascii="Cambria Math" w:hAnsi="Cambria Math"/>
                  <w:sz w:val="21"/>
                  <w:szCs w:val="21"/>
                </w:rPr>
                <m:t>61</m:t>
              </m:r>
            </m:e>
          </m:d>
        </m:oMath>
      </m:oMathPara>
    </w:p>
    <w:p w:rsidR="005B279D" w:rsidRPr="002844B1" w:rsidRDefault="00000000" w:rsidP="00A96318">
      <w:pPr>
        <w:pStyle w:val="FirstParagraph"/>
        <w:jc w:val="both"/>
        <w:rPr>
          <w:sz w:val="21"/>
          <w:szCs w:val="21"/>
        </w:rPr>
      </w:pPr>
      <w:r w:rsidRPr="002844B1">
        <w:rPr>
          <w:sz w:val="21"/>
          <w:szCs w:val="21"/>
        </w:rPr>
        <w:t>avec :</w:t>
      </w:r>
    </w:p>
    <w:p w:rsidR="005B279D" w:rsidRPr="002844B1" w:rsidRDefault="00A96318" w:rsidP="00A96318">
      <w:pPr>
        <w:numPr>
          <w:ilvl w:val="0"/>
          <w:numId w:val="59"/>
        </w:numPr>
        <w:jc w:val="both"/>
        <w:rPr>
          <w:sz w:val="21"/>
          <w:szCs w:val="21"/>
        </w:rPr>
      </w:pPr>
      <m:oMath>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CrAs</m:t>
            </m:r>
          </m:sub>
        </m:sSub>
      </m:oMath>
      <w:r w:rsidRPr="002844B1">
        <w:rPr>
          <w:sz w:val="21"/>
          <w:szCs w:val="21"/>
        </w:rPr>
        <w:t xml:space="preserve">   </w:t>
      </w:r>
      <w:r w:rsidR="00000000" w:rsidRPr="002844B1">
        <w:rPr>
          <w:sz w:val="21"/>
          <w:szCs w:val="21"/>
        </w:rPr>
        <w:t xml:space="preserve">: L’exigence de capital relative au risque de contrepartie des assurés correspond à </w:t>
      </w:r>
      <m:oMath>
        <m:r>
          <w:rPr>
            <w:rFonts w:ascii="Cambria Math" w:hAnsi="Cambria Math"/>
            <w:sz w:val="21"/>
            <w:szCs w:val="21"/>
          </w:rPr>
          <m:t>X%</m:t>
        </m:r>
      </m:oMath>
      <w:r w:rsidR="00000000" w:rsidRPr="002844B1">
        <w:rPr>
          <w:sz w:val="21"/>
          <w:szCs w:val="21"/>
        </w:rPr>
        <w:t xml:space="preserve"> des créances relatives aux primes ou cotisations qui demeurent impayées six (06) mois après la date de leur émission. Les créances précitées s’entendent nettes de provisions.</w:t>
      </w:r>
    </w:p>
    <w:p w:rsidR="005B279D" w:rsidRPr="002844B1" w:rsidRDefault="00A96318" w:rsidP="00A96318">
      <w:pPr>
        <w:numPr>
          <w:ilvl w:val="0"/>
          <w:numId w:val="59"/>
        </w:numPr>
        <w:jc w:val="both"/>
        <w:rPr>
          <w:sz w:val="21"/>
          <w:szCs w:val="21"/>
        </w:rPr>
      </w:pPr>
      <m:oMath>
        <m:r>
          <m:rPr>
            <m:sty m:val="p"/>
          </m:rPr>
          <w:rPr>
            <w:rFonts w:ascii="Cambria Math" w:hAnsi="Cambria Math"/>
            <w:sz w:val="21"/>
            <w:szCs w:val="21"/>
          </w:rPr>
          <m:t>CS</m:t>
        </m:r>
        <m:sSub>
          <m:sSubPr>
            <m:ctrlPr>
              <w:rPr>
                <w:rFonts w:ascii="Cambria Math" w:hAnsi="Cambria Math"/>
                <w:i w:val="0"/>
                <w:sz w:val="21"/>
                <w:szCs w:val="21"/>
              </w:rPr>
            </m:ctrlPr>
          </m:sSubPr>
          <m:e>
            <m:r>
              <m:rPr>
                <m:sty m:val="p"/>
              </m:rPr>
              <w:rPr>
                <w:rFonts w:ascii="Cambria Math" w:hAnsi="Cambria Math"/>
                <w:sz w:val="21"/>
                <w:szCs w:val="21"/>
              </w:rPr>
              <m:t>R</m:t>
            </m:r>
          </m:e>
          <m:sub>
            <m:r>
              <m:rPr>
                <m:sty m:val="p"/>
              </m:rPr>
              <w:rPr>
                <w:rFonts w:ascii="Cambria Math" w:hAnsi="Cambria Math"/>
                <w:sz w:val="21"/>
                <w:szCs w:val="21"/>
              </w:rPr>
              <m:t>CrI</m:t>
            </m:r>
          </m:sub>
        </m:sSub>
      </m:oMath>
      <w:r w:rsidR="00000000" w:rsidRPr="002844B1">
        <w:rPr>
          <w:sz w:val="21"/>
          <w:szCs w:val="21"/>
        </w:rPr>
        <w:t xml:space="preserve"> : L’exigence de capital relative au risque de contrepartie des intermédiaires correspond à </w:t>
      </w:r>
      <m:oMath>
        <m:r>
          <w:rPr>
            <w:rFonts w:ascii="Cambria Math" w:hAnsi="Cambria Math"/>
            <w:sz w:val="21"/>
            <w:szCs w:val="21"/>
          </w:rPr>
          <m:t>X%</m:t>
        </m:r>
      </m:oMath>
      <w:r w:rsidR="00000000" w:rsidRPr="002844B1">
        <w:rPr>
          <w:sz w:val="21"/>
          <w:szCs w:val="21"/>
        </w:rPr>
        <w:t xml:space="preserve"> des créances sur les intermédiaires d’assurances nettes de provisions.</w:t>
      </w:r>
    </w:p>
    <w:p w:rsidR="005B279D" w:rsidRPr="002844B1" w:rsidRDefault="00000000" w:rsidP="00A96318">
      <w:pPr>
        <w:numPr>
          <w:ilvl w:val="0"/>
          <w:numId w:val="59"/>
        </w:numPr>
        <w:jc w:val="both"/>
        <w:rPr>
          <w:sz w:val="21"/>
          <w:szCs w:val="21"/>
        </w:rPr>
      </w:pPr>
      <m:oMath>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ACr</m:t>
            </m:r>
          </m:sub>
        </m:sSub>
      </m:oMath>
      <w:r w:rsidRPr="002844B1">
        <w:rPr>
          <w:sz w:val="21"/>
          <w:szCs w:val="21"/>
        </w:rPr>
        <w:t xml:space="preserve"> : L’exigence de capital relative au risque lié aux autres contreparties correspond à </w:t>
      </w:r>
      <m:oMath>
        <m:r>
          <w:rPr>
            <w:rFonts w:ascii="Cambria Math" w:hAnsi="Cambria Math"/>
            <w:sz w:val="21"/>
            <w:szCs w:val="21"/>
          </w:rPr>
          <m:t>X%</m:t>
        </m:r>
      </m:oMath>
      <w:r w:rsidRPr="002844B1">
        <w:rPr>
          <w:sz w:val="21"/>
          <w:szCs w:val="21"/>
        </w:rPr>
        <w:t xml:space="preserve"> de la somme des créances de l’actif circulant, autres que les créances vis-à-vis de l’</w:t>
      </w:r>
      <w:r w:rsidR="002844B1" w:rsidRPr="002844B1">
        <w:rPr>
          <w:sz w:val="21"/>
          <w:szCs w:val="21"/>
        </w:rPr>
        <w:t>État</w:t>
      </w:r>
      <w:r w:rsidRPr="002844B1">
        <w:rPr>
          <w:sz w:val="21"/>
          <w:szCs w:val="21"/>
        </w:rPr>
        <w:t xml:space="preserve"> des contreparties </w:t>
      </w:r>
      <w:r w:rsidRPr="002844B1">
        <w:rPr>
          <w:sz w:val="21"/>
          <w:szCs w:val="21"/>
        </w:rPr>
        <w:lastRenderedPageBreak/>
        <w:t>visées aux 1) et 2) ci-dessus et les montants des chèques et valeurs à encaisser, nettes de provisions et qui demeurent impayées pendant une période supérieure à six (06) mois.</w:t>
      </w:r>
    </w:p>
    <w:p w:rsidR="005B279D" w:rsidRPr="002844B1" w:rsidRDefault="00000000" w:rsidP="00A96318">
      <w:pPr>
        <w:pStyle w:val="FirstParagraph"/>
        <w:jc w:val="both"/>
        <w:rPr>
          <w:sz w:val="21"/>
          <w:szCs w:val="21"/>
        </w:rPr>
      </w:pPr>
      <m:oMath>
        <m:r>
          <w:rPr>
            <w:rFonts w:ascii="Cambria Math" w:hAnsi="Cambria Math"/>
            <w:sz w:val="21"/>
            <w:szCs w:val="21"/>
          </w:rPr>
          <m:t>X%</m:t>
        </m:r>
      </m:oMath>
      <w:r w:rsidRPr="002844B1">
        <w:rPr>
          <w:sz w:val="21"/>
          <w:szCs w:val="21"/>
        </w:rPr>
        <w:t xml:space="preserve"> est un taux devant être communiqué par l’ACAPS.</w:t>
      </w:r>
    </w:p>
    <w:p w:rsidR="005B279D" w:rsidRPr="002844B1" w:rsidRDefault="00000000">
      <w:pPr>
        <w:pStyle w:val="Heading3"/>
      </w:pPr>
      <w:bookmarkStart w:id="108" w:name="X15a1da03d8684dc8ce6b1dc35f3172f6a170f16"/>
      <w:bookmarkStart w:id="109" w:name="_Toc137651031"/>
      <w:bookmarkEnd w:id="103"/>
      <w:bookmarkEnd w:id="107"/>
      <w:r w:rsidRPr="002844B1">
        <w:t>Exigence de capital relative au risque de concentration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Ct</m:t>
            </m:r>
          </m:sub>
        </m:sSub>
      </m:oMath>
      <w:r w:rsidRPr="002844B1">
        <w:t>)</w:t>
      </w:r>
      <w:bookmarkEnd w:id="109"/>
    </w:p>
    <w:p w:rsidR="005B279D" w:rsidRPr="002844B1" w:rsidRDefault="00000000" w:rsidP="00A96318">
      <w:pPr>
        <w:pStyle w:val="FirstParagraph"/>
        <w:jc w:val="both"/>
        <w:rPr>
          <w:sz w:val="21"/>
          <w:szCs w:val="21"/>
        </w:rPr>
      </w:pPr>
      <w:r w:rsidRPr="002844B1">
        <w:rPr>
          <w:sz w:val="21"/>
          <w:szCs w:val="21"/>
        </w:rPr>
        <w:t>L’exigence de capital relative au risque de concentration correspond à la perte des fonds propres due à la baisse des actifs associés aux ensembles d’émetteurs appartenant aux mêmes groupes.</w:t>
      </w:r>
    </w:p>
    <w:p w:rsidR="005B279D" w:rsidRPr="002844B1" w:rsidRDefault="00000000" w:rsidP="00A96318">
      <w:pPr>
        <w:pStyle w:val="BodyText"/>
        <w:jc w:val="both"/>
        <w:rPr>
          <w:sz w:val="21"/>
          <w:szCs w:val="21"/>
        </w:rPr>
      </w:pPr>
      <w:r w:rsidRPr="002844B1">
        <w:rPr>
          <w:sz w:val="21"/>
          <w:szCs w:val="21"/>
        </w:rPr>
        <w:t>Lorsque des émetteurs appartenant à des groupes spécifiques présentent des liens étroits et partagent des caractéristiques similaires, une baisse de la valeur de leurs actifs peut avoir un impact très important. Par conséquent, il est essentiel de prendre en compte cette concentration de risques lors de l’évaluation des réserves de capital requises.</w:t>
      </w:r>
    </w:p>
    <w:p w:rsidR="005B279D" w:rsidRPr="002844B1" w:rsidRDefault="00000000" w:rsidP="00A96318">
      <w:pPr>
        <w:pStyle w:val="BodyText"/>
        <w:jc w:val="both"/>
        <w:rPr>
          <w:sz w:val="21"/>
          <w:szCs w:val="21"/>
        </w:rPr>
      </w:pPr>
      <w:r w:rsidRPr="002844B1">
        <w:rPr>
          <w:sz w:val="21"/>
          <w:szCs w:val="21"/>
        </w:rPr>
        <w:t>Mathématiquement l’exigence de capital relative au risque de concentration correspond à la racine carrée de la somme des carrés des exigences de capitaux relatives au sous-risque de concentration relatifs aux différents groupes d’émetteurs.</w:t>
      </w:r>
    </w:p>
    <w:p w:rsidR="005B279D" w:rsidRPr="002844B1" w:rsidRDefault="00000000">
      <w:pPr>
        <w:pStyle w:val="BodyText"/>
      </w:pPr>
      <m:oMathPara>
        <m:oMathParaPr>
          <m:jc m:val="center"/>
        </m:oMathParaPr>
        <m:oMath>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Ct</m:t>
              </m:r>
            </m:sub>
          </m:sSub>
          <m:r>
            <w:rPr>
              <w:rFonts w:ascii="Cambria Math" w:hAnsi="Cambria Math"/>
            </w:rPr>
            <m:t>=</m:t>
          </m:r>
          <m:rad>
            <m:radPr>
              <m:degHide m:val="1"/>
              <m:ctrlPr>
                <w:rPr>
                  <w:rFonts w:ascii="Cambria Math" w:hAnsi="Cambria Math"/>
                </w:rPr>
              </m:ctrlPr>
            </m:radPr>
            <m:deg/>
            <m:e>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r>
                    <w:rPr>
                      <w:rFonts w:ascii="Cambria Math" w:hAnsi="Cambria Math"/>
                    </w:rPr>
                    <m:t>C</m:t>
                  </m:r>
                </m:e>
              </m:nary>
              <m:r>
                <w:rPr>
                  <w:rFonts w:ascii="Cambria Math" w:hAnsi="Cambria Math"/>
                </w:rPr>
                <m:t>S</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2</m:t>
                  </m:r>
                </m:sup>
              </m:sSubSup>
            </m:e>
          </m:rad>
          <m:r>
            <w:rPr>
              <w:rFonts w:ascii="Cambria Math" w:hAnsi="Cambria Math"/>
            </w:rPr>
            <m:t> ,  </m:t>
          </m:r>
          <m:d>
            <m:dPr>
              <m:ctrlPr>
                <w:rPr>
                  <w:rFonts w:ascii="Cambria Math" w:hAnsi="Cambria Math"/>
                </w:rPr>
              </m:ctrlPr>
            </m:dPr>
            <m:e>
              <m:r>
                <w:rPr>
                  <w:rFonts w:ascii="Cambria Math" w:hAnsi="Cambria Math"/>
                </w:rPr>
                <m:t>62</m:t>
              </m:r>
            </m:e>
          </m:d>
        </m:oMath>
      </m:oMathPara>
    </w:p>
    <w:p w:rsidR="005B279D" w:rsidRPr="002844B1" w:rsidRDefault="00000000" w:rsidP="00A96318">
      <w:pPr>
        <w:pStyle w:val="FirstParagraph"/>
        <w:jc w:val="both"/>
        <w:rPr>
          <w:sz w:val="21"/>
          <w:szCs w:val="21"/>
        </w:rPr>
      </w:pPr>
      <w:r w:rsidRPr="002844B1">
        <w:rPr>
          <w:sz w:val="21"/>
          <w:szCs w:val="21"/>
        </w:rPr>
        <w:t xml:space="preserve">avec </w:t>
      </w:r>
      <m:oMath>
        <m:r>
          <w:rPr>
            <w:rFonts w:ascii="Cambria Math" w:hAnsi="Cambria Math"/>
            <w:sz w:val="21"/>
            <w:szCs w:val="21"/>
          </w:rPr>
          <m:t>i={</m:t>
        </m:r>
        <m:r>
          <m:rPr>
            <m:nor/>
          </m:rPr>
          <w:rPr>
            <w:sz w:val="21"/>
            <w:szCs w:val="21"/>
          </w:rPr>
          <m:t>Les sous-risques de concentration relatifs aux differents groupes d’emetteurs.</m:t>
        </m:r>
        <m:r>
          <w:rPr>
            <w:rFonts w:ascii="Cambria Math" w:hAnsi="Cambria Math"/>
            <w:sz w:val="21"/>
            <w:szCs w:val="21"/>
          </w:rPr>
          <m:t>}</m:t>
        </m:r>
      </m:oMath>
    </w:p>
    <w:p w:rsidR="005B279D" w:rsidRPr="002844B1" w:rsidRDefault="00000000" w:rsidP="00A96318">
      <w:pPr>
        <w:pStyle w:val="BodyText"/>
        <w:jc w:val="both"/>
        <w:rPr>
          <w:sz w:val="21"/>
          <w:szCs w:val="21"/>
        </w:rPr>
      </w:pPr>
      <w:r w:rsidRPr="002844B1">
        <w:rPr>
          <w:sz w:val="21"/>
          <w:szCs w:val="21"/>
        </w:rPr>
        <w:t xml:space="preserve">Pour chaque groupe d’émetteurs, l’exigence de capital relative au risque de concentration égale à </w:t>
      </w:r>
      <m:oMath>
        <m:r>
          <w:rPr>
            <w:rFonts w:ascii="Cambria Math" w:hAnsi="Cambria Math"/>
            <w:sz w:val="21"/>
            <w:szCs w:val="21"/>
          </w:rPr>
          <m:t>X%</m:t>
        </m:r>
      </m:oMath>
      <w:r w:rsidRPr="002844B1">
        <w:rPr>
          <w:sz w:val="21"/>
          <w:szCs w:val="21"/>
        </w:rPr>
        <w:t xml:space="preserve"> de l’écart positif constaté entre le montant des placements de l’entreprise d’assurances et de réassurance, autres que les valeurs de l’Etat ou celles jouissant de sa garantie, relatifs à l’ensemble d’émetteurs appartenant au groupe précité et </w:t>
      </w:r>
      <m:oMath>
        <m:r>
          <w:rPr>
            <w:rFonts w:ascii="Cambria Math" w:hAnsi="Cambria Math"/>
            <w:sz w:val="21"/>
            <w:szCs w:val="21"/>
          </w:rPr>
          <m:t>X%</m:t>
        </m:r>
      </m:oMath>
      <w:r w:rsidRPr="002844B1">
        <w:rPr>
          <w:sz w:val="21"/>
          <w:szCs w:val="21"/>
        </w:rPr>
        <w:t xml:space="preserve"> du total de ses placements. Les pourcentages cités précédemment (</w:t>
      </w:r>
      <m:oMath>
        <m:r>
          <w:rPr>
            <w:rFonts w:ascii="Cambria Math" w:hAnsi="Cambria Math"/>
            <w:sz w:val="21"/>
            <w:szCs w:val="21"/>
          </w:rPr>
          <m:t>X%</m:t>
        </m:r>
      </m:oMath>
      <w:r w:rsidRPr="002844B1">
        <w:rPr>
          <w:sz w:val="21"/>
          <w:szCs w:val="21"/>
        </w:rPr>
        <w:t>) ne sont pas encore publiés par l’ACAPS.</w:t>
      </w:r>
    </w:p>
    <w:p w:rsidR="005B279D" w:rsidRPr="002844B1" w:rsidRDefault="00000000">
      <w:pPr>
        <w:pStyle w:val="Heading3"/>
      </w:pPr>
      <w:bookmarkStart w:id="110" w:name="X2470a9544a3a84f77916bd2af990c87d4d406ea"/>
      <w:bookmarkStart w:id="111" w:name="_Toc137651032"/>
      <w:bookmarkEnd w:id="108"/>
      <w:r w:rsidRPr="002844B1">
        <w:t>Exigence de capital relative au risque de souscription vie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SV</m:t>
            </m:r>
          </m:sub>
        </m:sSub>
      </m:oMath>
      <w:r w:rsidRPr="002844B1">
        <w:t>)</w:t>
      </w:r>
      <w:bookmarkEnd w:id="111"/>
    </w:p>
    <w:p w:rsidR="005B279D" w:rsidRPr="002844B1" w:rsidRDefault="00000000" w:rsidP="00A96318">
      <w:pPr>
        <w:pStyle w:val="FirstParagraph"/>
        <w:jc w:val="both"/>
        <w:rPr>
          <w:sz w:val="21"/>
          <w:szCs w:val="21"/>
        </w:rPr>
      </w:pPr>
      <w:r w:rsidRPr="002844B1">
        <w:rPr>
          <w:sz w:val="21"/>
          <w:szCs w:val="21"/>
        </w:rPr>
        <w:t xml:space="preserve">L’exigence de capital relative au risque de souscription vie est la somme des exigences de capitaux relatives aux sous-risques de mortalité, de longévité, de rachat, de frais et de catastrophe, </w:t>
      </w:r>
      <w:r w:rsidR="002844B1" w:rsidRPr="002844B1">
        <w:rPr>
          <w:sz w:val="21"/>
          <w:szCs w:val="21"/>
        </w:rPr>
        <w:t>en</w:t>
      </w:r>
      <w:r w:rsidRPr="002844B1">
        <w:rPr>
          <w:sz w:val="21"/>
          <w:szCs w:val="21"/>
        </w:rPr>
        <w:t xml:space="preserve"> appliquant les coefficients de corrélations entre ces sous-risques.</w:t>
      </w:r>
    </w:p>
    <w:p w:rsidR="005B279D" w:rsidRPr="002844B1" w:rsidRDefault="00000000" w:rsidP="00A96318">
      <w:pPr>
        <w:pStyle w:val="BodyText"/>
        <w:jc w:val="both"/>
        <w:rPr>
          <w:sz w:val="21"/>
          <w:szCs w:val="21"/>
        </w:rPr>
      </w:pPr>
      <w:r w:rsidRPr="002844B1">
        <w:rPr>
          <w:sz w:val="21"/>
          <w:szCs w:val="21"/>
        </w:rPr>
        <w:t>Le sous-risque de mortalité concerne les pertes potentielles découlant de décès prématurés d’un assuré, tandis que le sous-risque de longévité se rapporte aux pertes potentielles résultant d’une durée de vie plus longue que prévue. Le sous-risque de rachat concerne les pertes potentielles liées aux retraits anticipés des contrats d’assurance-vie, aussi le sous-risque de frais porte sur les pertes potentielles engendrées par les coûts administratifs associés aux contrats. Et le sous-risque de catastrophe concerne les pertes potentielles résultant d’évènements extrêmes tels que des catastrophes naturelles.</w:t>
      </w:r>
    </w:p>
    <w:p w:rsidR="005B279D" w:rsidRPr="002844B1" w:rsidRDefault="00000000" w:rsidP="00A96318">
      <w:pPr>
        <w:pStyle w:val="BodyText"/>
        <w:jc w:val="both"/>
        <w:rPr>
          <w:sz w:val="21"/>
          <w:szCs w:val="21"/>
        </w:rPr>
      </w:pPr>
      <w:r w:rsidRPr="002844B1">
        <w:rPr>
          <w:sz w:val="21"/>
          <w:szCs w:val="21"/>
        </w:rPr>
        <w:t>L’exigence de capital relative au risque de souscription vie permet de tenir compte des interdépendances entre ces différents sous-risques par l’applications des coefficients des corrélations entre eux, et de quantifier les réserves financières nécessaires aux compagnies d’assurance pour faire face aux pertes potentielles résultant des variations des facteurs liés à la mortalité, à la longévité, aux rachats, aux frais et aux catastrophes.</w:t>
      </w:r>
    </w:p>
    <w:p w:rsidR="005B279D" w:rsidRPr="002844B1" w:rsidRDefault="00000000">
      <w:pPr>
        <w:pStyle w:val="BodyText"/>
      </w:pPr>
      <m:oMathPara>
        <m:oMathParaPr>
          <m:jc m:val="center"/>
        </m:oMathParaPr>
        <m:oMath>
          <m:r>
            <w:rPr>
              <w:rFonts w:ascii="Cambria Math" w:hAnsi="Cambria Math"/>
            </w:rPr>
            <w:lastRenderedPageBreak/>
            <m:t>CS</m:t>
          </m:r>
          <m:sSub>
            <m:sSubPr>
              <m:ctrlPr>
                <w:rPr>
                  <w:rFonts w:ascii="Cambria Math" w:hAnsi="Cambria Math"/>
                </w:rPr>
              </m:ctrlPr>
            </m:sSubPr>
            <m:e>
              <m:r>
                <w:rPr>
                  <w:rFonts w:ascii="Cambria Math" w:hAnsi="Cambria Math"/>
                </w:rPr>
                <m:t>R</m:t>
              </m:r>
            </m:e>
            <m:sub>
              <m:r>
                <w:rPr>
                  <w:rFonts w:ascii="Cambria Math" w:hAnsi="Cambria Math"/>
                </w:rPr>
                <m:t>SV</m:t>
              </m:r>
            </m:sub>
          </m:sSub>
          <m:r>
            <w:rPr>
              <w:rFonts w:ascii="Cambria Math" w:hAnsi="Cambria Math"/>
            </w:rPr>
            <m:t>=</m:t>
          </m:r>
          <m:rad>
            <m:radPr>
              <m:degHide m:val="1"/>
              <m:ctrlPr>
                <w:rPr>
                  <w:rFonts w:ascii="Cambria Math" w:hAnsi="Cambria Math"/>
                </w:rPr>
              </m:ctrlPr>
            </m:radPr>
            <m:deg/>
            <m:e>
              <m:nary>
                <m:naryPr>
                  <m:chr m:val="∑"/>
                  <m:limLoc m:val="undOvr"/>
                  <m:supHide m:val="1"/>
                  <m:ctrlPr>
                    <w:rPr>
                      <w:rFonts w:ascii="Cambria Math" w:hAnsi="Cambria Math"/>
                    </w:rPr>
                  </m:ctrlPr>
                </m:naryPr>
                <m:sub>
                  <m:r>
                    <w:rPr>
                      <w:rFonts w:ascii="Cambria Math" w:hAnsi="Cambria Math"/>
                    </w:rPr>
                    <m:t>i,j</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hAnsi="Cambria Math"/>
                            </w:rPr>
                            <m:t>ρ</m:t>
                          </m:r>
                        </m:e>
                        <m:sub>
                          <m:r>
                            <w:rPr>
                              <w:rFonts w:ascii="Cambria Math" w:hAnsi="Cambria Math"/>
                            </w:rPr>
                            <m:t>i,j</m:t>
                          </m:r>
                        </m:sub>
                      </m:sSub>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j</m:t>
                          </m:r>
                        </m:sub>
                      </m:sSub>
                    </m:e>
                  </m:d>
                </m:e>
              </m:nary>
            </m:e>
          </m:rad>
          <m:r>
            <w:rPr>
              <w:rFonts w:ascii="Cambria Math" w:hAnsi="Cambria Math"/>
            </w:rPr>
            <m:t> ,  </m:t>
          </m:r>
          <m:d>
            <m:dPr>
              <m:ctrlPr>
                <w:rPr>
                  <w:rFonts w:ascii="Cambria Math" w:hAnsi="Cambria Math"/>
                </w:rPr>
              </m:ctrlPr>
            </m:dPr>
            <m:e>
              <m:r>
                <w:rPr>
                  <w:rFonts w:ascii="Cambria Math" w:hAnsi="Cambria Math"/>
                </w:rPr>
                <m:t>63</m:t>
              </m:r>
            </m:e>
          </m:d>
        </m:oMath>
      </m:oMathPara>
    </w:p>
    <w:p w:rsidR="005B279D" w:rsidRPr="002844B1" w:rsidRDefault="00000000">
      <w:pPr>
        <w:pStyle w:val="FirstParagraph"/>
        <w:rPr>
          <w:sz w:val="21"/>
          <w:szCs w:val="21"/>
        </w:rPr>
      </w:pPr>
      <w:r w:rsidRPr="002844B1">
        <w:rPr>
          <w:sz w:val="21"/>
          <w:szCs w:val="21"/>
        </w:rPr>
        <w:t xml:space="preserve">avec : </w:t>
      </w:r>
      <m:oMath>
        <m:r>
          <w:rPr>
            <w:rFonts w:ascii="Cambria Math" w:hAnsi="Cambria Math"/>
            <w:sz w:val="21"/>
            <w:szCs w:val="21"/>
          </w:rPr>
          <m:t>i,j∈{</m:t>
        </m:r>
        <m:r>
          <m:rPr>
            <m:nor/>
          </m:rPr>
          <w:rPr>
            <w:sz w:val="21"/>
            <w:szCs w:val="21"/>
          </w:rPr>
          <m:t>Mortalite, Longevite, Rachat, Frais, catastrophe</m:t>
        </m:r>
        <m:r>
          <w:rPr>
            <w:rFonts w:ascii="Cambria Math" w:hAnsi="Cambria Math"/>
            <w:sz w:val="21"/>
            <w:szCs w:val="21"/>
          </w:rPr>
          <m:t>}</m:t>
        </m:r>
      </m:oMath>
    </w:p>
    <w:p w:rsidR="005B279D" w:rsidRPr="002844B1" w:rsidRDefault="00000000">
      <w:pPr>
        <w:pStyle w:val="Heading4"/>
      </w:pPr>
      <w:bookmarkStart w:id="112" w:name="X6a4c0aaf7a00518f44a130d187f964ddf1b88a9"/>
      <w:r w:rsidRPr="002844B1">
        <w:t>Exigence de capital pour risque de mortalité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mort</m:t>
            </m:r>
          </m:sub>
        </m:sSub>
      </m:oMath>
      <w:r w:rsidRPr="002844B1">
        <w:t>)</w:t>
      </w:r>
    </w:p>
    <w:p w:rsidR="005B279D" w:rsidRPr="002844B1" w:rsidRDefault="00000000" w:rsidP="00A96318">
      <w:pPr>
        <w:pStyle w:val="FirstParagraph"/>
        <w:jc w:val="both"/>
        <w:rPr>
          <w:sz w:val="21"/>
          <w:szCs w:val="21"/>
        </w:rPr>
      </w:pPr>
      <w:r w:rsidRPr="002844B1">
        <w:rPr>
          <w:sz w:val="21"/>
          <w:szCs w:val="21"/>
        </w:rPr>
        <w:t xml:space="preserve">L’exigence de capital pour risque de mortalité correspond à la perte de fonds propres due à la hausse de </w:t>
      </w:r>
      <m:oMath>
        <m:r>
          <w:rPr>
            <w:rFonts w:ascii="Cambria Math" w:hAnsi="Cambria Math"/>
            <w:sz w:val="21"/>
            <w:szCs w:val="21"/>
          </w:rPr>
          <m:t>X%</m:t>
        </m:r>
      </m:oMath>
      <w:r w:rsidRPr="002844B1">
        <w:rPr>
          <w:sz w:val="21"/>
          <w:szCs w:val="21"/>
        </w:rPr>
        <w:t xml:space="preserve"> des taux de mortalité retenus pour le calcul des provisions techniques prudentielles.</w:t>
      </w:r>
    </w:p>
    <w:p w:rsidR="005B279D" w:rsidRPr="002844B1" w:rsidRDefault="00000000" w:rsidP="00A96318">
      <w:pPr>
        <w:pStyle w:val="BodyText"/>
        <w:jc w:val="both"/>
        <w:rPr>
          <w:sz w:val="21"/>
          <w:szCs w:val="21"/>
        </w:rPr>
      </w:pPr>
      <w:r w:rsidRPr="002844B1">
        <w:rPr>
          <w:sz w:val="21"/>
          <w:szCs w:val="21"/>
        </w:rPr>
        <w:t>La hausse des taux de mortalité précitée ne s’applique qu’aux contrats d’assurance pour lesquels une hausse des taux de mortalité entraîne une augmentation des provisions techniques prudentielles, c’est le cas du contrat de capital décès dégressif.</w:t>
      </w:r>
    </w:p>
    <w:p w:rsidR="005B279D" w:rsidRPr="002844B1" w:rsidRDefault="00000000">
      <w:pPr>
        <w:pStyle w:val="BodyText"/>
      </w:pPr>
      <m:oMathPara>
        <m:oMathParaPr>
          <m:jc m:val="center"/>
        </m:oMathParaPr>
        <m:oMath>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mort</m:t>
              </m:r>
            </m:sub>
          </m:sSub>
          <m:r>
            <w:rPr>
              <w:rFonts w:ascii="Cambria Math" w:hAnsi="Cambria Math"/>
            </w:rPr>
            <m:t>=BE</m:t>
          </m:r>
          <m:d>
            <m:dPr>
              <m:ctrlPr>
                <w:rPr>
                  <w:rFonts w:ascii="Cambria Math" w:hAnsi="Cambria Math"/>
                </w:rPr>
              </m:ctrlPr>
            </m:dPr>
            <m:e>
              <m:r>
                <w:rPr>
                  <w:rFonts w:ascii="Cambria Math" w:hAnsi="Cambria Math"/>
                </w:rPr>
                <m:t>Choc</m:t>
              </m:r>
            </m:e>
          </m:d>
          <m:r>
            <w:rPr>
              <w:rFonts w:ascii="Cambria Math" w:hAnsi="Cambria Math"/>
            </w:rPr>
            <m:t>-BE ,  </m:t>
          </m:r>
          <m:d>
            <m:dPr>
              <m:ctrlPr>
                <w:rPr>
                  <w:rFonts w:ascii="Cambria Math" w:hAnsi="Cambria Math"/>
                </w:rPr>
              </m:ctrlPr>
            </m:dPr>
            <m:e>
              <m:r>
                <w:rPr>
                  <w:rFonts w:ascii="Cambria Math" w:hAnsi="Cambria Math"/>
                </w:rPr>
                <m:t>64</m:t>
              </m:r>
            </m:e>
          </m:d>
        </m:oMath>
      </m:oMathPara>
    </w:p>
    <w:p w:rsidR="005B279D" w:rsidRPr="002844B1" w:rsidRDefault="00000000">
      <w:pPr>
        <w:pStyle w:val="FirstParagraph"/>
      </w:pPr>
      <w:r w:rsidRPr="002844B1">
        <w:t>avec :</w:t>
      </w:r>
    </w:p>
    <w:p w:rsidR="005B279D" w:rsidRPr="002844B1" w:rsidRDefault="00000000">
      <w:pPr>
        <w:pStyle w:val="BodyText"/>
      </w:pPr>
      <m:oMathPara>
        <m:oMathParaPr>
          <m:jc m:val="center"/>
        </m:oMathParaPr>
        <m:oMath>
          <m:r>
            <w:rPr>
              <w:rFonts w:ascii="Cambria Math" w:hAnsi="Cambria Math"/>
            </w:rPr>
            <m:t>TM</m:t>
          </m:r>
          <m:d>
            <m:dPr>
              <m:ctrlPr>
                <w:rPr>
                  <w:rFonts w:ascii="Cambria Math" w:hAnsi="Cambria Math"/>
                </w:rPr>
              </m:ctrlPr>
            </m:dPr>
            <m:e>
              <m:r>
                <w:rPr>
                  <w:rFonts w:ascii="Cambria Math" w:hAnsi="Cambria Math"/>
                </w:rPr>
                <m:t>Choc</m:t>
              </m:r>
            </m:e>
          </m:d>
          <m:r>
            <w:rPr>
              <w:rFonts w:ascii="Cambria Math" w:hAnsi="Cambria Math"/>
            </w:rPr>
            <m:t>=TM×</m:t>
          </m:r>
          <m:d>
            <m:dPr>
              <m:ctrlPr>
                <w:rPr>
                  <w:rFonts w:ascii="Cambria Math" w:hAnsi="Cambria Math"/>
                </w:rPr>
              </m:ctrlPr>
            </m:dPr>
            <m:e>
              <m:r>
                <w:rPr>
                  <w:rFonts w:ascii="Cambria Math" w:hAnsi="Cambria Math"/>
                </w:rPr>
                <m:t>1+X%</m:t>
              </m:r>
            </m:e>
          </m:d>
          <m:r>
            <w:rPr>
              <w:rFonts w:ascii="Cambria Math" w:hAnsi="Cambria Math"/>
            </w:rPr>
            <m:t> ,</m:t>
          </m:r>
        </m:oMath>
      </m:oMathPara>
    </w:p>
    <w:p w:rsidR="005B279D" w:rsidRPr="002844B1" w:rsidRDefault="00000000" w:rsidP="00A96318">
      <w:pPr>
        <w:pStyle w:val="FirstParagraph"/>
        <w:jc w:val="both"/>
        <w:rPr>
          <w:sz w:val="21"/>
          <w:szCs w:val="21"/>
        </w:rPr>
      </w:pPr>
      <w:r w:rsidRPr="002844B1">
        <w:rPr>
          <w:sz w:val="21"/>
          <w:szCs w:val="21"/>
        </w:rPr>
        <w:t>telle que :</w:t>
      </w:r>
    </w:p>
    <w:p w:rsidR="005B279D" w:rsidRPr="002844B1" w:rsidRDefault="00000000" w:rsidP="00A96318">
      <w:pPr>
        <w:pStyle w:val="BodyText"/>
        <w:jc w:val="both"/>
        <w:rPr>
          <w:sz w:val="21"/>
          <w:szCs w:val="21"/>
        </w:rPr>
      </w:pPr>
      <m:oMath>
        <m:r>
          <w:rPr>
            <w:rFonts w:ascii="Cambria Math" w:hAnsi="Cambria Math"/>
            <w:sz w:val="21"/>
            <w:szCs w:val="21"/>
          </w:rPr>
          <m:t>TM</m:t>
        </m:r>
      </m:oMath>
      <w:r w:rsidRPr="002844B1">
        <w:rPr>
          <w:sz w:val="21"/>
          <w:szCs w:val="21"/>
        </w:rPr>
        <w:t xml:space="preserve"> : Taux de Mortalité avant choc. </w:t>
      </w:r>
      <m:oMath>
        <m:r>
          <w:rPr>
            <w:rFonts w:ascii="Cambria Math" w:hAnsi="Cambria Math"/>
            <w:sz w:val="21"/>
            <w:szCs w:val="21"/>
          </w:rPr>
          <m:t>TM</m:t>
        </m:r>
        <m:d>
          <m:dPr>
            <m:ctrlPr>
              <w:rPr>
                <w:rFonts w:ascii="Cambria Math" w:hAnsi="Cambria Math"/>
                <w:sz w:val="21"/>
                <w:szCs w:val="21"/>
              </w:rPr>
            </m:ctrlPr>
          </m:dPr>
          <m:e>
            <m:r>
              <w:rPr>
                <w:rFonts w:ascii="Cambria Math" w:hAnsi="Cambria Math"/>
                <w:sz w:val="21"/>
                <w:szCs w:val="21"/>
              </w:rPr>
              <m:t>Choc</m:t>
            </m:r>
          </m:e>
        </m:d>
      </m:oMath>
      <w:r w:rsidRPr="002844B1">
        <w:rPr>
          <w:sz w:val="21"/>
          <w:szCs w:val="21"/>
        </w:rPr>
        <w:t xml:space="preserve"> : Le taux de mortalité choqué par une hausse de </w:t>
      </w:r>
      <m:oMath>
        <m:r>
          <w:rPr>
            <w:rFonts w:ascii="Cambria Math" w:hAnsi="Cambria Math"/>
            <w:sz w:val="21"/>
            <w:szCs w:val="21"/>
          </w:rPr>
          <m:t>X%</m:t>
        </m:r>
      </m:oMath>
      <w:r w:rsidRPr="002844B1">
        <w:rPr>
          <w:sz w:val="21"/>
          <w:szCs w:val="21"/>
        </w:rPr>
        <w:t>.</w:t>
      </w:r>
    </w:p>
    <w:p w:rsidR="005B279D" w:rsidRPr="002844B1" w:rsidRDefault="00000000" w:rsidP="00A96318">
      <w:pPr>
        <w:pStyle w:val="BodyText"/>
        <w:jc w:val="both"/>
        <w:rPr>
          <w:sz w:val="21"/>
          <w:szCs w:val="21"/>
        </w:rPr>
      </w:pPr>
      <w:r w:rsidRPr="002844B1">
        <w:rPr>
          <w:sz w:val="21"/>
          <w:szCs w:val="21"/>
        </w:rPr>
        <w:t xml:space="preserve">le taux de choc pour la mortalité est estimé à </w:t>
      </w:r>
      <m:oMath>
        <m:r>
          <w:rPr>
            <w:rFonts w:ascii="Cambria Math" w:hAnsi="Cambria Math"/>
            <w:sz w:val="21"/>
            <w:szCs w:val="21"/>
          </w:rPr>
          <m:t>30 </m:t>
        </m:r>
      </m:oMath>
      <w:r w:rsidRPr="002844B1">
        <w:rPr>
          <w:sz w:val="21"/>
          <w:szCs w:val="21"/>
        </w:rPr>
        <w:t>.</w:t>
      </w:r>
    </w:p>
    <w:p w:rsidR="005B279D" w:rsidRPr="002844B1" w:rsidRDefault="00000000">
      <w:pPr>
        <w:pStyle w:val="Heading4"/>
      </w:pPr>
      <w:bookmarkStart w:id="113" w:name="X8575fcc7d08a11d35988144d33aa87c665af295"/>
      <w:bookmarkEnd w:id="112"/>
      <w:r w:rsidRPr="002844B1">
        <w:t>Exigence de capital pour risque de longévité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Lon</m:t>
            </m:r>
          </m:sub>
        </m:sSub>
      </m:oMath>
      <w:r w:rsidRPr="002844B1">
        <w:t>)</w:t>
      </w:r>
    </w:p>
    <w:p w:rsidR="005B279D" w:rsidRPr="002844B1" w:rsidRDefault="00000000" w:rsidP="00A96318">
      <w:pPr>
        <w:pStyle w:val="FirstParagraph"/>
        <w:jc w:val="both"/>
        <w:rPr>
          <w:sz w:val="21"/>
          <w:szCs w:val="21"/>
        </w:rPr>
      </w:pPr>
      <w:r w:rsidRPr="002844B1">
        <w:rPr>
          <w:sz w:val="21"/>
          <w:szCs w:val="21"/>
        </w:rPr>
        <w:t xml:space="preserve">L’exigence de capital pour risque de longévité correspond à la perte de fonds propres qui résulterait de la baisse de </w:t>
      </w:r>
      <m:oMath>
        <m:r>
          <w:rPr>
            <w:rFonts w:ascii="Cambria Math" w:hAnsi="Cambria Math"/>
            <w:sz w:val="21"/>
            <w:szCs w:val="21"/>
          </w:rPr>
          <m:t>X%</m:t>
        </m:r>
      </m:oMath>
      <w:r w:rsidRPr="002844B1">
        <w:rPr>
          <w:sz w:val="21"/>
          <w:szCs w:val="21"/>
        </w:rPr>
        <w:t xml:space="preserve"> des taux de mortalité retenus pour le calcul des provisions techniques prudentielles.</w:t>
      </w:r>
    </w:p>
    <w:p w:rsidR="005B279D" w:rsidRPr="002844B1" w:rsidRDefault="00000000" w:rsidP="00A96318">
      <w:pPr>
        <w:pStyle w:val="BodyText"/>
        <w:jc w:val="both"/>
        <w:rPr>
          <w:sz w:val="21"/>
          <w:szCs w:val="21"/>
        </w:rPr>
      </w:pPr>
      <w:r w:rsidRPr="002844B1">
        <w:rPr>
          <w:sz w:val="21"/>
          <w:szCs w:val="21"/>
        </w:rPr>
        <w:t>La baisse des taux de mortalité précitée ne s’applique qu’aux contrats d’assurance pour lesquels une baisse des taux de mortalité entraîne une augmentation des provisions techniques prudentielles.</w:t>
      </w:r>
    </w:p>
    <w:p w:rsidR="005B279D" w:rsidRPr="002844B1" w:rsidRDefault="00000000" w:rsidP="00A96318">
      <w:pPr>
        <w:pStyle w:val="BodyText"/>
        <w:jc w:val="both"/>
        <w:rPr>
          <w:sz w:val="21"/>
          <w:szCs w:val="21"/>
        </w:rPr>
      </w:pPr>
      <m:oMathPara>
        <m:oMathParaPr>
          <m:jc m:val="center"/>
        </m:oMathParaPr>
        <m:oMath>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Lon</m:t>
              </m:r>
            </m:sub>
          </m:sSub>
          <m:r>
            <w:rPr>
              <w:rFonts w:ascii="Cambria Math" w:hAnsi="Cambria Math"/>
              <w:sz w:val="21"/>
              <w:szCs w:val="21"/>
            </w:rPr>
            <m:t>=BE</m:t>
          </m:r>
          <m:d>
            <m:dPr>
              <m:ctrlPr>
                <w:rPr>
                  <w:rFonts w:ascii="Cambria Math" w:hAnsi="Cambria Math"/>
                  <w:sz w:val="21"/>
                  <w:szCs w:val="21"/>
                </w:rPr>
              </m:ctrlPr>
            </m:dPr>
            <m:e>
              <m:r>
                <w:rPr>
                  <w:rFonts w:ascii="Cambria Math" w:hAnsi="Cambria Math"/>
                  <w:sz w:val="21"/>
                  <w:szCs w:val="21"/>
                </w:rPr>
                <m:t>Choc</m:t>
              </m:r>
            </m:e>
          </m:d>
          <m:r>
            <w:rPr>
              <w:rFonts w:ascii="Cambria Math" w:hAnsi="Cambria Math"/>
              <w:sz w:val="21"/>
              <w:szCs w:val="21"/>
            </w:rPr>
            <m:t>-BE  </m:t>
          </m:r>
          <m:d>
            <m:dPr>
              <m:ctrlPr>
                <w:rPr>
                  <w:rFonts w:ascii="Cambria Math" w:hAnsi="Cambria Math"/>
                  <w:sz w:val="21"/>
                  <w:szCs w:val="21"/>
                </w:rPr>
              </m:ctrlPr>
            </m:dPr>
            <m:e>
              <m:r>
                <w:rPr>
                  <w:rFonts w:ascii="Cambria Math" w:hAnsi="Cambria Math"/>
                  <w:sz w:val="21"/>
                  <w:szCs w:val="21"/>
                </w:rPr>
                <m:t>65</m:t>
              </m:r>
            </m:e>
          </m:d>
        </m:oMath>
      </m:oMathPara>
    </w:p>
    <w:p w:rsidR="005B279D" w:rsidRPr="002844B1" w:rsidRDefault="00000000" w:rsidP="00A96318">
      <w:pPr>
        <w:pStyle w:val="FirstParagraph"/>
        <w:jc w:val="both"/>
        <w:rPr>
          <w:sz w:val="21"/>
          <w:szCs w:val="21"/>
        </w:rPr>
      </w:pPr>
      <w:r w:rsidRPr="002844B1">
        <w:rPr>
          <w:sz w:val="21"/>
          <w:szCs w:val="21"/>
        </w:rPr>
        <w:t>avec :</w:t>
      </w:r>
    </w:p>
    <w:p w:rsidR="005B279D" w:rsidRPr="002844B1" w:rsidRDefault="00000000" w:rsidP="00A96318">
      <w:pPr>
        <w:pStyle w:val="BodyText"/>
        <w:jc w:val="both"/>
        <w:rPr>
          <w:sz w:val="21"/>
          <w:szCs w:val="21"/>
        </w:rPr>
      </w:pPr>
      <m:oMathPara>
        <m:oMathParaPr>
          <m:jc m:val="center"/>
        </m:oMathParaPr>
        <m:oMath>
          <m:r>
            <w:rPr>
              <w:rFonts w:ascii="Cambria Math" w:hAnsi="Cambria Math"/>
              <w:sz w:val="21"/>
              <w:szCs w:val="21"/>
            </w:rPr>
            <m:t>TM</m:t>
          </m:r>
          <m:d>
            <m:dPr>
              <m:ctrlPr>
                <w:rPr>
                  <w:rFonts w:ascii="Cambria Math" w:hAnsi="Cambria Math"/>
                  <w:sz w:val="21"/>
                  <w:szCs w:val="21"/>
                </w:rPr>
              </m:ctrlPr>
            </m:dPr>
            <m:e>
              <m:r>
                <w:rPr>
                  <w:rFonts w:ascii="Cambria Math" w:hAnsi="Cambria Math"/>
                  <w:sz w:val="21"/>
                  <w:szCs w:val="21"/>
                </w:rPr>
                <m:t>Choc</m:t>
              </m:r>
            </m:e>
          </m:d>
          <m:r>
            <w:rPr>
              <w:rFonts w:ascii="Cambria Math" w:hAnsi="Cambria Math"/>
              <w:sz w:val="21"/>
              <w:szCs w:val="21"/>
            </w:rPr>
            <m:t>=TM×</m:t>
          </m:r>
          <m:d>
            <m:dPr>
              <m:ctrlPr>
                <w:rPr>
                  <w:rFonts w:ascii="Cambria Math" w:hAnsi="Cambria Math"/>
                  <w:sz w:val="21"/>
                  <w:szCs w:val="21"/>
                </w:rPr>
              </m:ctrlPr>
            </m:dPr>
            <m:e>
              <m:r>
                <w:rPr>
                  <w:rFonts w:ascii="Cambria Math" w:hAnsi="Cambria Math"/>
                  <w:sz w:val="21"/>
                  <w:szCs w:val="21"/>
                </w:rPr>
                <m:t>1-X%</m:t>
              </m:r>
            </m:e>
          </m:d>
          <m:r>
            <w:rPr>
              <w:rFonts w:ascii="Cambria Math" w:hAnsi="Cambria Math"/>
              <w:sz w:val="21"/>
              <w:szCs w:val="21"/>
            </w:rPr>
            <m:t> ,</m:t>
          </m:r>
        </m:oMath>
      </m:oMathPara>
    </w:p>
    <w:p w:rsidR="005B279D" w:rsidRPr="002844B1" w:rsidRDefault="00000000" w:rsidP="00A96318">
      <w:pPr>
        <w:pStyle w:val="FirstParagraph"/>
        <w:jc w:val="both"/>
        <w:rPr>
          <w:sz w:val="21"/>
          <w:szCs w:val="21"/>
        </w:rPr>
      </w:pPr>
      <m:oMath>
        <m:r>
          <w:rPr>
            <w:rFonts w:ascii="Cambria Math" w:hAnsi="Cambria Math"/>
            <w:sz w:val="21"/>
            <w:szCs w:val="21"/>
          </w:rPr>
          <m:t>TM</m:t>
        </m:r>
      </m:oMath>
      <w:r w:rsidRPr="002844B1">
        <w:rPr>
          <w:sz w:val="21"/>
          <w:szCs w:val="21"/>
        </w:rPr>
        <w:t xml:space="preserve"> : Taux de Mortalité. </w:t>
      </w:r>
      <m:oMath>
        <m:r>
          <w:rPr>
            <w:rFonts w:ascii="Cambria Math" w:hAnsi="Cambria Math"/>
            <w:sz w:val="21"/>
            <w:szCs w:val="21"/>
          </w:rPr>
          <m:t>TM</m:t>
        </m:r>
        <m:d>
          <m:dPr>
            <m:ctrlPr>
              <w:rPr>
                <w:rFonts w:ascii="Cambria Math" w:hAnsi="Cambria Math"/>
                <w:sz w:val="21"/>
                <w:szCs w:val="21"/>
              </w:rPr>
            </m:ctrlPr>
          </m:dPr>
          <m:e>
            <m:r>
              <w:rPr>
                <w:rFonts w:ascii="Cambria Math" w:hAnsi="Cambria Math"/>
                <w:sz w:val="21"/>
                <w:szCs w:val="21"/>
              </w:rPr>
              <m:t>Choc</m:t>
            </m:r>
          </m:e>
        </m:d>
      </m:oMath>
      <w:r w:rsidRPr="002844B1">
        <w:rPr>
          <w:sz w:val="21"/>
          <w:szCs w:val="21"/>
        </w:rPr>
        <w:t xml:space="preserve"> : Le taux de mortalité choqué par une hausse de X%.</w:t>
      </w:r>
    </w:p>
    <w:p w:rsidR="005B279D" w:rsidRPr="002844B1" w:rsidRDefault="00000000">
      <w:pPr>
        <w:pStyle w:val="Heading4"/>
      </w:pPr>
      <w:bookmarkStart w:id="114" w:name="Xf9593f399cde8ef9ae9c140ec93b1cb9af95941"/>
      <w:bookmarkEnd w:id="113"/>
      <w:r w:rsidRPr="002844B1">
        <w:t>Exigence de capital pour risque de rachat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R</m:t>
            </m:r>
          </m:sub>
        </m:sSub>
      </m:oMath>
      <w:r w:rsidRPr="002844B1">
        <w:t>) :</w:t>
      </w:r>
    </w:p>
    <w:p w:rsidR="005B279D" w:rsidRPr="002844B1" w:rsidRDefault="00000000" w:rsidP="00A96318">
      <w:pPr>
        <w:pStyle w:val="FirstParagraph"/>
        <w:jc w:val="both"/>
        <w:rPr>
          <w:sz w:val="21"/>
          <w:szCs w:val="21"/>
        </w:rPr>
      </w:pPr>
      <w:r w:rsidRPr="002844B1">
        <w:rPr>
          <w:sz w:val="21"/>
          <w:szCs w:val="21"/>
        </w:rPr>
        <w:t>Qu’est-ce qu’un rachat en assurance vie ? Un rachat en assurance vie est un retrait d’une partie ou de la totalité de l’épargne placée sur un contrat d’assurance vie. Le rachat peut être total ou partiel, ponctuel ou programmé. Le rachat entraîne des conséquences fiscales qui dépendent de la durée du contrat et de la date des versements. Le rachat peut être soumis à l’impôt sur le revenu, au prélèvement forfaitaire libératoire ou au prélèvement forfaitaire unique, ainsi qu’aux prélèvements sociaux. Le rachat n’est pas possible si le bénéficiaire du contrat a accepté le bénéfice sans l’accord du souscripteur.</w:t>
      </w:r>
    </w:p>
    <w:p w:rsidR="005B279D" w:rsidRPr="002844B1" w:rsidRDefault="00000000" w:rsidP="00A96318">
      <w:pPr>
        <w:pStyle w:val="BodyText"/>
        <w:jc w:val="both"/>
        <w:rPr>
          <w:sz w:val="21"/>
          <w:szCs w:val="21"/>
        </w:rPr>
      </w:pPr>
      <w:r w:rsidRPr="002844B1">
        <w:rPr>
          <w:sz w:val="21"/>
          <w:szCs w:val="21"/>
        </w:rPr>
        <w:lastRenderedPageBreak/>
        <w:t>On distingue :</w:t>
      </w:r>
    </w:p>
    <w:p w:rsidR="005B279D" w:rsidRPr="002844B1" w:rsidRDefault="00000000" w:rsidP="00A96318">
      <w:pPr>
        <w:numPr>
          <w:ilvl w:val="0"/>
          <w:numId w:val="60"/>
        </w:numPr>
        <w:jc w:val="both"/>
        <w:rPr>
          <w:sz w:val="21"/>
          <w:szCs w:val="21"/>
        </w:rPr>
      </w:pPr>
      <w:r w:rsidRPr="002844B1">
        <w:rPr>
          <w:b/>
          <w:bCs/>
          <w:sz w:val="21"/>
          <w:szCs w:val="21"/>
        </w:rPr>
        <w:t>Le rachat partiel</w:t>
      </w:r>
      <w:r w:rsidRPr="002844B1">
        <w:rPr>
          <w:sz w:val="21"/>
          <w:szCs w:val="21"/>
        </w:rPr>
        <w:t xml:space="preserve"> : les assurés peuvent récupérer une fraction de la valeur du contrat qui sera constituée d’une part de capital et d’une part d’intérêts capitalisés s’ils ont par exemple besoin de liquidités pour un projet précis. Le rachat partiel permet de ne pas mettre un terme au contrat et de ne pas perdre l’antériorité fiscale.</w:t>
      </w:r>
    </w:p>
    <w:p w:rsidR="005B279D" w:rsidRPr="002844B1" w:rsidRDefault="00000000" w:rsidP="00A96318">
      <w:pPr>
        <w:numPr>
          <w:ilvl w:val="0"/>
          <w:numId w:val="60"/>
        </w:numPr>
        <w:jc w:val="both"/>
        <w:rPr>
          <w:sz w:val="21"/>
          <w:szCs w:val="21"/>
        </w:rPr>
      </w:pPr>
      <w:r w:rsidRPr="002844B1">
        <w:rPr>
          <w:b/>
          <w:bCs/>
          <w:sz w:val="21"/>
          <w:szCs w:val="21"/>
        </w:rPr>
        <w:t>Le rachat total</w:t>
      </w:r>
      <w:r w:rsidRPr="002844B1">
        <w:rPr>
          <w:sz w:val="21"/>
          <w:szCs w:val="21"/>
        </w:rPr>
        <w:t xml:space="preserve"> : les assurés peuvent récupérer l’intégralité de la valeur de rachat de leur assurance vie, et leur contrat prend fin, entraînant la perte de l’antériorité fiscale.</w:t>
      </w:r>
    </w:p>
    <w:p w:rsidR="005B279D" w:rsidRPr="002844B1" w:rsidRDefault="002844B1" w:rsidP="00A96318">
      <w:pPr>
        <w:pStyle w:val="FirstParagraph"/>
        <w:jc w:val="both"/>
        <w:rPr>
          <w:sz w:val="21"/>
          <w:szCs w:val="21"/>
        </w:rPr>
      </w:pPr>
      <w:r w:rsidRPr="002844B1">
        <w:rPr>
          <w:sz w:val="21"/>
          <w:szCs w:val="21"/>
        </w:rPr>
        <w:t>L’exigence de capital pour risque de rachat correspond au maximum entre les exigences de capitaux suivantes:</w:t>
      </w:r>
    </w:p>
    <w:p w:rsidR="005B279D" w:rsidRPr="002844B1" w:rsidRDefault="00000000" w:rsidP="00A96318">
      <w:pPr>
        <w:pStyle w:val="Compact"/>
        <w:numPr>
          <w:ilvl w:val="0"/>
          <w:numId w:val="61"/>
        </w:numPr>
        <w:jc w:val="both"/>
        <w:rPr>
          <w:sz w:val="21"/>
          <w:szCs w:val="21"/>
        </w:rPr>
      </w:pPr>
      <w:r w:rsidRPr="002844B1">
        <w:rPr>
          <w:sz w:val="21"/>
          <w:szCs w:val="21"/>
        </w:rPr>
        <w:t xml:space="preserve">L’exigence de capital pour risque de hausse des taux de rachat : cette exigence signifie la perte de fonds propre qui résulterait d’une revalorisation des provisions techniques prudentielles suite à une hausse de </w:t>
      </w:r>
      <m:oMath>
        <m:r>
          <w:rPr>
            <w:rFonts w:ascii="Cambria Math" w:hAnsi="Cambria Math"/>
            <w:sz w:val="21"/>
            <w:szCs w:val="21"/>
          </w:rPr>
          <m:t>X%</m:t>
        </m:r>
      </m:oMath>
      <w:r w:rsidRPr="002844B1">
        <w:rPr>
          <w:sz w:val="21"/>
          <w:szCs w:val="21"/>
        </w:rPr>
        <w:t xml:space="preserve"> des taux de rachat retenus, en montant et en nombre. Toutefois, les taux de rachat augmentés de la hausse précitée ne doivent pas dépasser </w:t>
      </w:r>
      <m:oMath>
        <m:r>
          <w:rPr>
            <w:rFonts w:ascii="Cambria Math" w:hAnsi="Cambria Math"/>
            <w:sz w:val="21"/>
            <w:szCs w:val="21"/>
          </w:rPr>
          <m:t>X%</m:t>
        </m:r>
      </m:oMath>
      <w:r w:rsidRPr="002844B1">
        <w:rPr>
          <w:sz w:val="21"/>
          <w:szCs w:val="21"/>
        </w:rPr>
        <w:t>.</w:t>
      </w:r>
    </w:p>
    <w:p w:rsidR="005B279D" w:rsidRPr="002844B1" w:rsidRDefault="00000000" w:rsidP="00A96318">
      <w:pPr>
        <w:pStyle w:val="FirstParagraph"/>
        <w:jc w:val="both"/>
        <w:rPr>
          <w:sz w:val="21"/>
          <w:szCs w:val="21"/>
        </w:rPr>
      </w:pPr>
      <w:r w:rsidRPr="002844B1">
        <w:rPr>
          <w:sz w:val="21"/>
          <w:szCs w:val="21"/>
        </w:rPr>
        <w:t>La hausse des taux de rachat précitée ne s’applique qu’aux contrats d’assurance pour lesquels une hausse des taux de rachat entraîne une augmentation des provisions techniques prudentielles.</w:t>
      </w:r>
    </w:p>
    <w:p w:rsidR="005B279D" w:rsidRPr="002844B1" w:rsidRDefault="00000000" w:rsidP="00A96318">
      <w:pPr>
        <w:pStyle w:val="Compact"/>
        <w:numPr>
          <w:ilvl w:val="0"/>
          <w:numId w:val="62"/>
        </w:numPr>
        <w:jc w:val="both"/>
        <w:rPr>
          <w:sz w:val="21"/>
          <w:szCs w:val="21"/>
        </w:rPr>
      </w:pPr>
      <w:r w:rsidRPr="002844B1">
        <w:rPr>
          <w:sz w:val="21"/>
          <w:szCs w:val="21"/>
        </w:rPr>
        <w:t>L’exigence de capital pour risque de baisse des taux de rachat : cette exigence correspond à la perte de fonds propre qui résulterait d’une revalorisation des provisions technique prudentielles due à une baisse de X% des taux de rachat retenus, en montant et en nombre.</w:t>
      </w:r>
    </w:p>
    <w:p w:rsidR="005B279D" w:rsidRPr="002844B1" w:rsidRDefault="00000000" w:rsidP="00A96318">
      <w:pPr>
        <w:pStyle w:val="FirstParagraph"/>
        <w:jc w:val="both"/>
        <w:rPr>
          <w:sz w:val="21"/>
          <w:szCs w:val="21"/>
        </w:rPr>
      </w:pPr>
      <w:r w:rsidRPr="002844B1">
        <w:rPr>
          <w:sz w:val="21"/>
          <w:szCs w:val="21"/>
        </w:rPr>
        <w:t>La baisse des taux de rachat précitée ne s’applique qu’aux contrats d’assurance pour lesquels une baisse des taux de rachat entraîne une augmentation des provisions techniques prudentielles.</w:t>
      </w:r>
    </w:p>
    <w:p w:rsidR="005B279D" w:rsidRPr="002844B1" w:rsidRDefault="00000000" w:rsidP="00A96318">
      <w:pPr>
        <w:pStyle w:val="BodyText"/>
        <w:jc w:val="both"/>
        <w:rPr>
          <w:sz w:val="21"/>
          <w:szCs w:val="21"/>
        </w:rPr>
      </w:pPr>
      <m:oMathPara>
        <m:oMathParaPr>
          <m:jc m:val="center"/>
        </m:oMathParaPr>
        <m:oMath>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R</m:t>
              </m:r>
            </m:sub>
          </m:sSub>
          <m:r>
            <w:rPr>
              <w:rFonts w:ascii="Cambria Math" w:hAnsi="Cambria Math"/>
              <w:sz w:val="21"/>
              <w:szCs w:val="21"/>
            </w:rPr>
            <m:t>=max</m:t>
          </m:r>
          <m:d>
            <m:dPr>
              <m:ctrlPr>
                <w:rPr>
                  <w:rFonts w:ascii="Cambria Math" w:hAnsi="Cambria Math"/>
                  <w:sz w:val="21"/>
                  <w:szCs w:val="21"/>
                </w:rPr>
              </m:ctrlPr>
            </m:dPr>
            <m:e>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RHT</m:t>
                  </m:r>
                </m:sub>
              </m:sSub>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RBT</m:t>
                  </m:r>
                </m:sub>
              </m:sSub>
            </m:e>
          </m:d>
          <m:r>
            <w:rPr>
              <w:rFonts w:ascii="Cambria Math" w:hAnsi="Cambria Math"/>
              <w:sz w:val="21"/>
              <w:szCs w:val="21"/>
            </w:rPr>
            <m:t> ,  </m:t>
          </m:r>
          <m:d>
            <m:dPr>
              <m:ctrlPr>
                <w:rPr>
                  <w:rFonts w:ascii="Cambria Math" w:hAnsi="Cambria Math"/>
                  <w:sz w:val="21"/>
                  <w:szCs w:val="21"/>
                </w:rPr>
              </m:ctrlPr>
            </m:dPr>
            <m:e>
              <m:r>
                <w:rPr>
                  <w:rFonts w:ascii="Cambria Math" w:hAnsi="Cambria Math"/>
                  <w:sz w:val="21"/>
                  <w:szCs w:val="21"/>
                </w:rPr>
                <m:t>66</m:t>
              </m:r>
            </m:e>
          </m:d>
        </m:oMath>
      </m:oMathPara>
    </w:p>
    <w:p w:rsidR="005B279D" w:rsidRPr="002844B1" w:rsidRDefault="00000000" w:rsidP="00A96318">
      <w:pPr>
        <w:pStyle w:val="FirstParagraph"/>
        <w:jc w:val="both"/>
        <w:rPr>
          <w:sz w:val="21"/>
          <w:szCs w:val="21"/>
        </w:rPr>
      </w:pPr>
      <w:r w:rsidRPr="002844B1">
        <w:rPr>
          <w:sz w:val="21"/>
          <w:szCs w:val="21"/>
        </w:rPr>
        <w:t>avec :</w:t>
      </w:r>
    </w:p>
    <w:p w:rsidR="005B279D" w:rsidRPr="002844B1" w:rsidRDefault="00000000" w:rsidP="00A96318">
      <w:pPr>
        <w:pStyle w:val="BodyText"/>
        <w:jc w:val="both"/>
        <w:rPr>
          <w:sz w:val="21"/>
          <w:szCs w:val="21"/>
        </w:rPr>
      </w:pPr>
      <m:oMathPara>
        <m:oMathParaPr>
          <m:jc m:val="center"/>
        </m:oMathParaPr>
        <m:oMath>
          <m:d>
            <m:dPr>
              <m:begChr m:val="{"/>
              <m:endChr m:val=""/>
              <m:ctrlPr>
                <w:rPr>
                  <w:rFonts w:ascii="Cambria Math" w:hAnsi="Cambria Math"/>
                  <w:sz w:val="21"/>
                  <w:szCs w:val="21"/>
                </w:rPr>
              </m:ctrlPr>
            </m:dPr>
            <m:e>
              <m:m>
                <m:mPr>
                  <m:plcHide m:val="1"/>
                  <m:mcs>
                    <m:mc>
                      <m:mcPr>
                        <m:count m:val="1"/>
                        <m:mcJc m:val="left"/>
                      </m:mcPr>
                    </m:mc>
                  </m:mcs>
                  <m:ctrlPr>
                    <w:rPr>
                      <w:rFonts w:ascii="Cambria Math" w:hAnsi="Cambria Math"/>
                      <w:sz w:val="21"/>
                      <w:szCs w:val="21"/>
                    </w:rPr>
                  </m:ctrlPr>
                </m:mPr>
                <m:mr>
                  <m:e>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RHT</m:t>
                        </m:r>
                      </m:sub>
                    </m:sSub>
                    <m:r>
                      <w:rPr>
                        <w:rFonts w:ascii="Cambria Math" w:hAnsi="Cambria Math"/>
                        <w:sz w:val="21"/>
                        <w:szCs w:val="21"/>
                      </w:rPr>
                      <m:t>=B</m:t>
                    </m:r>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RHT</m:t>
                        </m:r>
                      </m:sub>
                    </m:sSub>
                    <m:r>
                      <w:rPr>
                        <w:rFonts w:ascii="Cambria Math" w:hAnsi="Cambria Math"/>
                        <w:sz w:val="21"/>
                        <w:szCs w:val="21"/>
                      </w:rPr>
                      <m:t>-BE</m:t>
                    </m:r>
                  </m:e>
                </m:mr>
                <m:mr>
                  <m:e>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RBT</m:t>
                        </m:r>
                      </m:sub>
                    </m:sSub>
                    <m:r>
                      <w:rPr>
                        <w:rFonts w:ascii="Cambria Math" w:hAnsi="Cambria Math"/>
                        <w:sz w:val="21"/>
                        <w:szCs w:val="21"/>
                      </w:rPr>
                      <m:t>=B</m:t>
                    </m:r>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RBT</m:t>
                        </m:r>
                      </m:sub>
                    </m:sSub>
                    <m:r>
                      <w:rPr>
                        <w:rFonts w:ascii="Cambria Math" w:hAnsi="Cambria Math"/>
                        <w:sz w:val="21"/>
                        <w:szCs w:val="21"/>
                      </w:rPr>
                      <m:t>-BE</m:t>
                    </m:r>
                  </m:e>
                </m:mr>
              </m:m>
            </m:e>
          </m:d>
        </m:oMath>
      </m:oMathPara>
    </w:p>
    <w:p w:rsidR="005B279D" w:rsidRPr="002844B1" w:rsidRDefault="00000000" w:rsidP="00A96318">
      <w:pPr>
        <w:pStyle w:val="FirstParagraph"/>
        <w:jc w:val="both"/>
        <w:rPr>
          <w:sz w:val="21"/>
          <w:szCs w:val="21"/>
        </w:rPr>
      </w:pPr>
      <w:r w:rsidRPr="002844B1">
        <w:rPr>
          <w:sz w:val="21"/>
          <w:szCs w:val="21"/>
        </w:rPr>
        <w:t>tell que :</w:t>
      </w:r>
    </w:p>
    <w:p w:rsidR="005B279D" w:rsidRPr="002844B1" w:rsidRDefault="00000000" w:rsidP="00A96318">
      <w:pPr>
        <w:pStyle w:val="BodyText"/>
        <w:jc w:val="both"/>
        <w:rPr>
          <w:sz w:val="21"/>
          <w:szCs w:val="21"/>
        </w:rPr>
      </w:pPr>
      <m:oMath>
        <m:r>
          <w:rPr>
            <w:rFonts w:ascii="Cambria Math" w:hAnsi="Cambria Math"/>
            <w:sz w:val="21"/>
            <w:szCs w:val="21"/>
          </w:rPr>
          <m:t>B</m:t>
        </m:r>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RHT</m:t>
            </m:r>
          </m:sub>
        </m:sSub>
      </m:oMath>
      <w:r w:rsidRPr="002844B1">
        <w:rPr>
          <w:sz w:val="21"/>
          <w:szCs w:val="21"/>
        </w:rPr>
        <w:t xml:space="preserve"> : Meilleur estimation des engagements pour le scenario d’une hausse des taux de rachat. </w:t>
      </w:r>
      <m:oMath>
        <m:r>
          <w:rPr>
            <w:rFonts w:ascii="Cambria Math" w:hAnsi="Cambria Math"/>
            <w:sz w:val="21"/>
            <w:szCs w:val="21"/>
          </w:rPr>
          <m:t>B</m:t>
        </m:r>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RBT</m:t>
            </m:r>
          </m:sub>
        </m:sSub>
      </m:oMath>
      <w:r w:rsidRPr="002844B1">
        <w:rPr>
          <w:sz w:val="21"/>
          <w:szCs w:val="21"/>
        </w:rPr>
        <w:t xml:space="preserve"> : Meilleur estimation des engagements pour le scenario d’une baisse des taux de rachat.</w:t>
      </w:r>
    </w:p>
    <w:p w:rsidR="005B279D" w:rsidRPr="002844B1" w:rsidRDefault="00000000">
      <w:pPr>
        <w:pStyle w:val="Heading4"/>
      </w:pPr>
      <w:bookmarkStart w:id="115" w:name="X3f53d97ac0100081bf14cce1c7c4c7b66f159ab"/>
      <w:bookmarkEnd w:id="114"/>
      <w:r w:rsidRPr="002844B1">
        <w:t>Exigence de capital relative au risque de frais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F</m:t>
            </m:r>
          </m:sub>
        </m:sSub>
      </m:oMath>
      <w:r w:rsidRPr="002844B1">
        <w:t>)</w:t>
      </w:r>
    </w:p>
    <w:p w:rsidR="005B279D" w:rsidRPr="002844B1" w:rsidRDefault="00000000" w:rsidP="00A96318">
      <w:pPr>
        <w:pStyle w:val="FirstParagraph"/>
        <w:jc w:val="both"/>
        <w:rPr>
          <w:sz w:val="21"/>
          <w:szCs w:val="21"/>
        </w:rPr>
      </w:pPr>
      <w:r w:rsidRPr="002844B1">
        <w:rPr>
          <w:sz w:val="21"/>
          <w:szCs w:val="21"/>
        </w:rPr>
        <w:t>L’exigence de capital relative au risque de frais correspond à la perte de fonds propres due à des augmentations combinées de :</w:t>
      </w:r>
    </w:p>
    <w:p w:rsidR="005B279D" w:rsidRPr="002844B1" w:rsidRDefault="00000000" w:rsidP="00A96318">
      <w:pPr>
        <w:pStyle w:val="Compact"/>
        <w:numPr>
          <w:ilvl w:val="0"/>
          <w:numId w:val="63"/>
        </w:numPr>
        <w:jc w:val="both"/>
        <w:rPr>
          <w:sz w:val="21"/>
          <w:szCs w:val="21"/>
        </w:rPr>
      </w:pPr>
      <m:oMath>
        <m:r>
          <w:rPr>
            <w:rFonts w:ascii="Cambria Math" w:hAnsi="Cambria Math"/>
            <w:sz w:val="21"/>
            <w:szCs w:val="21"/>
          </w:rPr>
          <m:t>X</m:t>
        </m:r>
      </m:oMath>
      <w:r w:rsidRPr="002844B1">
        <w:rPr>
          <w:sz w:val="21"/>
          <w:szCs w:val="21"/>
        </w:rPr>
        <w:t xml:space="preserve"> du montant de frais de gestion unitaire moyen retenu pour le calcul des provisions techniques prudentielles des opérations d’assurance vie, décès ou de capitalisation et des rentes découlant des opérations non-vie et ce, par sous-catégorie;</w:t>
      </w:r>
    </w:p>
    <w:p w:rsidR="005B279D" w:rsidRPr="002844B1" w:rsidRDefault="00000000" w:rsidP="00A96318">
      <w:pPr>
        <w:pStyle w:val="Compact"/>
        <w:numPr>
          <w:ilvl w:val="0"/>
          <w:numId w:val="63"/>
        </w:numPr>
        <w:jc w:val="both"/>
        <w:rPr>
          <w:sz w:val="21"/>
          <w:szCs w:val="21"/>
        </w:rPr>
      </w:pPr>
      <m:oMath>
        <m:r>
          <w:rPr>
            <w:rFonts w:ascii="Cambria Math" w:hAnsi="Cambria Math"/>
            <w:sz w:val="21"/>
            <w:szCs w:val="21"/>
          </w:rPr>
          <m:t>X</m:t>
        </m:r>
      </m:oMath>
      <w:r w:rsidRPr="002844B1">
        <w:rPr>
          <w:sz w:val="21"/>
          <w:szCs w:val="21"/>
        </w:rPr>
        <w:t xml:space="preserve"> par année de projection du montant de frais de gestion unitaire moyen précité.</w:t>
      </w:r>
    </w:p>
    <w:p w:rsidR="005B279D" w:rsidRPr="002844B1" w:rsidRDefault="00000000" w:rsidP="00A96318">
      <w:pPr>
        <w:pStyle w:val="FirstParagraph"/>
        <w:jc w:val="both"/>
        <w:rPr>
          <w:sz w:val="21"/>
          <w:szCs w:val="21"/>
        </w:rPr>
      </w:pPr>
      <m:oMathPara>
        <m:oMathParaPr>
          <m:jc m:val="center"/>
        </m:oMathParaPr>
        <m:oMath>
          <m:r>
            <w:rPr>
              <w:rFonts w:ascii="Cambria Math" w:hAnsi="Cambria Math"/>
              <w:sz w:val="21"/>
              <w:szCs w:val="21"/>
            </w:rPr>
            <w:lastRenderedPageBreak/>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F</m:t>
              </m:r>
            </m:sub>
          </m:sSub>
          <m:r>
            <w:rPr>
              <w:rFonts w:ascii="Cambria Math" w:hAnsi="Cambria Math"/>
              <w:sz w:val="21"/>
              <w:szCs w:val="21"/>
            </w:rPr>
            <m:t>=B</m:t>
          </m:r>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F</m:t>
              </m:r>
            </m:sub>
          </m:sSub>
          <m:d>
            <m:dPr>
              <m:ctrlPr>
                <w:rPr>
                  <w:rFonts w:ascii="Cambria Math" w:hAnsi="Cambria Math"/>
                  <w:sz w:val="21"/>
                  <w:szCs w:val="21"/>
                </w:rPr>
              </m:ctrlPr>
            </m:dPr>
            <m:e>
              <m:r>
                <w:rPr>
                  <w:rFonts w:ascii="Cambria Math" w:hAnsi="Cambria Math"/>
                  <w:sz w:val="21"/>
                  <w:szCs w:val="21"/>
                </w:rPr>
                <m:t>Choc</m:t>
              </m:r>
            </m:e>
          </m:d>
          <m:r>
            <w:rPr>
              <w:rFonts w:ascii="Cambria Math" w:hAnsi="Cambria Math"/>
              <w:sz w:val="21"/>
              <w:szCs w:val="21"/>
            </w:rPr>
            <m:t>-B</m:t>
          </m:r>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F</m:t>
              </m:r>
            </m:sub>
          </m:sSub>
          <m:r>
            <w:rPr>
              <w:rFonts w:ascii="Cambria Math" w:hAnsi="Cambria Math"/>
              <w:sz w:val="21"/>
              <w:szCs w:val="21"/>
            </w:rPr>
            <m:t>  </m:t>
          </m:r>
          <m:d>
            <m:dPr>
              <m:ctrlPr>
                <w:rPr>
                  <w:rFonts w:ascii="Cambria Math" w:hAnsi="Cambria Math"/>
                  <w:sz w:val="21"/>
                  <w:szCs w:val="21"/>
                </w:rPr>
              </m:ctrlPr>
            </m:dPr>
            <m:e>
              <m:r>
                <w:rPr>
                  <w:rFonts w:ascii="Cambria Math" w:hAnsi="Cambria Math"/>
                  <w:sz w:val="21"/>
                  <w:szCs w:val="21"/>
                </w:rPr>
                <m:t>67</m:t>
              </m:r>
            </m:e>
          </m:d>
        </m:oMath>
      </m:oMathPara>
    </w:p>
    <w:p w:rsidR="005B279D" w:rsidRPr="002844B1" w:rsidRDefault="00000000" w:rsidP="00A96318">
      <w:pPr>
        <w:pStyle w:val="FirstParagraph"/>
        <w:jc w:val="both"/>
        <w:rPr>
          <w:sz w:val="21"/>
          <w:szCs w:val="21"/>
        </w:rPr>
      </w:pPr>
      <w:r w:rsidRPr="002844B1">
        <w:rPr>
          <w:sz w:val="21"/>
          <w:szCs w:val="21"/>
        </w:rPr>
        <w:t xml:space="preserve">Les taux </w:t>
      </w:r>
      <m:oMath>
        <m:r>
          <w:rPr>
            <w:rFonts w:ascii="Cambria Math" w:hAnsi="Cambria Math"/>
            <w:sz w:val="21"/>
            <w:szCs w:val="21"/>
          </w:rPr>
          <m:t>X%</m:t>
        </m:r>
      </m:oMath>
      <w:r w:rsidRPr="002844B1">
        <w:rPr>
          <w:sz w:val="21"/>
          <w:szCs w:val="21"/>
        </w:rPr>
        <w:t xml:space="preserve"> ne sont pas encore publiés par l’ACAPS.</w:t>
      </w:r>
    </w:p>
    <w:p w:rsidR="005B279D" w:rsidRPr="002844B1" w:rsidRDefault="00000000">
      <w:pPr>
        <w:pStyle w:val="Heading4"/>
      </w:pPr>
      <w:bookmarkStart w:id="116" w:name="Xc425fc38e0e5ab3433dbb608f017e66bae918da"/>
      <w:bookmarkEnd w:id="115"/>
      <w:r w:rsidRPr="002844B1">
        <w:t>Exigence de capital relative au risque de catastrophe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Cat</m:t>
            </m:r>
          </m:sub>
        </m:sSub>
      </m:oMath>
      <w:r w:rsidRPr="002844B1">
        <w:t>)</w:t>
      </w:r>
    </w:p>
    <w:p w:rsidR="005B279D" w:rsidRPr="002844B1" w:rsidRDefault="00000000" w:rsidP="00A96318">
      <w:pPr>
        <w:pStyle w:val="FirstParagraph"/>
        <w:jc w:val="both"/>
        <w:rPr>
          <w:sz w:val="21"/>
          <w:szCs w:val="21"/>
        </w:rPr>
      </w:pPr>
      <w:r w:rsidRPr="002844B1">
        <w:rPr>
          <w:sz w:val="21"/>
          <w:szCs w:val="21"/>
        </w:rPr>
        <w:t xml:space="preserve">L’exigence de capital relative au risque de catastrophe vie correspond à l’application d’un coefficient de </w:t>
      </w:r>
      <m:oMath>
        <m:r>
          <w:rPr>
            <w:rFonts w:ascii="Cambria Math" w:hAnsi="Cambria Math"/>
            <w:sz w:val="21"/>
            <w:szCs w:val="21"/>
          </w:rPr>
          <m:t>X%</m:t>
        </m:r>
      </m:oMath>
      <w:r w:rsidRPr="002844B1">
        <w:rPr>
          <w:sz w:val="21"/>
          <w:szCs w:val="21"/>
        </w:rPr>
        <w:t xml:space="preserve"> (non encore publié) aux montants des capitaux sous risque relatifs aux garanties en cas de décès nets de réassurance.</w:t>
      </w:r>
    </w:p>
    <w:p w:rsidR="005B279D" w:rsidRPr="002844B1" w:rsidRDefault="00000000" w:rsidP="00A96318">
      <w:pPr>
        <w:pStyle w:val="BodyText"/>
        <w:jc w:val="both"/>
        <w:rPr>
          <w:sz w:val="21"/>
          <w:szCs w:val="21"/>
        </w:rPr>
      </w:pPr>
      <m:oMathPara>
        <m:oMathParaPr>
          <m:jc m:val="center"/>
        </m:oMathParaPr>
        <m:oMath>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Cat</m:t>
              </m:r>
            </m:sub>
          </m:sSub>
          <m:r>
            <w:rPr>
              <w:rFonts w:ascii="Cambria Math" w:hAnsi="Cambria Math"/>
              <w:sz w:val="21"/>
              <w:szCs w:val="21"/>
            </w:rPr>
            <m:t>=BE</m:t>
          </m:r>
          <m:d>
            <m:dPr>
              <m:ctrlPr>
                <w:rPr>
                  <w:rFonts w:ascii="Cambria Math" w:hAnsi="Cambria Math"/>
                  <w:sz w:val="21"/>
                  <w:szCs w:val="21"/>
                </w:rPr>
              </m:ctrlPr>
            </m:dPr>
            <m:e>
              <m:r>
                <w:rPr>
                  <w:rFonts w:ascii="Cambria Math" w:hAnsi="Cambria Math"/>
                  <w:sz w:val="21"/>
                  <w:szCs w:val="21"/>
                </w:rPr>
                <m:t>Choc</m:t>
              </m:r>
            </m:e>
          </m:d>
          <m:r>
            <w:rPr>
              <w:rFonts w:ascii="Cambria Math" w:hAnsi="Cambria Math"/>
              <w:sz w:val="21"/>
              <w:szCs w:val="21"/>
            </w:rPr>
            <m:t>-BE ,  </m:t>
          </m:r>
          <m:d>
            <m:dPr>
              <m:ctrlPr>
                <w:rPr>
                  <w:rFonts w:ascii="Cambria Math" w:hAnsi="Cambria Math"/>
                  <w:sz w:val="21"/>
                  <w:szCs w:val="21"/>
                </w:rPr>
              </m:ctrlPr>
            </m:dPr>
            <m:e>
              <m:r>
                <w:rPr>
                  <w:rFonts w:ascii="Cambria Math" w:hAnsi="Cambria Math"/>
                  <w:sz w:val="21"/>
                  <w:szCs w:val="21"/>
                </w:rPr>
                <m:t>68</m:t>
              </m:r>
            </m:e>
          </m:d>
        </m:oMath>
      </m:oMathPara>
    </w:p>
    <w:p w:rsidR="005B279D" w:rsidRPr="002844B1" w:rsidRDefault="00000000" w:rsidP="00A96318">
      <w:pPr>
        <w:pStyle w:val="FirstParagraph"/>
        <w:jc w:val="both"/>
        <w:rPr>
          <w:sz w:val="21"/>
          <w:szCs w:val="21"/>
        </w:rPr>
      </w:pPr>
      <w:r w:rsidRPr="002844B1">
        <w:rPr>
          <w:sz w:val="21"/>
          <w:szCs w:val="21"/>
        </w:rPr>
        <w:t>avec :</w:t>
      </w:r>
    </w:p>
    <w:p w:rsidR="005B279D" w:rsidRPr="002844B1" w:rsidRDefault="00000000" w:rsidP="00A96318">
      <w:pPr>
        <w:pStyle w:val="Compact"/>
        <w:numPr>
          <w:ilvl w:val="0"/>
          <w:numId w:val="64"/>
        </w:numPr>
        <w:jc w:val="both"/>
        <w:rPr>
          <w:sz w:val="21"/>
          <w:szCs w:val="21"/>
        </w:rPr>
      </w:pPr>
      <m:oMath>
        <m:r>
          <w:rPr>
            <w:rFonts w:ascii="Cambria Math" w:hAnsi="Cambria Math"/>
            <w:sz w:val="21"/>
            <w:szCs w:val="21"/>
          </w:rPr>
          <m:t>BE</m:t>
        </m:r>
        <m:d>
          <m:dPr>
            <m:ctrlPr>
              <w:rPr>
                <w:rFonts w:ascii="Cambria Math" w:hAnsi="Cambria Math"/>
                <w:sz w:val="21"/>
                <w:szCs w:val="21"/>
              </w:rPr>
            </m:ctrlPr>
          </m:dPr>
          <m:e>
            <m:r>
              <w:rPr>
                <w:rFonts w:ascii="Cambria Math" w:hAnsi="Cambria Math"/>
                <w:sz w:val="21"/>
                <w:szCs w:val="21"/>
              </w:rPr>
              <m:t>Choc</m:t>
            </m:r>
          </m:e>
        </m:d>
      </m:oMath>
      <w:r w:rsidRPr="002844B1">
        <w:rPr>
          <w:sz w:val="21"/>
          <w:szCs w:val="21"/>
        </w:rPr>
        <w:t xml:space="preserve"> : Meilleure estimation après le choc par un coefficient X%, ce taux est estimé à </w:t>
      </w:r>
      <m:oMath>
        <m:r>
          <w:rPr>
            <w:rFonts w:ascii="Cambria Math" w:hAnsi="Cambria Math"/>
            <w:sz w:val="21"/>
            <w:szCs w:val="21"/>
          </w:rPr>
          <m:t>0,2%</m:t>
        </m:r>
      </m:oMath>
      <w:r w:rsidRPr="002844B1">
        <w:rPr>
          <w:sz w:val="21"/>
          <w:szCs w:val="21"/>
        </w:rPr>
        <w:t>,</w:t>
      </w:r>
    </w:p>
    <w:p w:rsidR="005B279D" w:rsidRPr="002844B1" w:rsidRDefault="00000000" w:rsidP="00A96318">
      <w:pPr>
        <w:pStyle w:val="Compact"/>
        <w:numPr>
          <w:ilvl w:val="0"/>
          <w:numId w:val="64"/>
        </w:numPr>
        <w:jc w:val="both"/>
        <w:rPr>
          <w:sz w:val="21"/>
          <w:szCs w:val="21"/>
        </w:rPr>
      </w:pPr>
      <m:oMath>
        <m:r>
          <w:rPr>
            <w:rFonts w:ascii="Cambria Math" w:hAnsi="Cambria Math"/>
            <w:sz w:val="21"/>
            <w:szCs w:val="21"/>
          </w:rPr>
          <m:t>BE</m:t>
        </m:r>
      </m:oMath>
      <w:r w:rsidRPr="002844B1">
        <w:rPr>
          <w:sz w:val="21"/>
          <w:szCs w:val="21"/>
        </w:rPr>
        <w:t>: Meilleure estimation sans aucun choc.</w:t>
      </w:r>
    </w:p>
    <w:p w:rsidR="005B279D" w:rsidRPr="002844B1" w:rsidRDefault="00000000">
      <w:pPr>
        <w:pStyle w:val="Heading3"/>
      </w:pPr>
      <w:bookmarkStart w:id="117" w:name="Xbd0ac9d5bee7e5f803a71cc891308fb216ea9f5"/>
      <w:bookmarkStart w:id="118" w:name="_Toc137651033"/>
      <w:bookmarkEnd w:id="110"/>
      <w:bookmarkEnd w:id="116"/>
      <w:r w:rsidRPr="002844B1">
        <w:t>Exigence de capital relative au risque de souscription non vie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SNV</m:t>
            </m:r>
          </m:sub>
        </m:sSub>
      </m:oMath>
      <w:r w:rsidRPr="002844B1">
        <w:t>)</w:t>
      </w:r>
      <w:bookmarkEnd w:id="118"/>
    </w:p>
    <w:p w:rsidR="005B279D" w:rsidRPr="002844B1" w:rsidRDefault="00000000" w:rsidP="00A96318">
      <w:pPr>
        <w:pStyle w:val="FirstParagraph"/>
        <w:jc w:val="both"/>
        <w:rPr>
          <w:sz w:val="21"/>
          <w:szCs w:val="21"/>
        </w:rPr>
      </w:pPr>
      <w:r w:rsidRPr="002844B1">
        <w:rPr>
          <w:sz w:val="21"/>
          <w:szCs w:val="21"/>
        </w:rPr>
        <w:t>L’exigence de capital relative au risque de souscription non-vie est la somme totale des exigences de capitaux relatives aux , une fois les coefficients de corrélation appliqués.</w:t>
      </w:r>
    </w:p>
    <w:p w:rsidR="005B279D" w:rsidRPr="002844B1" w:rsidRDefault="00000000" w:rsidP="00A96318">
      <w:pPr>
        <w:pStyle w:val="BodyText"/>
        <w:jc w:val="both"/>
        <w:rPr>
          <w:sz w:val="21"/>
          <w:szCs w:val="21"/>
        </w:rPr>
      </w:pPr>
      <m:oMathPara>
        <m:oMathParaPr>
          <m:jc m:val="center"/>
        </m:oMathParaPr>
        <m:oMath>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SNV</m:t>
              </m:r>
            </m:sub>
          </m:sSub>
          <m:r>
            <w:rPr>
              <w:rFonts w:ascii="Cambria Math" w:hAnsi="Cambria Math"/>
              <w:sz w:val="21"/>
              <w:szCs w:val="21"/>
            </w:rPr>
            <m:t>=</m:t>
          </m:r>
          <m:rad>
            <m:radPr>
              <m:degHide m:val="1"/>
              <m:ctrlPr>
                <w:rPr>
                  <w:rFonts w:ascii="Cambria Math" w:hAnsi="Cambria Math"/>
                  <w:sz w:val="21"/>
                  <w:szCs w:val="21"/>
                </w:rPr>
              </m:ctrlPr>
            </m:radPr>
            <m:deg/>
            <m:e>
              <m:nary>
                <m:naryPr>
                  <m:chr m:val="∑"/>
                  <m:limLoc m:val="undOvr"/>
                  <m:supHide m:val="1"/>
                  <m:ctrlPr>
                    <w:rPr>
                      <w:rFonts w:ascii="Cambria Math" w:hAnsi="Cambria Math"/>
                      <w:sz w:val="21"/>
                      <w:szCs w:val="21"/>
                    </w:rPr>
                  </m:ctrlPr>
                </m:naryPr>
                <m:sub>
                  <m:r>
                    <w:rPr>
                      <w:rFonts w:ascii="Cambria Math" w:hAnsi="Cambria Math"/>
                      <w:sz w:val="21"/>
                      <w:szCs w:val="21"/>
                    </w:rPr>
                    <m:t>i,j</m:t>
                  </m:r>
                </m:sub>
                <m:sup>
                  <m:r>
                    <w:rPr>
                      <w:rFonts w:ascii="Cambria Math" w:hAnsi="Cambria Math"/>
                      <w:sz w:val="21"/>
                      <w:szCs w:val="21"/>
                    </w:rPr>
                    <m:t>​</m:t>
                  </m:r>
                </m:sup>
                <m:e>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ρ</m:t>
                          </m:r>
                        </m:e>
                        <m:sub>
                          <m:r>
                            <w:rPr>
                              <w:rFonts w:ascii="Cambria Math" w:hAnsi="Cambria Math"/>
                              <w:sz w:val="21"/>
                              <w:szCs w:val="21"/>
                            </w:rPr>
                            <m:t>i,j</m:t>
                          </m:r>
                        </m:sub>
                      </m:sSub>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e>
                  </m:d>
                </m:e>
              </m:nary>
            </m:e>
          </m:rad>
          <m:r>
            <w:rPr>
              <w:rFonts w:ascii="Cambria Math" w:hAnsi="Cambria Math"/>
              <w:sz w:val="21"/>
              <w:szCs w:val="21"/>
            </w:rPr>
            <m:t> ,  </m:t>
          </m:r>
          <m:d>
            <m:dPr>
              <m:ctrlPr>
                <w:rPr>
                  <w:rFonts w:ascii="Cambria Math" w:hAnsi="Cambria Math"/>
                  <w:sz w:val="21"/>
                  <w:szCs w:val="21"/>
                </w:rPr>
              </m:ctrlPr>
            </m:dPr>
            <m:e>
              <m:r>
                <w:rPr>
                  <w:rFonts w:ascii="Cambria Math" w:hAnsi="Cambria Math"/>
                  <w:sz w:val="21"/>
                  <w:szCs w:val="21"/>
                </w:rPr>
                <m:t>69</m:t>
              </m:r>
            </m:e>
          </m:d>
        </m:oMath>
      </m:oMathPara>
    </w:p>
    <w:p w:rsidR="005B279D" w:rsidRPr="002844B1" w:rsidRDefault="00000000" w:rsidP="00A96318">
      <w:pPr>
        <w:pStyle w:val="FirstParagraph"/>
        <w:jc w:val="both"/>
        <w:rPr>
          <w:sz w:val="21"/>
          <w:szCs w:val="21"/>
        </w:rPr>
      </w:pPr>
      <w:r w:rsidRPr="002844B1">
        <w:rPr>
          <w:sz w:val="21"/>
          <w:szCs w:val="21"/>
        </w:rPr>
        <w:t>avec :</w:t>
      </w:r>
    </w:p>
    <w:p w:rsidR="005B279D" w:rsidRPr="002844B1" w:rsidRDefault="00000000" w:rsidP="00A96318">
      <w:pPr>
        <w:pStyle w:val="BodyText"/>
        <w:jc w:val="both"/>
        <w:rPr>
          <w:sz w:val="21"/>
          <w:szCs w:val="21"/>
        </w:rPr>
      </w:pPr>
      <m:oMathPara>
        <m:oMath>
          <m:r>
            <w:rPr>
              <w:rFonts w:ascii="Cambria Math" w:hAnsi="Cambria Math"/>
              <w:sz w:val="21"/>
              <w:szCs w:val="21"/>
            </w:rPr>
            <m:t>i,j∈{</m:t>
          </m:r>
          <m:r>
            <m:rPr>
              <m:nor/>
            </m:rPr>
            <w:rPr>
              <w:sz w:val="21"/>
              <w:szCs w:val="21"/>
            </w:rPr>
            <m:t>Primes, Provisions, Catastrophe</m:t>
          </m:r>
          <m:r>
            <w:rPr>
              <w:rFonts w:ascii="Cambria Math" w:hAnsi="Cambria Math"/>
              <w:sz w:val="21"/>
              <w:szCs w:val="21"/>
            </w:rPr>
            <m:t>}</m:t>
          </m:r>
        </m:oMath>
      </m:oMathPara>
    </w:p>
    <w:p w:rsidR="005B279D" w:rsidRPr="002844B1" w:rsidRDefault="00000000" w:rsidP="00A96318">
      <w:pPr>
        <w:pStyle w:val="BodyText"/>
        <w:jc w:val="both"/>
        <w:rPr>
          <w:sz w:val="21"/>
          <w:szCs w:val="21"/>
        </w:rPr>
      </w:pPr>
      <m:oMath>
        <m:r>
          <w:rPr>
            <w:rFonts w:ascii="Cambria Math" w:hAnsi="Cambria Math"/>
            <w:sz w:val="21"/>
            <w:szCs w:val="21"/>
          </w:rPr>
          <m:t>ρ</m:t>
        </m:r>
      </m:oMath>
      <w:r w:rsidRPr="002844B1">
        <w:rPr>
          <w:sz w:val="21"/>
          <w:szCs w:val="21"/>
        </w:rPr>
        <w:t xml:space="preserve"> : le coefficient de corrélation.</w:t>
      </w:r>
    </w:p>
    <w:p w:rsidR="005B279D" w:rsidRPr="002844B1" w:rsidRDefault="00000000">
      <w:pPr>
        <w:pStyle w:val="Heading4"/>
      </w:pPr>
      <w:bookmarkStart w:id="119" w:name="Xae7d56ebf3941082763747c73c9ac177ca68057"/>
      <w:r w:rsidRPr="002844B1">
        <w:t>Exigence de capital relative au sous-risque de primes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P</m:t>
            </m:r>
          </m:sub>
        </m:sSub>
      </m:oMath>
      <w:r w:rsidRPr="002844B1">
        <w:t>)</w:t>
      </w:r>
    </w:p>
    <w:p w:rsidR="005B279D" w:rsidRPr="002844B1" w:rsidRDefault="00000000" w:rsidP="00997111">
      <w:pPr>
        <w:pStyle w:val="FirstParagraph"/>
        <w:jc w:val="both"/>
        <w:rPr>
          <w:sz w:val="21"/>
          <w:szCs w:val="21"/>
        </w:rPr>
      </w:pPr>
      <w:r w:rsidRPr="002844B1">
        <w:rPr>
          <w:sz w:val="21"/>
          <w:szCs w:val="21"/>
        </w:rPr>
        <w:t>L’exigence de capital relative au sous-risque de primes est le montant total des exigences de capitaux relatives aux sous-risques de primes par sous-catégorie et ce, après application des coefficients de corrélations.</w:t>
      </w:r>
    </w:p>
    <w:p w:rsidR="005B279D" w:rsidRPr="002844B1" w:rsidRDefault="00000000" w:rsidP="00997111">
      <w:pPr>
        <w:pStyle w:val="BodyText"/>
        <w:jc w:val="both"/>
        <w:rPr>
          <w:sz w:val="21"/>
          <w:szCs w:val="21"/>
        </w:rPr>
      </w:pPr>
      <m:oMathPara>
        <m:oMathParaPr>
          <m:jc m:val="center"/>
        </m:oMathParaPr>
        <m:oMath>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P</m:t>
              </m:r>
            </m:sub>
          </m:sSub>
          <m:r>
            <w:rPr>
              <w:rFonts w:ascii="Cambria Math" w:hAnsi="Cambria Math"/>
              <w:sz w:val="21"/>
              <w:szCs w:val="21"/>
            </w:rPr>
            <m:t>=</m:t>
          </m:r>
          <m:rad>
            <m:radPr>
              <m:degHide m:val="1"/>
              <m:ctrlPr>
                <w:rPr>
                  <w:rFonts w:ascii="Cambria Math" w:hAnsi="Cambria Math"/>
                  <w:sz w:val="21"/>
                  <w:szCs w:val="21"/>
                </w:rPr>
              </m:ctrlPr>
            </m:radPr>
            <m:deg/>
            <m:e>
              <m:nary>
                <m:naryPr>
                  <m:chr m:val="∑"/>
                  <m:limLoc m:val="undOvr"/>
                  <m:supHide m:val="1"/>
                  <m:ctrlPr>
                    <w:rPr>
                      <w:rFonts w:ascii="Cambria Math" w:hAnsi="Cambria Math"/>
                      <w:sz w:val="21"/>
                      <w:szCs w:val="21"/>
                    </w:rPr>
                  </m:ctrlPr>
                </m:naryPr>
                <m:sub>
                  <m:r>
                    <w:rPr>
                      <w:rFonts w:ascii="Cambria Math" w:hAnsi="Cambria Math"/>
                      <w:sz w:val="21"/>
                      <w:szCs w:val="21"/>
                    </w:rPr>
                    <m:t>i,j</m:t>
                  </m:r>
                </m:sub>
                <m:sup>
                  <m:r>
                    <w:rPr>
                      <w:rFonts w:ascii="Cambria Math" w:hAnsi="Cambria Math"/>
                      <w:sz w:val="21"/>
                      <w:szCs w:val="21"/>
                    </w:rPr>
                    <m:t>​</m:t>
                  </m:r>
                </m:sup>
                <m:e>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ρ</m:t>
                          </m:r>
                        </m:e>
                        <m:sub>
                          <m:r>
                            <w:rPr>
                              <w:rFonts w:ascii="Cambria Math" w:hAnsi="Cambria Math"/>
                              <w:sz w:val="21"/>
                              <w:szCs w:val="21"/>
                            </w:rPr>
                            <m:t>i,j</m:t>
                          </m:r>
                        </m:sub>
                      </m:sSub>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e>
                  </m:d>
                </m:e>
              </m:nary>
            </m:e>
          </m:rad>
          <m:r>
            <w:rPr>
              <w:rFonts w:ascii="Cambria Math" w:hAnsi="Cambria Math"/>
              <w:sz w:val="21"/>
              <w:szCs w:val="21"/>
            </w:rPr>
            <m:t> ,  </m:t>
          </m:r>
          <m:d>
            <m:dPr>
              <m:ctrlPr>
                <w:rPr>
                  <w:rFonts w:ascii="Cambria Math" w:hAnsi="Cambria Math"/>
                  <w:sz w:val="21"/>
                  <w:szCs w:val="21"/>
                </w:rPr>
              </m:ctrlPr>
            </m:dPr>
            <m:e>
              <m:r>
                <w:rPr>
                  <w:rFonts w:ascii="Cambria Math" w:hAnsi="Cambria Math"/>
                  <w:sz w:val="21"/>
                  <w:szCs w:val="21"/>
                </w:rPr>
                <m:t>70</m:t>
              </m:r>
            </m:e>
          </m:d>
        </m:oMath>
      </m:oMathPara>
    </w:p>
    <w:p w:rsidR="005B279D" w:rsidRPr="002844B1" w:rsidRDefault="00000000" w:rsidP="00997111">
      <w:pPr>
        <w:pStyle w:val="FirstParagraph"/>
        <w:jc w:val="both"/>
        <w:rPr>
          <w:sz w:val="21"/>
          <w:szCs w:val="21"/>
        </w:rPr>
      </w:pPr>
      <w:r w:rsidRPr="002844B1">
        <w:rPr>
          <w:sz w:val="21"/>
          <w:szCs w:val="21"/>
        </w:rPr>
        <w:t>avec :</w:t>
      </w:r>
    </w:p>
    <w:p w:rsidR="005B279D" w:rsidRPr="002844B1" w:rsidRDefault="00000000" w:rsidP="00997111">
      <w:pPr>
        <w:pStyle w:val="BodyText"/>
        <w:jc w:val="both"/>
        <w:rPr>
          <w:sz w:val="21"/>
          <w:szCs w:val="21"/>
        </w:rPr>
      </w:pPr>
      <m:oMathPara>
        <m:oMath>
          <m:r>
            <w:rPr>
              <w:rFonts w:ascii="Cambria Math" w:hAnsi="Cambria Math"/>
              <w:sz w:val="21"/>
              <w:szCs w:val="21"/>
            </w:rPr>
            <m:t>i,j∈{</m:t>
          </m:r>
          <m:r>
            <m:rPr>
              <m:nor/>
            </m:rPr>
            <w:rPr>
              <w:sz w:val="21"/>
              <w:szCs w:val="21"/>
            </w:rPr>
            <m:t xml:space="preserve">Les sous-risques de primes par sous-categorie </m:t>
          </m:r>
          <m:r>
            <w:rPr>
              <w:rFonts w:ascii="Cambria Math" w:hAnsi="Cambria Math"/>
              <w:sz w:val="21"/>
              <w:szCs w:val="21"/>
            </w:rPr>
            <m:t>}</m:t>
          </m:r>
        </m:oMath>
      </m:oMathPara>
    </w:p>
    <w:p w:rsidR="005B279D" w:rsidRPr="002844B1" w:rsidRDefault="00000000" w:rsidP="00997111">
      <w:pPr>
        <w:pStyle w:val="BodyText"/>
        <w:jc w:val="both"/>
        <w:rPr>
          <w:sz w:val="21"/>
          <w:szCs w:val="21"/>
        </w:rPr>
      </w:pPr>
      <m:oMath>
        <m:r>
          <w:rPr>
            <w:rFonts w:ascii="Cambria Math" w:hAnsi="Cambria Math"/>
            <w:sz w:val="21"/>
            <w:szCs w:val="21"/>
          </w:rPr>
          <m:t>ρ</m:t>
        </m:r>
      </m:oMath>
      <w:r w:rsidRPr="002844B1">
        <w:rPr>
          <w:sz w:val="21"/>
          <w:szCs w:val="21"/>
        </w:rPr>
        <w:t xml:space="preserve"> : le coefficient de corrélation entre les sous-catégories des sous-risques de primes.</w:t>
      </w:r>
    </w:p>
    <w:p w:rsidR="005B279D" w:rsidRPr="002844B1" w:rsidRDefault="00000000" w:rsidP="00997111">
      <w:pPr>
        <w:pStyle w:val="BodyText"/>
        <w:jc w:val="both"/>
        <w:rPr>
          <w:sz w:val="21"/>
          <w:szCs w:val="21"/>
        </w:rPr>
      </w:pPr>
      <w:r w:rsidRPr="002844B1">
        <w:rPr>
          <w:sz w:val="21"/>
          <w:szCs w:val="21"/>
        </w:rPr>
        <w:t>Pour chaque sous-catégorie, l’exigence de capital afférente au sous risque de primes est égale à X fois le produit de l’écart-type de primes et du montant des primes acquises augmenté de la provision pour primes non-acquises nettes de réassurance au titre de l’exercice inventorié.</w:t>
      </w:r>
    </w:p>
    <w:p w:rsidR="005B279D" w:rsidRPr="002844B1" w:rsidRDefault="00000000" w:rsidP="00997111">
      <w:pPr>
        <w:pStyle w:val="BodyText"/>
        <w:jc w:val="both"/>
        <w:rPr>
          <w:sz w:val="21"/>
          <w:szCs w:val="21"/>
        </w:rPr>
      </w:pPr>
      <m:oMathPara>
        <m:oMathParaPr>
          <m:jc m:val="center"/>
        </m:oMathParaPr>
        <m:oMath>
          <m:r>
            <w:rPr>
              <w:rFonts w:ascii="Cambria Math" w:hAnsi="Cambria Math"/>
              <w:sz w:val="21"/>
              <w:szCs w:val="21"/>
            </w:rPr>
            <w:lastRenderedPageBreak/>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P</m:t>
              </m:r>
            </m:sub>
          </m:sSub>
          <m:d>
            <m:dPr>
              <m:ctrlPr>
                <w:rPr>
                  <w:rFonts w:ascii="Cambria Math" w:hAnsi="Cambria Math"/>
                  <w:sz w:val="21"/>
                  <w:szCs w:val="21"/>
                </w:rPr>
              </m:ctrlPr>
            </m:dPr>
            <m:e>
              <m:r>
                <m:rPr>
                  <m:nor/>
                </m:rPr>
                <w:rPr>
                  <w:sz w:val="21"/>
                  <w:szCs w:val="21"/>
                </w:rPr>
                <m:t>sous-categorie</m:t>
              </m:r>
            </m:e>
          </m:d>
          <m:r>
            <w:rPr>
              <w:rFonts w:ascii="Cambria Math" w:hAnsi="Cambria Math"/>
              <w:sz w:val="21"/>
              <w:szCs w:val="21"/>
            </w:rPr>
            <m:t>=X×</m:t>
          </m:r>
          <m:sSub>
            <m:sSubPr>
              <m:ctrlPr>
                <w:rPr>
                  <w:rFonts w:ascii="Cambria Math" w:hAnsi="Cambria Math"/>
                  <w:sz w:val="21"/>
                  <w:szCs w:val="21"/>
                </w:rPr>
              </m:ctrlPr>
            </m:sSubPr>
            <m:e>
              <m:r>
                <w:rPr>
                  <w:rFonts w:ascii="Cambria Math" w:hAnsi="Cambria Math"/>
                  <w:sz w:val="21"/>
                  <w:szCs w:val="21"/>
                </w:rPr>
                <m:t>σ</m:t>
              </m:r>
            </m:e>
            <m:sub>
              <m:r>
                <w:rPr>
                  <w:rFonts w:ascii="Cambria Math" w:hAnsi="Cambria Math"/>
                  <w:sz w:val="21"/>
                  <w:szCs w:val="21"/>
                </w:rPr>
                <m:t>P</m:t>
              </m:r>
            </m:sub>
          </m:sSub>
          <m:r>
            <w:rPr>
              <w:rFonts w:ascii="Cambria Math" w:hAnsi="Cambria Math"/>
              <w:sz w:val="21"/>
              <w:szCs w:val="21"/>
            </w:rPr>
            <m:t>×P ,</m:t>
          </m:r>
        </m:oMath>
      </m:oMathPara>
    </w:p>
    <w:p w:rsidR="005B279D" w:rsidRPr="002844B1" w:rsidRDefault="00000000" w:rsidP="00997111">
      <w:pPr>
        <w:pStyle w:val="FirstParagraph"/>
        <w:jc w:val="both"/>
        <w:rPr>
          <w:sz w:val="21"/>
          <w:szCs w:val="21"/>
        </w:rPr>
      </w:pPr>
      <w:r w:rsidRPr="002844B1">
        <w:rPr>
          <w:sz w:val="21"/>
          <w:szCs w:val="21"/>
        </w:rPr>
        <w:t>avec :</w:t>
      </w:r>
    </w:p>
    <w:p w:rsidR="005B279D" w:rsidRPr="002844B1" w:rsidRDefault="00000000" w:rsidP="00997111">
      <w:pPr>
        <w:pStyle w:val="BodyText"/>
        <w:jc w:val="both"/>
        <w:rPr>
          <w:sz w:val="21"/>
          <w:szCs w:val="21"/>
        </w:rPr>
      </w:pPr>
      <m:oMathPara>
        <m:oMathParaPr>
          <m:jc m:val="center"/>
        </m:oMathParaPr>
        <m:oMath>
          <m:r>
            <w:rPr>
              <w:rFonts w:ascii="Cambria Math" w:hAnsi="Cambria Math"/>
              <w:sz w:val="21"/>
              <w:szCs w:val="21"/>
            </w:rPr>
            <m:t>P=PA+PPNA ,</m:t>
          </m:r>
        </m:oMath>
      </m:oMathPara>
    </w:p>
    <w:p w:rsidR="005B279D" w:rsidRPr="002844B1" w:rsidRDefault="00000000" w:rsidP="00997111">
      <w:pPr>
        <w:pStyle w:val="FirstParagraph"/>
        <w:jc w:val="both"/>
        <w:rPr>
          <w:sz w:val="21"/>
          <w:szCs w:val="21"/>
        </w:rPr>
      </w:pPr>
      <w:r w:rsidRPr="002844B1">
        <w:rPr>
          <w:sz w:val="21"/>
          <w:szCs w:val="21"/>
        </w:rPr>
        <w:t>telle que :</w:t>
      </w:r>
    </w:p>
    <w:p w:rsidR="005B279D" w:rsidRPr="002844B1" w:rsidRDefault="00000000" w:rsidP="00997111">
      <w:pPr>
        <w:pStyle w:val="Compact"/>
        <w:numPr>
          <w:ilvl w:val="0"/>
          <w:numId w:val="65"/>
        </w:numPr>
        <w:jc w:val="both"/>
        <w:rPr>
          <w:sz w:val="21"/>
          <w:szCs w:val="21"/>
        </w:rPr>
      </w:pPr>
      <m:oMath>
        <m:r>
          <w:rPr>
            <w:rFonts w:ascii="Cambria Math" w:hAnsi="Cambria Math"/>
            <w:sz w:val="21"/>
            <w:szCs w:val="21"/>
          </w:rPr>
          <m:t>P</m:t>
        </m:r>
      </m:oMath>
      <w:r w:rsidRPr="002844B1">
        <w:rPr>
          <w:sz w:val="21"/>
          <w:szCs w:val="21"/>
        </w:rPr>
        <w:t>: Primes,</w:t>
      </w:r>
    </w:p>
    <w:p w:rsidR="005B279D" w:rsidRPr="002844B1" w:rsidRDefault="00000000" w:rsidP="00997111">
      <w:pPr>
        <w:pStyle w:val="Compact"/>
        <w:numPr>
          <w:ilvl w:val="0"/>
          <w:numId w:val="65"/>
        </w:numPr>
        <w:jc w:val="both"/>
        <w:rPr>
          <w:sz w:val="21"/>
          <w:szCs w:val="21"/>
        </w:rPr>
      </w:pPr>
      <m:oMath>
        <m:r>
          <w:rPr>
            <w:rFonts w:ascii="Cambria Math" w:hAnsi="Cambria Math"/>
            <w:sz w:val="21"/>
            <w:szCs w:val="21"/>
          </w:rPr>
          <m:t>PA</m:t>
        </m:r>
      </m:oMath>
      <w:r w:rsidRPr="002844B1">
        <w:rPr>
          <w:sz w:val="21"/>
          <w:szCs w:val="21"/>
        </w:rPr>
        <w:t xml:space="preserve"> : Primes acquises nettes,</w:t>
      </w:r>
    </w:p>
    <w:p w:rsidR="005B279D" w:rsidRPr="002844B1" w:rsidRDefault="00000000" w:rsidP="00997111">
      <w:pPr>
        <w:pStyle w:val="Compact"/>
        <w:numPr>
          <w:ilvl w:val="0"/>
          <w:numId w:val="65"/>
        </w:numPr>
        <w:jc w:val="both"/>
        <w:rPr>
          <w:sz w:val="21"/>
          <w:szCs w:val="21"/>
        </w:rPr>
      </w:pPr>
      <m:oMath>
        <m:r>
          <w:rPr>
            <w:rFonts w:ascii="Cambria Math" w:hAnsi="Cambria Math"/>
            <w:sz w:val="21"/>
            <w:szCs w:val="21"/>
          </w:rPr>
          <m:t>PPNA</m:t>
        </m:r>
      </m:oMath>
      <w:r w:rsidRPr="002844B1">
        <w:rPr>
          <w:sz w:val="21"/>
          <w:szCs w:val="21"/>
        </w:rPr>
        <w:t xml:space="preserve"> : Provision pour primes non-acquises nettes.</w:t>
      </w:r>
    </w:p>
    <w:p w:rsidR="005B279D" w:rsidRPr="002844B1" w:rsidRDefault="00000000">
      <w:pPr>
        <w:pStyle w:val="Heading4"/>
      </w:pPr>
      <w:bookmarkStart w:id="120" w:name="X533f7701cb3661cf34b00dcb745118a22053996"/>
      <w:bookmarkEnd w:id="119"/>
      <w:r w:rsidRPr="002844B1">
        <w:t>Exigence de capital relative au sous-risque de provisions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Pr</m:t>
            </m:r>
          </m:sub>
        </m:sSub>
      </m:oMath>
      <w:r w:rsidRPr="002844B1">
        <w:t>)</w:t>
      </w:r>
    </w:p>
    <w:p w:rsidR="005B279D" w:rsidRPr="002844B1" w:rsidRDefault="00000000" w:rsidP="00997111">
      <w:pPr>
        <w:pStyle w:val="FirstParagraph"/>
        <w:jc w:val="both"/>
        <w:rPr>
          <w:sz w:val="21"/>
          <w:szCs w:val="21"/>
        </w:rPr>
      </w:pPr>
      <w:r w:rsidRPr="002844B1">
        <w:rPr>
          <w:sz w:val="21"/>
          <w:szCs w:val="21"/>
        </w:rPr>
        <w:t xml:space="preserve">L’exigence de capital relative au sous-risque de provisions est la somme total des exigences de capitaux relatives aux sous-risques de provision par sous-catégorie, </w:t>
      </w:r>
      <w:r w:rsidR="002844B1" w:rsidRPr="002844B1">
        <w:rPr>
          <w:sz w:val="21"/>
          <w:szCs w:val="21"/>
        </w:rPr>
        <w:t>en</w:t>
      </w:r>
      <w:r w:rsidRPr="002844B1">
        <w:rPr>
          <w:sz w:val="21"/>
          <w:szCs w:val="21"/>
        </w:rPr>
        <w:t xml:space="preserve"> prenant </w:t>
      </w:r>
      <w:proofErr w:type="spellStart"/>
      <w:r w:rsidRPr="002844B1">
        <w:rPr>
          <w:sz w:val="21"/>
          <w:szCs w:val="21"/>
        </w:rPr>
        <w:t>on</w:t>
      </w:r>
      <w:proofErr w:type="spellEnd"/>
      <w:r w:rsidRPr="002844B1">
        <w:rPr>
          <w:sz w:val="21"/>
          <w:szCs w:val="21"/>
        </w:rPr>
        <w:t xml:space="preserve"> </w:t>
      </w:r>
      <w:r w:rsidR="002844B1" w:rsidRPr="002844B1">
        <w:rPr>
          <w:sz w:val="21"/>
          <w:szCs w:val="21"/>
        </w:rPr>
        <w:t>considération</w:t>
      </w:r>
      <w:r w:rsidRPr="002844B1">
        <w:rPr>
          <w:sz w:val="21"/>
          <w:szCs w:val="21"/>
        </w:rPr>
        <w:t xml:space="preserve"> les coefficients de </w:t>
      </w:r>
      <w:r w:rsidR="002844B1" w:rsidRPr="002844B1">
        <w:rPr>
          <w:sz w:val="21"/>
          <w:szCs w:val="21"/>
        </w:rPr>
        <w:t>corrélation</w:t>
      </w:r>
      <w:r w:rsidRPr="002844B1">
        <w:rPr>
          <w:sz w:val="21"/>
          <w:szCs w:val="21"/>
        </w:rPr>
        <w:t xml:space="preserve"> entre les sous-risques.</w:t>
      </w:r>
    </w:p>
    <w:p w:rsidR="005B279D" w:rsidRPr="002844B1" w:rsidRDefault="00000000">
      <w:pPr>
        <w:pStyle w:val="BodyText"/>
      </w:pPr>
      <m:oMathPara>
        <m:oMathParaPr>
          <m:jc m:val="center"/>
        </m:oMathParaPr>
        <m:oMath>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Pr</m:t>
              </m:r>
            </m:sub>
          </m:sSub>
          <m:r>
            <w:rPr>
              <w:rFonts w:ascii="Cambria Math" w:hAnsi="Cambria Math"/>
            </w:rPr>
            <m:t>=</m:t>
          </m:r>
          <m:rad>
            <m:radPr>
              <m:degHide m:val="1"/>
              <m:ctrlPr>
                <w:rPr>
                  <w:rFonts w:ascii="Cambria Math" w:hAnsi="Cambria Math"/>
                </w:rPr>
              </m:ctrlPr>
            </m:radPr>
            <m:deg/>
            <m:e>
              <m:nary>
                <m:naryPr>
                  <m:chr m:val="∑"/>
                  <m:limLoc m:val="undOvr"/>
                  <m:supHide m:val="1"/>
                  <m:ctrlPr>
                    <w:rPr>
                      <w:rFonts w:ascii="Cambria Math" w:hAnsi="Cambria Math"/>
                    </w:rPr>
                  </m:ctrlPr>
                </m:naryPr>
                <m:sub>
                  <m:r>
                    <w:rPr>
                      <w:rFonts w:ascii="Cambria Math" w:hAnsi="Cambria Math"/>
                    </w:rPr>
                    <m:t>i,j</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hAnsi="Cambria Math"/>
                            </w:rPr>
                            <m:t>ρ</m:t>
                          </m:r>
                        </m:e>
                        <m:sub>
                          <m:r>
                            <w:rPr>
                              <w:rFonts w:ascii="Cambria Math" w:hAnsi="Cambria Math"/>
                            </w:rPr>
                            <m:t>i,j</m:t>
                          </m:r>
                        </m:sub>
                      </m:sSub>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j</m:t>
                          </m:r>
                        </m:sub>
                      </m:sSub>
                    </m:e>
                  </m:d>
                </m:e>
              </m:nary>
            </m:e>
          </m:rad>
          <m:r>
            <w:rPr>
              <w:rFonts w:ascii="Cambria Math" w:hAnsi="Cambria Math"/>
            </w:rPr>
            <m:t> ,  </m:t>
          </m:r>
          <m:d>
            <m:dPr>
              <m:ctrlPr>
                <w:rPr>
                  <w:rFonts w:ascii="Cambria Math" w:hAnsi="Cambria Math"/>
                </w:rPr>
              </m:ctrlPr>
            </m:dPr>
            <m:e>
              <m:r>
                <w:rPr>
                  <w:rFonts w:ascii="Cambria Math" w:hAnsi="Cambria Math"/>
                </w:rPr>
                <m:t>71</m:t>
              </m:r>
            </m:e>
          </m:d>
        </m:oMath>
      </m:oMathPara>
    </w:p>
    <w:p w:rsidR="005B279D" w:rsidRPr="002844B1" w:rsidRDefault="00000000" w:rsidP="00997111">
      <w:pPr>
        <w:pStyle w:val="FirstParagraph"/>
        <w:jc w:val="both"/>
        <w:rPr>
          <w:sz w:val="21"/>
          <w:szCs w:val="21"/>
        </w:rPr>
      </w:pPr>
      <w:r w:rsidRPr="002844B1">
        <w:rPr>
          <w:sz w:val="21"/>
          <w:szCs w:val="21"/>
        </w:rPr>
        <w:t>avec :</w:t>
      </w:r>
    </w:p>
    <w:p w:rsidR="005B279D" w:rsidRPr="002844B1" w:rsidRDefault="00000000" w:rsidP="00997111">
      <w:pPr>
        <w:pStyle w:val="BodyText"/>
        <w:jc w:val="both"/>
        <w:rPr>
          <w:sz w:val="21"/>
          <w:szCs w:val="21"/>
        </w:rPr>
      </w:pPr>
      <m:oMath>
        <m:r>
          <w:rPr>
            <w:rFonts w:ascii="Cambria Math" w:hAnsi="Cambria Math"/>
            <w:sz w:val="21"/>
            <w:szCs w:val="21"/>
          </w:rPr>
          <m:t>i,j∈{</m:t>
        </m:r>
        <m:r>
          <m:rPr>
            <m:nor/>
          </m:rPr>
          <w:rPr>
            <w:sz w:val="21"/>
            <w:szCs w:val="21"/>
          </w:rPr>
          <m:t>Les sous-risques de provisions par sous-categorie</m:t>
        </m:r>
        <m:r>
          <w:rPr>
            <w:rFonts w:ascii="Cambria Math" w:hAnsi="Cambria Math"/>
            <w:sz w:val="21"/>
            <w:szCs w:val="21"/>
          </w:rPr>
          <m:t>}</m:t>
        </m:r>
      </m:oMath>
      <w:r w:rsidRPr="002844B1">
        <w:rPr>
          <w:sz w:val="21"/>
          <w:szCs w:val="21"/>
        </w:rPr>
        <w:t>.</w:t>
      </w:r>
    </w:p>
    <w:p w:rsidR="005B279D" w:rsidRPr="002844B1" w:rsidRDefault="00000000" w:rsidP="00997111">
      <w:pPr>
        <w:pStyle w:val="BodyText"/>
        <w:jc w:val="both"/>
        <w:rPr>
          <w:sz w:val="21"/>
          <w:szCs w:val="21"/>
        </w:rPr>
      </w:pPr>
      <m:oMath>
        <m:r>
          <w:rPr>
            <w:rFonts w:ascii="Cambria Math" w:hAnsi="Cambria Math"/>
            <w:sz w:val="21"/>
            <w:szCs w:val="21"/>
          </w:rPr>
          <m:t>ρ</m:t>
        </m:r>
      </m:oMath>
      <w:r w:rsidRPr="002844B1">
        <w:rPr>
          <w:sz w:val="21"/>
          <w:szCs w:val="21"/>
        </w:rPr>
        <w:t xml:space="preserve"> : le coefficient de corrélation entre les sous-catégories des sous-risques de provisions.</w:t>
      </w:r>
    </w:p>
    <w:p w:rsidR="005B279D" w:rsidRPr="002844B1" w:rsidRDefault="00000000" w:rsidP="00997111">
      <w:pPr>
        <w:pStyle w:val="BodyText"/>
        <w:jc w:val="both"/>
        <w:rPr>
          <w:sz w:val="21"/>
          <w:szCs w:val="21"/>
        </w:rPr>
      </w:pPr>
      <w:r w:rsidRPr="002844B1">
        <w:rPr>
          <w:sz w:val="21"/>
          <w:szCs w:val="21"/>
        </w:rPr>
        <w:t>Pour chaque sous-catégorie, l’exigence de capital afférente au sous risque de provision est égale à X fois le produit de l’écart-type de provisions et du montant de la meilleure estimation des engagements pour sinistres nette de réassurance.</w:t>
      </w:r>
    </w:p>
    <w:p w:rsidR="005B279D" w:rsidRPr="002844B1" w:rsidRDefault="00000000">
      <w:pPr>
        <w:pStyle w:val="BodyText"/>
      </w:pPr>
      <m:oMathPara>
        <m:oMathParaPr>
          <m:jc m:val="center"/>
        </m:oMathParaPr>
        <m:oMath>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Pr</m:t>
              </m:r>
            </m:sub>
          </m:sSub>
          <m:d>
            <m:dPr>
              <m:ctrlPr>
                <w:rPr>
                  <w:rFonts w:ascii="Cambria Math" w:hAnsi="Cambria Math"/>
                </w:rPr>
              </m:ctrlPr>
            </m:dPr>
            <m:e>
              <m:r>
                <m:rPr>
                  <m:nor/>
                </m:rPr>
                <m:t>sous-categorie</m:t>
              </m:r>
            </m:e>
          </m:d>
          <m:r>
            <w:rPr>
              <w:rFonts w:ascii="Cambria Math" w:hAnsi="Cambria Math"/>
            </w:rPr>
            <m:t>=X%×</m:t>
          </m:r>
          <m:sSub>
            <m:sSubPr>
              <m:ctrlPr>
                <w:rPr>
                  <w:rFonts w:ascii="Cambria Math" w:hAnsi="Cambria Math"/>
                </w:rPr>
              </m:ctrlPr>
            </m:sSubPr>
            <m:e>
              <m:r>
                <w:rPr>
                  <w:rFonts w:ascii="Cambria Math" w:hAnsi="Cambria Math"/>
                </w:rPr>
                <m:t>σ</m:t>
              </m:r>
            </m:e>
            <m:sub>
              <m:r>
                <w:rPr>
                  <w:rFonts w:ascii="Cambria Math" w:hAnsi="Cambria Math"/>
                </w:rPr>
                <m:t>Pr</m:t>
              </m:r>
            </m:sub>
          </m:sSub>
          <m:r>
            <w:rPr>
              <w:rFonts w:ascii="Cambria Math" w:hAnsi="Cambria Math"/>
            </w:rPr>
            <m:t>×B</m:t>
          </m:r>
          <m:sSub>
            <m:sSubPr>
              <m:ctrlPr>
                <w:rPr>
                  <w:rFonts w:ascii="Cambria Math" w:hAnsi="Cambria Math"/>
                </w:rPr>
              </m:ctrlPr>
            </m:sSubPr>
            <m:e>
              <m:r>
                <w:rPr>
                  <w:rFonts w:ascii="Cambria Math" w:hAnsi="Cambria Math"/>
                </w:rPr>
                <m:t>E</m:t>
              </m:r>
            </m:e>
            <m:sub>
              <m:r>
                <w:rPr>
                  <w:rFonts w:ascii="Cambria Math" w:hAnsi="Cambria Math"/>
                </w:rPr>
                <m:t>eng</m:t>
              </m:r>
            </m:sub>
          </m:sSub>
        </m:oMath>
      </m:oMathPara>
    </w:p>
    <w:p w:rsidR="005B279D" w:rsidRPr="002844B1" w:rsidRDefault="00000000">
      <w:pPr>
        <w:pStyle w:val="Heading4"/>
      </w:pPr>
      <w:bookmarkStart w:id="121" w:name="X59b87b9c1564dfa6327f8096dc87cc44d59238b"/>
      <w:bookmarkEnd w:id="120"/>
      <w:r w:rsidRPr="002844B1">
        <w:t>Exigence de capital relative au risque de catastrophe non-vie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Cat</m:t>
            </m:r>
          </m:sub>
        </m:sSub>
      </m:oMath>
      <w:r w:rsidRPr="002844B1">
        <w:t>)</w:t>
      </w:r>
    </w:p>
    <w:p w:rsidR="005B279D" w:rsidRPr="002844B1" w:rsidRDefault="00000000" w:rsidP="00997111">
      <w:pPr>
        <w:pStyle w:val="FirstParagraph"/>
        <w:jc w:val="both"/>
        <w:rPr>
          <w:sz w:val="21"/>
          <w:szCs w:val="21"/>
        </w:rPr>
      </w:pPr>
      <w:r w:rsidRPr="002844B1">
        <w:rPr>
          <w:sz w:val="21"/>
          <w:szCs w:val="21"/>
        </w:rPr>
        <w:t>L’exigence de capital relative au risque de catastrophe non-vie correspond au racine carrée de la somme des carrés des exigences de capitaux relatives au sous-risque de catastrophe non-vie des garanties suivantes :</w:t>
      </w:r>
    </w:p>
    <w:p w:rsidR="005B279D" w:rsidRPr="002844B1" w:rsidRDefault="00000000" w:rsidP="00997111">
      <w:pPr>
        <w:pStyle w:val="Compact"/>
        <w:numPr>
          <w:ilvl w:val="0"/>
          <w:numId w:val="66"/>
        </w:numPr>
        <w:jc w:val="both"/>
        <w:rPr>
          <w:sz w:val="21"/>
          <w:szCs w:val="21"/>
        </w:rPr>
      </w:pPr>
      <w:r w:rsidRPr="002844B1">
        <w:rPr>
          <w:sz w:val="21"/>
          <w:szCs w:val="21"/>
        </w:rPr>
        <w:t>Individuelles accidents et Invalidité ;</w:t>
      </w:r>
    </w:p>
    <w:p w:rsidR="005B279D" w:rsidRPr="002844B1" w:rsidRDefault="00000000" w:rsidP="00997111">
      <w:pPr>
        <w:pStyle w:val="Compact"/>
        <w:numPr>
          <w:ilvl w:val="0"/>
          <w:numId w:val="66"/>
        </w:numPr>
        <w:jc w:val="both"/>
        <w:rPr>
          <w:sz w:val="21"/>
          <w:szCs w:val="21"/>
        </w:rPr>
      </w:pPr>
      <w:r w:rsidRPr="002844B1">
        <w:rPr>
          <w:sz w:val="21"/>
          <w:szCs w:val="21"/>
        </w:rPr>
        <w:t>Maladie;</w:t>
      </w:r>
    </w:p>
    <w:p w:rsidR="005B279D" w:rsidRPr="002844B1" w:rsidRDefault="00000000" w:rsidP="00997111">
      <w:pPr>
        <w:pStyle w:val="Compact"/>
        <w:numPr>
          <w:ilvl w:val="0"/>
          <w:numId w:val="66"/>
        </w:numPr>
        <w:jc w:val="both"/>
        <w:rPr>
          <w:sz w:val="21"/>
          <w:szCs w:val="21"/>
        </w:rPr>
      </w:pPr>
      <w:r w:rsidRPr="002844B1">
        <w:rPr>
          <w:sz w:val="21"/>
          <w:szCs w:val="21"/>
        </w:rPr>
        <w:t>Accidents du travail et maladies professionnelles ;</w:t>
      </w:r>
    </w:p>
    <w:p w:rsidR="005B279D" w:rsidRPr="002844B1" w:rsidRDefault="00000000" w:rsidP="00997111">
      <w:pPr>
        <w:pStyle w:val="Compact"/>
        <w:numPr>
          <w:ilvl w:val="0"/>
          <w:numId w:val="66"/>
        </w:numPr>
        <w:jc w:val="both"/>
        <w:rPr>
          <w:sz w:val="21"/>
          <w:szCs w:val="21"/>
        </w:rPr>
      </w:pPr>
      <w:r w:rsidRPr="002844B1">
        <w:rPr>
          <w:sz w:val="21"/>
          <w:szCs w:val="21"/>
        </w:rPr>
        <w:t>Responsabilité civile automobile des véhicules terrestres à moteur;</w:t>
      </w:r>
    </w:p>
    <w:p w:rsidR="005B279D" w:rsidRPr="002844B1" w:rsidRDefault="00000000" w:rsidP="00997111">
      <w:pPr>
        <w:pStyle w:val="Compact"/>
        <w:numPr>
          <w:ilvl w:val="0"/>
          <w:numId w:val="66"/>
        </w:numPr>
        <w:jc w:val="both"/>
        <w:rPr>
          <w:sz w:val="21"/>
          <w:szCs w:val="21"/>
        </w:rPr>
      </w:pPr>
      <w:r w:rsidRPr="002844B1">
        <w:rPr>
          <w:sz w:val="21"/>
          <w:szCs w:val="21"/>
        </w:rPr>
        <w:t>Responsabilité civile (autre que la responsabilité civile automobile et la responsabilité civile résultant de l’emploi de véhicules fluviaux ou maritimes ou de l’emploi des aéronefs) ;</w:t>
      </w:r>
    </w:p>
    <w:p w:rsidR="005B279D" w:rsidRPr="002844B1" w:rsidRDefault="00000000" w:rsidP="00997111">
      <w:pPr>
        <w:pStyle w:val="Compact"/>
        <w:numPr>
          <w:ilvl w:val="0"/>
          <w:numId w:val="66"/>
        </w:numPr>
        <w:jc w:val="both"/>
        <w:rPr>
          <w:sz w:val="21"/>
          <w:szCs w:val="21"/>
        </w:rPr>
      </w:pPr>
      <w:r w:rsidRPr="002844B1">
        <w:rPr>
          <w:sz w:val="21"/>
          <w:szCs w:val="21"/>
        </w:rPr>
        <w:t>Incendie ;</w:t>
      </w:r>
    </w:p>
    <w:p w:rsidR="005B279D" w:rsidRPr="002844B1" w:rsidRDefault="00000000" w:rsidP="00997111">
      <w:pPr>
        <w:pStyle w:val="Compact"/>
        <w:numPr>
          <w:ilvl w:val="0"/>
          <w:numId w:val="66"/>
        </w:numPr>
        <w:jc w:val="both"/>
        <w:rPr>
          <w:sz w:val="21"/>
          <w:szCs w:val="21"/>
        </w:rPr>
      </w:pPr>
      <w:r w:rsidRPr="002844B1">
        <w:rPr>
          <w:sz w:val="21"/>
          <w:szCs w:val="21"/>
        </w:rPr>
        <w:t>Maritime corps, facultés et responsabilité civile résultant de l’emploi de véhicules fluviaux et maritimes ;</w:t>
      </w:r>
    </w:p>
    <w:p w:rsidR="005B279D" w:rsidRPr="002844B1" w:rsidRDefault="00000000" w:rsidP="00997111">
      <w:pPr>
        <w:pStyle w:val="Compact"/>
        <w:numPr>
          <w:ilvl w:val="0"/>
          <w:numId w:val="66"/>
        </w:numPr>
        <w:jc w:val="both"/>
      </w:pPr>
      <w:r w:rsidRPr="002844B1">
        <w:rPr>
          <w:sz w:val="21"/>
          <w:szCs w:val="21"/>
        </w:rPr>
        <w:lastRenderedPageBreak/>
        <w:t xml:space="preserve">Aviation corps et responsabilité civile résultant </w:t>
      </w:r>
      <w:r w:rsidRPr="002844B1">
        <w:t>de l’emploi des aéronefs ;</w:t>
      </w:r>
    </w:p>
    <w:p w:rsidR="005B279D" w:rsidRPr="002844B1" w:rsidRDefault="00000000" w:rsidP="00997111">
      <w:pPr>
        <w:pStyle w:val="Compact"/>
        <w:numPr>
          <w:ilvl w:val="0"/>
          <w:numId w:val="66"/>
        </w:numPr>
        <w:jc w:val="both"/>
        <w:rPr>
          <w:sz w:val="21"/>
          <w:szCs w:val="21"/>
        </w:rPr>
      </w:pPr>
      <w:r w:rsidRPr="002844B1">
        <w:rPr>
          <w:sz w:val="21"/>
          <w:szCs w:val="21"/>
        </w:rPr>
        <w:t>Marchandises transportées par voie terrestre ;</w:t>
      </w:r>
    </w:p>
    <w:p w:rsidR="005B279D" w:rsidRPr="002844B1" w:rsidRDefault="00000000" w:rsidP="00997111">
      <w:pPr>
        <w:pStyle w:val="Compact"/>
        <w:numPr>
          <w:ilvl w:val="0"/>
          <w:numId w:val="66"/>
        </w:numPr>
        <w:jc w:val="both"/>
        <w:rPr>
          <w:sz w:val="21"/>
          <w:szCs w:val="21"/>
        </w:rPr>
      </w:pPr>
      <w:r w:rsidRPr="002844B1">
        <w:rPr>
          <w:sz w:val="21"/>
          <w:szCs w:val="21"/>
        </w:rPr>
        <w:t>Assurance récolte, grêle ou gelée et éléments naturels ;</w:t>
      </w:r>
    </w:p>
    <w:p w:rsidR="005B279D" w:rsidRPr="002844B1" w:rsidRDefault="00000000" w:rsidP="00997111">
      <w:pPr>
        <w:pStyle w:val="Compact"/>
        <w:numPr>
          <w:ilvl w:val="0"/>
          <w:numId w:val="66"/>
        </w:numPr>
        <w:jc w:val="both"/>
        <w:rPr>
          <w:sz w:val="21"/>
          <w:szCs w:val="21"/>
        </w:rPr>
      </w:pPr>
      <w:r w:rsidRPr="002844B1">
        <w:rPr>
          <w:sz w:val="21"/>
          <w:szCs w:val="21"/>
        </w:rPr>
        <w:t>Crédit et caution;</w:t>
      </w:r>
    </w:p>
    <w:p w:rsidR="005B279D" w:rsidRPr="002844B1" w:rsidRDefault="00000000">
      <w:pPr>
        <w:pStyle w:val="FirstParagraph"/>
      </w:pPr>
      <m:oMathPara>
        <m:oMathParaPr>
          <m:jc m:val="center"/>
        </m:oMathParaPr>
        <m:oMath>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Cat</m:t>
              </m:r>
            </m:sub>
          </m:sSub>
          <m:r>
            <w:rPr>
              <w:rFonts w:ascii="Cambria Math" w:hAnsi="Cambria Math"/>
            </w:rPr>
            <m:t>=</m:t>
          </m:r>
          <m:rad>
            <m:radPr>
              <m:degHide m:val="1"/>
              <m:ctrlPr>
                <w:rPr>
                  <w:rFonts w:ascii="Cambria Math" w:hAnsi="Cambria Math"/>
                </w:rPr>
              </m:ctrlPr>
            </m:radPr>
            <m:deg/>
            <m:e>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r>
                    <w:rPr>
                      <w:rFonts w:ascii="Cambria Math" w:hAnsi="Cambria Math"/>
                    </w:rPr>
                    <m:t>C</m:t>
                  </m:r>
                </m:e>
              </m:nary>
              <m:r>
                <w:rPr>
                  <w:rFonts w:ascii="Cambria Math" w:hAnsi="Cambria Math"/>
                </w:rPr>
                <m:t>S</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2</m:t>
                  </m:r>
                </m:sup>
              </m:sSubSup>
            </m:e>
          </m:rad>
          <m:r>
            <w:rPr>
              <w:rFonts w:ascii="Cambria Math" w:hAnsi="Cambria Math"/>
            </w:rPr>
            <m:t> ,  </m:t>
          </m:r>
          <m:d>
            <m:dPr>
              <m:ctrlPr>
                <w:rPr>
                  <w:rFonts w:ascii="Cambria Math" w:hAnsi="Cambria Math"/>
                </w:rPr>
              </m:ctrlPr>
            </m:dPr>
            <m:e>
              <m:r>
                <w:rPr>
                  <w:rFonts w:ascii="Cambria Math" w:hAnsi="Cambria Math"/>
                </w:rPr>
                <m:t>72</m:t>
              </m:r>
            </m:e>
          </m:d>
        </m:oMath>
      </m:oMathPara>
    </w:p>
    <w:p w:rsidR="005B279D" w:rsidRPr="002844B1" w:rsidRDefault="00000000" w:rsidP="00997111">
      <w:pPr>
        <w:pStyle w:val="FirstParagraph"/>
        <w:jc w:val="both"/>
        <w:rPr>
          <w:sz w:val="21"/>
          <w:szCs w:val="21"/>
        </w:rPr>
      </w:pPr>
      <w:r w:rsidRPr="002844B1">
        <w:rPr>
          <w:sz w:val="21"/>
          <w:szCs w:val="21"/>
        </w:rPr>
        <w:t xml:space="preserve">telle que, le </w:t>
      </w:r>
      <m:oMath>
        <m:r>
          <w:rPr>
            <w:rFonts w:ascii="Cambria Math" w:hAnsi="Cambria Math"/>
            <w:sz w:val="21"/>
            <w:szCs w:val="21"/>
          </w:rPr>
          <m:t>i</m:t>
        </m:r>
      </m:oMath>
      <w:r w:rsidRPr="002844B1">
        <w:rPr>
          <w:sz w:val="21"/>
          <w:szCs w:val="21"/>
        </w:rPr>
        <w:t xml:space="preserve"> Appartient à la liste des garanties ci-dessus.</w:t>
      </w:r>
    </w:p>
    <w:p w:rsidR="005B279D" w:rsidRPr="002844B1" w:rsidRDefault="00000000">
      <w:pPr>
        <w:pStyle w:val="Heading3"/>
      </w:pPr>
      <w:bookmarkStart w:id="122" w:name="Xd14d4909bf7dda0b454a4d63bb1103fca6ae0cc"/>
      <w:bookmarkStart w:id="123" w:name="_Toc137651034"/>
      <w:bookmarkEnd w:id="117"/>
      <w:bookmarkEnd w:id="121"/>
      <w:r w:rsidRPr="002844B1">
        <w:t>Exigence de capital relative au risque opérationnel (</w:t>
      </w:r>
      <m:oMath>
        <m:r>
          <m:rPr>
            <m:sty m:val="bi"/>
          </m:rPr>
          <w:rPr>
            <w:rFonts w:ascii="Cambria Math" w:hAnsi="Cambria Math"/>
          </w:rPr>
          <m:t>CSRO</m:t>
        </m:r>
      </m:oMath>
      <w:r w:rsidRPr="002844B1">
        <w:t>)</w:t>
      </w:r>
      <w:bookmarkEnd w:id="123"/>
    </w:p>
    <w:p w:rsidR="005B279D" w:rsidRPr="002844B1" w:rsidRDefault="00000000" w:rsidP="00997111">
      <w:pPr>
        <w:pStyle w:val="FirstParagraph"/>
        <w:jc w:val="both"/>
        <w:rPr>
          <w:sz w:val="21"/>
          <w:szCs w:val="21"/>
        </w:rPr>
      </w:pPr>
      <w:r w:rsidRPr="002844B1">
        <w:rPr>
          <w:sz w:val="21"/>
          <w:szCs w:val="21"/>
        </w:rPr>
        <w:t>L’exigence de capital relative au risque opérationnel correspond à X% du capital de solvabilité requis de base.</w:t>
      </w:r>
    </w:p>
    <w:p w:rsidR="005B279D" w:rsidRPr="002844B1" w:rsidRDefault="00000000" w:rsidP="00997111">
      <w:pPr>
        <w:pStyle w:val="BodyText"/>
        <w:jc w:val="both"/>
        <w:rPr>
          <w:sz w:val="21"/>
          <w:szCs w:val="21"/>
        </w:rPr>
      </w:pPr>
      <m:oMathPara>
        <m:oMathParaPr>
          <m:jc m:val="center"/>
        </m:oMathParaPr>
        <m:oMath>
          <m:r>
            <w:rPr>
              <w:rFonts w:ascii="Cambria Math" w:hAnsi="Cambria Math"/>
              <w:sz w:val="21"/>
              <w:szCs w:val="21"/>
            </w:rPr>
            <m:t>CSRO=X%*CSRB   </m:t>
          </m:r>
          <m:d>
            <m:dPr>
              <m:ctrlPr>
                <w:rPr>
                  <w:rFonts w:ascii="Cambria Math" w:hAnsi="Cambria Math"/>
                  <w:sz w:val="21"/>
                  <w:szCs w:val="21"/>
                </w:rPr>
              </m:ctrlPr>
            </m:dPr>
            <m:e>
              <m:r>
                <w:rPr>
                  <w:rFonts w:ascii="Cambria Math" w:hAnsi="Cambria Math"/>
                  <w:sz w:val="21"/>
                  <w:szCs w:val="21"/>
                </w:rPr>
                <m:t>73</m:t>
              </m:r>
            </m:e>
          </m:d>
        </m:oMath>
      </m:oMathPara>
    </w:p>
    <w:p w:rsidR="005B279D" w:rsidRPr="002844B1" w:rsidRDefault="00000000" w:rsidP="00997111">
      <w:pPr>
        <w:pStyle w:val="FirstParagraph"/>
        <w:jc w:val="both"/>
        <w:rPr>
          <w:sz w:val="21"/>
          <w:szCs w:val="21"/>
        </w:rPr>
      </w:pPr>
      <w:r w:rsidRPr="002844B1">
        <w:rPr>
          <w:sz w:val="21"/>
          <w:szCs w:val="21"/>
        </w:rPr>
        <w:t xml:space="preserve">avec </w:t>
      </w:r>
      <m:oMath>
        <m:r>
          <w:rPr>
            <w:rFonts w:ascii="Cambria Math" w:hAnsi="Cambria Math"/>
            <w:sz w:val="21"/>
            <w:szCs w:val="21"/>
          </w:rPr>
          <m:t>X%</m:t>
        </m:r>
      </m:oMath>
      <w:r w:rsidRPr="002844B1">
        <w:rPr>
          <w:sz w:val="21"/>
          <w:szCs w:val="21"/>
        </w:rPr>
        <w:t xml:space="preserve"> fixé par l’autorité et </w:t>
      </w:r>
      <m:oMath>
        <m:r>
          <w:rPr>
            <w:rFonts w:ascii="Cambria Math" w:hAnsi="Cambria Math"/>
            <w:sz w:val="21"/>
            <w:szCs w:val="21"/>
          </w:rPr>
          <m:t>CSRB</m:t>
        </m:r>
      </m:oMath>
      <w:r w:rsidRPr="002844B1">
        <w:rPr>
          <w:sz w:val="21"/>
          <w:szCs w:val="21"/>
        </w:rPr>
        <w:t xml:space="preserve"> le capital de solvabilités requis de base.</w:t>
      </w:r>
    </w:p>
    <w:p w:rsidR="005B279D" w:rsidRPr="002844B1" w:rsidRDefault="00000000">
      <w:pPr>
        <w:pStyle w:val="Heading3"/>
      </w:pPr>
      <w:bookmarkStart w:id="124" w:name="X384c0c3c983e0c0cecb046cfdf19f3cf5bf77b3"/>
      <w:bookmarkStart w:id="125" w:name="_Toc137651035"/>
      <w:bookmarkEnd w:id="122"/>
      <w:r w:rsidRPr="002844B1">
        <w:t>Ajustement du capital de solvabilité requis</w:t>
      </w:r>
      <w:bookmarkEnd w:id="125"/>
    </w:p>
    <w:p w:rsidR="005B279D" w:rsidRPr="002844B1" w:rsidRDefault="00000000">
      <w:pPr>
        <w:pStyle w:val="Heading4"/>
      </w:pPr>
      <w:bookmarkStart w:id="126" w:name="Xe8f4b96a75672450572e77d9119309d136820dc"/>
      <w:r w:rsidRPr="002844B1">
        <w:t>Ajustement visant à tenir compte de la capacité d’absorption des pertes par les assurés (</w:t>
      </w:r>
      <m:oMath>
        <m:r>
          <m:rPr>
            <m:sty m:val="bi"/>
          </m:rPr>
          <w:rPr>
            <w:rFonts w:ascii="Cambria Math" w:hAnsi="Cambria Math"/>
          </w:rPr>
          <m:t>Ad</m:t>
        </m:r>
        <m:sSub>
          <m:sSubPr>
            <m:ctrlPr>
              <w:rPr>
                <w:rFonts w:ascii="Cambria Math" w:hAnsi="Cambria Math"/>
              </w:rPr>
            </m:ctrlPr>
          </m:sSubPr>
          <m:e>
            <m:r>
              <m:rPr>
                <m:sty m:val="bi"/>
              </m:rPr>
              <w:rPr>
                <w:rFonts w:ascii="Cambria Math" w:hAnsi="Cambria Math"/>
              </w:rPr>
              <m:t>j</m:t>
            </m:r>
          </m:e>
          <m:sub>
            <m:r>
              <m:rPr>
                <m:sty m:val="bi"/>
              </m:rPr>
              <w:rPr>
                <w:rFonts w:ascii="Cambria Math" w:hAnsi="Cambria Math"/>
              </w:rPr>
              <m:t>As</m:t>
            </m:r>
          </m:sub>
        </m:sSub>
      </m:oMath>
      <w:r w:rsidRPr="002844B1">
        <w:t>)</w:t>
      </w:r>
    </w:p>
    <w:p w:rsidR="005B279D" w:rsidRPr="002844B1" w:rsidRDefault="00000000" w:rsidP="00997111">
      <w:pPr>
        <w:pStyle w:val="FirstParagraph"/>
        <w:jc w:val="both"/>
        <w:rPr>
          <w:sz w:val="21"/>
          <w:szCs w:val="21"/>
        </w:rPr>
      </w:pPr>
      <w:r w:rsidRPr="002844B1">
        <w:rPr>
          <w:sz w:val="21"/>
          <w:szCs w:val="21"/>
        </w:rPr>
        <w:t xml:space="preserve">L’ajustement visant à tenir compte de la capacité d’absorption des pertes par les assurés </w:t>
      </w:r>
      <w:r w:rsidR="002844B1" w:rsidRPr="002844B1">
        <w:rPr>
          <w:sz w:val="21"/>
          <w:szCs w:val="21"/>
        </w:rPr>
        <w:t>égale</w:t>
      </w:r>
      <w:r w:rsidRPr="002844B1">
        <w:rPr>
          <w:sz w:val="21"/>
          <w:szCs w:val="21"/>
        </w:rPr>
        <w:t xml:space="preserve"> au minimum de l’écart entre le capital de solvabilité requis de base calculées brutes et nettes d’absorption par les assurés, d’une part, et le montant des bénéfices discrétionnaires futures d’autre part.</w:t>
      </w:r>
    </w:p>
    <w:p w:rsidR="005B279D" w:rsidRPr="002844B1" w:rsidRDefault="00000000" w:rsidP="00997111">
      <w:pPr>
        <w:pStyle w:val="BodyText"/>
        <w:jc w:val="both"/>
        <w:rPr>
          <w:sz w:val="21"/>
          <w:szCs w:val="21"/>
        </w:rPr>
      </w:pPr>
      <m:oMathPara>
        <m:oMathParaPr>
          <m:jc m:val="center"/>
        </m:oMathParaPr>
        <m:oMath>
          <m:r>
            <w:rPr>
              <w:rFonts w:ascii="Cambria Math" w:hAnsi="Cambria Math"/>
              <w:sz w:val="21"/>
              <w:szCs w:val="21"/>
            </w:rPr>
            <m:t>Ad</m:t>
          </m:r>
          <m:sSub>
            <m:sSubPr>
              <m:ctrlPr>
                <w:rPr>
                  <w:rFonts w:ascii="Cambria Math" w:hAnsi="Cambria Math"/>
                  <w:sz w:val="21"/>
                  <w:szCs w:val="21"/>
                </w:rPr>
              </m:ctrlPr>
            </m:sSubPr>
            <m:e>
              <m:r>
                <w:rPr>
                  <w:rFonts w:ascii="Cambria Math" w:hAnsi="Cambria Math"/>
                  <w:sz w:val="21"/>
                  <w:szCs w:val="21"/>
                </w:rPr>
                <m:t>j</m:t>
              </m:r>
            </m:e>
            <m:sub>
              <m:r>
                <w:rPr>
                  <w:rFonts w:ascii="Cambria Math" w:hAnsi="Cambria Math"/>
                  <w:sz w:val="21"/>
                  <w:szCs w:val="21"/>
                </w:rPr>
                <m:t>As</m:t>
              </m:r>
            </m:sub>
          </m:sSub>
          <m:r>
            <w:rPr>
              <w:rFonts w:ascii="Cambria Math" w:hAnsi="Cambria Math"/>
              <w:sz w:val="21"/>
              <w:szCs w:val="21"/>
            </w:rPr>
            <m:t>=min</m:t>
          </m:r>
          <m:d>
            <m:dPr>
              <m:ctrlPr>
                <w:rPr>
                  <w:rFonts w:ascii="Cambria Math" w:hAnsi="Cambria Math"/>
                  <w:sz w:val="21"/>
                  <w:szCs w:val="21"/>
                </w:rPr>
              </m:ctrlPr>
            </m:dPr>
            <m:e>
              <m:r>
                <w:rPr>
                  <w:rFonts w:ascii="Cambria Math" w:hAnsi="Cambria Math"/>
                  <w:sz w:val="21"/>
                  <w:szCs w:val="21"/>
                </w:rPr>
                <m:t>CSR</m:t>
              </m:r>
              <m:sSub>
                <m:sSubPr>
                  <m:ctrlPr>
                    <w:rPr>
                      <w:rFonts w:ascii="Cambria Math" w:hAnsi="Cambria Math"/>
                      <w:sz w:val="21"/>
                      <w:szCs w:val="21"/>
                    </w:rPr>
                  </m:ctrlPr>
                </m:sSubPr>
                <m:e>
                  <m:r>
                    <w:rPr>
                      <w:rFonts w:ascii="Cambria Math" w:hAnsi="Cambria Math"/>
                      <w:sz w:val="21"/>
                      <w:szCs w:val="21"/>
                    </w:rPr>
                    <m:t>B</m:t>
                  </m:r>
                </m:e>
                <m:sub>
                  <m:r>
                    <w:rPr>
                      <w:rFonts w:ascii="Cambria Math" w:hAnsi="Cambria Math"/>
                      <w:sz w:val="21"/>
                      <w:szCs w:val="21"/>
                    </w:rPr>
                    <m:t>nette</m:t>
                  </m:r>
                </m:sub>
              </m:sSub>
              <m:r>
                <w:rPr>
                  <w:rFonts w:ascii="Cambria Math" w:hAnsi="Cambria Math"/>
                  <w:sz w:val="21"/>
                  <w:szCs w:val="21"/>
                </w:rPr>
                <m:t>-CSR</m:t>
              </m:r>
              <m:sSub>
                <m:sSubPr>
                  <m:ctrlPr>
                    <w:rPr>
                      <w:rFonts w:ascii="Cambria Math" w:hAnsi="Cambria Math"/>
                      <w:sz w:val="21"/>
                      <w:szCs w:val="21"/>
                    </w:rPr>
                  </m:ctrlPr>
                </m:sSubPr>
                <m:e>
                  <m:r>
                    <w:rPr>
                      <w:rFonts w:ascii="Cambria Math" w:hAnsi="Cambria Math"/>
                      <w:sz w:val="21"/>
                      <w:szCs w:val="21"/>
                    </w:rPr>
                    <m:t>B</m:t>
                  </m:r>
                </m:e>
                <m:sub>
                  <m:r>
                    <w:rPr>
                      <w:rFonts w:ascii="Cambria Math" w:hAnsi="Cambria Math"/>
                      <w:sz w:val="21"/>
                      <w:szCs w:val="21"/>
                    </w:rPr>
                    <m:t>brute</m:t>
                  </m:r>
                </m:sub>
              </m:sSub>
              <m:r>
                <w:rPr>
                  <w:rFonts w:ascii="Cambria Math" w:hAnsi="Cambria Math"/>
                  <w:sz w:val="21"/>
                  <w:szCs w:val="21"/>
                </w:rPr>
                <m:t>;BDF</m:t>
              </m:r>
            </m:e>
          </m:d>
          <m:r>
            <w:rPr>
              <w:rFonts w:ascii="Cambria Math" w:hAnsi="Cambria Math"/>
              <w:sz w:val="21"/>
              <w:szCs w:val="21"/>
            </w:rPr>
            <m:t> ,  </m:t>
          </m:r>
          <m:d>
            <m:dPr>
              <m:ctrlPr>
                <w:rPr>
                  <w:rFonts w:ascii="Cambria Math" w:hAnsi="Cambria Math"/>
                  <w:sz w:val="21"/>
                  <w:szCs w:val="21"/>
                </w:rPr>
              </m:ctrlPr>
            </m:dPr>
            <m:e>
              <m:r>
                <w:rPr>
                  <w:rFonts w:ascii="Cambria Math" w:hAnsi="Cambria Math"/>
                  <w:sz w:val="21"/>
                  <w:szCs w:val="21"/>
                </w:rPr>
                <m:t>74</m:t>
              </m:r>
            </m:e>
          </m:d>
        </m:oMath>
      </m:oMathPara>
    </w:p>
    <w:p w:rsidR="005B279D" w:rsidRPr="002844B1" w:rsidRDefault="00000000" w:rsidP="00997111">
      <w:pPr>
        <w:pStyle w:val="FirstParagraph"/>
        <w:jc w:val="both"/>
        <w:rPr>
          <w:sz w:val="21"/>
          <w:szCs w:val="21"/>
        </w:rPr>
      </w:pPr>
      <w:r w:rsidRPr="002844B1">
        <w:rPr>
          <w:sz w:val="21"/>
          <w:szCs w:val="21"/>
        </w:rPr>
        <w:t xml:space="preserve">avec : </w:t>
      </w:r>
      <m:oMath>
        <m:r>
          <w:rPr>
            <w:rFonts w:ascii="Cambria Math" w:hAnsi="Cambria Math"/>
            <w:sz w:val="21"/>
            <w:szCs w:val="21"/>
          </w:rPr>
          <m:t>Ad</m:t>
        </m:r>
        <m:sSub>
          <m:sSubPr>
            <m:ctrlPr>
              <w:rPr>
                <w:rFonts w:ascii="Cambria Math" w:hAnsi="Cambria Math"/>
                <w:sz w:val="21"/>
                <w:szCs w:val="21"/>
              </w:rPr>
            </m:ctrlPr>
          </m:sSubPr>
          <m:e>
            <m:r>
              <w:rPr>
                <w:rFonts w:ascii="Cambria Math" w:hAnsi="Cambria Math"/>
                <w:sz w:val="21"/>
                <w:szCs w:val="21"/>
              </w:rPr>
              <m:t>j</m:t>
            </m:r>
          </m:e>
          <m:sub>
            <m:r>
              <w:rPr>
                <w:rFonts w:ascii="Cambria Math" w:hAnsi="Cambria Math"/>
                <w:sz w:val="21"/>
                <w:szCs w:val="21"/>
              </w:rPr>
              <m:t>As</m:t>
            </m:r>
          </m:sub>
        </m:sSub>
      </m:oMath>
      <w:r w:rsidRPr="002844B1">
        <w:rPr>
          <w:sz w:val="21"/>
          <w:szCs w:val="21"/>
        </w:rPr>
        <w:t xml:space="preserve"> : Ajustement pour tenir compte la capacité d’absorption des pertes par les assurés.</w:t>
      </w:r>
    </w:p>
    <w:p w:rsidR="00997111" w:rsidRPr="002844B1" w:rsidRDefault="00997111" w:rsidP="00997111">
      <w:pPr>
        <w:pStyle w:val="BodyText"/>
      </w:pPr>
    </w:p>
    <w:p w:rsidR="005B279D" w:rsidRPr="002844B1" w:rsidRDefault="00000000">
      <w:pPr>
        <w:pStyle w:val="Heading4"/>
      </w:pPr>
      <w:bookmarkStart w:id="127" w:name="X853db30fa69a09c5e04203c4cd1553c315569bc"/>
      <w:bookmarkEnd w:id="126"/>
      <w:r w:rsidRPr="002844B1">
        <w:t>Ajustement visant à tenir compte de la capacité d’absorption des pertes par les impôts différés (</w:t>
      </w:r>
      <m:oMath>
        <m:r>
          <m:rPr>
            <m:sty m:val="bi"/>
          </m:rPr>
          <w:rPr>
            <w:rFonts w:ascii="Cambria Math" w:hAnsi="Cambria Math"/>
          </w:rPr>
          <m:t>Aj</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ID</m:t>
            </m:r>
          </m:sub>
        </m:sSub>
      </m:oMath>
      <w:r w:rsidRPr="002844B1">
        <w:t>)</w:t>
      </w:r>
    </w:p>
    <w:p w:rsidR="005B279D" w:rsidRPr="002844B1" w:rsidRDefault="00000000" w:rsidP="00997111">
      <w:pPr>
        <w:pStyle w:val="FirstParagraph"/>
        <w:jc w:val="both"/>
        <w:rPr>
          <w:sz w:val="21"/>
          <w:szCs w:val="21"/>
        </w:rPr>
      </w:pPr>
      <w:r w:rsidRPr="002844B1">
        <w:rPr>
          <w:sz w:val="21"/>
          <w:szCs w:val="21"/>
        </w:rPr>
        <w:t>L’ajustement visant à tenir compte de la capacité d’absorption des pertes par les impôts différés correspond au produit du taux d’impôts et le minimum de la somme du capital de solvabilité requis de base et l’exigence de capital relative au risque opérationnel diminuée de l’ajustement visant à tenir compte de la capacité d’absorption des pertes par les assurés, d’une part, et l’écart positif entre les impôts différés-passif et les impôts différés-actif, d’autre part.</w:t>
      </w:r>
    </w:p>
    <w:p w:rsidR="005B279D" w:rsidRPr="002844B1" w:rsidRDefault="00000000">
      <w:pPr>
        <w:pStyle w:val="BodyText"/>
      </w:pPr>
      <w:bookmarkStart w:id="128" w:name="eq-gbmp"/>
      <m:oMathPara>
        <m:oMathParaPr>
          <m:jc m:val="center"/>
        </m:oMathParaPr>
        <m:oMath>
          <m:r>
            <w:rPr>
              <w:rFonts w:ascii="Cambria Math" w:hAnsi="Cambria Math"/>
            </w:rPr>
            <m:t>Aj</m:t>
          </m:r>
          <m:sSub>
            <m:sSubPr>
              <m:ctrlPr>
                <w:rPr>
                  <w:rFonts w:ascii="Cambria Math" w:hAnsi="Cambria Math"/>
                </w:rPr>
              </m:ctrlPr>
            </m:sSubPr>
            <m:e>
              <m:r>
                <w:rPr>
                  <w:rFonts w:ascii="Cambria Math" w:hAnsi="Cambria Math"/>
                </w:rPr>
                <m:t>t</m:t>
              </m:r>
            </m:e>
            <m:sub>
              <m:r>
                <w:rPr>
                  <w:rFonts w:ascii="Cambria Math" w:hAnsi="Cambria Math"/>
                </w:rPr>
                <m:t>ID</m:t>
              </m:r>
            </m:sub>
          </m:sSub>
          <m:r>
            <w:rPr>
              <w:rFonts w:ascii="Cambria Math" w:hAnsi="Cambria Math"/>
            </w:rPr>
            <m:t>=TI×min</m:t>
          </m:r>
          <m:d>
            <m:dPr>
              <m:ctrlPr>
                <w:rPr>
                  <w:rFonts w:ascii="Cambria Math" w:hAnsi="Cambria Math"/>
                </w:rPr>
              </m:ctrlPr>
            </m:dPr>
            <m:e>
              <m:r>
                <w:rPr>
                  <w:rFonts w:ascii="Cambria Math" w:hAnsi="Cambria Math"/>
                </w:rPr>
                <m:t>CSRB+CSRO-Ad</m:t>
              </m:r>
              <m:sSub>
                <m:sSubPr>
                  <m:ctrlPr>
                    <w:rPr>
                      <w:rFonts w:ascii="Cambria Math" w:hAnsi="Cambria Math"/>
                    </w:rPr>
                  </m:ctrlPr>
                </m:sSubPr>
                <m:e>
                  <m:r>
                    <w:rPr>
                      <w:rFonts w:ascii="Cambria Math" w:hAnsi="Cambria Math"/>
                    </w:rPr>
                    <m:t>j</m:t>
                  </m:r>
                </m:e>
                <m:sub>
                  <m:r>
                    <w:rPr>
                      <w:rFonts w:ascii="Cambria Math" w:hAnsi="Cambria Math"/>
                    </w:rPr>
                    <m:t>As</m:t>
                  </m:r>
                </m:sub>
              </m:sSub>
              <m:r>
                <w:rPr>
                  <w:rFonts w:ascii="Cambria Math" w:hAnsi="Cambria Math"/>
                </w:rPr>
                <m:t> ; I</m:t>
              </m:r>
              <m:sSub>
                <m:sSubPr>
                  <m:ctrlPr>
                    <w:rPr>
                      <w:rFonts w:ascii="Cambria Math" w:hAnsi="Cambria Math"/>
                    </w:rPr>
                  </m:ctrlPr>
                </m:sSubPr>
                <m:e>
                  <m:r>
                    <w:rPr>
                      <w:rFonts w:ascii="Cambria Math" w:hAnsi="Cambria Math"/>
                    </w:rPr>
                    <m:t>D</m:t>
                  </m:r>
                </m:e>
                <m:sub>
                  <m:r>
                    <w:rPr>
                      <w:rFonts w:ascii="Cambria Math" w:hAnsi="Cambria Math"/>
                    </w:rPr>
                    <m:t>p</m:t>
                  </m:r>
                </m:sub>
              </m:sSub>
              <m:r>
                <w:rPr>
                  <w:rFonts w:ascii="Cambria Math" w:hAnsi="Cambria Math"/>
                </w:rPr>
                <m:t>-I</m:t>
              </m:r>
              <m:sSub>
                <m:sSubPr>
                  <m:ctrlPr>
                    <w:rPr>
                      <w:rFonts w:ascii="Cambria Math" w:hAnsi="Cambria Math"/>
                    </w:rPr>
                  </m:ctrlPr>
                </m:sSubPr>
                <m:e>
                  <m:r>
                    <w:rPr>
                      <w:rFonts w:ascii="Cambria Math" w:hAnsi="Cambria Math"/>
                    </w:rPr>
                    <m:t>D</m:t>
                  </m:r>
                </m:e>
                <m:sub>
                  <m:r>
                    <w:rPr>
                      <w:rFonts w:ascii="Cambria Math" w:hAnsi="Cambria Math"/>
                    </w:rPr>
                    <m:t>a</m:t>
                  </m:r>
                </m:sub>
              </m:sSub>
            </m:e>
          </m:d>
          <m:r>
            <w:rPr>
              <w:rFonts w:ascii="Cambria Math" w:hAnsi="Cambria Math"/>
            </w:rPr>
            <m:t> ,  </m:t>
          </m:r>
          <m:d>
            <m:dPr>
              <m:ctrlPr>
                <w:rPr>
                  <w:rFonts w:ascii="Cambria Math" w:hAnsi="Cambria Math"/>
                </w:rPr>
              </m:ctrlPr>
            </m:dPr>
            <m:e>
              <m:r>
                <w:rPr>
                  <w:rFonts w:ascii="Cambria Math" w:hAnsi="Cambria Math"/>
                </w:rPr>
                <m:t>75</m:t>
              </m:r>
            </m:e>
          </m:d>
        </m:oMath>
      </m:oMathPara>
      <w:bookmarkEnd w:id="128"/>
    </w:p>
    <w:p w:rsidR="005B279D" w:rsidRPr="002844B1" w:rsidRDefault="00000000" w:rsidP="00997111">
      <w:pPr>
        <w:pStyle w:val="FirstParagraph"/>
        <w:jc w:val="both"/>
        <w:rPr>
          <w:sz w:val="21"/>
          <w:szCs w:val="21"/>
        </w:rPr>
      </w:pPr>
      <w:r w:rsidRPr="002844B1">
        <w:rPr>
          <w:sz w:val="21"/>
          <w:szCs w:val="21"/>
        </w:rPr>
        <w:t>avec :</w:t>
      </w:r>
    </w:p>
    <w:p w:rsidR="005B279D" w:rsidRPr="002844B1" w:rsidRDefault="00000000" w:rsidP="00997111">
      <w:pPr>
        <w:pStyle w:val="Compact"/>
        <w:numPr>
          <w:ilvl w:val="0"/>
          <w:numId w:val="67"/>
        </w:numPr>
        <w:jc w:val="both"/>
        <w:rPr>
          <w:sz w:val="21"/>
          <w:szCs w:val="21"/>
        </w:rPr>
      </w:pPr>
      <m:oMath>
        <m:r>
          <w:rPr>
            <w:rFonts w:ascii="Cambria Math" w:hAnsi="Cambria Math"/>
            <w:sz w:val="21"/>
            <w:szCs w:val="21"/>
          </w:rPr>
          <m:t>Aj</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ID</m:t>
            </m:r>
          </m:sub>
        </m:sSub>
      </m:oMath>
      <w:r w:rsidRPr="002844B1">
        <w:rPr>
          <w:sz w:val="21"/>
          <w:szCs w:val="21"/>
        </w:rPr>
        <w:t xml:space="preserve"> : Ajustement pour tenir compte de la capacité d’absorption des pertes par les impôts différés,</w:t>
      </w:r>
    </w:p>
    <w:p w:rsidR="005B279D" w:rsidRPr="002844B1" w:rsidRDefault="00000000" w:rsidP="00997111">
      <w:pPr>
        <w:pStyle w:val="Compact"/>
        <w:numPr>
          <w:ilvl w:val="0"/>
          <w:numId w:val="67"/>
        </w:numPr>
        <w:jc w:val="both"/>
        <w:rPr>
          <w:sz w:val="21"/>
          <w:szCs w:val="21"/>
        </w:rPr>
      </w:pPr>
      <m:oMath>
        <m:r>
          <w:rPr>
            <w:rFonts w:ascii="Cambria Math" w:hAnsi="Cambria Math"/>
            <w:sz w:val="21"/>
            <w:szCs w:val="21"/>
          </w:rPr>
          <m:t>TI</m:t>
        </m:r>
      </m:oMath>
      <w:r w:rsidRPr="002844B1">
        <w:rPr>
          <w:sz w:val="21"/>
          <w:szCs w:val="21"/>
        </w:rPr>
        <w:t xml:space="preserve"> : aux d’Impôts,</w:t>
      </w:r>
    </w:p>
    <w:p w:rsidR="005B279D" w:rsidRPr="002844B1" w:rsidRDefault="00000000" w:rsidP="00997111">
      <w:pPr>
        <w:pStyle w:val="Compact"/>
        <w:numPr>
          <w:ilvl w:val="0"/>
          <w:numId w:val="67"/>
        </w:numPr>
        <w:jc w:val="both"/>
        <w:rPr>
          <w:sz w:val="21"/>
          <w:szCs w:val="21"/>
        </w:rPr>
      </w:pPr>
      <m:oMath>
        <m:r>
          <w:rPr>
            <w:rFonts w:ascii="Cambria Math" w:hAnsi="Cambria Math"/>
            <w:sz w:val="21"/>
            <w:szCs w:val="21"/>
          </w:rPr>
          <m:t>I</m:t>
        </m:r>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a</m:t>
            </m:r>
          </m:sub>
        </m:sSub>
      </m:oMath>
      <w:r w:rsidRPr="002844B1">
        <w:rPr>
          <w:sz w:val="21"/>
          <w:szCs w:val="21"/>
        </w:rPr>
        <w:t xml:space="preserve"> : Les impôts différés-passif,</w:t>
      </w:r>
    </w:p>
    <w:p w:rsidR="005B279D" w:rsidRPr="002844B1" w:rsidRDefault="00000000" w:rsidP="00997111">
      <w:pPr>
        <w:pStyle w:val="Compact"/>
        <w:numPr>
          <w:ilvl w:val="0"/>
          <w:numId w:val="67"/>
        </w:numPr>
        <w:jc w:val="both"/>
        <w:rPr>
          <w:sz w:val="21"/>
          <w:szCs w:val="21"/>
        </w:rPr>
      </w:pPr>
      <m:oMath>
        <m:r>
          <w:rPr>
            <w:rFonts w:ascii="Cambria Math" w:hAnsi="Cambria Math"/>
            <w:sz w:val="21"/>
            <w:szCs w:val="21"/>
          </w:rPr>
          <m:t>I</m:t>
        </m:r>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p</m:t>
            </m:r>
          </m:sub>
        </m:sSub>
      </m:oMath>
      <w:r w:rsidRPr="002844B1">
        <w:rPr>
          <w:sz w:val="21"/>
          <w:szCs w:val="21"/>
        </w:rPr>
        <w:t xml:space="preserve"> : Les impôts différés-actif.</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2844B1" w:rsidTr="005B279D">
        <w:trPr>
          <w:cantSplit/>
        </w:trPr>
        <w:tc>
          <w:tcPr>
            <w:tcW w:w="0" w:type="auto"/>
            <w:shd w:val="clear" w:color="auto" w:fill="CCF1E3"/>
            <w:tcMar>
              <w:top w:w="92" w:type="dxa"/>
              <w:bottom w:w="92" w:type="dxa"/>
            </w:tcMar>
          </w:tcPr>
          <w:p w:rsidR="005B279D" w:rsidRPr="002844B1" w:rsidRDefault="00000000">
            <w:pPr>
              <w:pStyle w:val="FirstParagraph"/>
              <w:spacing w:before="0" w:after="0"/>
              <w:textAlignment w:val="center"/>
            </w:pPr>
            <w:r w:rsidRPr="002844B1">
              <w:rPr>
                <w:noProof/>
              </w:rPr>
              <w:lastRenderedPageBreak/>
              <w:drawing>
                <wp:inline distT="0" distB="0" distL="0" distR="0">
                  <wp:extent cx="152400" cy="152400"/>
                  <wp:effectExtent l="0" t="0" r="0" b="0"/>
                  <wp:docPr id="240" name="Picture"/>
                  <wp:cNvGraphicFramePr/>
                  <a:graphic xmlns:a="http://schemas.openxmlformats.org/drawingml/2006/main">
                    <a:graphicData uri="http://schemas.openxmlformats.org/drawingml/2006/picture">
                      <pic:pic xmlns:pic="http://schemas.openxmlformats.org/drawingml/2006/picture">
                        <pic:nvPicPr>
                          <pic:cNvPr id="241" name="Picture" descr="/Applications/quarto/share/formats/docx/tip.png"/>
                          <pic:cNvPicPr>
                            <a:picLocks noChangeAspect="1" noChangeArrowheads="1"/>
                          </pic:cNvPicPr>
                        </pic:nvPicPr>
                        <pic:blipFill>
                          <a:blip r:embed="rId9"/>
                          <a:stretch>
                            <a:fillRect/>
                          </a:stretch>
                        </pic:blipFill>
                        <pic:spPr bwMode="auto">
                          <a:xfrm>
                            <a:off x="0" y="0"/>
                            <a:ext cx="152400" cy="152400"/>
                          </a:xfrm>
                          <a:prstGeom prst="rect">
                            <a:avLst/>
                          </a:prstGeom>
                          <a:noFill/>
                          <a:ln w="9525">
                            <a:noFill/>
                            <a:headEnd/>
                            <a:tailEnd/>
                          </a:ln>
                        </pic:spPr>
                      </pic:pic>
                    </a:graphicData>
                  </a:graphic>
                </wp:inline>
              </w:drawing>
            </w:r>
            <w:r w:rsidRPr="002844B1">
              <w:t xml:space="preserve">  Remarque</w:t>
            </w:r>
          </w:p>
        </w:tc>
      </w:tr>
      <w:tr w:rsidR="005B279D" w:rsidRPr="002844B1" w:rsidTr="005B279D">
        <w:trPr>
          <w:cantSplit/>
        </w:trPr>
        <w:tc>
          <w:tcPr>
            <w:tcW w:w="0" w:type="auto"/>
            <w:tcMar>
              <w:top w:w="108" w:type="dxa"/>
              <w:bottom w:w="108" w:type="dxa"/>
            </w:tcMar>
          </w:tcPr>
          <w:p w:rsidR="005B279D" w:rsidRPr="002844B1" w:rsidRDefault="00000000" w:rsidP="00997111">
            <w:pPr>
              <w:pStyle w:val="BodyText"/>
              <w:spacing w:before="16" w:after="16"/>
              <w:jc w:val="both"/>
            </w:pPr>
            <w:r w:rsidRPr="002844B1">
              <w:rPr>
                <w:sz w:val="21"/>
                <w:szCs w:val="21"/>
              </w:rPr>
              <w:t>Dans le cas où l’écart entre les impôts différés-passif et les impôts différés-actif est négatif, l’ajustement précité est nul.</w:t>
            </w:r>
          </w:p>
        </w:tc>
      </w:tr>
    </w:tbl>
    <w:p w:rsidR="00997111" w:rsidRPr="002844B1" w:rsidRDefault="00997111">
      <w:pPr>
        <w:rPr>
          <w:rFonts w:eastAsiaTheme="majorEastAsia" w:cstheme="majorBidi"/>
          <w:b/>
          <w:bCs/>
          <w:color w:val="224E76" w:themeColor="accent2" w:themeShade="7F"/>
          <w:sz w:val="36"/>
          <w:szCs w:val="22"/>
        </w:rPr>
      </w:pPr>
      <w:bookmarkStart w:id="129" w:name="_Toc137651036"/>
      <w:bookmarkEnd w:id="94"/>
      <w:bookmarkEnd w:id="95"/>
      <w:bookmarkEnd w:id="124"/>
      <w:bookmarkEnd w:id="127"/>
      <w:r w:rsidRPr="002844B1">
        <w:br w:type="page"/>
      </w:r>
    </w:p>
    <w:p w:rsidR="005B279D" w:rsidRPr="002844B1" w:rsidRDefault="00000000" w:rsidP="00AA7351">
      <w:pPr>
        <w:pStyle w:val="headAOD"/>
      </w:pPr>
      <w:r w:rsidRPr="002844B1">
        <w:lastRenderedPageBreak/>
        <w:t>7. CHAPITRE VII : Application numérique de la Solvabilité Basée sur les Risque</w:t>
      </w:r>
      <w:bookmarkEnd w:id="129"/>
    </w:p>
    <w:p w:rsidR="005B279D" w:rsidRPr="002844B1" w:rsidRDefault="00000000">
      <w:pPr>
        <w:pStyle w:val="Heading2"/>
      </w:pPr>
      <w:bookmarkStart w:id="130" w:name="_Toc137651037"/>
      <w:r w:rsidRPr="002844B1">
        <w:t>7.1 Modèle LSTM appliqué au cours de l’indice MASI</w:t>
      </w:r>
      <w:bookmarkStart w:id="131" w:name="sec-rnn_app"/>
      <w:bookmarkEnd w:id="130"/>
    </w:p>
    <w:p w:rsidR="005B279D" w:rsidRPr="002844B1" w:rsidRDefault="00000000" w:rsidP="00997111">
      <w:pPr>
        <w:pStyle w:val="FirstParagraph"/>
        <w:jc w:val="both"/>
        <w:rPr>
          <w:sz w:val="21"/>
          <w:szCs w:val="21"/>
        </w:rPr>
      </w:pPr>
      <w:r w:rsidRPr="002844B1">
        <w:rPr>
          <w:sz w:val="21"/>
          <w:szCs w:val="21"/>
        </w:rPr>
        <w:t>Ce code est utilisé pour créer et entraîner un modèle de réseaux de neurones récurrents (RNN) appelé Long Short-Term Memory (LSTM) pour prédire le dernier cours de l’indice MASI à partir des données historiques.</w:t>
      </w:r>
    </w:p>
    <w:p w:rsidR="005B279D" w:rsidRPr="002844B1" w:rsidRDefault="00000000" w:rsidP="00997111">
      <w:pPr>
        <w:pStyle w:val="BodyText"/>
        <w:jc w:val="both"/>
        <w:rPr>
          <w:sz w:val="21"/>
          <w:szCs w:val="21"/>
        </w:rPr>
      </w:pPr>
      <w:r w:rsidRPr="002844B1">
        <w:rPr>
          <w:sz w:val="21"/>
          <w:szCs w:val="21"/>
        </w:rPr>
        <w:t>Voici une explication étape par étape du code :</w:t>
      </w:r>
    </w:p>
    <w:p w:rsidR="005B279D" w:rsidRPr="002844B1" w:rsidRDefault="00000000" w:rsidP="00997111">
      <w:pPr>
        <w:numPr>
          <w:ilvl w:val="0"/>
          <w:numId w:val="68"/>
        </w:numPr>
        <w:jc w:val="both"/>
        <w:rPr>
          <w:sz w:val="21"/>
          <w:szCs w:val="21"/>
        </w:rPr>
      </w:pPr>
      <w:r w:rsidRPr="002844B1">
        <w:rPr>
          <w:sz w:val="21"/>
          <w:szCs w:val="21"/>
        </w:rPr>
        <w:t>Les bibliothèques nécessaires sont importées, notamment pandas pour la manipulation des données, matplotlib pour la visualisation des résultats, et TensorFlow pour la création et l’entraînement du modèle LSTM.</w:t>
      </w:r>
    </w:p>
    <w:p w:rsidR="005B279D" w:rsidRPr="002844B1" w:rsidRDefault="00000000" w:rsidP="00997111">
      <w:pPr>
        <w:numPr>
          <w:ilvl w:val="0"/>
          <w:numId w:val="68"/>
        </w:numPr>
        <w:jc w:val="both"/>
        <w:rPr>
          <w:sz w:val="21"/>
          <w:szCs w:val="21"/>
        </w:rPr>
      </w:pPr>
      <w:r w:rsidRPr="002844B1">
        <w:rPr>
          <w:sz w:val="21"/>
          <w:szCs w:val="21"/>
        </w:rPr>
        <w:t xml:space="preserve">Le fichier CSV contenant les données historiques est lu à l’aide de la fonction </w:t>
      </w:r>
      <w:r w:rsidRPr="002844B1">
        <w:rPr>
          <w:rStyle w:val="VerbatimChar"/>
          <w:sz w:val="24"/>
          <w:szCs w:val="20"/>
        </w:rPr>
        <w:t>pd.read_csv()</w:t>
      </w:r>
      <w:r w:rsidRPr="002844B1">
        <w:rPr>
          <w:sz w:val="21"/>
          <w:szCs w:val="21"/>
        </w:rPr>
        <w:t xml:space="preserve">, et les données sont stockées dans un DataFrame appelé </w:t>
      </w:r>
      <w:r w:rsidRPr="002844B1">
        <w:rPr>
          <w:rStyle w:val="VerbatimChar"/>
          <w:sz w:val="24"/>
          <w:szCs w:val="20"/>
        </w:rPr>
        <w:t>df</w:t>
      </w:r>
      <w:r w:rsidRPr="002844B1">
        <w:rPr>
          <w:sz w:val="21"/>
          <w:szCs w:val="21"/>
        </w:rPr>
        <w:t>.</w:t>
      </w:r>
    </w:p>
    <w:p w:rsidR="005B279D" w:rsidRPr="002844B1" w:rsidRDefault="00000000" w:rsidP="00997111">
      <w:pPr>
        <w:numPr>
          <w:ilvl w:val="0"/>
          <w:numId w:val="68"/>
        </w:numPr>
        <w:jc w:val="both"/>
        <w:rPr>
          <w:sz w:val="21"/>
          <w:szCs w:val="21"/>
        </w:rPr>
      </w:pPr>
      <w:r w:rsidRPr="002844B1">
        <w:rPr>
          <w:sz w:val="21"/>
          <w:szCs w:val="21"/>
        </w:rPr>
        <w:t xml:space="preserve">Deux fonctions, </w:t>
      </w:r>
      <w:r w:rsidRPr="002844B1">
        <w:rPr>
          <w:rStyle w:val="VerbatimChar"/>
          <w:sz w:val="24"/>
          <w:szCs w:val="20"/>
        </w:rPr>
        <w:t>convert_num()</w:t>
      </w:r>
      <w:r w:rsidRPr="002844B1">
        <w:rPr>
          <w:sz w:val="21"/>
          <w:szCs w:val="21"/>
        </w:rPr>
        <w:t xml:space="preserve"> et </w:t>
      </w:r>
      <w:r w:rsidRPr="002844B1">
        <w:rPr>
          <w:rStyle w:val="VerbatimChar"/>
          <w:sz w:val="24"/>
          <w:szCs w:val="20"/>
        </w:rPr>
        <w:t>pct_to_num()</w:t>
      </w:r>
      <w:r w:rsidRPr="002844B1">
        <w:rPr>
          <w:sz w:val="21"/>
          <w:szCs w:val="21"/>
        </w:rPr>
        <w:t>, sont définies pour convertir les valeurs des colonnes en nombres. La première fonction est utilisée pour enlever les espaces, les points et les virgules et convertir les valeurs en nombres décimaux. La deuxième fonction est utilisée pour enlever les espaces, les virgules et les signes de pourcentage, puis convertir les valeurs en nombres décimaux.</w:t>
      </w:r>
    </w:p>
    <w:p w:rsidR="005B279D" w:rsidRPr="002844B1" w:rsidRDefault="00000000" w:rsidP="00997111">
      <w:pPr>
        <w:numPr>
          <w:ilvl w:val="0"/>
          <w:numId w:val="68"/>
        </w:numPr>
        <w:jc w:val="both"/>
        <w:rPr>
          <w:sz w:val="21"/>
          <w:szCs w:val="21"/>
        </w:rPr>
      </w:pPr>
      <w:r w:rsidRPr="002844B1">
        <w:rPr>
          <w:sz w:val="21"/>
          <w:szCs w:val="21"/>
        </w:rPr>
        <w:t xml:space="preserve">Les fonctions de conversion sont appliquées aux colonnes appropriées du DataFrame à l’aide de la méthode </w:t>
      </w:r>
      <w:r w:rsidRPr="002844B1">
        <w:rPr>
          <w:rStyle w:val="VerbatimChar"/>
          <w:sz w:val="24"/>
          <w:szCs w:val="20"/>
        </w:rPr>
        <w:t>applymap()</w:t>
      </w:r>
      <w:r w:rsidRPr="002844B1">
        <w:rPr>
          <w:sz w:val="21"/>
          <w:szCs w:val="21"/>
        </w:rPr>
        <w:t>.</w:t>
      </w:r>
    </w:p>
    <w:p w:rsidR="005B279D" w:rsidRPr="002844B1" w:rsidRDefault="00000000" w:rsidP="00997111">
      <w:pPr>
        <w:numPr>
          <w:ilvl w:val="0"/>
          <w:numId w:val="68"/>
        </w:numPr>
        <w:jc w:val="both"/>
        <w:rPr>
          <w:sz w:val="21"/>
          <w:szCs w:val="21"/>
        </w:rPr>
      </w:pPr>
      <w:r w:rsidRPr="002844B1">
        <w:rPr>
          <w:sz w:val="21"/>
          <w:szCs w:val="21"/>
        </w:rPr>
        <w:t>Les données sont préparées pour l’entraînement du modèle. Les colonnes pertinentes du DataFrame (</w:t>
      </w:r>
      <w:r w:rsidRPr="002844B1">
        <w:rPr>
          <w:rStyle w:val="VerbatimChar"/>
          <w:sz w:val="24"/>
          <w:szCs w:val="20"/>
        </w:rPr>
        <w:t>Dernier</w:t>
      </w:r>
      <w:r w:rsidRPr="002844B1">
        <w:rPr>
          <w:sz w:val="21"/>
          <w:szCs w:val="21"/>
        </w:rPr>
        <w:t xml:space="preserve">, </w:t>
      </w:r>
      <w:r w:rsidRPr="002844B1">
        <w:rPr>
          <w:rStyle w:val="VerbatimChar"/>
          <w:sz w:val="24"/>
          <w:szCs w:val="20"/>
        </w:rPr>
        <w:t>Ouv.</w:t>
      </w:r>
      <w:r w:rsidRPr="002844B1">
        <w:rPr>
          <w:sz w:val="21"/>
          <w:szCs w:val="21"/>
        </w:rPr>
        <w:t xml:space="preserve">, </w:t>
      </w:r>
      <w:r w:rsidRPr="002844B1">
        <w:rPr>
          <w:rStyle w:val="VerbatimChar"/>
          <w:sz w:val="24"/>
          <w:szCs w:val="20"/>
        </w:rPr>
        <w:t>Plus Haut</w:t>
      </w:r>
      <w:r w:rsidRPr="002844B1">
        <w:rPr>
          <w:sz w:val="21"/>
          <w:szCs w:val="21"/>
        </w:rPr>
        <w:t xml:space="preserve">, </w:t>
      </w:r>
      <w:r w:rsidRPr="002844B1">
        <w:rPr>
          <w:rStyle w:val="VerbatimChar"/>
          <w:sz w:val="24"/>
          <w:szCs w:val="20"/>
        </w:rPr>
        <w:t>Plus Bas</w:t>
      </w:r>
      <w:r w:rsidRPr="002844B1">
        <w:rPr>
          <w:sz w:val="21"/>
          <w:szCs w:val="21"/>
        </w:rPr>
        <w:t xml:space="preserve">) sont extraites et converties en tableaux NumPy. Les données sont ensuite normalisées à l’aide de la classe </w:t>
      </w:r>
      <w:r w:rsidRPr="002844B1">
        <w:rPr>
          <w:rStyle w:val="VerbatimChar"/>
          <w:sz w:val="24"/>
          <w:szCs w:val="20"/>
        </w:rPr>
        <w:t>MinMaxScaler</w:t>
      </w:r>
      <w:r w:rsidRPr="002844B1">
        <w:rPr>
          <w:sz w:val="21"/>
          <w:szCs w:val="21"/>
        </w:rPr>
        <w:t xml:space="preserve"> de scikit-learn, ce qui les met à l’échelle entre 0 et 1.</w:t>
      </w:r>
    </w:p>
    <w:p w:rsidR="005B279D" w:rsidRPr="002844B1" w:rsidRDefault="00000000" w:rsidP="00997111">
      <w:pPr>
        <w:numPr>
          <w:ilvl w:val="0"/>
          <w:numId w:val="68"/>
        </w:numPr>
        <w:jc w:val="both"/>
        <w:rPr>
          <w:sz w:val="21"/>
          <w:szCs w:val="21"/>
        </w:rPr>
      </w:pPr>
      <w:r w:rsidRPr="002844B1">
        <w:rPr>
          <w:sz w:val="21"/>
          <w:szCs w:val="21"/>
        </w:rPr>
        <w:t>Des séquences de données sont créées pour l’entraînement du modèle. Chaque séquence contient les 5 observations précédentes en tant qu’entrée et la valeur du cours “Dernier” à la prochaine observation en tant que sortie. Cela permet d’entraîner le modèle à prédire le cours futur en fonction des observations passées.</w:t>
      </w:r>
    </w:p>
    <w:p w:rsidR="005B279D" w:rsidRPr="002844B1" w:rsidRDefault="00000000" w:rsidP="00997111">
      <w:pPr>
        <w:numPr>
          <w:ilvl w:val="0"/>
          <w:numId w:val="68"/>
        </w:numPr>
        <w:jc w:val="both"/>
        <w:rPr>
          <w:sz w:val="21"/>
          <w:szCs w:val="21"/>
        </w:rPr>
      </w:pPr>
      <w:r w:rsidRPr="002844B1">
        <w:rPr>
          <w:sz w:val="21"/>
          <w:szCs w:val="21"/>
        </w:rPr>
        <w:t>Les données sont divisées en ensembles d’entraînement et de test. 95% des données sont utilisées pour l’entraînement et 5% sont réservées pour les tests.</w:t>
      </w:r>
    </w:p>
    <w:p w:rsidR="005B279D" w:rsidRPr="002844B1" w:rsidRDefault="00000000" w:rsidP="00997111">
      <w:pPr>
        <w:numPr>
          <w:ilvl w:val="0"/>
          <w:numId w:val="68"/>
        </w:numPr>
        <w:jc w:val="both"/>
        <w:rPr>
          <w:sz w:val="21"/>
          <w:szCs w:val="21"/>
        </w:rPr>
      </w:pPr>
      <w:r w:rsidRPr="002844B1">
        <w:rPr>
          <w:sz w:val="21"/>
          <w:szCs w:val="21"/>
        </w:rPr>
        <w:t xml:space="preserve">Le modèle LSTM est défini à l’aide de la classe </w:t>
      </w:r>
      <w:r w:rsidRPr="002844B1">
        <w:rPr>
          <w:rStyle w:val="VerbatimChar"/>
          <w:sz w:val="24"/>
          <w:szCs w:val="20"/>
        </w:rPr>
        <w:t>Sequential</w:t>
      </w:r>
      <w:r w:rsidRPr="002844B1">
        <w:rPr>
          <w:sz w:val="21"/>
          <w:szCs w:val="21"/>
        </w:rPr>
        <w:t xml:space="preserve"> de Keras. Il est composé de trois couches LSTM avec une couche de dropout entre chaque couche pour éviter le surapprentissage. La dernière couche est une couche dense avec une seule unité qui prédit la valeur du cours “Dernier”.</w:t>
      </w:r>
    </w:p>
    <w:p w:rsidR="005B279D" w:rsidRPr="002844B1" w:rsidRDefault="00000000" w:rsidP="00997111">
      <w:pPr>
        <w:numPr>
          <w:ilvl w:val="0"/>
          <w:numId w:val="68"/>
        </w:numPr>
        <w:jc w:val="both"/>
        <w:rPr>
          <w:sz w:val="21"/>
          <w:szCs w:val="21"/>
        </w:rPr>
      </w:pPr>
      <w:r w:rsidRPr="002844B1">
        <w:rPr>
          <w:sz w:val="21"/>
          <w:szCs w:val="21"/>
        </w:rPr>
        <w:t>Le modèle est compilé avec l’optimiseur Adam et la fonction de perte “mean_squared_error” pour mesurer l’erreur de prédiction.</w:t>
      </w:r>
    </w:p>
    <w:p w:rsidR="005B279D" w:rsidRPr="002844B1" w:rsidRDefault="00000000" w:rsidP="00997111">
      <w:pPr>
        <w:numPr>
          <w:ilvl w:val="0"/>
          <w:numId w:val="68"/>
        </w:numPr>
        <w:jc w:val="both"/>
        <w:rPr>
          <w:sz w:val="21"/>
          <w:szCs w:val="21"/>
        </w:rPr>
      </w:pPr>
      <w:r w:rsidRPr="002844B1">
        <w:rPr>
          <w:sz w:val="21"/>
          <w:szCs w:val="21"/>
        </w:rPr>
        <w:lastRenderedPageBreak/>
        <w:t xml:space="preserve">Le modèle est entraîné sur les données d’entraînement à l’aide de la méthode </w:t>
      </w:r>
      <w:r w:rsidRPr="002844B1">
        <w:rPr>
          <w:rStyle w:val="VerbatimChar"/>
          <w:sz w:val="24"/>
          <w:szCs w:val="20"/>
        </w:rPr>
        <w:t>fit()</w:t>
      </w:r>
      <w:r w:rsidRPr="002844B1">
        <w:rPr>
          <w:sz w:val="21"/>
          <w:szCs w:val="21"/>
        </w:rPr>
        <w:t>. Le nombre d’époques est défini à 100 et la taille du lot est définie à 30.</w:t>
      </w:r>
    </w:p>
    <w:p w:rsidR="005B279D" w:rsidRPr="002844B1" w:rsidRDefault="00000000" w:rsidP="00997111">
      <w:pPr>
        <w:numPr>
          <w:ilvl w:val="0"/>
          <w:numId w:val="68"/>
        </w:numPr>
        <w:jc w:val="both"/>
        <w:rPr>
          <w:sz w:val="21"/>
          <w:szCs w:val="21"/>
        </w:rPr>
      </w:pPr>
      <w:r w:rsidRPr="002844B1">
        <w:rPr>
          <w:sz w:val="21"/>
          <w:szCs w:val="21"/>
        </w:rPr>
        <w:t xml:space="preserve">Le modèle est utilisé pour faire des prédictions sur les données de test à l’aide de la méthode </w:t>
      </w:r>
      <w:r w:rsidRPr="002844B1">
        <w:rPr>
          <w:rStyle w:val="VerbatimChar"/>
          <w:sz w:val="24"/>
          <w:szCs w:val="20"/>
        </w:rPr>
        <w:t>predict()</w:t>
      </w:r>
      <w:r w:rsidRPr="002844B1">
        <w:rPr>
          <w:sz w:val="21"/>
          <w:szCs w:val="21"/>
        </w:rPr>
        <w:t xml:space="preserve">. Les prédictions sont inversées à l’échelle originale à l’aide de la méthode </w:t>
      </w:r>
      <w:r w:rsidRPr="002844B1">
        <w:rPr>
          <w:rStyle w:val="VerbatimChar"/>
          <w:sz w:val="24"/>
          <w:szCs w:val="20"/>
        </w:rPr>
        <w:t>inverse_transform()</w:t>
      </w:r>
      <w:r w:rsidRPr="002844B1">
        <w:rPr>
          <w:sz w:val="21"/>
          <w:szCs w:val="21"/>
        </w:rPr>
        <w:t xml:space="preserve"> de l’objet </w:t>
      </w:r>
      <w:r w:rsidRPr="002844B1">
        <w:rPr>
          <w:rStyle w:val="VerbatimChar"/>
          <w:sz w:val="24"/>
          <w:szCs w:val="20"/>
        </w:rPr>
        <w:t>scaler</w:t>
      </w:r>
      <w:r w:rsidRPr="002844B1">
        <w:rPr>
          <w:sz w:val="21"/>
          <w:szCs w:val="21"/>
        </w:rPr>
        <w:t>.</w:t>
      </w:r>
    </w:p>
    <w:p w:rsidR="005B279D" w:rsidRPr="002844B1" w:rsidRDefault="00000000" w:rsidP="00997111">
      <w:pPr>
        <w:numPr>
          <w:ilvl w:val="0"/>
          <w:numId w:val="68"/>
        </w:numPr>
        <w:jc w:val="both"/>
        <w:rPr>
          <w:sz w:val="21"/>
          <w:szCs w:val="21"/>
        </w:rPr>
      </w:pPr>
      <w:r w:rsidRPr="002844B1">
        <w:rPr>
          <w:sz w:val="21"/>
          <w:szCs w:val="21"/>
        </w:rPr>
        <w:t>L’erreur de prédiction est évaluée en calculant la racine carrée de l’erreur quadratique moyenne (RMSE) entre les valeurs de test réelles et les valeurs prédites.</w:t>
      </w:r>
    </w:p>
    <w:p w:rsidR="005B279D" w:rsidRPr="002844B1" w:rsidRDefault="00000000" w:rsidP="00997111">
      <w:pPr>
        <w:numPr>
          <w:ilvl w:val="0"/>
          <w:numId w:val="68"/>
        </w:numPr>
        <w:jc w:val="both"/>
        <w:rPr>
          <w:sz w:val="21"/>
          <w:szCs w:val="21"/>
        </w:rPr>
      </w:pPr>
      <w:r w:rsidRPr="002844B1">
        <w:rPr>
          <w:sz w:val="21"/>
          <w:szCs w:val="21"/>
        </w:rPr>
        <w:t>Les valeurs réelles et prédites sont tracées à l’aide de la bibliothèque matplotlib pour visualiser les performances du modèle.</w:t>
      </w:r>
    </w:p>
    <w:p w:rsidR="005B279D" w:rsidRPr="002844B1" w:rsidRDefault="00000000" w:rsidP="00997111">
      <w:pPr>
        <w:pStyle w:val="FirstParagraph"/>
        <w:jc w:val="both"/>
        <w:rPr>
          <w:sz w:val="21"/>
          <w:szCs w:val="21"/>
        </w:rPr>
      </w:pPr>
      <w:r w:rsidRPr="002844B1">
        <w:rPr>
          <w:sz w:val="21"/>
          <w:szCs w:val="21"/>
        </w:rPr>
        <w:t>En résumé, ce code utilise un modèle LSTM pour prédire le dernier cours du MASI à partir des données historiques, puis évalue les performances du modèle en calculant l’erreur de prédiction et en traçant les résultats.</w:t>
      </w:r>
    </w:p>
    <w:p w:rsidR="005B279D" w:rsidRPr="002844B1" w:rsidRDefault="00000000">
      <w:pPr>
        <w:pStyle w:val="SourceCode"/>
        <w:rPr>
          <w:sz w:val="10"/>
          <w:szCs w:val="10"/>
        </w:rPr>
      </w:pPr>
      <w:r w:rsidRPr="002844B1">
        <w:rPr>
          <w:rStyle w:val="ImportTok"/>
          <w:sz w:val="13"/>
          <w:szCs w:val="8"/>
        </w:rPr>
        <w:t>import</w:t>
      </w:r>
      <w:r w:rsidRPr="002844B1">
        <w:rPr>
          <w:rStyle w:val="NormalTok"/>
          <w:sz w:val="13"/>
          <w:szCs w:val="8"/>
        </w:rPr>
        <w:t xml:space="preserve"> pandas </w:t>
      </w:r>
      <w:r w:rsidRPr="002844B1">
        <w:rPr>
          <w:rStyle w:val="ImportTok"/>
          <w:sz w:val="13"/>
          <w:szCs w:val="8"/>
        </w:rPr>
        <w:t>as</w:t>
      </w:r>
      <w:r w:rsidRPr="002844B1">
        <w:rPr>
          <w:rStyle w:val="NormalTok"/>
          <w:sz w:val="13"/>
          <w:szCs w:val="8"/>
        </w:rPr>
        <w:t xml:space="preserve"> pd</w:t>
      </w:r>
      <w:r w:rsidRPr="002844B1">
        <w:rPr>
          <w:sz w:val="10"/>
          <w:szCs w:val="10"/>
        </w:rPr>
        <w:br/>
      </w:r>
      <w:r w:rsidRPr="002844B1">
        <w:rPr>
          <w:rStyle w:val="ImportTok"/>
          <w:sz w:val="13"/>
          <w:szCs w:val="8"/>
        </w:rPr>
        <w:t>import</w:t>
      </w:r>
      <w:r w:rsidRPr="002844B1">
        <w:rPr>
          <w:rStyle w:val="NormalTok"/>
          <w:sz w:val="13"/>
          <w:szCs w:val="8"/>
        </w:rPr>
        <w:t xml:space="preserve"> matplotlib.pyplot </w:t>
      </w:r>
      <w:r w:rsidRPr="002844B1">
        <w:rPr>
          <w:rStyle w:val="ImportTok"/>
          <w:sz w:val="13"/>
          <w:szCs w:val="8"/>
        </w:rPr>
        <w:t>as</w:t>
      </w:r>
      <w:r w:rsidRPr="002844B1">
        <w:rPr>
          <w:rStyle w:val="NormalTok"/>
          <w:sz w:val="13"/>
          <w:szCs w:val="8"/>
        </w:rPr>
        <w:t xml:space="preserve"> plt</w:t>
      </w:r>
      <w:r w:rsidRPr="002844B1">
        <w:rPr>
          <w:sz w:val="10"/>
          <w:szCs w:val="10"/>
        </w:rPr>
        <w:br/>
      </w:r>
      <w:r w:rsidRPr="002844B1">
        <w:rPr>
          <w:rStyle w:val="ImportTok"/>
          <w:sz w:val="13"/>
          <w:szCs w:val="8"/>
        </w:rPr>
        <w:t>import</w:t>
      </w:r>
      <w:r w:rsidRPr="002844B1">
        <w:rPr>
          <w:rStyle w:val="NormalTok"/>
          <w:sz w:val="13"/>
          <w:szCs w:val="8"/>
        </w:rPr>
        <w:t xml:space="preserve"> tensorflow </w:t>
      </w:r>
      <w:r w:rsidRPr="002844B1">
        <w:rPr>
          <w:rStyle w:val="ImportTok"/>
          <w:sz w:val="13"/>
          <w:szCs w:val="8"/>
        </w:rPr>
        <w:t>as</w:t>
      </w:r>
      <w:r w:rsidRPr="002844B1">
        <w:rPr>
          <w:rStyle w:val="NormalTok"/>
          <w:sz w:val="13"/>
          <w:szCs w:val="8"/>
        </w:rPr>
        <w:t xml:space="preserve"> tf</w:t>
      </w:r>
      <w:r w:rsidRPr="002844B1">
        <w:rPr>
          <w:sz w:val="10"/>
          <w:szCs w:val="10"/>
        </w:rPr>
        <w:br/>
      </w:r>
      <w:r w:rsidRPr="002844B1">
        <w:rPr>
          <w:rStyle w:val="ImportTok"/>
          <w:sz w:val="13"/>
          <w:szCs w:val="8"/>
        </w:rPr>
        <w:t>from</w:t>
      </w:r>
      <w:r w:rsidRPr="002844B1">
        <w:rPr>
          <w:rStyle w:val="NormalTok"/>
          <w:sz w:val="13"/>
          <w:szCs w:val="8"/>
        </w:rPr>
        <w:t xml:space="preserve"> tensorflow.keras.models </w:t>
      </w:r>
      <w:r w:rsidRPr="002844B1">
        <w:rPr>
          <w:rStyle w:val="ImportTok"/>
          <w:sz w:val="13"/>
          <w:szCs w:val="8"/>
        </w:rPr>
        <w:t>import</w:t>
      </w:r>
      <w:r w:rsidRPr="002844B1">
        <w:rPr>
          <w:rStyle w:val="NormalTok"/>
          <w:sz w:val="13"/>
          <w:szCs w:val="8"/>
        </w:rPr>
        <w:t xml:space="preserve"> Sequential</w:t>
      </w:r>
      <w:r w:rsidRPr="002844B1">
        <w:rPr>
          <w:sz w:val="10"/>
          <w:szCs w:val="10"/>
        </w:rPr>
        <w:br/>
      </w:r>
      <w:r w:rsidRPr="002844B1">
        <w:rPr>
          <w:rStyle w:val="ImportTok"/>
          <w:sz w:val="13"/>
          <w:szCs w:val="8"/>
        </w:rPr>
        <w:t>from</w:t>
      </w:r>
      <w:r w:rsidRPr="002844B1">
        <w:rPr>
          <w:rStyle w:val="NormalTok"/>
          <w:sz w:val="13"/>
          <w:szCs w:val="8"/>
        </w:rPr>
        <w:t xml:space="preserve"> tensorflow.keras.layers </w:t>
      </w:r>
      <w:r w:rsidRPr="002844B1">
        <w:rPr>
          <w:rStyle w:val="ImportTok"/>
          <w:sz w:val="13"/>
          <w:szCs w:val="8"/>
        </w:rPr>
        <w:t>import</w:t>
      </w:r>
      <w:r w:rsidRPr="002844B1">
        <w:rPr>
          <w:rStyle w:val="NormalTok"/>
          <w:sz w:val="13"/>
          <w:szCs w:val="8"/>
        </w:rPr>
        <w:t xml:space="preserve"> Dense, LSTM, Dropout</w:t>
      </w:r>
      <w:r w:rsidRPr="002844B1">
        <w:rPr>
          <w:sz w:val="10"/>
          <w:szCs w:val="10"/>
        </w:rPr>
        <w:br/>
      </w:r>
      <w:r w:rsidRPr="002844B1">
        <w:rPr>
          <w:rStyle w:val="ImportTok"/>
          <w:sz w:val="13"/>
          <w:szCs w:val="8"/>
        </w:rPr>
        <w:t>import</w:t>
      </w:r>
      <w:r w:rsidRPr="002844B1">
        <w:rPr>
          <w:rStyle w:val="NormalTok"/>
          <w:sz w:val="13"/>
          <w:szCs w:val="8"/>
        </w:rPr>
        <w:t xml:space="preserve"> numpy </w:t>
      </w:r>
      <w:r w:rsidRPr="002844B1">
        <w:rPr>
          <w:rStyle w:val="ImportTok"/>
          <w:sz w:val="13"/>
          <w:szCs w:val="8"/>
        </w:rPr>
        <w:t>as</w:t>
      </w:r>
      <w:r w:rsidRPr="002844B1">
        <w:rPr>
          <w:rStyle w:val="NormalTok"/>
          <w:sz w:val="13"/>
          <w:szCs w:val="8"/>
        </w:rPr>
        <w:t xml:space="preserve"> np</w:t>
      </w:r>
      <w:r w:rsidRPr="002844B1">
        <w:rPr>
          <w:sz w:val="10"/>
          <w:szCs w:val="10"/>
        </w:rPr>
        <w:br/>
      </w:r>
      <w:r w:rsidRPr="002844B1">
        <w:rPr>
          <w:sz w:val="10"/>
          <w:szCs w:val="10"/>
        </w:rPr>
        <w:br/>
      </w:r>
      <w:r w:rsidRPr="002844B1">
        <w:rPr>
          <w:rStyle w:val="CommentTok"/>
          <w:sz w:val="13"/>
          <w:szCs w:val="8"/>
        </w:rPr>
        <w:t>#Lecture du fichier csv</w:t>
      </w:r>
      <w:r w:rsidRPr="002844B1">
        <w:rPr>
          <w:sz w:val="10"/>
          <w:szCs w:val="10"/>
        </w:rPr>
        <w:br/>
      </w:r>
      <w:r w:rsidRPr="002844B1">
        <w:rPr>
          <w:rStyle w:val="NormalTok"/>
          <w:sz w:val="13"/>
          <w:szCs w:val="8"/>
        </w:rPr>
        <w:t xml:space="preserve">df </w:t>
      </w:r>
      <w:r w:rsidRPr="002844B1">
        <w:rPr>
          <w:rStyle w:val="OperatorTok"/>
          <w:sz w:val="13"/>
          <w:szCs w:val="8"/>
        </w:rPr>
        <w:t>=</w:t>
      </w:r>
      <w:r w:rsidRPr="002844B1">
        <w:rPr>
          <w:rStyle w:val="NormalTok"/>
          <w:sz w:val="13"/>
          <w:szCs w:val="8"/>
        </w:rPr>
        <w:t xml:space="preserve"> pd.read_csv(</w:t>
      </w:r>
      <w:r w:rsidRPr="002844B1">
        <w:rPr>
          <w:rStyle w:val="StringTok"/>
          <w:sz w:val="13"/>
          <w:szCs w:val="8"/>
        </w:rPr>
        <w:t>'Moroccan All Shares - Données Historiques.csv'</w:t>
      </w:r>
      <w:r w:rsidRPr="002844B1">
        <w:rPr>
          <w:rStyle w:val="NormalTok"/>
          <w:sz w:val="13"/>
          <w:szCs w:val="8"/>
        </w:rPr>
        <w:t>)</w:t>
      </w:r>
      <w:r w:rsidRPr="002844B1">
        <w:rPr>
          <w:sz w:val="10"/>
          <w:szCs w:val="10"/>
        </w:rPr>
        <w:br/>
      </w:r>
      <w:r w:rsidRPr="002844B1">
        <w:rPr>
          <w:sz w:val="10"/>
          <w:szCs w:val="10"/>
        </w:rPr>
        <w:br/>
      </w:r>
      <w:r w:rsidRPr="002844B1">
        <w:rPr>
          <w:rStyle w:val="CommentTok"/>
          <w:sz w:val="13"/>
          <w:szCs w:val="8"/>
        </w:rPr>
        <w:t># Conversion en nombres</w:t>
      </w:r>
      <w:r w:rsidRPr="002844B1">
        <w:rPr>
          <w:sz w:val="10"/>
          <w:szCs w:val="10"/>
        </w:rPr>
        <w:br/>
      </w:r>
      <w:r w:rsidRPr="002844B1">
        <w:rPr>
          <w:rStyle w:val="KeywordTok"/>
          <w:sz w:val="13"/>
          <w:szCs w:val="8"/>
        </w:rPr>
        <w:t>def</w:t>
      </w:r>
      <w:r w:rsidRPr="002844B1">
        <w:rPr>
          <w:rStyle w:val="NormalTok"/>
          <w:sz w:val="13"/>
          <w:szCs w:val="8"/>
        </w:rPr>
        <w:t xml:space="preserve"> convert_num(x):</w:t>
      </w:r>
      <w:r w:rsidRPr="002844B1">
        <w:rPr>
          <w:sz w:val="10"/>
          <w:szCs w:val="10"/>
        </w:rPr>
        <w:br/>
      </w:r>
      <w:r w:rsidRPr="002844B1">
        <w:rPr>
          <w:rStyle w:val="NormalTok"/>
          <w:sz w:val="13"/>
          <w:szCs w:val="8"/>
        </w:rPr>
        <w:t xml:space="preserve">    x </w:t>
      </w:r>
      <w:r w:rsidRPr="002844B1">
        <w:rPr>
          <w:rStyle w:val="OperatorTok"/>
          <w:sz w:val="13"/>
          <w:szCs w:val="8"/>
        </w:rPr>
        <w:t>=</w:t>
      </w:r>
      <w:r w:rsidRPr="002844B1">
        <w:rPr>
          <w:rStyle w:val="NormalTok"/>
          <w:sz w:val="13"/>
          <w:szCs w:val="8"/>
        </w:rPr>
        <w:t xml:space="preserve"> x.replace(</w:t>
      </w:r>
      <w:r w:rsidRPr="002844B1">
        <w:rPr>
          <w:rStyle w:val="StringTok"/>
          <w:sz w:val="13"/>
          <w:szCs w:val="8"/>
        </w:rPr>
        <w:t>" "</w:t>
      </w:r>
      <w:r w:rsidRPr="002844B1">
        <w:rPr>
          <w:rStyle w:val="NormalTok"/>
          <w:sz w:val="13"/>
          <w:szCs w:val="8"/>
        </w:rPr>
        <w:t xml:space="preserve">, </w:t>
      </w:r>
      <w:r w:rsidRPr="002844B1">
        <w:rPr>
          <w:rStyle w:val="StringTok"/>
          <w:sz w:val="13"/>
          <w:szCs w:val="8"/>
        </w:rPr>
        <w:t>""</w:t>
      </w:r>
      <w:r w:rsidRPr="002844B1">
        <w:rPr>
          <w:rStyle w:val="NormalTok"/>
          <w:sz w:val="13"/>
          <w:szCs w:val="8"/>
        </w:rPr>
        <w:t>)</w:t>
      </w:r>
      <w:r w:rsidRPr="002844B1">
        <w:rPr>
          <w:sz w:val="10"/>
          <w:szCs w:val="10"/>
        </w:rPr>
        <w:br/>
      </w:r>
      <w:r w:rsidRPr="002844B1">
        <w:rPr>
          <w:rStyle w:val="NormalTok"/>
          <w:sz w:val="13"/>
          <w:szCs w:val="8"/>
        </w:rPr>
        <w:t xml:space="preserve">    x </w:t>
      </w:r>
      <w:r w:rsidRPr="002844B1">
        <w:rPr>
          <w:rStyle w:val="OperatorTok"/>
          <w:sz w:val="13"/>
          <w:szCs w:val="8"/>
        </w:rPr>
        <w:t>=</w:t>
      </w:r>
      <w:r w:rsidRPr="002844B1">
        <w:rPr>
          <w:rStyle w:val="NormalTok"/>
          <w:sz w:val="13"/>
          <w:szCs w:val="8"/>
        </w:rPr>
        <w:t xml:space="preserve"> x.replace(</w:t>
      </w:r>
      <w:r w:rsidRPr="002844B1">
        <w:rPr>
          <w:rStyle w:val="StringTok"/>
          <w:sz w:val="13"/>
          <w:szCs w:val="8"/>
        </w:rPr>
        <w:t>"."</w:t>
      </w:r>
      <w:r w:rsidRPr="002844B1">
        <w:rPr>
          <w:rStyle w:val="NormalTok"/>
          <w:sz w:val="13"/>
          <w:szCs w:val="8"/>
        </w:rPr>
        <w:t xml:space="preserve">, </w:t>
      </w:r>
      <w:r w:rsidRPr="002844B1">
        <w:rPr>
          <w:rStyle w:val="StringTok"/>
          <w:sz w:val="13"/>
          <w:szCs w:val="8"/>
        </w:rPr>
        <w:t>""</w:t>
      </w:r>
      <w:r w:rsidRPr="002844B1">
        <w:rPr>
          <w:rStyle w:val="NormalTok"/>
          <w:sz w:val="13"/>
          <w:szCs w:val="8"/>
        </w:rPr>
        <w:t>)</w:t>
      </w:r>
      <w:r w:rsidRPr="002844B1">
        <w:rPr>
          <w:sz w:val="10"/>
          <w:szCs w:val="10"/>
        </w:rPr>
        <w:br/>
      </w:r>
      <w:r w:rsidRPr="002844B1">
        <w:rPr>
          <w:rStyle w:val="NormalTok"/>
          <w:sz w:val="13"/>
          <w:szCs w:val="8"/>
        </w:rPr>
        <w:t xml:space="preserve">    x </w:t>
      </w:r>
      <w:r w:rsidRPr="002844B1">
        <w:rPr>
          <w:rStyle w:val="OperatorTok"/>
          <w:sz w:val="13"/>
          <w:szCs w:val="8"/>
        </w:rPr>
        <w:t>=</w:t>
      </w:r>
      <w:r w:rsidRPr="002844B1">
        <w:rPr>
          <w:rStyle w:val="NormalTok"/>
          <w:sz w:val="13"/>
          <w:szCs w:val="8"/>
        </w:rPr>
        <w:t xml:space="preserve"> x.replace(</w:t>
      </w:r>
      <w:r w:rsidRPr="002844B1">
        <w:rPr>
          <w:rStyle w:val="StringTok"/>
          <w:sz w:val="13"/>
          <w:szCs w:val="8"/>
        </w:rPr>
        <w:t>","</w:t>
      </w:r>
      <w:r w:rsidRPr="002844B1">
        <w:rPr>
          <w:rStyle w:val="NormalTok"/>
          <w:sz w:val="13"/>
          <w:szCs w:val="8"/>
        </w:rPr>
        <w:t xml:space="preserve">, </w:t>
      </w:r>
      <w:r w:rsidRPr="002844B1">
        <w:rPr>
          <w:rStyle w:val="StringTok"/>
          <w:sz w:val="13"/>
          <w:szCs w:val="8"/>
        </w:rPr>
        <w:t>"."</w:t>
      </w:r>
      <w:r w:rsidRPr="002844B1">
        <w:rPr>
          <w:rStyle w:val="NormalTok"/>
          <w:sz w:val="13"/>
          <w:szCs w:val="8"/>
        </w:rPr>
        <w:t>)</w:t>
      </w:r>
      <w:r w:rsidRPr="002844B1">
        <w:rPr>
          <w:sz w:val="10"/>
          <w:szCs w:val="10"/>
        </w:rPr>
        <w:br/>
      </w:r>
      <w:r w:rsidRPr="002844B1">
        <w:rPr>
          <w:rStyle w:val="NormalTok"/>
          <w:sz w:val="13"/>
          <w:szCs w:val="8"/>
        </w:rPr>
        <w:t xml:space="preserve">    </w:t>
      </w:r>
      <w:r w:rsidRPr="002844B1">
        <w:rPr>
          <w:rStyle w:val="ControlFlowTok"/>
          <w:sz w:val="13"/>
          <w:szCs w:val="8"/>
        </w:rPr>
        <w:t>return</w:t>
      </w:r>
      <w:r w:rsidRPr="002844B1">
        <w:rPr>
          <w:rStyle w:val="NormalTok"/>
          <w:sz w:val="13"/>
          <w:szCs w:val="8"/>
        </w:rPr>
        <w:t xml:space="preserve"> </w:t>
      </w:r>
      <w:r w:rsidRPr="002844B1">
        <w:rPr>
          <w:rStyle w:val="BuiltInTok"/>
          <w:sz w:val="13"/>
          <w:szCs w:val="8"/>
        </w:rPr>
        <w:t>float</w:t>
      </w:r>
      <w:r w:rsidRPr="002844B1">
        <w:rPr>
          <w:rStyle w:val="NormalTok"/>
          <w:sz w:val="13"/>
          <w:szCs w:val="8"/>
        </w:rPr>
        <w:t>(x)</w:t>
      </w:r>
      <w:r w:rsidRPr="002844B1">
        <w:rPr>
          <w:sz w:val="10"/>
          <w:szCs w:val="10"/>
        </w:rPr>
        <w:br/>
      </w:r>
      <w:r w:rsidRPr="002844B1">
        <w:rPr>
          <w:sz w:val="10"/>
          <w:szCs w:val="10"/>
        </w:rPr>
        <w:br/>
      </w:r>
      <w:r w:rsidRPr="002844B1">
        <w:rPr>
          <w:rStyle w:val="CommentTok"/>
          <w:sz w:val="13"/>
          <w:szCs w:val="8"/>
        </w:rPr>
        <w:t># Conversion des pourcentages en nombres</w:t>
      </w:r>
      <w:r w:rsidRPr="002844B1">
        <w:rPr>
          <w:sz w:val="10"/>
          <w:szCs w:val="10"/>
        </w:rPr>
        <w:br/>
      </w:r>
      <w:r w:rsidRPr="002844B1">
        <w:rPr>
          <w:rStyle w:val="KeywordTok"/>
          <w:sz w:val="13"/>
          <w:szCs w:val="8"/>
        </w:rPr>
        <w:t>def</w:t>
      </w:r>
      <w:r w:rsidRPr="002844B1">
        <w:rPr>
          <w:rStyle w:val="NormalTok"/>
          <w:sz w:val="13"/>
          <w:szCs w:val="8"/>
        </w:rPr>
        <w:t xml:space="preserve"> pct_to_num(x):</w:t>
      </w:r>
      <w:r w:rsidRPr="002844B1">
        <w:rPr>
          <w:sz w:val="10"/>
          <w:szCs w:val="10"/>
        </w:rPr>
        <w:br/>
      </w:r>
      <w:r w:rsidRPr="002844B1">
        <w:rPr>
          <w:rStyle w:val="NormalTok"/>
          <w:sz w:val="13"/>
          <w:szCs w:val="8"/>
        </w:rPr>
        <w:t xml:space="preserve">    x </w:t>
      </w:r>
      <w:r w:rsidRPr="002844B1">
        <w:rPr>
          <w:rStyle w:val="OperatorTok"/>
          <w:sz w:val="13"/>
          <w:szCs w:val="8"/>
        </w:rPr>
        <w:t>=</w:t>
      </w:r>
      <w:r w:rsidRPr="002844B1">
        <w:rPr>
          <w:rStyle w:val="NormalTok"/>
          <w:sz w:val="13"/>
          <w:szCs w:val="8"/>
        </w:rPr>
        <w:t xml:space="preserve"> x.replace(</w:t>
      </w:r>
      <w:r w:rsidRPr="002844B1">
        <w:rPr>
          <w:rStyle w:val="StringTok"/>
          <w:sz w:val="13"/>
          <w:szCs w:val="8"/>
        </w:rPr>
        <w:t>" "</w:t>
      </w:r>
      <w:r w:rsidRPr="002844B1">
        <w:rPr>
          <w:rStyle w:val="NormalTok"/>
          <w:sz w:val="13"/>
          <w:szCs w:val="8"/>
        </w:rPr>
        <w:t xml:space="preserve">, </w:t>
      </w:r>
      <w:r w:rsidRPr="002844B1">
        <w:rPr>
          <w:rStyle w:val="StringTok"/>
          <w:sz w:val="13"/>
          <w:szCs w:val="8"/>
        </w:rPr>
        <w:t>""</w:t>
      </w:r>
      <w:r w:rsidRPr="002844B1">
        <w:rPr>
          <w:rStyle w:val="NormalTok"/>
          <w:sz w:val="13"/>
          <w:szCs w:val="8"/>
        </w:rPr>
        <w:t>)</w:t>
      </w:r>
      <w:r w:rsidRPr="002844B1">
        <w:rPr>
          <w:sz w:val="10"/>
          <w:szCs w:val="10"/>
        </w:rPr>
        <w:br/>
      </w:r>
      <w:r w:rsidRPr="002844B1">
        <w:rPr>
          <w:rStyle w:val="NormalTok"/>
          <w:sz w:val="13"/>
          <w:szCs w:val="8"/>
        </w:rPr>
        <w:t xml:space="preserve">    x </w:t>
      </w:r>
      <w:r w:rsidRPr="002844B1">
        <w:rPr>
          <w:rStyle w:val="OperatorTok"/>
          <w:sz w:val="13"/>
          <w:szCs w:val="8"/>
        </w:rPr>
        <w:t>=</w:t>
      </w:r>
      <w:r w:rsidRPr="002844B1">
        <w:rPr>
          <w:rStyle w:val="NormalTok"/>
          <w:sz w:val="13"/>
          <w:szCs w:val="8"/>
        </w:rPr>
        <w:t xml:space="preserve"> x.replace(</w:t>
      </w:r>
      <w:r w:rsidRPr="002844B1">
        <w:rPr>
          <w:rStyle w:val="StringTok"/>
          <w:sz w:val="13"/>
          <w:szCs w:val="8"/>
        </w:rPr>
        <w:t>","</w:t>
      </w:r>
      <w:r w:rsidRPr="002844B1">
        <w:rPr>
          <w:rStyle w:val="NormalTok"/>
          <w:sz w:val="13"/>
          <w:szCs w:val="8"/>
        </w:rPr>
        <w:t xml:space="preserve">, </w:t>
      </w:r>
      <w:r w:rsidRPr="002844B1">
        <w:rPr>
          <w:rStyle w:val="StringTok"/>
          <w:sz w:val="13"/>
          <w:szCs w:val="8"/>
        </w:rPr>
        <w:t>"."</w:t>
      </w:r>
      <w:r w:rsidRPr="002844B1">
        <w:rPr>
          <w:rStyle w:val="NormalTok"/>
          <w:sz w:val="13"/>
          <w:szCs w:val="8"/>
        </w:rPr>
        <w:t>)</w:t>
      </w:r>
      <w:r w:rsidRPr="002844B1">
        <w:rPr>
          <w:sz w:val="10"/>
          <w:szCs w:val="10"/>
        </w:rPr>
        <w:br/>
      </w:r>
      <w:r w:rsidRPr="002844B1">
        <w:rPr>
          <w:rStyle w:val="NormalTok"/>
          <w:sz w:val="13"/>
          <w:szCs w:val="8"/>
        </w:rPr>
        <w:t xml:space="preserve">    x </w:t>
      </w:r>
      <w:r w:rsidRPr="002844B1">
        <w:rPr>
          <w:rStyle w:val="OperatorTok"/>
          <w:sz w:val="13"/>
          <w:szCs w:val="8"/>
        </w:rPr>
        <w:t>=</w:t>
      </w:r>
      <w:r w:rsidRPr="002844B1">
        <w:rPr>
          <w:rStyle w:val="NormalTok"/>
          <w:sz w:val="13"/>
          <w:szCs w:val="8"/>
        </w:rPr>
        <w:t xml:space="preserve"> x.replace(</w:t>
      </w:r>
      <w:r w:rsidRPr="002844B1">
        <w:rPr>
          <w:rStyle w:val="StringTok"/>
          <w:sz w:val="13"/>
          <w:szCs w:val="8"/>
        </w:rPr>
        <w:t>"%"</w:t>
      </w:r>
      <w:r w:rsidRPr="002844B1">
        <w:rPr>
          <w:rStyle w:val="NormalTok"/>
          <w:sz w:val="13"/>
          <w:szCs w:val="8"/>
        </w:rPr>
        <w:t xml:space="preserve">, </w:t>
      </w:r>
      <w:r w:rsidRPr="002844B1">
        <w:rPr>
          <w:rStyle w:val="StringTok"/>
          <w:sz w:val="13"/>
          <w:szCs w:val="8"/>
        </w:rPr>
        <w:t>""</w:t>
      </w:r>
      <w:r w:rsidRPr="002844B1">
        <w:rPr>
          <w:rStyle w:val="NormalTok"/>
          <w:sz w:val="13"/>
          <w:szCs w:val="8"/>
        </w:rPr>
        <w:t>)</w:t>
      </w:r>
      <w:r w:rsidRPr="002844B1">
        <w:rPr>
          <w:sz w:val="10"/>
          <w:szCs w:val="10"/>
        </w:rPr>
        <w:br/>
      </w:r>
      <w:r w:rsidRPr="002844B1">
        <w:rPr>
          <w:rStyle w:val="NormalTok"/>
          <w:sz w:val="13"/>
          <w:szCs w:val="8"/>
        </w:rPr>
        <w:t xml:space="preserve">    </w:t>
      </w:r>
      <w:r w:rsidRPr="002844B1">
        <w:rPr>
          <w:rStyle w:val="ControlFlowTok"/>
          <w:sz w:val="13"/>
          <w:szCs w:val="8"/>
        </w:rPr>
        <w:t>return</w:t>
      </w:r>
      <w:r w:rsidRPr="002844B1">
        <w:rPr>
          <w:rStyle w:val="NormalTok"/>
          <w:sz w:val="13"/>
          <w:szCs w:val="8"/>
        </w:rPr>
        <w:t xml:space="preserve"> </w:t>
      </w:r>
      <w:r w:rsidRPr="002844B1">
        <w:rPr>
          <w:rStyle w:val="BuiltInTok"/>
          <w:sz w:val="13"/>
          <w:szCs w:val="8"/>
        </w:rPr>
        <w:t>float</w:t>
      </w:r>
      <w:r w:rsidRPr="002844B1">
        <w:rPr>
          <w:rStyle w:val="NormalTok"/>
          <w:sz w:val="13"/>
          <w:szCs w:val="8"/>
        </w:rPr>
        <w:t>(x)</w:t>
      </w:r>
      <w:r w:rsidRPr="002844B1">
        <w:rPr>
          <w:sz w:val="10"/>
          <w:szCs w:val="10"/>
        </w:rPr>
        <w:br/>
      </w:r>
      <w:r w:rsidRPr="002844B1">
        <w:rPr>
          <w:sz w:val="10"/>
          <w:szCs w:val="10"/>
        </w:rPr>
        <w:br/>
      </w:r>
      <w:r w:rsidRPr="002844B1">
        <w:rPr>
          <w:rStyle w:val="CommentTok"/>
          <w:sz w:val="13"/>
          <w:szCs w:val="8"/>
        </w:rPr>
        <w:t># Appliquer les fonctions de conversion aux colonnes appropriées</w:t>
      </w:r>
      <w:r w:rsidRPr="002844B1">
        <w:rPr>
          <w:sz w:val="10"/>
          <w:szCs w:val="10"/>
        </w:rPr>
        <w:br/>
      </w:r>
      <w:r w:rsidRPr="002844B1">
        <w:rPr>
          <w:rStyle w:val="NormalTok"/>
          <w:sz w:val="13"/>
          <w:szCs w:val="8"/>
        </w:rPr>
        <w:t xml:space="preserve">df_temp </w:t>
      </w:r>
      <w:r w:rsidRPr="002844B1">
        <w:rPr>
          <w:rStyle w:val="OperatorTok"/>
          <w:sz w:val="13"/>
          <w:szCs w:val="8"/>
        </w:rPr>
        <w:t>=</w:t>
      </w:r>
      <w:r w:rsidRPr="002844B1">
        <w:rPr>
          <w:rStyle w:val="NormalTok"/>
          <w:sz w:val="13"/>
          <w:szCs w:val="8"/>
        </w:rPr>
        <w:t xml:space="preserve"> df.loc[:, </w:t>
      </w:r>
      <w:r w:rsidRPr="002844B1">
        <w:rPr>
          <w:rStyle w:val="OperatorTok"/>
          <w:sz w:val="13"/>
          <w:szCs w:val="8"/>
        </w:rPr>
        <w:t>~</w:t>
      </w:r>
      <w:r w:rsidRPr="002844B1">
        <w:rPr>
          <w:rStyle w:val="NormalTok"/>
          <w:sz w:val="13"/>
          <w:szCs w:val="8"/>
        </w:rPr>
        <w:t>df.columns.isin([</w:t>
      </w:r>
      <w:r w:rsidRPr="002844B1">
        <w:rPr>
          <w:rStyle w:val="StringTok"/>
          <w:sz w:val="13"/>
          <w:szCs w:val="8"/>
        </w:rPr>
        <w:t>"Date"</w:t>
      </w:r>
      <w:r w:rsidRPr="002844B1">
        <w:rPr>
          <w:rStyle w:val="NormalTok"/>
          <w:sz w:val="13"/>
          <w:szCs w:val="8"/>
        </w:rPr>
        <w:t xml:space="preserve">, </w:t>
      </w:r>
      <w:r w:rsidRPr="002844B1">
        <w:rPr>
          <w:rStyle w:val="StringTok"/>
          <w:sz w:val="13"/>
          <w:szCs w:val="8"/>
        </w:rPr>
        <w:t>"Variation %"</w:t>
      </w:r>
      <w:r w:rsidRPr="002844B1">
        <w:rPr>
          <w:rStyle w:val="NormalTok"/>
          <w:sz w:val="13"/>
          <w:szCs w:val="8"/>
        </w:rPr>
        <w:t>,</w:t>
      </w:r>
      <w:r w:rsidRPr="002844B1">
        <w:rPr>
          <w:rStyle w:val="StringTok"/>
          <w:sz w:val="13"/>
          <w:szCs w:val="8"/>
        </w:rPr>
        <w:t>"Vol."</w:t>
      </w:r>
      <w:r w:rsidRPr="002844B1">
        <w:rPr>
          <w:rStyle w:val="NormalTok"/>
          <w:sz w:val="13"/>
          <w:szCs w:val="8"/>
        </w:rPr>
        <w:t>])].applymap(convert_num)</w:t>
      </w:r>
      <w:r w:rsidRPr="002844B1">
        <w:rPr>
          <w:sz w:val="10"/>
          <w:szCs w:val="10"/>
        </w:rPr>
        <w:br/>
      </w:r>
      <w:r w:rsidRPr="002844B1">
        <w:rPr>
          <w:rStyle w:val="NormalTok"/>
          <w:sz w:val="13"/>
          <w:szCs w:val="8"/>
        </w:rPr>
        <w:t xml:space="preserve">df.loc[:, </w:t>
      </w:r>
      <w:r w:rsidRPr="002844B1">
        <w:rPr>
          <w:rStyle w:val="OperatorTok"/>
          <w:sz w:val="13"/>
          <w:szCs w:val="8"/>
        </w:rPr>
        <w:t>~</w:t>
      </w:r>
      <w:r w:rsidRPr="002844B1">
        <w:rPr>
          <w:rStyle w:val="NormalTok"/>
          <w:sz w:val="13"/>
          <w:szCs w:val="8"/>
        </w:rPr>
        <w:t>df.columns.isin([</w:t>
      </w:r>
      <w:r w:rsidRPr="002844B1">
        <w:rPr>
          <w:rStyle w:val="StringTok"/>
          <w:sz w:val="13"/>
          <w:szCs w:val="8"/>
        </w:rPr>
        <w:t>"Date"</w:t>
      </w:r>
      <w:r w:rsidRPr="002844B1">
        <w:rPr>
          <w:rStyle w:val="NormalTok"/>
          <w:sz w:val="13"/>
          <w:szCs w:val="8"/>
        </w:rPr>
        <w:t xml:space="preserve">, </w:t>
      </w:r>
      <w:r w:rsidRPr="002844B1">
        <w:rPr>
          <w:rStyle w:val="StringTok"/>
          <w:sz w:val="13"/>
          <w:szCs w:val="8"/>
        </w:rPr>
        <w:t>"Variation %"</w:t>
      </w:r>
      <w:r w:rsidRPr="002844B1">
        <w:rPr>
          <w:rStyle w:val="NormalTok"/>
          <w:sz w:val="13"/>
          <w:szCs w:val="8"/>
        </w:rPr>
        <w:t>,</w:t>
      </w:r>
      <w:r w:rsidRPr="002844B1">
        <w:rPr>
          <w:rStyle w:val="StringTok"/>
          <w:sz w:val="13"/>
          <w:szCs w:val="8"/>
        </w:rPr>
        <w:t>"Vol."</w:t>
      </w:r>
      <w:r w:rsidRPr="002844B1">
        <w:rPr>
          <w:rStyle w:val="NormalTok"/>
          <w:sz w:val="13"/>
          <w:szCs w:val="8"/>
        </w:rPr>
        <w:t xml:space="preserve">])] </w:t>
      </w:r>
      <w:r w:rsidRPr="002844B1">
        <w:rPr>
          <w:rStyle w:val="OperatorTok"/>
          <w:sz w:val="13"/>
          <w:szCs w:val="8"/>
        </w:rPr>
        <w:t>=</w:t>
      </w:r>
      <w:r w:rsidRPr="002844B1">
        <w:rPr>
          <w:rStyle w:val="NormalTok"/>
          <w:sz w:val="13"/>
          <w:szCs w:val="8"/>
        </w:rPr>
        <w:t xml:space="preserve"> df_temp</w:t>
      </w:r>
      <w:r w:rsidRPr="002844B1">
        <w:rPr>
          <w:sz w:val="10"/>
          <w:szCs w:val="10"/>
        </w:rPr>
        <w:br/>
      </w:r>
      <w:r w:rsidRPr="002844B1">
        <w:rPr>
          <w:rStyle w:val="NormalTok"/>
          <w:sz w:val="13"/>
          <w:szCs w:val="8"/>
        </w:rPr>
        <w:t>df[</w:t>
      </w:r>
      <w:r w:rsidRPr="002844B1">
        <w:rPr>
          <w:rStyle w:val="StringTok"/>
          <w:sz w:val="13"/>
          <w:szCs w:val="8"/>
        </w:rPr>
        <w:t>"Variation %"</w:t>
      </w:r>
      <w:r w:rsidRPr="002844B1">
        <w:rPr>
          <w:rStyle w:val="NormalTok"/>
          <w:sz w:val="13"/>
          <w:szCs w:val="8"/>
        </w:rPr>
        <w:t xml:space="preserve">] </w:t>
      </w:r>
      <w:r w:rsidRPr="002844B1">
        <w:rPr>
          <w:rStyle w:val="OperatorTok"/>
          <w:sz w:val="13"/>
          <w:szCs w:val="8"/>
        </w:rPr>
        <w:t>=</w:t>
      </w:r>
      <w:r w:rsidRPr="002844B1">
        <w:rPr>
          <w:rStyle w:val="NormalTok"/>
          <w:sz w:val="13"/>
          <w:szCs w:val="8"/>
        </w:rPr>
        <w:t xml:space="preserve"> df[</w:t>
      </w:r>
      <w:r w:rsidRPr="002844B1">
        <w:rPr>
          <w:rStyle w:val="StringTok"/>
          <w:sz w:val="13"/>
          <w:szCs w:val="8"/>
        </w:rPr>
        <w:t>"Variation %"</w:t>
      </w:r>
      <w:r w:rsidRPr="002844B1">
        <w:rPr>
          <w:rStyle w:val="NormalTok"/>
          <w:sz w:val="13"/>
          <w:szCs w:val="8"/>
        </w:rPr>
        <w:t>].</w:t>
      </w:r>
      <w:r w:rsidRPr="002844B1">
        <w:rPr>
          <w:rStyle w:val="BuiltInTok"/>
          <w:sz w:val="13"/>
          <w:szCs w:val="8"/>
        </w:rPr>
        <w:t>apply</w:t>
      </w:r>
      <w:r w:rsidRPr="002844B1">
        <w:rPr>
          <w:rStyle w:val="NormalTok"/>
          <w:sz w:val="13"/>
          <w:szCs w:val="8"/>
        </w:rPr>
        <w:t>(pct_to_num)</w:t>
      </w:r>
      <w:r w:rsidRPr="002844B1">
        <w:rPr>
          <w:sz w:val="10"/>
          <w:szCs w:val="10"/>
        </w:rPr>
        <w:br/>
      </w:r>
      <w:r w:rsidRPr="002844B1">
        <w:rPr>
          <w:sz w:val="10"/>
          <w:szCs w:val="10"/>
        </w:rPr>
        <w:br/>
      </w:r>
      <w:r w:rsidRPr="002844B1">
        <w:rPr>
          <w:sz w:val="10"/>
          <w:szCs w:val="10"/>
        </w:rPr>
        <w:br/>
      </w:r>
      <w:r w:rsidRPr="002844B1">
        <w:rPr>
          <w:rStyle w:val="CommentTok"/>
          <w:sz w:val="13"/>
          <w:szCs w:val="8"/>
        </w:rPr>
        <w:t># Préparer les données</w:t>
      </w:r>
      <w:r w:rsidRPr="002844B1">
        <w:rPr>
          <w:sz w:val="10"/>
          <w:szCs w:val="10"/>
        </w:rPr>
        <w:br/>
      </w:r>
      <w:r w:rsidRPr="002844B1">
        <w:rPr>
          <w:rStyle w:val="CommentTok"/>
          <w:sz w:val="13"/>
          <w:szCs w:val="8"/>
        </w:rPr>
        <w:t># Supposons que df est un dataframe contenant les données historiques</w:t>
      </w:r>
      <w:r w:rsidRPr="002844B1">
        <w:rPr>
          <w:sz w:val="10"/>
          <w:szCs w:val="10"/>
        </w:rPr>
        <w:br/>
      </w:r>
      <w:r w:rsidRPr="002844B1">
        <w:rPr>
          <w:rStyle w:val="CommentTok"/>
          <w:sz w:val="13"/>
          <w:szCs w:val="8"/>
        </w:rPr>
        <w:t># avec les colonnes suivantes: Date, Dernier, Ouv., Plus Haut, Plus Bas, Vol., Variation %</w:t>
      </w:r>
      <w:r w:rsidRPr="002844B1">
        <w:rPr>
          <w:sz w:val="10"/>
          <w:szCs w:val="10"/>
        </w:rPr>
        <w:br/>
      </w:r>
      <w:r w:rsidRPr="002844B1">
        <w:rPr>
          <w:rStyle w:val="CommentTok"/>
          <w:sz w:val="13"/>
          <w:szCs w:val="8"/>
        </w:rPr>
        <w:t># On va utiliser les 5 dernières observations comme entrées du modèle</w:t>
      </w:r>
      <w:r w:rsidRPr="002844B1">
        <w:rPr>
          <w:sz w:val="10"/>
          <w:szCs w:val="10"/>
        </w:rPr>
        <w:br/>
      </w:r>
      <w:r w:rsidRPr="002844B1">
        <w:rPr>
          <w:rStyle w:val="CommentTok"/>
          <w:sz w:val="13"/>
          <w:szCs w:val="8"/>
        </w:rPr>
        <w:t># et prédire le cours Dernier à la prochaine date</w:t>
      </w:r>
      <w:r w:rsidRPr="002844B1">
        <w:rPr>
          <w:sz w:val="10"/>
          <w:szCs w:val="10"/>
        </w:rPr>
        <w:br/>
      </w:r>
      <w:r w:rsidRPr="002844B1">
        <w:rPr>
          <w:sz w:val="10"/>
          <w:szCs w:val="10"/>
        </w:rPr>
        <w:br/>
      </w:r>
      <w:r w:rsidRPr="002844B1">
        <w:rPr>
          <w:rStyle w:val="CommentTok"/>
          <w:sz w:val="13"/>
          <w:szCs w:val="8"/>
        </w:rPr>
        <w:t># Convertir les données en numpy arrays</w:t>
      </w:r>
      <w:r w:rsidRPr="002844B1">
        <w:rPr>
          <w:sz w:val="10"/>
          <w:szCs w:val="10"/>
        </w:rPr>
        <w:br/>
      </w:r>
      <w:r w:rsidRPr="002844B1">
        <w:rPr>
          <w:rStyle w:val="NormalTok"/>
          <w:sz w:val="13"/>
          <w:szCs w:val="8"/>
        </w:rPr>
        <w:t xml:space="preserve">X </w:t>
      </w:r>
      <w:r w:rsidRPr="002844B1">
        <w:rPr>
          <w:rStyle w:val="OperatorTok"/>
          <w:sz w:val="13"/>
          <w:szCs w:val="8"/>
        </w:rPr>
        <w:t>=</w:t>
      </w:r>
      <w:r w:rsidRPr="002844B1">
        <w:rPr>
          <w:rStyle w:val="NormalTok"/>
          <w:sz w:val="13"/>
          <w:szCs w:val="8"/>
        </w:rPr>
        <w:t xml:space="preserve"> df[[</w:t>
      </w:r>
      <w:r w:rsidRPr="002844B1">
        <w:rPr>
          <w:rStyle w:val="StringTok"/>
          <w:sz w:val="13"/>
          <w:szCs w:val="8"/>
        </w:rPr>
        <w:t>'Dernier'</w:t>
      </w:r>
      <w:r w:rsidRPr="002844B1">
        <w:rPr>
          <w:rStyle w:val="NormalTok"/>
          <w:sz w:val="13"/>
          <w:szCs w:val="8"/>
        </w:rPr>
        <w:t>,</w:t>
      </w:r>
      <w:r w:rsidRPr="002844B1">
        <w:rPr>
          <w:rStyle w:val="StringTok"/>
          <w:sz w:val="13"/>
          <w:szCs w:val="8"/>
        </w:rPr>
        <w:t>'Ouv.'</w:t>
      </w:r>
      <w:r w:rsidRPr="002844B1">
        <w:rPr>
          <w:rStyle w:val="NormalTok"/>
          <w:sz w:val="13"/>
          <w:szCs w:val="8"/>
        </w:rPr>
        <w:t>,</w:t>
      </w:r>
      <w:r w:rsidRPr="002844B1">
        <w:rPr>
          <w:rStyle w:val="StringTok"/>
          <w:sz w:val="13"/>
          <w:szCs w:val="8"/>
        </w:rPr>
        <w:t>' Plus Haut'</w:t>
      </w:r>
      <w:r w:rsidRPr="002844B1">
        <w:rPr>
          <w:rStyle w:val="NormalTok"/>
          <w:sz w:val="13"/>
          <w:szCs w:val="8"/>
        </w:rPr>
        <w:t xml:space="preserve">, </w:t>
      </w:r>
      <w:r w:rsidRPr="002844B1">
        <w:rPr>
          <w:rStyle w:val="StringTok"/>
          <w:sz w:val="13"/>
          <w:szCs w:val="8"/>
        </w:rPr>
        <w:t>'Plus Bas'</w:t>
      </w:r>
      <w:r w:rsidRPr="002844B1">
        <w:rPr>
          <w:rStyle w:val="NormalTok"/>
          <w:sz w:val="13"/>
          <w:szCs w:val="8"/>
        </w:rPr>
        <w:t>]].to_numpy()</w:t>
      </w:r>
      <w:r w:rsidRPr="002844B1">
        <w:rPr>
          <w:sz w:val="10"/>
          <w:szCs w:val="10"/>
        </w:rPr>
        <w:br/>
      </w:r>
      <w:r w:rsidRPr="002844B1">
        <w:rPr>
          <w:rStyle w:val="NormalTok"/>
          <w:sz w:val="13"/>
          <w:szCs w:val="8"/>
        </w:rPr>
        <w:t xml:space="preserve">y </w:t>
      </w:r>
      <w:r w:rsidRPr="002844B1">
        <w:rPr>
          <w:rStyle w:val="OperatorTok"/>
          <w:sz w:val="13"/>
          <w:szCs w:val="8"/>
        </w:rPr>
        <w:t>=</w:t>
      </w:r>
      <w:r w:rsidRPr="002844B1">
        <w:rPr>
          <w:rStyle w:val="NormalTok"/>
          <w:sz w:val="13"/>
          <w:szCs w:val="8"/>
        </w:rPr>
        <w:t xml:space="preserve"> df[</w:t>
      </w:r>
      <w:r w:rsidRPr="002844B1">
        <w:rPr>
          <w:rStyle w:val="StringTok"/>
          <w:sz w:val="13"/>
          <w:szCs w:val="8"/>
        </w:rPr>
        <w:t>"Dernier"</w:t>
      </w:r>
      <w:r w:rsidRPr="002844B1">
        <w:rPr>
          <w:rStyle w:val="NormalTok"/>
          <w:sz w:val="13"/>
          <w:szCs w:val="8"/>
        </w:rPr>
        <w:t>].to_numpy()</w:t>
      </w:r>
      <w:r w:rsidRPr="002844B1">
        <w:rPr>
          <w:sz w:val="10"/>
          <w:szCs w:val="10"/>
        </w:rPr>
        <w:br/>
      </w:r>
      <w:r w:rsidRPr="002844B1">
        <w:rPr>
          <w:sz w:val="10"/>
          <w:szCs w:val="10"/>
        </w:rPr>
        <w:br/>
      </w:r>
      <w:r w:rsidRPr="002844B1">
        <w:rPr>
          <w:rStyle w:val="CommentTok"/>
          <w:sz w:val="13"/>
          <w:szCs w:val="8"/>
        </w:rPr>
        <w:t># Normaliser les données</w:t>
      </w:r>
      <w:r w:rsidRPr="002844B1">
        <w:rPr>
          <w:sz w:val="10"/>
          <w:szCs w:val="10"/>
        </w:rPr>
        <w:br/>
      </w:r>
      <w:r w:rsidRPr="002844B1">
        <w:rPr>
          <w:rStyle w:val="ImportTok"/>
          <w:sz w:val="13"/>
          <w:szCs w:val="8"/>
        </w:rPr>
        <w:t>from</w:t>
      </w:r>
      <w:r w:rsidRPr="002844B1">
        <w:rPr>
          <w:rStyle w:val="NormalTok"/>
          <w:sz w:val="13"/>
          <w:szCs w:val="8"/>
        </w:rPr>
        <w:t xml:space="preserve"> sklearn.preprocessing </w:t>
      </w:r>
      <w:r w:rsidRPr="002844B1">
        <w:rPr>
          <w:rStyle w:val="ImportTok"/>
          <w:sz w:val="13"/>
          <w:szCs w:val="8"/>
        </w:rPr>
        <w:t>import</w:t>
      </w:r>
      <w:r w:rsidRPr="002844B1">
        <w:rPr>
          <w:rStyle w:val="NormalTok"/>
          <w:sz w:val="13"/>
          <w:szCs w:val="8"/>
        </w:rPr>
        <w:t xml:space="preserve"> MinMaxScaler</w:t>
      </w:r>
      <w:r w:rsidRPr="002844B1">
        <w:rPr>
          <w:sz w:val="10"/>
          <w:szCs w:val="10"/>
        </w:rPr>
        <w:br/>
      </w:r>
      <w:r w:rsidRPr="002844B1">
        <w:rPr>
          <w:rStyle w:val="NormalTok"/>
          <w:sz w:val="13"/>
          <w:szCs w:val="8"/>
        </w:rPr>
        <w:t xml:space="preserve">scaler </w:t>
      </w:r>
      <w:r w:rsidRPr="002844B1">
        <w:rPr>
          <w:rStyle w:val="OperatorTok"/>
          <w:sz w:val="13"/>
          <w:szCs w:val="8"/>
        </w:rPr>
        <w:t>=</w:t>
      </w:r>
      <w:r w:rsidRPr="002844B1">
        <w:rPr>
          <w:rStyle w:val="NormalTok"/>
          <w:sz w:val="13"/>
          <w:szCs w:val="8"/>
        </w:rPr>
        <w:t xml:space="preserve"> MinMaxScaler()</w:t>
      </w:r>
      <w:r w:rsidRPr="002844B1">
        <w:rPr>
          <w:sz w:val="10"/>
          <w:szCs w:val="10"/>
        </w:rPr>
        <w:br/>
      </w:r>
      <w:r w:rsidRPr="002844B1">
        <w:rPr>
          <w:rStyle w:val="NormalTok"/>
          <w:sz w:val="13"/>
          <w:szCs w:val="8"/>
        </w:rPr>
        <w:t xml:space="preserve">X </w:t>
      </w:r>
      <w:r w:rsidRPr="002844B1">
        <w:rPr>
          <w:rStyle w:val="OperatorTok"/>
          <w:sz w:val="13"/>
          <w:szCs w:val="8"/>
        </w:rPr>
        <w:t>=</w:t>
      </w:r>
      <w:r w:rsidRPr="002844B1">
        <w:rPr>
          <w:rStyle w:val="NormalTok"/>
          <w:sz w:val="13"/>
          <w:szCs w:val="8"/>
        </w:rPr>
        <w:t xml:space="preserve"> scaler.fit_transform(X)</w:t>
      </w:r>
      <w:r w:rsidRPr="002844B1">
        <w:rPr>
          <w:sz w:val="10"/>
          <w:szCs w:val="10"/>
        </w:rPr>
        <w:br/>
      </w:r>
      <w:r w:rsidRPr="002844B1">
        <w:rPr>
          <w:rStyle w:val="NormalTok"/>
          <w:sz w:val="13"/>
          <w:szCs w:val="8"/>
        </w:rPr>
        <w:t xml:space="preserve">y </w:t>
      </w:r>
      <w:r w:rsidRPr="002844B1">
        <w:rPr>
          <w:rStyle w:val="OperatorTok"/>
          <w:sz w:val="13"/>
          <w:szCs w:val="8"/>
        </w:rPr>
        <w:t>=</w:t>
      </w:r>
      <w:r w:rsidRPr="002844B1">
        <w:rPr>
          <w:rStyle w:val="NormalTok"/>
          <w:sz w:val="13"/>
          <w:szCs w:val="8"/>
        </w:rPr>
        <w:t xml:space="preserve"> scaler.fit_transform(y.reshape(</w:t>
      </w:r>
      <w:r w:rsidRPr="002844B1">
        <w:rPr>
          <w:rStyle w:val="OperatorTok"/>
          <w:sz w:val="13"/>
          <w:szCs w:val="8"/>
        </w:rPr>
        <w:t>-</w:t>
      </w:r>
      <w:r w:rsidRPr="002844B1">
        <w:rPr>
          <w:rStyle w:val="DecValTok"/>
          <w:sz w:val="13"/>
          <w:szCs w:val="8"/>
        </w:rPr>
        <w:t>1</w:t>
      </w:r>
      <w:r w:rsidRPr="002844B1">
        <w:rPr>
          <w:rStyle w:val="NormalTok"/>
          <w:sz w:val="13"/>
          <w:szCs w:val="8"/>
        </w:rPr>
        <w:t xml:space="preserve">, </w:t>
      </w:r>
      <w:r w:rsidRPr="002844B1">
        <w:rPr>
          <w:rStyle w:val="DecValTok"/>
          <w:sz w:val="13"/>
          <w:szCs w:val="8"/>
        </w:rPr>
        <w:t>1</w:t>
      </w:r>
      <w:r w:rsidRPr="002844B1">
        <w:rPr>
          <w:rStyle w:val="NormalTok"/>
          <w:sz w:val="13"/>
          <w:szCs w:val="8"/>
        </w:rPr>
        <w:t>))</w:t>
      </w:r>
      <w:r w:rsidRPr="002844B1">
        <w:rPr>
          <w:sz w:val="10"/>
          <w:szCs w:val="10"/>
        </w:rPr>
        <w:br/>
      </w:r>
      <w:r w:rsidRPr="002844B1">
        <w:rPr>
          <w:sz w:val="10"/>
          <w:szCs w:val="10"/>
        </w:rPr>
        <w:br/>
      </w:r>
      <w:r w:rsidRPr="002844B1">
        <w:rPr>
          <w:rStyle w:val="CommentTok"/>
          <w:sz w:val="13"/>
          <w:szCs w:val="8"/>
        </w:rPr>
        <w:t># Créer des séquences de données</w:t>
      </w:r>
      <w:r w:rsidRPr="002844B1">
        <w:rPr>
          <w:sz w:val="10"/>
          <w:szCs w:val="10"/>
        </w:rPr>
        <w:br/>
      </w:r>
      <w:r w:rsidRPr="002844B1">
        <w:rPr>
          <w:rStyle w:val="CommentTok"/>
          <w:sz w:val="13"/>
          <w:szCs w:val="8"/>
        </w:rPr>
        <w:lastRenderedPageBreak/>
        <w:t># Chaque séquence contient 5 observations consécutives (timesteps) comme entrée</w:t>
      </w:r>
      <w:r w:rsidRPr="002844B1">
        <w:rPr>
          <w:sz w:val="10"/>
          <w:szCs w:val="10"/>
        </w:rPr>
        <w:br/>
      </w:r>
      <w:r w:rsidRPr="002844B1">
        <w:rPr>
          <w:rStyle w:val="CommentTok"/>
          <w:sz w:val="13"/>
          <w:szCs w:val="8"/>
        </w:rPr>
        <w:t># et le cours Dernier à la prochaine observation comme sortie</w:t>
      </w:r>
      <w:r w:rsidRPr="002844B1">
        <w:rPr>
          <w:sz w:val="10"/>
          <w:szCs w:val="10"/>
        </w:rPr>
        <w:br/>
      </w:r>
      <w:r w:rsidRPr="002844B1">
        <w:rPr>
          <w:rStyle w:val="NormalTok"/>
          <w:sz w:val="13"/>
          <w:szCs w:val="8"/>
        </w:rPr>
        <w:t xml:space="preserve">X_seq </w:t>
      </w:r>
      <w:r w:rsidRPr="002844B1">
        <w:rPr>
          <w:rStyle w:val="OperatorTok"/>
          <w:sz w:val="13"/>
          <w:szCs w:val="8"/>
        </w:rPr>
        <w:t>=</w:t>
      </w:r>
      <w:r w:rsidRPr="002844B1">
        <w:rPr>
          <w:rStyle w:val="NormalTok"/>
          <w:sz w:val="13"/>
          <w:szCs w:val="8"/>
        </w:rPr>
        <w:t xml:space="preserve"> []</w:t>
      </w:r>
      <w:r w:rsidRPr="002844B1">
        <w:rPr>
          <w:sz w:val="10"/>
          <w:szCs w:val="10"/>
        </w:rPr>
        <w:br/>
      </w:r>
      <w:r w:rsidRPr="002844B1">
        <w:rPr>
          <w:rStyle w:val="NormalTok"/>
          <w:sz w:val="13"/>
          <w:szCs w:val="8"/>
        </w:rPr>
        <w:t xml:space="preserve">y_seq </w:t>
      </w:r>
      <w:r w:rsidRPr="002844B1">
        <w:rPr>
          <w:rStyle w:val="OperatorTok"/>
          <w:sz w:val="13"/>
          <w:szCs w:val="8"/>
        </w:rPr>
        <w:t>=</w:t>
      </w:r>
      <w:r w:rsidRPr="002844B1">
        <w:rPr>
          <w:rStyle w:val="NormalTok"/>
          <w:sz w:val="13"/>
          <w:szCs w:val="8"/>
        </w:rPr>
        <w:t xml:space="preserve"> []</w:t>
      </w:r>
      <w:r w:rsidRPr="002844B1">
        <w:rPr>
          <w:sz w:val="10"/>
          <w:szCs w:val="10"/>
        </w:rPr>
        <w:br/>
      </w:r>
      <w:r w:rsidRPr="002844B1">
        <w:rPr>
          <w:rStyle w:val="NormalTok"/>
          <w:sz w:val="13"/>
          <w:szCs w:val="8"/>
        </w:rPr>
        <w:t xml:space="preserve">timesteps </w:t>
      </w:r>
      <w:r w:rsidRPr="002844B1">
        <w:rPr>
          <w:rStyle w:val="OperatorTok"/>
          <w:sz w:val="13"/>
          <w:szCs w:val="8"/>
        </w:rPr>
        <w:t>=</w:t>
      </w:r>
      <w:r w:rsidRPr="002844B1">
        <w:rPr>
          <w:rStyle w:val="NormalTok"/>
          <w:sz w:val="13"/>
          <w:szCs w:val="8"/>
        </w:rPr>
        <w:t xml:space="preserve"> </w:t>
      </w:r>
      <w:r w:rsidRPr="002844B1">
        <w:rPr>
          <w:rStyle w:val="DecValTok"/>
          <w:sz w:val="13"/>
          <w:szCs w:val="8"/>
        </w:rPr>
        <w:t>5</w:t>
      </w:r>
      <w:r w:rsidRPr="002844B1">
        <w:rPr>
          <w:sz w:val="10"/>
          <w:szCs w:val="10"/>
        </w:rPr>
        <w:br/>
      </w:r>
      <w:r w:rsidRPr="002844B1">
        <w:rPr>
          <w:rStyle w:val="ControlFlowTok"/>
          <w:sz w:val="13"/>
          <w:szCs w:val="8"/>
        </w:rPr>
        <w:t>for</w:t>
      </w:r>
      <w:r w:rsidRPr="002844B1">
        <w:rPr>
          <w:rStyle w:val="NormalTok"/>
          <w:sz w:val="13"/>
          <w:szCs w:val="8"/>
        </w:rPr>
        <w:t xml:space="preserve"> i </w:t>
      </w:r>
      <w:r w:rsidRPr="002844B1">
        <w:rPr>
          <w:rStyle w:val="KeywordTok"/>
          <w:sz w:val="13"/>
          <w:szCs w:val="8"/>
        </w:rPr>
        <w:t>in</w:t>
      </w:r>
      <w:r w:rsidRPr="002844B1">
        <w:rPr>
          <w:rStyle w:val="NormalTok"/>
          <w:sz w:val="13"/>
          <w:szCs w:val="8"/>
        </w:rPr>
        <w:t xml:space="preserve"> </w:t>
      </w:r>
      <w:r w:rsidRPr="002844B1">
        <w:rPr>
          <w:rStyle w:val="BuiltInTok"/>
          <w:sz w:val="13"/>
          <w:szCs w:val="8"/>
        </w:rPr>
        <w:t>range</w:t>
      </w:r>
      <w:r w:rsidRPr="002844B1">
        <w:rPr>
          <w:rStyle w:val="NormalTok"/>
          <w:sz w:val="13"/>
          <w:szCs w:val="8"/>
        </w:rPr>
        <w:t xml:space="preserve">(timesteps, </w:t>
      </w:r>
      <w:r w:rsidRPr="002844B1">
        <w:rPr>
          <w:rStyle w:val="BuiltInTok"/>
          <w:sz w:val="13"/>
          <w:szCs w:val="8"/>
        </w:rPr>
        <w:t>len</w:t>
      </w:r>
      <w:r w:rsidRPr="002844B1">
        <w:rPr>
          <w:rStyle w:val="NormalTok"/>
          <w:sz w:val="13"/>
          <w:szCs w:val="8"/>
        </w:rPr>
        <w:t>(X)):</w:t>
      </w:r>
      <w:r w:rsidRPr="002844B1">
        <w:rPr>
          <w:sz w:val="10"/>
          <w:szCs w:val="10"/>
        </w:rPr>
        <w:br/>
      </w:r>
      <w:r w:rsidRPr="002844B1">
        <w:rPr>
          <w:rStyle w:val="NormalTok"/>
          <w:sz w:val="13"/>
          <w:szCs w:val="8"/>
        </w:rPr>
        <w:t xml:space="preserve">  X_seq.append(X[i</w:t>
      </w:r>
      <w:r w:rsidRPr="002844B1">
        <w:rPr>
          <w:rStyle w:val="OperatorTok"/>
          <w:sz w:val="13"/>
          <w:szCs w:val="8"/>
        </w:rPr>
        <w:t>-</w:t>
      </w:r>
      <w:r w:rsidRPr="002844B1">
        <w:rPr>
          <w:rStyle w:val="NormalTok"/>
          <w:sz w:val="13"/>
          <w:szCs w:val="8"/>
        </w:rPr>
        <w:t>timesteps:i])</w:t>
      </w:r>
      <w:r w:rsidRPr="002844B1">
        <w:rPr>
          <w:sz w:val="10"/>
          <w:szCs w:val="10"/>
        </w:rPr>
        <w:br/>
      </w:r>
      <w:r w:rsidRPr="002844B1">
        <w:rPr>
          <w:rStyle w:val="NormalTok"/>
          <w:sz w:val="13"/>
          <w:szCs w:val="8"/>
        </w:rPr>
        <w:t xml:space="preserve">  y_seq.append(y[i])</w:t>
      </w:r>
      <w:r w:rsidRPr="002844B1">
        <w:rPr>
          <w:sz w:val="10"/>
          <w:szCs w:val="10"/>
        </w:rPr>
        <w:br/>
      </w:r>
      <w:r w:rsidRPr="002844B1">
        <w:rPr>
          <w:rStyle w:val="NormalTok"/>
          <w:sz w:val="13"/>
          <w:szCs w:val="8"/>
        </w:rPr>
        <w:t xml:space="preserve">X_seq </w:t>
      </w:r>
      <w:r w:rsidRPr="002844B1">
        <w:rPr>
          <w:rStyle w:val="OperatorTok"/>
          <w:sz w:val="13"/>
          <w:szCs w:val="8"/>
        </w:rPr>
        <w:t>=</w:t>
      </w:r>
      <w:r w:rsidRPr="002844B1">
        <w:rPr>
          <w:rStyle w:val="NormalTok"/>
          <w:sz w:val="13"/>
          <w:szCs w:val="8"/>
        </w:rPr>
        <w:t xml:space="preserve"> np.array(X_seq)</w:t>
      </w:r>
      <w:r w:rsidRPr="002844B1">
        <w:rPr>
          <w:sz w:val="10"/>
          <w:szCs w:val="10"/>
        </w:rPr>
        <w:br/>
      </w:r>
      <w:r w:rsidRPr="002844B1">
        <w:rPr>
          <w:rStyle w:val="NormalTok"/>
          <w:sz w:val="13"/>
          <w:szCs w:val="8"/>
        </w:rPr>
        <w:t xml:space="preserve">y_seq </w:t>
      </w:r>
      <w:r w:rsidRPr="002844B1">
        <w:rPr>
          <w:rStyle w:val="OperatorTok"/>
          <w:sz w:val="13"/>
          <w:szCs w:val="8"/>
        </w:rPr>
        <w:t>=</w:t>
      </w:r>
      <w:r w:rsidRPr="002844B1">
        <w:rPr>
          <w:rStyle w:val="NormalTok"/>
          <w:sz w:val="13"/>
          <w:szCs w:val="8"/>
        </w:rPr>
        <w:t xml:space="preserve"> np.array(y_seq)</w:t>
      </w:r>
      <w:r w:rsidRPr="002844B1">
        <w:rPr>
          <w:sz w:val="10"/>
          <w:szCs w:val="10"/>
        </w:rPr>
        <w:br/>
      </w:r>
      <w:r w:rsidRPr="002844B1">
        <w:rPr>
          <w:sz w:val="10"/>
          <w:szCs w:val="10"/>
        </w:rPr>
        <w:br/>
      </w:r>
      <w:r w:rsidRPr="002844B1">
        <w:rPr>
          <w:rStyle w:val="CommentTok"/>
          <w:sz w:val="13"/>
          <w:szCs w:val="8"/>
        </w:rPr>
        <w:t># Diviser les données en train et test sets</w:t>
      </w:r>
      <w:r w:rsidRPr="002844B1">
        <w:rPr>
          <w:sz w:val="10"/>
          <w:szCs w:val="10"/>
        </w:rPr>
        <w:br/>
      </w:r>
      <w:r w:rsidRPr="002844B1">
        <w:rPr>
          <w:rStyle w:val="NormalTok"/>
          <w:sz w:val="13"/>
          <w:szCs w:val="8"/>
        </w:rPr>
        <w:t xml:space="preserve">train_size </w:t>
      </w:r>
      <w:r w:rsidRPr="002844B1">
        <w:rPr>
          <w:rStyle w:val="OperatorTok"/>
          <w:sz w:val="13"/>
          <w:szCs w:val="8"/>
        </w:rPr>
        <w:t>=</w:t>
      </w:r>
      <w:r w:rsidRPr="002844B1">
        <w:rPr>
          <w:rStyle w:val="NormalTok"/>
          <w:sz w:val="13"/>
          <w:szCs w:val="8"/>
        </w:rPr>
        <w:t xml:space="preserve"> </w:t>
      </w:r>
      <w:r w:rsidRPr="002844B1">
        <w:rPr>
          <w:rStyle w:val="BuiltInTok"/>
          <w:sz w:val="13"/>
          <w:szCs w:val="8"/>
        </w:rPr>
        <w:t>int</w:t>
      </w:r>
      <w:r w:rsidRPr="002844B1">
        <w:rPr>
          <w:rStyle w:val="NormalTok"/>
          <w:sz w:val="13"/>
          <w:szCs w:val="8"/>
        </w:rPr>
        <w:t>(</w:t>
      </w:r>
      <w:r w:rsidRPr="002844B1">
        <w:rPr>
          <w:rStyle w:val="BuiltInTok"/>
          <w:sz w:val="13"/>
          <w:szCs w:val="8"/>
        </w:rPr>
        <w:t>len</w:t>
      </w:r>
      <w:r w:rsidRPr="002844B1">
        <w:rPr>
          <w:rStyle w:val="NormalTok"/>
          <w:sz w:val="13"/>
          <w:szCs w:val="8"/>
        </w:rPr>
        <w:t xml:space="preserve">(X_seq) </w:t>
      </w:r>
      <w:r w:rsidRPr="002844B1">
        <w:rPr>
          <w:rStyle w:val="OperatorTok"/>
          <w:sz w:val="13"/>
          <w:szCs w:val="8"/>
        </w:rPr>
        <w:t>*</w:t>
      </w:r>
      <w:r w:rsidRPr="002844B1">
        <w:rPr>
          <w:rStyle w:val="NormalTok"/>
          <w:sz w:val="13"/>
          <w:szCs w:val="8"/>
        </w:rPr>
        <w:t xml:space="preserve"> </w:t>
      </w:r>
      <w:r w:rsidRPr="002844B1">
        <w:rPr>
          <w:rStyle w:val="FloatTok"/>
          <w:sz w:val="13"/>
          <w:szCs w:val="8"/>
        </w:rPr>
        <w:t>0.95</w:t>
      </w:r>
      <w:r w:rsidRPr="002844B1">
        <w:rPr>
          <w:rStyle w:val="NormalTok"/>
          <w:sz w:val="13"/>
          <w:szCs w:val="8"/>
        </w:rPr>
        <w:t>)</w:t>
      </w:r>
      <w:r w:rsidRPr="002844B1">
        <w:rPr>
          <w:sz w:val="10"/>
          <w:szCs w:val="10"/>
        </w:rPr>
        <w:br/>
      </w:r>
      <w:r w:rsidRPr="002844B1">
        <w:rPr>
          <w:rStyle w:val="NormalTok"/>
          <w:sz w:val="13"/>
          <w:szCs w:val="8"/>
        </w:rPr>
        <w:t xml:space="preserve">X_train, X_test </w:t>
      </w:r>
      <w:r w:rsidRPr="002844B1">
        <w:rPr>
          <w:rStyle w:val="OperatorTok"/>
          <w:sz w:val="13"/>
          <w:szCs w:val="8"/>
        </w:rPr>
        <w:t>=</w:t>
      </w:r>
      <w:r w:rsidRPr="002844B1">
        <w:rPr>
          <w:rStyle w:val="NormalTok"/>
          <w:sz w:val="13"/>
          <w:szCs w:val="8"/>
        </w:rPr>
        <w:t xml:space="preserve"> X_seq[:train_size], X_seq[train_size:]</w:t>
      </w:r>
      <w:r w:rsidRPr="002844B1">
        <w:rPr>
          <w:sz w:val="10"/>
          <w:szCs w:val="10"/>
        </w:rPr>
        <w:br/>
      </w:r>
      <w:r w:rsidRPr="002844B1">
        <w:rPr>
          <w:rStyle w:val="NormalTok"/>
          <w:sz w:val="13"/>
          <w:szCs w:val="8"/>
        </w:rPr>
        <w:t xml:space="preserve">y_train, y_test </w:t>
      </w:r>
      <w:r w:rsidRPr="002844B1">
        <w:rPr>
          <w:rStyle w:val="OperatorTok"/>
          <w:sz w:val="13"/>
          <w:szCs w:val="8"/>
        </w:rPr>
        <w:t>=</w:t>
      </w:r>
      <w:r w:rsidRPr="002844B1">
        <w:rPr>
          <w:rStyle w:val="NormalTok"/>
          <w:sz w:val="13"/>
          <w:szCs w:val="8"/>
        </w:rPr>
        <w:t xml:space="preserve"> y_seq[:train_size], y_seq[train_size:]</w:t>
      </w:r>
      <w:r w:rsidRPr="002844B1">
        <w:rPr>
          <w:sz w:val="10"/>
          <w:szCs w:val="10"/>
        </w:rPr>
        <w:br/>
      </w:r>
      <w:r w:rsidRPr="002844B1">
        <w:rPr>
          <w:sz w:val="10"/>
          <w:szCs w:val="10"/>
        </w:rPr>
        <w:br/>
      </w:r>
      <w:r w:rsidRPr="002844B1">
        <w:rPr>
          <w:rStyle w:val="CommentTok"/>
          <w:sz w:val="13"/>
          <w:szCs w:val="8"/>
        </w:rPr>
        <w:t># Définir le modèle RNN</w:t>
      </w:r>
      <w:r w:rsidRPr="002844B1">
        <w:rPr>
          <w:sz w:val="10"/>
          <w:szCs w:val="10"/>
        </w:rPr>
        <w:br/>
      </w:r>
      <w:r w:rsidRPr="002844B1">
        <w:rPr>
          <w:rStyle w:val="NormalTok"/>
          <w:sz w:val="13"/>
          <w:szCs w:val="8"/>
        </w:rPr>
        <w:t xml:space="preserve">model </w:t>
      </w:r>
      <w:r w:rsidRPr="002844B1">
        <w:rPr>
          <w:rStyle w:val="OperatorTok"/>
          <w:sz w:val="13"/>
          <w:szCs w:val="8"/>
        </w:rPr>
        <w:t>=</w:t>
      </w:r>
      <w:r w:rsidRPr="002844B1">
        <w:rPr>
          <w:rStyle w:val="NormalTok"/>
          <w:sz w:val="13"/>
          <w:szCs w:val="8"/>
        </w:rPr>
        <w:t xml:space="preserve"> Sequential()</w:t>
      </w:r>
      <w:r w:rsidRPr="002844B1">
        <w:rPr>
          <w:sz w:val="10"/>
          <w:szCs w:val="10"/>
        </w:rPr>
        <w:br/>
      </w:r>
      <w:r w:rsidRPr="002844B1">
        <w:rPr>
          <w:rStyle w:val="NormalTok"/>
          <w:sz w:val="13"/>
          <w:szCs w:val="8"/>
        </w:rPr>
        <w:t>model.add(LSTM(units</w:t>
      </w:r>
      <w:r w:rsidRPr="002844B1">
        <w:rPr>
          <w:rStyle w:val="OperatorTok"/>
          <w:sz w:val="13"/>
          <w:szCs w:val="8"/>
        </w:rPr>
        <w:t>=</w:t>
      </w:r>
      <w:r w:rsidRPr="002844B1">
        <w:rPr>
          <w:rStyle w:val="DecValTok"/>
          <w:sz w:val="13"/>
          <w:szCs w:val="8"/>
        </w:rPr>
        <w:t>50</w:t>
      </w:r>
      <w:r w:rsidRPr="002844B1">
        <w:rPr>
          <w:rStyle w:val="NormalTok"/>
          <w:sz w:val="13"/>
          <w:szCs w:val="8"/>
        </w:rPr>
        <w:t>, return_sequences</w:t>
      </w:r>
      <w:r w:rsidRPr="002844B1">
        <w:rPr>
          <w:rStyle w:val="OperatorTok"/>
          <w:sz w:val="13"/>
          <w:szCs w:val="8"/>
        </w:rPr>
        <w:t>=</w:t>
      </w:r>
      <w:r w:rsidRPr="002844B1">
        <w:rPr>
          <w:rStyle w:val="VariableTok"/>
          <w:sz w:val="13"/>
          <w:szCs w:val="8"/>
        </w:rPr>
        <w:t>True</w:t>
      </w:r>
      <w:r w:rsidRPr="002844B1">
        <w:rPr>
          <w:rStyle w:val="NormalTok"/>
          <w:sz w:val="13"/>
          <w:szCs w:val="8"/>
        </w:rPr>
        <w:t xml:space="preserve">, </w:t>
      </w:r>
      <w:r w:rsidRPr="002844B1">
        <w:rPr>
          <w:sz w:val="10"/>
          <w:szCs w:val="10"/>
        </w:rPr>
        <w:br/>
      </w:r>
      <w:r w:rsidRPr="002844B1">
        <w:rPr>
          <w:rStyle w:val="NormalTok"/>
          <w:sz w:val="13"/>
          <w:szCs w:val="8"/>
        </w:rPr>
        <w:t xml:space="preserve">               input_shape</w:t>
      </w:r>
      <w:r w:rsidRPr="002844B1">
        <w:rPr>
          <w:rStyle w:val="OperatorTok"/>
          <w:sz w:val="13"/>
          <w:szCs w:val="8"/>
        </w:rPr>
        <w:t>=</w:t>
      </w:r>
      <w:r w:rsidRPr="002844B1">
        <w:rPr>
          <w:rStyle w:val="NormalTok"/>
          <w:sz w:val="13"/>
          <w:szCs w:val="8"/>
        </w:rPr>
        <w:t>(X_train.shape[</w:t>
      </w:r>
      <w:r w:rsidRPr="002844B1">
        <w:rPr>
          <w:rStyle w:val="DecValTok"/>
          <w:sz w:val="13"/>
          <w:szCs w:val="8"/>
        </w:rPr>
        <w:t>1</w:t>
      </w:r>
      <w:r w:rsidRPr="002844B1">
        <w:rPr>
          <w:rStyle w:val="NormalTok"/>
          <w:sz w:val="13"/>
          <w:szCs w:val="8"/>
        </w:rPr>
        <w:t>], X_train.shape[</w:t>
      </w:r>
      <w:r w:rsidRPr="002844B1">
        <w:rPr>
          <w:rStyle w:val="DecValTok"/>
          <w:sz w:val="13"/>
          <w:szCs w:val="8"/>
        </w:rPr>
        <w:t>2</w:t>
      </w:r>
      <w:r w:rsidRPr="002844B1">
        <w:rPr>
          <w:rStyle w:val="NormalTok"/>
          <w:sz w:val="13"/>
          <w:szCs w:val="8"/>
        </w:rPr>
        <w:t>])))</w:t>
      </w:r>
      <w:r w:rsidRPr="002844B1">
        <w:rPr>
          <w:sz w:val="10"/>
          <w:szCs w:val="10"/>
        </w:rPr>
        <w:br/>
      </w:r>
      <w:r w:rsidRPr="002844B1">
        <w:rPr>
          <w:rStyle w:val="NormalTok"/>
          <w:sz w:val="13"/>
          <w:szCs w:val="8"/>
        </w:rPr>
        <w:t>model.add(Dropout(</w:t>
      </w:r>
      <w:r w:rsidRPr="002844B1">
        <w:rPr>
          <w:rStyle w:val="FloatTok"/>
          <w:sz w:val="13"/>
          <w:szCs w:val="8"/>
        </w:rPr>
        <w:t>0.2</w:t>
      </w:r>
      <w:r w:rsidRPr="002844B1">
        <w:rPr>
          <w:rStyle w:val="NormalTok"/>
          <w:sz w:val="13"/>
          <w:szCs w:val="8"/>
        </w:rPr>
        <w:t>))</w:t>
      </w:r>
      <w:r w:rsidRPr="002844B1">
        <w:rPr>
          <w:sz w:val="10"/>
          <w:szCs w:val="10"/>
        </w:rPr>
        <w:br/>
      </w:r>
      <w:r w:rsidRPr="002844B1">
        <w:rPr>
          <w:rStyle w:val="NormalTok"/>
          <w:sz w:val="13"/>
          <w:szCs w:val="8"/>
        </w:rPr>
        <w:t>model.add(LSTM(units</w:t>
      </w:r>
      <w:r w:rsidRPr="002844B1">
        <w:rPr>
          <w:rStyle w:val="OperatorTok"/>
          <w:sz w:val="13"/>
          <w:szCs w:val="8"/>
        </w:rPr>
        <w:t>=</w:t>
      </w:r>
      <w:r w:rsidRPr="002844B1">
        <w:rPr>
          <w:rStyle w:val="DecValTok"/>
          <w:sz w:val="13"/>
          <w:szCs w:val="8"/>
        </w:rPr>
        <w:t>50</w:t>
      </w:r>
      <w:r w:rsidRPr="002844B1">
        <w:rPr>
          <w:rStyle w:val="NormalTok"/>
          <w:sz w:val="13"/>
          <w:szCs w:val="8"/>
        </w:rPr>
        <w:t>, return_sequences</w:t>
      </w:r>
      <w:r w:rsidRPr="002844B1">
        <w:rPr>
          <w:rStyle w:val="OperatorTok"/>
          <w:sz w:val="13"/>
          <w:szCs w:val="8"/>
        </w:rPr>
        <w:t>=</w:t>
      </w:r>
      <w:r w:rsidRPr="002844B1">
        <w:rPr>
          <w:rStyle w:val="VariableTok"/>
          <w:sz w:val="13"/>
          <w:szCs w:val="8"/>
        </w:rPr>
        <w:t>True</w:t>
      </w:r>
      <w:r w:rsidRPr="002844B1">
        <w:rPr>
          <w:rStyle w:val="NormalTok"/>
          <w:sz w:val="13"/>
          <w:szCs w:val="8"/>
        </w:rPr>
        <w:t>))</w:t>
      </w:r>
      <w:r w:rsidRPr="002844B1">
        <w:rPr>
          <w:sz w:val="10"/>
          <w:szCs w:val="10"/>
        </w:rPr>
        <w:br/>
      </w:r>
      <w:r w:rsidRPr="002844B1">
        <w:rPr>
          <w:rStyle w:val="NormalTok"/>
          <w:sz w:val="13"/>
          <w:szCs w:val="8"/>
        </w:rPr>
        <w:t>model.add(Dropout(</w:t>
      </w:r>
      <w:r w:rsidRPr="002844B1">
        <w:rPr>
          <w:rStyle w:val="FloatTok"/>
          <w:sz w:val="13"/>
          <w:szCs w:val="8"/>
        </w:rPr>
        <w:t>0.2</w:t>
      </w:r>
      <w:r w:rsidRPr="002844B1">
        <w:rPr>
          <w:rStyle w:val="NormalTok"/>
          <w:sz w:val="13"/>
          <w:szCs w:val="8"/>
        </w:rPr>
        <w:t>))</w:t>
      </w:r>
      <w:r w:rsidRPr="002844B1">
        <w:rPr>
          <w:sz w:val="10"/>
          <w:szCs w:val="10"/>
        </w:rPr>
        <w:br/>
      </w:r>
      <w:r w:rsidRPr="002844B1">
        <w:rPr>
          <w:rStyle w:val="NormalTok"/>
          <w:sz w:val="13"/>
          <w:szCs w:val="8"/>
        </w:rPr>
        <w:t>model.add(LSTM(units</w:t>
      </w:r>
      <w:r w:rsidRPr="002844B1">
        <w:rPr>
          <w:rStyle w:val="OperatorTok"/>
          <w:sz w:val="13"/>
          <w:szCs w:val="8"/>
        </w:rPr>
        <w:t>=</w:t>
      </w:r>
      <w:r w:rsidRPr="002844B1">
        <w:rPr>
          <w:rStyle w:val="DecValTok"/>
          <w:sz w:val="13"/>
          <w:szCs w:val="8"/>
        </w:rPr>
        <w:t>50</w:t>
      </w:r>
      <w:r w:rsidRPr="002844B1">
        <w:rPr>
          <w:rStyle w:val="NormalTok"/>
          <w:sz w:val="13"/>
          <w:szCs w:val="8"/>
        </w:rPr>
        <w:t>))</w:t>
      </w:r>
      <w:r w:rsidRPr="002844B1">
        <w:rPr>
          <w:sz w:val="10"/>
          <w:szCs w:val="10"/>
        </w:rPr>
        <w:br/>
      </w:r>
      <w:r w:rsidRPr="002844B1">
        <w:rPr>
          <w:rStyle w:val="NormalTok"/>
          <w:sz w:val="13"/>
          <w:szCs w:val="8"/>
        </w:rPr>
        <w:t>model.add(Dropout(</w:t>
      </w:r>
      <w:r w:rsidRPr="002844B1">
        <w:rPr>
          <w:rStyle w:val="FloatTok"/>
          <w:sz w:val="13"/>
          <w:szCs w:val="8"/>
        </w:rPr>
        <w:t>0.2</w:t>
      </w:r>
      <w:r w:rsidRPr="002844B1">
        <w:rPr>
          <w:rStyle w:val="NormalTok"/>
          <w:sz w:val="13"/>
          <w:szCs w:val="8"/>
        </w:rPr>
        <w:t>))</w:t>
      </w:r>
      <w:r w:rsidRPr="002844B1">
        <w:rPr>
          <w:sz w:val="10"/>
          <w:szCs w:val="10"/>
        </w:rPr>
        <w:br/>
      </w:r>
      <w:r w:rsidRPr="002844B1">
        <w:rPr>
          <w:rStyle w:val="NormalTok"/>
          <w:sz w:val="13"/>
          <w:szCs w:val="8"/>
        </w:rPr>
        <w:t>model.add(Dense(units</w:t>
      </w:r>
      <w:r w:rsidRPr="002844B1">
        <w:rPr>
          <w:rStyle w:val="OperatorTok"/>
          <w:sz w:val="13"/>
          <w:szCs w:val="8"/>
        </w:rPr>
        <w:t>=</w:t>
      </w:r>
      <w:r w:rsidRPr="002844B1">
        <w:rPr>
          <w:rStyle w:val="DecValTok"/>
          <w:sz w:val="13"/>
          <w:szCs w:val="8"/>
        </w:rPr>
        <w:t>1</w:t>
      </w:r>
      <w:r w:rsidRPr="002844B1">
        <w:rPr>
          <w:rStyle w:val="NormalTok"/>
          <w:sz w:val="13"/>
          <w:szCs w:val="8"/>
        </w:rPr>
        <w:t>))</w:t>
      </w:r>
      <w:r w:rsidRPr="002844B1">
        <w:rPr>
          <w:sz w:val="10"/>
          <w:szCs w:val="10"/>
        </w:rPr>
        <w:br/>
      </w:r>
      <w:r w:rsidRPr="002844B1">
        <w:rPr>
          <w:sz w:val="10"/>
          <w:szCs w:val="10"/>
        </w:rPr>
        <w:br/>
      </w:r>
      <w:r w:rsidRPr="002844B1">
        <w:rPr>
          <w:rStyle w:val="CommentTok"/>
          <w:sz w:val="13"/>
          <w:szCs w:val="8"/>
        </w:rPr>
        <w:t># Compiler le modèle</w:t>
      </w:r>
      <w:r w:rsidRPr="002844B1">
        <w:rPr>
          <w:sz w:val="10"/>
          <w:szCs w:val="10"/>
        </w:rPr>
        <w:br/>
      </w:r>
      <w:r w:rsidRPr="002844B1">
        <w:rPr>
          <w:rStyle w:val="NormalTok"/>
          <w:sz w:val="13"/>
          <w:szCs w:val="8"/>
        </w:rPr>
        <w:t>model.</w:t>
      </w:r>
      <w:r w:rsidRPr="002844B1">
        <w:rPr>
          <w:rStyle w:val="BuiltInTok"/>
          <w:sz w:val="13"/>
          <w:szCs w:val="8"/>
        </w:rPr>
        <w:t>compile</w:t>
      </w:r>
      <w:r w:rsidRPr="002844B1">
        <w:rPr>
          <w:rStyle w:val="NormalTok"/>
          <w:sz w:val="13"/>
          <w:szCs w:val="8"/>
        </w:rPr>
        <w:t>(optimizer</w:t>
      </w:r>
      <w:r w:rsidRPr="002844B1">
        <w:rPr>
          <w:rStyle w:val="OperatorTok"/>
          <w:sz w:val="13"/>
          <w:szCs w:val="8"/>
        </w:rPr>
        <w:t>=</w:t>
      </w:r>
      <w:r w:rsidRPr="002844B1">
        <w:rPr>
          <w:rStyle w:val="StringTok"/>
          <w:sz w:val="13"/>
          <w:szCs w:val="8"/>
        </w:rPr>
        <w:t>'adam'</w:t>
      </w:r>
      <w:r w:rsidRPr="002844B1">
        <w:rPr>
          <w:rStyle w:val="NormalTok"/>
          <w:sz w:val="13"/>
          <w:szCs w:val="8"/>
        </w:rPr>
        <w:t>, loss</w:t>
      </w:r>
      <w:r w:rsidRPr="002844B1">
        <w:rPr>
          <w:rStyle w:val="OperatorTok"/>
          <w:sz w:val="13"/>
          <w:szCs w:val="8"/>
        </w:rPr>
        <w:t>=</w:t>
      </w:r>
      <w:r w:rsidRPr="002844B1">
        <w:rPr>
          <w:rStyle w:val="StringTok"/>
          <w:sz w:val="13"/>
          <w:szCs w:val="8"/>
        </w:rPr>
        <w:t>'mean_squared_error'</w:t>
      </w:r>
      <w:r w:rsidRPr="002844B1">
        <w:rPr>
          <w:rStyle w:val="NormalTok"/>
          <w:sz w:val="13"/>
          <w:szCs w:val="8"/>
        </w:rPr>
        <w:t>)</w:t>
      </w:r>
      <w:r w:rsidRPr="002844B1">
        <w:rPr>
          <w:sz w:val="10"/>
          <w:szCs w:val="10"/>
        </w:rPr>
        <w:br/>
      </w:r>
      <w:r w:rsidRPr="002844B1">
        <w:rPr>
          <w:sz w:val="10"/>
          <w:szCs w:val="10"/>
        </w:rPr>
        <w:br/>
      </w:r>
      <w:r w:rsidRPr="002844B1">
        <w:rPr>
          <w:rStyle w:val="CommentTok"/>
          <w:sz w:val="13"/>
          <w:szCs w:val="8"/>
        </w:rPr>
        <w:t># Entraîner le modèle</w:t>
      </w:r>
      <w:r w:rsidRPr="002844B1">
        <w:rPr>
          <w:sz w:val="10"/>
          <w:szCs w:val="10"/>
        </w:rPr>
        <w:br/>
      </w:r>
      <w:r w:rsidRPr="002844B1">
        <w:rPr>
          <w:rStyle w:val="NormalTok"/>
          <w:sz w:val="13"/>
          <w:szCs w:val="8"/>
        </w:rPr>
        <w:t>model.fit(X_train, y_train, epochs</w:t>
      </w:r>
      <w:r w:rsidRPr="002844B1">
        <w:rPr>
          <w:rStyle w:val="OperatorTok"/>
          <w:sz w:val="13"/>
          <w:szCs w:val="8"/>
        </w:rPr>
        <w:t>=</w:t>
      </w:r>
      <w:r w:rsidRPr="002844B1">
        <w:rPr>
          <w:rStyle w:val="DecValTok"/>
          <w:sz w:val="13"/>
          <w:szCs w:val="8"/>
        </w:rPr>
        <w:t>100</w:t>
      </w:r>
      <w:r w:rsidRPr="002844B1">
        <w:rPr>
          <w:rStyle w:val="NormalTok"/>
          <w:sz w:val="13"/>
          <w:szCs w:val="8"/>
        </w:rPr>
        <w:t>, batch_size</w:t>
      </w:r>
      <w:r w:rsidRPr="002844B1">
        <w:rPr>
          <w:rStyle w:val="OperatorTok"/>
          <w:sz w:val="13"/>
          <w:szCs w:val="8"/>
        </w:rPr>
        <w:t>=</w:t>
      </w:r>
      <w:r w:rsidRPr="002844B1">
        <w:rPr>
          <w:rStyle w:val="DecValTok"/>
          <w:sz w:val="13"/>
          <w:szCs w:val="8"/>
        </w:rPr>
        <w:t>30</w:t>
      </w:r>
      <w:r w:rsidRPr="002844B1">
        <w:rPr>
          <w:rStyle w:val="NormalTok"/>
          <w:sz w:val="13"/>
          <w:szCs w:val="8"/>
        </w:rPr>
        <w:t>)</w:t>
      </w:r>
      <w:r w:rsidRPr="002844B1">
        <w:rPr>
          <w:sz w:val="10"/>
          <w:szCs w:val="10"/>
        </w:rPr>
        <w:br/>
      </w:r>
      <w:r w:rsidRPr="002844B1">
        <w:rPr>
          <w:sz w:val="10"/>
          <w:szCs w:val="10"/>
        </w:rPr>
        <w:br/>
      </w:r>
      <w:r w:rsidRPr="002844B1">
        <w:rPr>
          <w:rStyle w:val="CommentTok"/>
          <w:sz w:val="13"/>
          <w:szCs w:val="8"/>
        </w:rPr>
        <w:t># Faire des prédictions</w:t>
      </w:r>
      <w:r w:rsidRPr="002844B1">
        <w:rPr>
          <w:sz w:val="10"/>
          <w:szCs w:val="10"/>
        </w:rPr>
        <w:br/>
      </w:r>
      <w:r w:rsidRPr="002844B1">
        <w:rPr>
          <w:rStyle w:val="NormalTok"/>
          <w:sz w:val="13"/>
          <w:szCs w:val="8"/>
        </w:rPr>
        <w:t xml:space="preserve">y_pred </w:t>
      </w:r>
      <w:r w:rsidRPr="002844B1">
        <w:rPr>
          <w:rStyle w:val="OperatorTok"/>
          <w:sz w:val="13"/>
          <w:szCs w:val="8"/>
        </w:rPr>
        <w:t>=</w:t>
      </w:r>
      <w:r w:rsidRPr="002844B1">
        <w:rPr>
          <w:rStyle w:val="NormalTok"/>
          <w:sz w:val="13"/>
          <w:szCs w:val="8"/>
        </w:rPr>
        <w:t xml:space="preserve"> model.predict(X_test)</w:t>
      </w:r>
      <w:r w:rsidRPr="002844B1">
        <w:rPr>
          <w:sz w:val="10"/>
          <w:szCs w:val="10"/>
        </w:rPr>
        <w:br/>
      </w:r>
      <w:r w:rsidRPr="002844B1">
        <w:rPr>
          <w:rStyle w:val="NormalTok"/>
          <w:sz w:val="13"/>
          <w:szCs w:val="8"/>
        </w:rPr>
        <w:t xml:space="preserve">y_pred </w:t>
      </w:r>
      <w:r w:rsidRPr="002844B1">
        <w:rPr>
          <w:rStyle w:val="OperatorTok"/>
          <w:sz w:val="13"/>
          <w:szCs w:val="8"/>
        </w:rPr>
        <w:t>=</w:t>
      </w:r>
      <w:r w:rsidRPr="002844B1">
        <w:rPr>
          <w:rStyle w:val="NormalTok"/>
          <w:sz w:val="13"/>
          <w:szCs w:val="8"/>
        </w:rPr>
        <w:t xml:space="preserve"> scaler.inverse_transform(y_pred) </w:t>
      </w:r>
      <w:r w:rsidRPr="002844B1">
        <w:rPr>
          <w:rStyle w:val="CommentTok"/>
          <w:sz w:val="13"/>
          <w:szCs w:val="8"/>
        </w:rPr>
        <w:t># Revenir à l'échelle originale</w:t>
      </w:r>
      <w:r w:rsidRPr="002844B1">
        <w:rPr>
          <w:sz w:val="10"/>
          <w:szCs w:val="10"/>
        </w:rPr>
        <w:br/>
      </w:r>
      <w:r w:rsidRPr="002844B1">
        <w:rPr>
          <w:sz w:val="10"/>
          <w:szCs w:val="10"/>
        </w:rPr>
        <w:br/>
      </w:r>
      <w:r w:rsidRPr="002844B1">
        <w:rPr>
          <w:rStyle w:val="CommentTok"/>
          <w:sz w:val="13"/>
          <w:szCs w:val="8"/>
        </w:rPr>
        <w:t># Évaluer le modèle</w:t>
      </w:r>
      <w:r w:rsidRPr="002844B1">
        <w:rPr>
          <w:sz w:val="10"/>
          <w:szCs w:val="10"/>
        </w:rPr>
        <w:br/>
      </w:r>
      <w:r w:rsidRPr="002844B1">
        <w:rPr>
          <w:rStyle w:val="ImportTok"/>
          <w:sz w:val="13"/>
          <w:szCs w:val="8"/>
        </w:rPr>
        <w:t>from</w:t>
      </w:r>
      <w:r w:rsidRPr="002844B1">
        <w:rPr>
          <w:rStyle w:val="NormalTok"/>
          <w:sz w:val="13"/>
          <w:szCs w:val="8"/>
        </w:rPr>
        <w:t xml:space="preserve"> sklearn.metrics </w:t>
      </w:r>
      <w:r w:rsidRPr="002844B1">
        <w:rPr>
          <w:rStyle w:val="ImportTok"/>
          <w:sz w:val="13"/>
          <w:szCs w:val="8"/>
        </w:rPr>
        <w:t>import</w:t>
      </w:r>
      <w:r w:rsidRPr="002844B1">
        <w:rPr>
          <w:rStyle w:val="NormalTok"/>
          <w:sz w:val="13"/>
          <w:szCs w:val="8"/>
        </w:rPr>
        <w:t xml:space="preserve"> mean_squared_error</w:t>
      </w:r>
      <w:r w:rsidRPr="002844B1">
        <w:rPr>
          <w:sz w:val="10"/>
          <w:szCs w:val="10"/>
        </w:rPr>
        <w:br/>
      </w:r>
      <w:r w:rsidRPr="002844B1">
        <w:rPr>
          <w:rStyle w:val="NormalTok"/>
          <w:sz w:val="13"/>
          <w:szCs w:val="8"/>
        </w:rPr>
        <w:t xml:space="preserve">rmse </w:t>
      </w:r>
      <w:r w:rsidRPr="002844B1">
        <w:rPr>
          <w:rStyle w:val="OperatorTok"/>
          <w:sz w:val="13"/>
          <w:szCs w:val="8"/>
        </w:rPr>
        <w:t>=</w:t>
      </w:r>
      <w:r w:rsidRPr="002844B1">
        <w:rPr>
          <w:rStyle w:val="NormalTok"/>
          <w:sz w:val="13"/>
          <w:szCs w:val="8"/>
        </w:rPr>
        <w:t xml:space="preserve"> np.sqrt(mean_squared_error(scaler.inverse_transform(y_test), y_pred))</w:t>
      </w:r>
      <w:r w:rsidRPr="002844B1">
        <w:rPr>
          <w:sz w:val="10"/>
          <w:szCs w:val="10"/>
        </w:rPr>
        <w:br/>
      </w:r>
      <w:r w:rsidRPr="002844B1">
        <w:rPr>
          <w:rStyle w:val="BuiltInTok"/>
          <w:sz w:val="13"/>
          <w:szCs w:val="8"/>
        </w:rPr>
        <w:t>print</w:t>
      </w:r>
      <w:r w:rsidRPr="002844B1">
        <w:rPr>
          <w:rStyle w:val="NormalTok"/>
          <w:sz w:val="13"/>
          <w:szCs w:val="8"/>
        </w:rPr>
        <w:t>(</w:t>
      </w:r>
      <w:r w:rsidRPr="002844B1">
        <w:rPr>
          <w:rStyle w:val="StringTok"/>
          <w:sz w:val="13"/>
          <w:szCs w:val="8"/>
        </w:rPr>
        <w:t>'RMSE: '</w:t>
      </w:r>
      <w:r w:rsidRPr="002844B1">
        <w:rPr>
          <w:rStyle w:val="NormalTok"/>
          <w:sz w:val="13"/>
          <w:szCs w:val="8"/>
        </w:rPr>
        <w:t>, rmse)</w:t>
      </w:r>
      <w:r w:rsidRPr="002844B1">
        <w:rPr>
          <w:sz w:val="10"/>
          <w:szCs w:val="10"/>
        </w:rPr>
        <w:br/>
      </w:r>
      <w:r w:rsidRPr="002844B1">
        <w:rPr>
          <w:sz w:val="10"/>
          <w:szCs w:val="10"/>
        </w:rPr>
        <w:br/>
      </w:r>
      <w:r w:rsidRPr="002844B1">
        <w:rPr>
          <w:rStyle w:val="CommentTok"/>
          <w:sz w:val="13"/>
          <w:szCs w:val="8"/>
        </w:rPr>
        <w:t># Tracer les valeurs observées et prédites</w:t>
      </w:r>
      <w:r w:rsidRPr="002844B1">
        <w:rPr>
          <w:sz w:val="10"/>
          <w:szCs w:val="10"/>
        </w:rPr>
        <w:br/>
      </w:r>
      <w:r w:rsidRPr="002844B1">
        <w:rPr>
          <w:sz w:val="10"/>
          <w:szCs w:val="10"/>
        </w:rPr>
        <w:br/>
      </w:r>
      <w:r w:rsidRPr="002844B1">
        <w:rPr>
          <w:rStyle w:val="NormalTok"/>
          <w:sz w:val="13"/>
          <w:szCs w:val="8"/>
        </w:rPr>
        <w:t>plt.plot(scaler.inverse_transform(y_test), label</w:t>
      </w:r>
      <w:r w:rsidRPr="002844B1">
        <w:rPr>
          <w:rStyle w:val="OperatorTok"/>
          <w:sz w:val="13"/>
          <w:szCs w:val="8"/>
        </w:rPr>
        <w:t>=</w:t>
      </w:r>
      <w:r w:rsidRPr="002844B1">
        <w:rPr>
          <w:rStyle w:val="StringTok"/>
          <w:sz w:val="13"/>
          <w:szCs w:val="8"/>
        </w:rPr>
        <w:t>'Dernier cours observé'</w:t>
      </w:r>
      <w:r w:rsidRPr="002844B1">
        <w:rPr>
          <w:rStyle w:val="NormalTok"/>
          <w:sz w:val="13"/>
          <w:szCs w:val="8"/>
        </w:rPr>
        <w:t>)</w:t>
      </w:r>
      <w:r w:rsidRPr="002844B1">
        <w:rPr>
          <w:sz w:val="10"/>
          <w:szCs w:val="10"/>
        </w:rPr>
        <w:br/>
      </w:r>
      <w:r w:rsidRPr="002844B1">
        <w:rPr>
          <w:rStyle w:val="NormalTok"/>
          <w:sz w:val="13"/>
          <w:szCs w:val="8"/>
        </w:rPr>
        <w:t>plt.plot(y_pred, label</w:t>
      </w:r>
      <w:r w:rsidRPr="002844B1">
        <w:rPr>
          <w:rStyle w:val="OperatorTok"/>
          <w:sz w:val="13"/>
          <w:szCs w:val="8"/>
        </w:rPr>
        <w:t>=</w:t>
      </w:r>
      <w:r w:rsidRPr="002844B1">
        <w:rPr>
          <w:rStyle w:val="StringTok"/>
          <w:sz w:val="13"/>
          <w:szCs w:val="8"/>
        </w:rPr>
        <w:t>'Dernier cours prédite'</w:t>
      </w:r>
      <w:r w:rsidRPr="002844B1">
        <w:rPr>
          <w:rStyle w:val="NormalTok"/>
          <w:sz w:val="13"/>
          <w:szCs w:val="8"/>
        </w:rPr>
        <w:t>)</w:t>
      </w:r>
      <w:r w:rsidRPr="002844B1">
        <w:rPr>
          <w:sz w:val="10"/>
          <w:szCs w:val="10"/>
        </w:rPr>
        <w:br/>
      </w:r>
      <w:r w:rsidRPr="002844B1">
        <w:rPr>
          <w:rStyle w:val="NormalTok"/>
          <w:sz w:val="13"/>
          <w:szCs w:val="8"/>
        </w:rPr>
        <w:t>plt.legend()</w:t>
      </w:r>
      <w:r w:rsidRPr="002844B1">
        <w:rPr>
          <w:sz w:val="10"/>
          <w:szCs w:val="10"/>
        </w:rPr>
        <w:br/>
      </w:r>
      <w:r w:rsidRPr="002844B1">
        <w:rPr>
          <w:rStyle w:val="NormalTok"/>
          <w:sz w:val="13"/>
          <w:szCs w:val="8"/>
        </w:rPr>
        <w:t>plt.xlabel(</w:t>
      </w:r>
      <w:r w:rsidRPr="002844B1">
        <w:rPr>
          <w:rStyle w:val="StringTok"/>
          <w:sz w:val="13"/>
          <w:szCs w:val="8"/>
        </w:rPr>
        <w:t>'Jours'</w:t>
      </w:r>
      <w:r w:rsidRPr="002844B1">
        <w:rPr>
          <w:rStyle w:val="NormalTok"/>
          <w:sz w:val="13"/>
          <w:szCs w:val="8"/>
        </w:rPr>
        <w:t>)</w:t>
      </w:r>
      <w:r w:rsidRPr="002844B1">
        <w:rPr>
          <w:sz w:val="10"/>
          <w:szCs w:val="10"/>
        </w:rPr>
        <w:br/>
      </w:r>
      <w:r w:rsidRPr="002844B1">
        <w:rPr>
          <w:rStyle w:val="NormalTok"/>
          <w:sz w:val="13"/>
          <w:szCs w:val="8"/>
        </w:rPr>
        <w:t>plt.ylabel(</w:t>
      </w:r>
      <w:r w:rsidRPr="002844B1">
        <w:rPr>
          <w:rStyle w:val="StringTok"/>
          <w:sz w:val="13"/>
          <w:szCs w:val="8"/>
        </w:rPr>
        <w:t>'Dernier cours'</w:t>
      </w:r>
      <w:r w:rsidRPr="002844B1">
        <w:rPr>
          <w:rStyle w:val="NormalTok"/>
          <w:sz w:val="13"/>
          <w:szCs w:val="8"/>
        </w:rPr>
        <w:t>)</w:t>
      </w:r>
      <w:r w:rsidRPr="002844B1">
        <w:rPr>
          <w:sz w:val="10"/>
          <w:szCs w:val="10"/>
        </w:rPr>
        <w:br/>
      </w:r>
      <w:r w:rsidRPr="002844B1">
        <w:rPr>
          <w:rStyle w:val="NormalTok"/>
          <w:sz w:val="13"/>
          <w:szCs w:val="8"/>
        </w:rPr>
        <w:t>plt.title(</w:t>
      </w:r>
      <w:r w:rsidRPr="002844B1">
        <w:rPr>
          <w:rStyle w:val="StringTok"/>
          <w:sz w:val="13"/>
          <w:szCs w:val="8"/>
        </w:rPr>
        <w:t>'Prédiction du dernier cours avec un modèle LSTM'</w:t>
      </w:r>
      <w:r w:rsidRPr="002844B1">
        <w:rPr>
          <w:rStyle w:val="NormalTok"/>
          <w:sz w:val="13"/>
          <w:szCs w:val="8"/>
        </w:rPr>
        <w:t>)</w:t>
      </w:r>
      <w:r w:rsidRPr="002844B1">
        <w:rPr>
          <w:sz w:val="10"/>
          <w:szCs w:val="10"/>
        </w:rPr>
        <w:br/>
      </w:r>
      <w:r w:rsidRPr="002844B1">
        <w:rPr>
          <w:rStyle w:val="NormalTok"/>
          <w:sz w:val="13"/>
          <w:szCs w:val="8"/>
        </w:rPr>
        <w:t>plt.show()</w:t>
      </w:r>
    </w:p>
    <w:p w:rsidR="00997111" w:rsidRPr="002844B1" w:rsidRDefault="00997111" w:rsidP="00997111">
      <w:pPr>
        <w:pStyle w:val="Caption"/>
        <w:keepNext/>
      </w:pPr>
      <w:r w:rsidRPr="002844B1">
        <w:lastRenderedPageBreak/>
        <w:t xml:space="preserve">Figure </w:t>
      </w:r>
      <w:r w:rsidRPr="002844B1">
        <w:fldChar w:fldCharType="begin"/>
      </w:r>
      <w:r w:rsidRPr="002844B1">
        <w:instrText xml:space="preserve"> SEQ Figure \* ARABIC </w:instrText>
      </w:r>
      <w:r w:rsidRPr="002844B1">
        <w:fldChar w:fldCharType="separate"/>
      </w:r>
      <w:r w:rsidR="008E2C01" w:rsidRPr="002844B1">
        <w:rPr>
          <w:noProof/>
        </w:rPr>
        <w:t>9</w:t>
      </w:r>
      <w:r w:rsidRPr="002844B1">
        <w:fldChar w:fldCharType="end"/>
      </w:r>
      <w:r w:rsidRPr="002844B1">
        <w:t>: Courbe de cours prédit et de cours observé</w:t>
      </w:r>
    </w:p>
    <w:tbl>
      <w:tblPr>
        <w:tblStyle w:val="Table"/>
        <w:tblW w:w="4584" w:type="pct"/>
        <w:tblLook w:val="0000" w:firstRow="0" w:lastRow="0" w:firstColumn="0" w:lastColumn="0" w:noHBand="0" w:noVBand="0"/>
      </w:tblPr>
      <w:tblGrid>
        <w:gridCol w:w="8581"/>
      </w:tblGrid>
      <w:tr w:rsidR="005B279D" w:rsidRPr="002844B1" w:rsidTr="00997111">
        <w:trPr>
          <w:trHeight w:val="5506"/>
        </w:trPr>
        <w:tc>
          <w:tcPr>
            <w:tcW w:w="0" w:type="auto"/>
          </w:tcPr>
          <w:p w:rsidR="005B279D" w:rsidRPr="002844B1" w:rsidRDefault="00000000" w:rsidP="00997111">
            <w:pPr>
              <w:jc w:val="center"/>
            </w:pPr>
            <w:bookmarkStart w:id="132" w:name="fig-Prediction_masi2"/>
            <w:r w:rsidRPr="002844B1">
              <w:rPr>
                <w:noProof/>
              </w:rPr>
              <w:drawing>
                <wp:inline distT="0" distB="0" distL="0" distR="0">
                  <wp:extent cx="4578674" cy="2783247"/>
                  <wp:effectExtent l="0" t="0" r="6350" b="0"/>
                  <wp:docPr id="246" name="Picture"/>
                  <wp:cNvGraphicFramePr/>
                  <a:graphic xmlns:a="http://schemas.openxmlformats.org/drawingml/2006/main">
                    <a:graphicData uri="http://schemas.openxmlformats.org/drawingml/2006/picture">
                      <pic:pic xmlns:pic="http://schemas.openxmlformats.org/drawingml/2006/picture">
                        <pic:nvPicPr>
                          <pic:cNvPr id="247" name="Picture" descr="Rapport-PFE_files/figure-html/Prediction.png"/>
                          <pic:cNvPicPr>
                            <a:picLocks noChangeAspect="1" noChangeArrowheads="1"/>
                          </pic:cNvPicPr>
                        </pic:nvPicPr>
                        <pic:blipFill>
                          <a:blip r:embed="rId17"/>
                          <a:stretch>
                            <a:fillRect/>
                          </a:stretch>
                        </pic:blipFill>
                        <pic:spPr bwMode="auto">
                          <a:xfrm>
                            <a:off x="0" y="0"/>
                            <a:ext cx="4597285" cy="2794560"/>
                          </a:xfrm>
                          <a:prstGeom prst="rect">
                            <a:avLst/>
                          </a:prstGeom>
                          <a:noFill/>
                          <a:ln w="9525">
                            <a:noFill/>
                            <a:headEnd/>
                            <a:tailEnd/>
                          </a:ln>
                        </pic:spPr>
                      </pic:pic>
                    </a:graphicData>
                  </a:graphic>
                </wp:inline>
              </w:drawing>
            </w:r>
          </w:p>
        </w:tc>
        <w:bookmarkEnd w:id="132"/>
      </w:tr>
    </w:tbl>
    <w:p w:rsidR="005B279D" w:rsidRPr="002844B1" w:rsidRDefault="00000000">
      <w:pPr>
        <w:pStyle w:val="Heading2"/>
      </w:pPr>
      <w:bookmarkStart w:id="133" w:name="_Toc137651038"/>
      <w:bookmarkEnd w:id="131"/>
      <w:r w:rsidRPr="002844B1">
        <w:t>7.2 Application de calcul des CSR</w:t>
      </w:r>
      <w:bookmarkStart w:id="134" w:name="Xdfd4d006d9124550c85001a73cc2cd266d3535f"/>
      <w:bookmarkStart w:id="135" w:name="application-de-calcul-des-csr"/>
      <w:bookmarkEnd w:id="133"/>
    </w:p>
    <w:p w:rsidR="005B279D" w:rsidRPr="002844B1" w:rsidRDefault="00000000" w:rsidP="00997111">
      <w:pPr>
        <w:pStyle w:val="FirstParagraph"/>
        <w:jc w:val="both"/>
        <w:rPr>
          <w:sz w:val="21"/>
          <w:szCs w:val="21"/>
        </w:rPr>
      </w:pPr>
      <w:r w:rsidRPr="002844B1">
        <w:rPr>
          <w:sz w:val="21"/>
          <w:szCs w:val="21"/>
        </w:rPr>
        <w:t>Dans le cadre de ce projet, nous avons développé une application permettant de calculer les capitaux de solvabilité requis. Ce calcul passe par plusieurs étapes c’est pourquoi l’application contient plusieurs onglets :</w:t>
      </w:r>
    </w:p>
    <w:p w:rsidR="005B279D" w:rsidRPr="002844B1" w:rsidRDefault="00000000" w:rsidP="00997111">
      <w:pPr>
        <w:pStyle w:val="Compact"/>
        <w:numPr>
          <w:ilvl w:val="0"/>
          <w:numId w:val="69"/>
        </w:numPr>
        <w:jc w:val="both"/>
        <w:rPr>
          <w:sz w:val="21"/>
          <w:szCs w:val="21"/>
        </w:rPr>
      </w:pPr>
      <w:r w:rsidRPr="002844B1">
        <w:rPr>
          <w:b/>
          <w:bCs/>
          <w:sz w:val="21"/>
          <w:szCs w:val="21"/>
        </w:rPr>
        <w:t>Paramètres</w:t>
      </w:r>
      <w:r w:rsidRPr="002844B1">
        <w:rPr>
          <w:sz w:val="21"/>
          <w:szCs w:val="21"/>
        </w:rPr>
        <w:t xml:space="preserve"> : les paramètres généraux de l’application; _ </w:t>
      </w:r>
      <w:r w:rsidRPr="002844B1">
        <w:rPr>
          <w:b/>
          <w:bCs/>
          <w:sz w:val="21"/>
          <w:szCs w:val="21"/>
        </w:rPr>
        <w:t>Courbe des taux</w:t>
      </w:r>
      <w:r w:rsidRPr="002844B1">
        <w:rPr>
          <w:sz w:val="21"/>
          <w:szCs w:val="21"/>
        </w:rPr>
        <w:t xml:space="preserve"> : construction de la courbe des taux zéro coupon; _ </w:t>
      </w:r>
      <w:r w:rsidRPr="002844B1">
        <w:rPr>
          <w:b/>
          <w:bCs/>
          <w:sz w:val="21"/>
          <w:szCs w:val="21"/>
        </w:rPr>
        <w:t>Non-vie hors rentes</w:t>
      </w:r>
      <w:r w:rsidRPr="002844B1">
        <w:rPr>
          <w:sz w:val="21"/>
          <w:szCs w:val="21"/>
        </w:rPr>
        <w:t xml:space="preserve"> : calcul des meilleures estimations pour une </w:t>
      </w:r>
      <w:r w:rsidR="007633AB" w:rsidRPr="002844B1">
        <w:rPr>
          <w:sz w:val="21"/>
          <w:szCs w:val="21"/>
        </w:rPr>
        <w:t>opération</w:t>
      </w:r>
      <w:r w:rsidRPr="002844B1">
        <w:rPr>
          <w:sz w:val="21"/>
          <w:szCs w:val="21"/>
        </w:rPr>
        <w:t xml:space="preserve"> d’assurance non vie hors rente (exemple de l’accident de travail AT);</w:t>
      </w:r>
    </w:p>
    <w:p w:rsidR="005B279D" w:rsidRPr="002844B1" w:rsidRDefault="00000000" w:rsidP="00997111">
      <w:pPr>
        <w:pStyle w:val="Compact"/>
        <w:numPr>
          <w:ilvl w:val="0"/>
          <w:numId w:val="69"/>
        </w:numPr>
        <w:jc w:val="both"/>
        <w:rPr>
          <w:sz w:val="21"/>
          <w:szCs w:val="21"/>
        </w:rPr>
      </w:pPr>
      <w:r w:rsidRPr="002844B1">
        <w:rPr>
          <w:b/>
          <w:bCs/>
          <w:sz w:val="21"/>
          <w:szCs w:val="21"/>
        </w:rPr>
        <w:t>Assurance vie</w:t>
      </w:r>
      <w:r w:rsidRPr="002844B1">
        <w:rPr>
          <w:sz w:val="21"/>
          <w:szCs w:val="21"/>
        </w:rPr>
        <w:t xml:space="preserve"> : calcul des meilleures estimations pour une </w:t>
      </w:r>
      <w:r w:rsidR="007633AB" w:rsidRPr="002844B1">
        <w:rPr>
          <w:sz w:val="21"/>
          <w:szCs w:val="21"/>
        </w:rPr>
        <w:t>opération</w:t>
      </w:r>
      <w:r w:rsidRPr="002844B1">
        <w:rPr>
          <w:sz w:val="21"/>
          <w:szCs w:val="21"/>
        </w:rPr>
        <w:t xml:space="preserve"> d’assurance vie (exemple d’un capital garanti dégressif en cas de décès).</w:t>
      </w:r>
    </w:p>
    <w:p w:rsidR="00997111" w:rsidRPr="002844B1" w:rsidRDefault="00997111" w:rsidP="00997111">
      <w:pPr>
        <w:pStyle w:val="Caption"/>
        <w:keepNext/>
      </w:pPr>
      <w:r w:rsidRPr="002844B1">
        <w:lastRenderedPageBreak/>
        <w:t xml:space="preserve">Figure </w:t>
      </w:r>
      <w:r w:rsidRPr="002844B1">
        <w:fldChar w:fldCharType="begin"/>
      </w:r>
      <w:r w:rsidRPr="002844B1">
        <w:instrText xml:space="preserve"> SEQ Figure \* ARABIC </w:instrText>
      </w:r>
      <w:r w:rsidRPr="002844B1">
        <w:fldChar w:fldCharType="separate"/>
      </w:r>
      <w:r w:rsidR="008E2C01" w:rsidRPr="002844B1">
        <w:rPr>
          <w:noProof/>
        </w:rPr>
        <w:t>10</w:t>
      </w:r>
      <w:r w:rsidRPr="002844B1">
        <w:fldChar w:fldCharType="end"/>
      </w:r>
      <w:r w:rsidRPr="002844B1">
        <w:t>: Onglets de l’application</w:t>
      </w:r>
    </w:p>
    <w:tbl>
      <w:tblPr>
        <w:tblStyle w:val="Table"/>
        <w:tblW w:w="5000" w:type="pct"/>
        <w:tblLook w:val="0000" w:firstRow="0" w:lastRow="0" w:firstColumn="0" w:lastColumn="0" w:noHBand="0" w:noVBand="0"/>
      </w:tblPr>
      <w:tblGrid>
        <w:gridCol w:w="9360"/>
      </w:tblGrid>
      <w:tr w:rsidR="005B279D" w:rsidRPr="002844B1">
        <w:tc>
          <w:tcPr>
            <w:tcW w:w="0" w:type="auto"/>
          </w:tcPr>
          <w:p w:rsidR="005B279D" w:rsidRPr="002844B1" w:rsidRDefault="00000000" w:rsidP="00997111">
            <w:pPr>
              <w:jc w:val="center"/>
            </w:pPr>
            <w:bookmarkStart w:id="136" w:name="fig-onglets"/>
            <w:r w:rsidRPr="002844B1">
              <w:rPr>
                <w:noProof/>
              </w:rPr>
              <w:drawing>
                <wp:inline distT="0" distB="0" distL="0" distR="0">
                  <wp:extent cx="5334000" cy="4196219"/>
                  <wp:effectExtent l="0" t="0" r="0" b="0"/>
                  <wp:docPr id="251" name="Picture"/>
                  <wp:cNvGraphicFramePr/>
                  <a:graphic xmlns:a="http://schemas.openxmlformats.org/drawingml/2006/main">
                    <a:graphicData uri="http://schemas.openxmlformats.org/drawingml/2006/picture">
                      <pic:pic xmlns:pic="http://schemas.openxmlformats.org/drawingml/2006/picture">
                        <pic:nvPicPr>
                          <pic:cNvPr id="252" name="Picture" descr="Rapport-PFE_files/figure-html/Onglets_App.png"/>
                          <pic:cNvPicPr>
                            <a:picLocks noChangeAspect="1" noChangeArrowheads="1"/>
                          </pic:cNvPicPr>
                        </pic:nvPicPr>
                        <pic:blipFill>
                          <a:blip r:embed="rId20"/>
                          <a:stretch>
                            <a:fillRect/>
                          </a:stretch>
                        </pic:blipFill>
                        <pic:spPr bwMode="auto">
                          <a:xfrm>
                            <a:off x="0" y="0"/>
                            <a:ext cx="5334000" cy="4196219"/>
                          </a:xfrm>
                          <a:prstGeom prst="rect">
                            <a:avLst/>
                          </a:prstGeom>
                          <a:noFill/>
                          <a:ln w="9525">
                            <a:noFill/>
                            <a:headEnd/>
                            <a:tailEnd/>
                          </a:ln>
                        </pic:spPr>
                      </pic:pic>
                    </a:graphicData>
                  </a:graphic>
                </wp:inline>
              </w:drawing>
            </w:r>
          </w:p>
        </w:tc>
        <w:bookmarkEnd w:id="136"/>
      </w:tr>
    </w:tbl>
    <w:p w:rsidR="005B279D" w:rsidRPr="002844B1" w:rsidRDefault="00000000" w:rsidP="00997111">
      <w:pPr>
        <w:pStyle w:val="BodyText"/>
        <w:jc w:val="both"/>
        <w:rPr>
          <w:sz w:val="21"/>
          <w:szCs w:val="21"/>
        </w:rPr>
      </w:pPr>
      <w:r w:rsidRPr="002844B1">
        <w:rPr>
          <w:sz w:val="21"/>
          <w:szCs w:val="21"/>
        </w:rPr>
        <w:t xml:space="preserve">Cette application a été développée grâce </w:t>
      </w:r>
      <w:r w:rsidR="007633AB" w:rsidRPr="002844B1">
        <w:rPr>
          <w:sz w:val="21"/>
          <w:szCs w:val="21"/>
        </w:rPr>
        <w:t>à</w:t>
      </w:r>
      <w:r w:rsidRPr="002844B1">
        <w:rPr>
          <w:sz w:val="21"/>
          <w:szCs w:val="21"/>
        </w:rPr>
        <w:t xml:space="preserve"> </w:t>
      </w:r>
      <w:hyperlink r:id="rId21">
        <w:r w:rsidRPr="002844B1">
          <w:rPr>
            <w:rStyle w:val="Hyperlink"/>
            <w:sz w:val="20"/>
            <w:szCs w:val="20"/>
          </w:rPr>
          <w:t>Shiny</w:t>
        </w:r>
      </w:hyperlink>
      <w:r w:rsidRPr="002844B1">
        <w:rPr>
          <w:sz w:val="21"/>
          <w:szCs w:val="21"/>
        </w:rPr>
        <w:t xml:space="preserve"> et une de ses extensions </w:t>
      </w:r>
      <w:hyperlink r:id="rId22">
        <w:r w:rsidRPr="002844B1">
          <w:rPr>
            <w:rStyle w:val="Hyperlink"/>
            <w:sz w:val="20"/>
            <w:szCs w:val="20"/>
          </w:rPr>
          <w:t>bs4dash</w:t>
        </w:r>
      </w:hyperlink>
      <w:r w:rsidRPr="002844B1">
        <w:rPr>
          <w:sz w:val="21"/>
          <w:szCs w:val="21"/>
        </w:rPr>
        <w:t>. En guise d’information, Shiny est un package R qui facilite la création d’applications Web interactives directement à partir de R. Vous pouvez héberger des applications autonomes sur une page Web ou les intégrer dans des documents R Markdown ou créer des tableaux de bord. Vous pouvez également étendre vos applications Shiny avec des thèmes CSS, des widgets html et des actions JavaScript, d’où l’intervention de {bs4Dash} dans ce projet. Il permet quant à lui de créer des tableaux de bord Shiny avec la technologie Bootstrap 4. Le choix du langage R pour développer cette application est motivé par la simplicité du package shiny et de plus ce langage nous est déjà familier puisque c’est l’un des plus utilisés en sciences de données.</w:t>
      </w:r>
    </w:p>
    <w:p w:rsidR="005B279D" w:rsidRPr="002844B1" w:rsidRDefault="00000000" w:rsidP="00997111">
      <w:pPr>
        <w:pStyle w:val="BodyText"/>
        <w:jc w:val="both"/>
        <w:rPr>
          <w:sz w:val="21"/>
          <w:szCs w:val="21"/>
        </w:rPr>
      </w:pPr>
      <w:r w:rsidRPr="002844B1">
        <w:rPr>
          <w:sz w:val="21"/>
          <w:szCs w:val="21"/>
        </w:rPr>
        <w:t>L’application est une agglomération de codes et de calculs, son utilisation nécessite alors de claires indications.</w:t>
      </w:r>
    </w:p>
    <w:p w:rsidR="005B279D" w:rsidRPr="002844B1" w:rsidRDefault="00000000">
      <w:pPr>
        <w:pStyle w:val="Heading3"/>
      </w:pPr>
      <w:bookmarkStart w:id="137" w:name="navigation-dans-le-code-source"/>
      <w:bookmarkStart w:id="138" w:name="_Toc137651039"/>
      <w:r w:rsidRPr="002844B1">
        <w:t>Navigation dans le code source</w:t>
      </w:r>
      <w:bookmarkEnd w:id="138"/>
    </w:p>
    <w:p w:rsidR="005B279D" w:rsidRPr="002844B1" w:rsidRDefault="00000000" w:rsidP="00E53985">
      <w:pPr>
        <w:pStyle w:val="FirstParagraph"/>
        <w:jc w:val="both"/>
        <w:rPr>
          <w:sz w:val="21"/>
          <w:szCs w:val="21"/>
        </w:rPr>
      </w:pPr>
      <w:r w:rsidRPr="002844B1">
        <w:rPr>
          <w:sz w:val="21"/>
          <w:szCs w:val="21"/>
        </w:rPr>
        <w:t>Le dossier de l’application contient trois fichiers principaux d’</w:t>
      </w:r>
      <w:r w:rsidR="007633AB" w:rsidRPr="002844B1">
        <w:rPr>
          <w:sz w:val="21"/>
          <w:szCs w:val="21"/>
        </w:rPr>
        <w:t>extension</w:t>
      </w:r>
      <w:r w:rsidRPr="002844B1">
        <w:rPr>
          <w:sz w:val="21"/>
          <w:szCs w:val="21"/>
        </w:rPr>
        <w:t xml:space="preserve"> “.R”. Le premier nommé app.R contient la partie ui (user interface) et server de l’application. </w:t>
      </w:r>
      <w:r w:rsidR="007633AB" w:rsidRPr="002844B1">
        <w:rPr>
          <w:sz w:val="21"/>
          <w:szCs w:val="21"/>
        </w:rPr>
        <w:t>Le s</w:t>
      </w:r>
      <w:r w:rsidR="007633AB">
        <w:rPr>
          <w:sz w:val="21"/>
          <w:szCs w:val="21"/>
        </w:rPr>
        <w:t>e</w:t>
      </w:r>
      <w:r w:rsidR="007633AB" w:rsidRPr="002844B1">
        <w:rPr>
          <w:sz w:val="21"/>
          <w:szCs w:val="21"/>
        </w:rPr>
        <w:t xml:space="preserve">cond, functions.R détient l’ensemble des fonctions que nous avons programmées et qui sont requis dans le fichier app.R. </w:t>
      </w:r>
      <w:r w:rsidRPr="002844B1">
        <w:rPr>
          <w:sz w:val="21"/>
          <w:szCs w:val="21"/>
        </w:rPr>
        <w:t>Le dernier fichier sert à automatiser l’installation de tous les packages nécessaire pour faire tourner l’</w:t>
      </w:r>
      <w:r w:rsidR="007633AB" w:rsidRPr="002844B1">
        <w:rPr>
          <w:sz w:val="21"/>
          <w:szCs w:val="21"/>
        </w:rPr>
        <w:t>application</w:t>
      </w:r>
      <w:r w:rsidRPr="002844B1">
        <w:rPr>
          <w:sz w:val="21"/>
          <w:szCs w:val="21"/>
        </w:rPr>
        <w:t xml:space="preserve"> et nous l’avons nommé installation packages.R.</w:t>
      </w:r>
    </w:p>
    <w:p w:rsidR="005B279D" w:rsidRPr="002844B1" w:rsidRDefault="00000000" w:rsidP="00E53985">
      <w:pPr>
        <w:pStyle w:val="BodyText"/>
        <w:jc w:val="both"/>
        <w:rPr>
          <w:sz w:val="21"/>
          <w:szCs w:val="21"/>
        </w:rPr>
      </w:pPr>
      <w:r w:rsidRPr="002844B1">
        <w:rPr>
          <w:sz w:val="21"/>
          <w:szCs w:val="21"/>
        </w:rPr>
        <w:lastRenderedPageBreak/>
        <w:t xml:space="preserve">Les commentaires ont été faits de sorte à faciliter la navigation. </w:t>
      </w:r>
      <w:r w:rsidR="007633AB" w:rsidRPr="002844B1">
        <w:rPr>
          <w:sz w:val="21"/>
          <w:szCs w:val="21"/>
        </w:rPr>
        <w:t>Peu</w:t>
      </w:r>
      <w:r w:rsidRPr="002844B1">
        <w:rPr>
          <w:sz w:val="21"/>
          <w:szCs w:val="21"/>
        </w:rPr>
        <w:t xml:space="preserve"> importe le fichier, vous pouvez commencer par contracter votre code comme indiqué dans la </w:t>
      </w:r>
      <w:hyperlink w:anchor="fig-app_R">
        <w:r w:rsidRPr="002844B1">
          <w:rPr>
            <w:rStyle w:val="Hyperlink"/>
            <w:sz w:val="20"/>
            <w:szCs w:val="20"/>
          </w:rPr>
          <w:t>Figur</w:t>
        </w:r>
        <w:r w:rsidRPr="002844B1">
          <w:rPr>
            <w:rStyle w:val="Hyperlink"/>
            <w:sz w:val="20"/>
            <w:szCs w:val="20"/>
          </w:rPr>
          <w:t>e</w:t>
        </w:r>
        <w:r w:rsidRPr="002844B1">
          <w:rPr>
            <w:rStyle w:val="Hyperlink"/>
            <w:sz w:val="20"/>
            <w:szCs w:val="20"/>
          </w:rPr>
          <w:t> 11</w:t>
        </w:r>
      </w:hyperlink>
      <w:r w:rsidRPr="002844B1">
        <w:rPr>
          <w:sz w:val="21"/>
          <w:szCs w:val="21"/>
        </w:rPr>
        <w:t>. Cette dernière est celle du code contracté du fichier app.R. Comme vous pouvez le constater, les titres sont assez significatifs. Vous pouvez donc étendre la partie qui vous intéresse pour avoir accès au code. Cette astuce, simple qu’elle puisse paraître, est très utile pour naviguer dans le code source sachant que le nombre de lignes est pléthoriques.</w:t>
      </w:r>
    </w:p>
    <w:p w:rsidR="00E53985" w:rsidRPr="002844B1" w:rsidRDefault="00E53985" w:rsidP="00E53985">
      <w:pPr>
        <w:pStyle w:val="Caption"/>
        <w:keepNext/>
      </w:pPr>
      <w:r w:rsidRPr="002844B1">
        <w:t xml:space="preserve">Figure </w:t>
      </w:r>
      <w:r w:rsidRPr="002844B1">
        <w:fldChar w:fldCharType="begin"/>
      </w:r>
      <w:r w:rsidRPr="002844B1">
        <w:instrText xml:space="preserve"> SEQ Figure \* ARABIC </w:instrText>
      </w:r>
      <w:r w:rsidRPr="002844B1">
        <w:fldChar w:fldCharType="separate"/>
      </w:r>
      <w:r w:rsidR="008E2C01" w:rsidRPr="002844B1">
        <w:rPr>
          <w:noProof/>
        </w:rPr>
        <w:t>11</w:t>
      </w:r>
      <w:r w:rsidRPr="002844B1">
        <w:fldChar w:fldCharType="end"/>
      </w:r>
      <w:r w:rsidRPr="002844B1">
        <w:t>:  Fichier app.R</w:t>
      </w:r>
    </w:p>
    <w:tbl>
      <w:tblPr>
        <w:tblStyle w:val="Table"/>
        <w:tblW w:w="5000" w:type="pct"/>
        <w:tblLook w:val="0000" w:firstRow="0" w:lastRow="0" w:firstColumn="0" w:lastColumn="0" w:noHBand="0" w:noVBand="0"/>
      </w:tblPr>
      <w:tblGrid>
        <w:gridCol w:w="9360"/>
      </w:tblGrid>
      <w:tr w:rsidR="005B279D" w:rsidRPr="002844B1">
        <w:tc>
          <w:tcPr>
            <w:tcW w:w="0" w:type="auto"/>
          </w:tcPr>
          <w:p w:rsidR="005B279D" w:rsidRPr="002844B1" w:rsidRDefault="00000000" w:rsidP="00E53985">
            <w:pPr>
              <w:jc w:val="center"/>
            </w:pPr>
            <w:bookmarkStart w:id="139" w:name="fig-app_R"/>
            <w:r w:rsidRPr="002844B1">
              <w:rPr>
                <w:noProof/>
              </w:rPr>
              <w:drawing>
                <wp:inline distT="0" distB="0" distL="0" distR="0">
                  <wp:extent cx="5334000" cy="3981285"/>
                  <wp:effectExtent l="0" t="0" r="0" b="0"/>
                  <wp:docPr id="257" name="Picture"/>
                  <wp:cNvGraphicFramePr/>
                  <a:graphic xmlns:a="http://schemas.openxmlformats.org/drawingml/2006/main">
                    <a:graphicData uri="http://schemas.openxmlformats.org/drawingml/2006/picture">
                      <pic:pic xmlns:pic="http://schemas.openxmlformats.org/drawingml/2006/picture">
                        <pic:nvPicPr>
                          <pic:cNvPr id="258" name="Picture" descr="Rapport-PFE_files/figure-html/codes_app_R.png"/>
                          <pic:cNvPicPr>
                            <a:picLocks noChangeAspect="1" noChangeArrowheads="1"/>
                          </pic:cNvPicPr>
                        </pic:nvPicPr>
                        <pic:blipFill>
                          <a:blip r:embed="rId23"/>
                          <a:stretch>
                            <a:fillRect/>
                          </a:stretch>
                        </pic:blipFill>
                        <pic:spPr bwMode="auto">
                          <a:xfrm>
                            <a:off x="0" y="0"/>
                            <a:ext cx="5334000" cy="3981285"/>
                          </a:xfrm>
                          <a:prstGeom prst="rect">
                            <a:avLst/>
                          </a:prstGeom>
                          <a:noFill/>
                          <a:ln w="9525">
                            <a:noFill/>
                            <a:headEnd/>
                            <a:tailEnd/>
                          </a:ln>
                        </pic:spPr>
                      </pic:pic>
                    </a:graphicData>
                  </a:graphic>
                </wp:inline>
              </w:drawing>
            </w:r>
          </w:p>
        </w:tc>
        <w:bookmarkEnd w:id="139"/>
      </w:tr>
    </w:tbl>
    <w:p w:rsidR="005B279D" w:rsidRPr="002844B1" w:rsidRDefault="00000000">
      <w:pPr>
        <w:pStyle w:val="Heading3"/>
      </w:pPr>
      <w:bookmarkStart w:id="140" w:name="paramètres"/>
      <w:bookmarkStart w:id="141" w:name="_Toc137651040"/>
      <w:bookmarkEnd w:id="137"/>
      <w:r w:rsidRPr="002844B1">
        <w:t>Paramètres</w:t>
      </w:r>
      <w:bookmarkEnd w:id="141"/>
    </w:p>
    <w:p w:rsidR="005B279D" w:rsidRPr="002844B1" w:rsidRDefault="00000000" w:rsidP="00E53985">
      <w:pPr>
        <w:pStyle w:val="FirstParagraph"/>
        <w:jc w:val="both"/>
        <w:rPr>
          <w:sz w:val="21"/>
          <w:szCs w:val="21"/>
        </w:rPr>
      </w:pPr>
      <w:r w:rsidRPr="002844B1">
        <w:rPr>
          <w:sz w:val="21"/>
          <w:szCs w:val="21"/>
        </w:rPr>
        <w:t>Cet onglet est dédié à la spécification de certains paramètres de la normes SBR. Nous avons donné des valeurs par défaut puisque l’ACAPS n’a toujours pas quantifié de manière officielle ces paramètres. Dans cet onglet on trouve :</w:t>
      </w:r>
    </w:p>
    <w:p w:rsidR="005B279D" w:rsidRPr="002844B1" w:rsidRDefault="00000000" w:rsidP="00E53985">
      <w:pPr>
        <w:numPr>
          <w:ilvl w:val="0"/>
          <w:numId w:val="70"/>
        </w:numPr>
        <w:jc w:val="both"/>
        <w:rPr>
          <w:sz w:val="21"/>
          <w:szCs w:val="21"/>
        </w:rPr>
      </w:pPr>
      <w:r w:rsidRPr="002844B1">
        <w:rPr>
          <w:b/>
          <w:bCs/>
          <w:sz w:val="21"/>
          <w:szCs w:val="21"/>
        </w:rPr>
        <w:t>Choc de mortalité</w:t>
      </w:r>
      <w:r w:rsidRPr="002844B1">
        <w:rPr>
          <w:sz w:val="21"/>
          <w:szCs w:val="21"/>
        </w:rPr>
        <w:t xml:space="preserve"> : représente le taux de choc de mortalité que nous avons fixé à </w:t>
      </w:r>
      <m:oMath>
        <m:r>
          <w:rPr>
            <w:rFonts w:ascii="Cambria Math" w:hAnsi="Cambria Math"/>
            <w:sz w:val="21"/>
            <w:szCs w:val="21"/>
          </w:rPr>
          <m:t>30%</m:t>
        </m:r>
      </m:oMath>
      <w:r w:rsidRPr="002844B1">
        <w:rPr>
          <w:sz w:val="21"/>
          <w:szCs w:val="21"/>
        </w:rPr>
        <w:t xml:space="preserve"> selon les informations disponibles.</w:t>
      </w:r>
    </w:p>
    <w:p w:rsidR="005B279D" w:rsidRPr="002844B1" w:rsidRDefault="00000000" w:rsidP="00E53985">
      <w:pPr>
        <w:numPr>
          <w:ilvl w:val="0"/>
          <w:numId w:val="70"/>
        </w:numPr>
        <w:jc w:val="both"/>
        <w:rPr>
          <w:sz w:val="21"/>
          <w:szCs w:val="21"/>
        </w:rPr>
      </w:pPr>
      <w:r w:rsidRPr="002844B1">
        <w:rPr>
          <w:b/>
          <w:bCs/>
          <w:sz w:val="21"/>
          <w:szCs w:val="21"/>
        </w:rPr>
        <w:t>Choc de catastrophe</w:t>
      </w:r>
      <w:r w:rsidRPr="002844B1">
        <w:rPr>
          <w:sz w:val="21"/>
          <w:szCs w:val="21"/>
        </w:rPr>
        <w:t xml:space="preserve"> : taux de hausse de la mortalité due à une catastrophe naturelle. Ce taux est fixé par défaut à </w:t>
      </w:r>
      <m:oMath>
        <m:r>
          <w:rPr>
            <w:rFonts w:ascii="Cambria Math" w:hAnsi="Cambria Math"/>
            <w:sz w:val="21"/>
            <w:szCs w:val="21"/>
          </w:rPr>
          <m:t>0,2%</m:t>
        </m:r>
      </m:oMath>
      <w:r w:rsidRPr="002844B1">
        <w:rPr>
          <w:sz w:val="21"/>
          <w:szCs w:val="21"/>
        </w:rPr>
        <w:t xml:space="preserve"> puisque l’ACAPS ne l’a pas encore communiqué. </w:t>
      </w:r>
      <w:r w:rsidR="007633AB" w:rsidRPr="002844B1">
        <w:rPr>
          <w:sz w:val="21"/>
          <w:szCs w:val="21"/>
        </w:rPr>
        <w:t>Par catastrophe naturelle, on sous</w:t>
      </w:r>
      <w:r w:rsidR="007633AB">
        <w:rPr>
          <w:sz w:val="21"/>
          <w:szCs w:val="21"/>
        </w:rPr>
        <w:t>-</w:t>
      </w:r>
      <w:r w:rsidR="007633AB" w:rsidRPr="002844B1">
        <w:rPr>
          <w:sz w:val="21"/>
          <w:szCs w:val="21"/>
        </w:rPr>
        <w:t>entend une circonstance particulière telle qu’une épidémie, un tremblement de terre etc.,</w:t>
      </w:r>
    </w:p>
    <w:p w:rsidR="005B279D" w:rsidRPr="002844B1" w:rsidRDefault="00000000" w:rsidP="00E53985">
      <w:pPr>
        <w:numPr>
          <w:ilvl w:val="0"/>
          <w:numId w:val="70"/>
        </w:numPr>
        <w:jc w:val="both"/>
        <w:rPr>
          <w:sz w:val="21"/>
          <w:szCs w:val="21"/>
        </w:rPr>
      </w:pPr>
      <w:r w:rsidRPr="002844B1">
        <w:rPr>
          <w:b/>
          <w:bCs/>
          <w:sz w:val="21"/>
          <w:szCs w:val="21"/>
        </w:rPr>
        <w:t>Probabilité de défaut</w:t>
      </w:r>
      <w:r w:rsidRPr="002844B1">
        <w:rPr>
          <w:sz w:val="21"/>
          <w:szCs w:val="21"/>
        </w:rPr>
        <w:t xml:space="preserve"> : représente la probabilité de défaut des cessionnaires. Nous avons pris la valeur de </w:t>
      </w:r>
      <m:oMath>
        <m:r>
          <w:rPr>
            <w:rFonts w:ascii="Cambria Math" w:hAnsi="Cambria Math"/>
            <w:sz w:val="21"/>
            <w:szCs w:val="21"/>
          </w:rPr>
          <m:t>1,2%</m:t>
        </m:r>
      </m:oMath>
      <w:r w:rsidRPr="002844B1">
        <w:rPr>
          <w:sz w:val="21"/>
          <w:szCs w:val="21"/>
        </w:rPr>
        <w:t xml:space="preserve"> qui est la praba de défaut moyenne des réassureurs sur le marché,</w:t>
      </w:r>
    </w:p>
    <w:p w:rsidR="005B279D" w:rsidRPr="002844B1" w:rsidRDefault="00000000" w:rsidP="00E53985">
      <w:pPr>
        <w:numPr>
          <w:ilvl w:val="0"/>
          <w:numId w:val="70"/>
        </w:numPr>
        <w:jc w:val="both"/>
        <w:rPr>
          <w:sz w:val="21"/>
          <w:szCs w:val="21"/>
        </w:rPr>
      </w:pPr>
      <w:r w:rsidRPr="002844B1">
        <w:rPr>
          <w:b/>
          <w:bCs/>
          <w:sz w:val="21"/>
          <w:szCs w:val="21"/>
        </w:rPr>
        <w:lastRenderedPageBreak/>
        <w:t>Cession vie</w:t>
      </w:r>
      <w:r w:rsidRPr="002844B1">
        <w:rPr>
          <w:sz w:val="21"/>
          <w:szCs w:val="21"/>
        </w:rPr>
        <w:t xml:space="preserve"> : est le taux de cession des engagements dans le cadre de l’opération d’assurance vie. Ce paramètre dépend du traité de réassurance, autrement dit c’est une entrée définie par l’</w:t>
      </w:r>
      <w:r w:rsidR="007633AB" w:rsidRPr="002844B1">
        <w:rPr>
          <w:sz w:val="21"/>
          <w:szCs w:val="21"/>
        </w:rPr>
        <w:t>utilisateur</w:t>
      </w:r>
      <w:r w:rsidRPr="002844B1">
        <w:rPr>
          <w:sz w:val="21"/>
          <w:szCs w:val="21"/>
        </w:rPr>
        <w:t xml:space="preserve"> de l’application et non par l’ACAPS. pour les données dont nous disposons, ce taux est de </w:t>
      </w:r>
      <m:oMath>
        <m:r>
          <w:rPr>
            <w:rFonts w:ascii="Cambria Math" w:hAnsi="Cambria Math"/>
            <w:sz w:val="21"/>
            <w:szCs w:val="21"/>
          </w:rPr>
          <m:t>1%</m:t>
        </m:r>
      </m:oMath>
      <w:r w:rsidRPr="002844B1">
        <w:rPr>
          <w:sz w:val="21"/>
          <w:szCs w:val="21"/>
        </w:rPr>
        <w:t>,</w:t>
      </w:r>
    </w:p>
    <w:p w:rsidR="005B279D" w:rsidRPr="002844B1" w:rsidRDefault="00000000" w:rsidP="00E53985">
      <w:pPr>
        <w:numPr>
          <w:ilvl w:val="0"/>
          <w:numId w:val="70"/>
        </w:numPr>
        <w:jc w:val="both"/>
        <w:rPr>
          <w:sz w:val="21"/>
          <w:szCs w:val="21"/>
        </w:rPr>
      </w:pPr>
      <w:r w:rsidRPr="002844B1">
        <w:rPr>
          <w:b/>
          <w:bCs/>
          <w:sz w:val="21"/>
          <w:szCs w:val="21"/>
        </w:rPr>
        <w:t>Cession primes non-vie</w:t>
      </w:r>
      <w:r w:rsidRPr="002844B1">
        <w:rPr>
          <w:sz w:val="21"/>
          <w:szCs w:val="21"/>
        </w:rPr>
        <w:t xml:space="preserve"> : taux de cession des primes dans l’opération d’assurance non vie qui vaut </w:t>
      </w:r>
      <m:oMath>
        <m:r>
          <w:rPr>
            <w:rFonts w:ascii="Cambria Math" w:hAnsi="Cambria Math"/>
            <w:sz w:val="21"/>
            <w:szCs w:val="21"/>
          </w:rPr>
          <m:t>5%</m:t>
        </m:r>
      </m:oMath>
      <w:r w:rsidRPr="002844B1">
        <w:rPr>
          <w:sz w:val="21"/>
          <w:szCs w:val="21"/>
        </w:rPr>
        <w:t>,</w:t>
      </w:r>
    </w:p>
    <w:p w:rsidR="005B279D" w:rsidRPr="002844B1" w:rsidRDefault="00000000" w:rsidP="00E53985">
      <w:pPr>
        <w:numPr>
          <w:ilvl w:val="0"/>
          <w:numId w:val="70"/>
        </w:numPr>
        <w:jc w:val="both"/>
        <w:rPr>
          <w:sz w:val="21"/>
          <w:szCs w:val="21"/>
        </w:rPr>
      </w:pPr>
      <w:r w:rsidRPr="002844B1">
        <w:rPr>
          <w:b/>
          <w:bCs/>
          <w:sz w:val="21"/>
          <w:szCs w:val="21"/>
        </w:rPr>
        <w:t>Cession sinistres non-vie</w:t>
      </w:r>
      <w:r w:rsidRPr="002844B1">
        <w:rPr>
          <w:sz w:val="21"/>
          <w:szCs w:val="21"/>
        </w:rPr>
        <w:t xml:space="preserve"> : taux de cession des sinistres dans l’opération d’assurance non vie qui vaut </w:t>
      </w:r>
      <m:oMath>
        <m:r>
          <w:rPr>
            <w:rFonts w:ascii="Cambria Math" w:hAnsi="Cambria Math"/>
            <w:sz w:val="21"/>
            <w:szCs w:val="21"/>
          </w:rPr>
          <m:t>3%</m:t>
        </m:r>
      </m:oMath>
      <w:r w:rsidRPr="002844B1">
        <w:rPr>
          <w:sz w:val="21"/>
          <w:szCs w:val="21"/>
        </w:rPr>
        <w:t>,</w:t>
      </w:r>
    </w:p>
    <w:p w:rsidR="005B279D" w:rsidRPr="002844B1" w:rsidRDefault="00000000" w:rsidP="00E53985">
      <w:pPr>
        <w:numPr>
          <w:ilvl w:val="0"/>
          <w:numId w:val="70"/>
        </w:numPr>
        <w:jc w:val="both"/>
        <w:rPr>
          <w:sz w:val="21"/>
          <w:szCs w:val="21"/>
        </w:rPr>
      </w:pPr>
      <w:r w:rsidRPr="002844B1">
        <w:rPr>
          <w:b/>
          <w:bCs/>
          <w:sz w:val="21"/>
          <w:szCs w:val="21"/>
        </w:rPr>
        <w:t>Augmentation des FG</w:t>
      </w:r>
      <w:r w:rsidRPr="002844B1">
        <w:rPr>
          <w:sz w:val="21"/>
          <w:szCs w:val="21"/>
        </w:rPr>
        <w:t xml:space="preserve"> : taux d’augmentation des frais de gestions valant par défaut dans notre application </w:t>
      </w:r>
      <m:oMath>
        <m:r>
          <w:rPr>
            <w:rFonts w:ascii="Cambria Math" w:hAnsi="Cambria Math"/>
            <w:sz w:val="21"/>
            <w:szCs w:val="21"/>
          </w:rPr>
          <m:t>14%</m:t>
        </m:r>
      </m:oMath>
      <w:r w:rsidRPr="002844B1">
        <w:rPr>
          <w:sz w:val="21"/>
          <w:szCs w:val="21"/>
        </w:rPr>
        <w:t>;</w:t>
      </w:r>
    </w:p>
    <w:p w:rsidR="005B279D" w:rsidRPr="002844B1" w:rsidRDefault="00000000" w:rsidP="00E53985">
      <w:pPr>
        <w:numPr>
          <w:ilvl w:val="0"/>
          <w:numId w:val="70"/>
        </w:numPr>
        <w:jc w:val="both"/>
        <w:rPr>
          <w:sz w:val="21"/>
          <w:szCs w:val="21"/>
        </w:rPr>
      </w:pPr>
      <w:r w:rsidRPr="002844B1">
        <w:rPr>
          <w:b/>
          <w:bCs/>
          <w:sz w:val="21"/>
          <w:szCs w:val="21"/>
        </w:rPr>
        <w:t>Majoration des FG</w:t>
      </w:r>
      <w:r w:rsidRPr="002844B1">
        <w:rPr>
          <w:sz w:val="21"/>
          <w:szCs w:val="21"/>
        </w:rPr>
        <w:t xml:space="preserve"> : taux de majoration des frais de gestions qui correspond au taux d’augmentation annuelle pour les années de projection. Il vaut </w:t>
      </w:r>
      <m:oMath>
        <m:r>
          <w:rPr>
            <w:rFonts w:ascii="Cambria Math" w:hAnsi="Cambria Math"/>
            <w:sz w:val="21"/>
            <w:szCs w:val="21"/>
          </w:rPr>
          <m:t>1,5%</m:t>
        </m:r>
      </m:oMath>
      <w:r w:rsidRPr="002844B1">
        <w:rPr>
          <w:sz w:val="21"/>
          <w:szCs w:val="21"/>
        </w:rPr>
        <w:t>;</w:t>
      </w:r>
    </w:p>
    <w:p w:rsidR="00E53985" w:rsidRPr="002844B1" w:rsidRDefault="00E53985" w:rsidP="00E53985">
      <w:pPr>
        <w:pStyle w:val="Caption"/>
        <w:keepNext/>
      </w:pPr>
      <w:r w:rsidRPr="002844B1">
        <w:t xml:space="preserve">Figure </w:t>
      </w:r>
      <w:r w:rsidRPr="002844B1">
        <w:fldChar w:fldCharType="begin"/>
      </w:r>
      <w:r w:rsidRPr="002844B1">
        <w:instrText xml:space="preserve"> SEQ Figure \* ARABIC </w:instrText>
      </w:r>
      <w:r w:rsidRPr="002844B1">
        <w:fldChar w:fldCharType="separate"/>
      </w:r>
      <w:r w:rsidR="008E2C01" w:rsidRPr="002844B1">
        <w:rPr>
          <w:noProof/>
        </w:rPr>
        <w:t>12</w:t>
      </w:r>
      <w:r w:rsidRPr="002844B1">
        <w:fldChar w:fldCharType="end"/>
      </w:r>
      <w:r w:rsidRPr="002844B1">
        <w:t xml:space="preserve">: </w:t>
      </w:r>
      <w:r w:rsidR="007633AB" w:rsidRPr="002844B1">
        <w:t>Aperçu</w:t>
      </w:r>
      <w:r w:rsidRPr="002844B1">
        <w:t xml:space="preserve"> de l’onglet paramètre</w:t>
      </w:r>
    </w:p>
    <w:tbl>
      <w:tblPr>
        <w:tblStyle w:val="Table"/>
        <w:tblW w:w="5000" w:type="pct"/>
        <w:tblLook w:val="0000" w:firstRow="0" w:lastRow="0" w:firstColumn="0" w:lastColumn="0" w:noHBand="0" w:noVBand="0"/>
      </w:tblPr>
      <w:tblGrid>
        <w:gridCol w:w="9360"/>
      </w:tblGrid>
      <w:tr w:rsidR="005B279D" w:rsidRPr="002844B1">
        <w:tc>
          <w:tcPr>
            <w:tcW w:w="0" w:type="auto"/>
          </w:tcPr>
          <w:p w:rsidR="005B279D" w:rsidRPr="002844B1" w:rsidRDefault="00000000">
            <w:pPr>
              <w:jc w:val="center"/>
            </w:pPr>
            <w:bookmarkStart w:id="142" w:name="fig-parametres"/>
            <w:r w:rsidRPr="002844B1">
              <w:rPr>
                <w:noProof/>
              </w:rPr>
              <w:drawing>
                <wp:inline distT="0" distB="0" distL="0" distR="0">
                  <wp:extent cx="5334000" cy="2998910"/>
                  <wp:effectExtent l="0" t="0" r="0" b="0"/>
                  <wp:docPr id="262" name="Picture"/>
                  <wp:cNvGraphicFramePr/>
                  <a:graphic xmlns:a="http://schemas.openxmlformats.org/drawingml/2006/main">
                    <a:graphicData uri="http://schemas.openxmlformats.org/drawingml/2006/picture">
                      <pic:pic xmlns:pic="http://schemas.openxmlformats.org/drawingml/2006/picture">
                        <pic:nvPicPr>
                          <pic:cNvPr id="263" name="Picture" descr="Rapport-PFE_files/figure-html/parametres.png"/>
                          <pic:cNvPicPr>
                            <a:picLocks noChangeAspect="1" noChangeArrowheads="1"/>
                          </pic:cNvPicPr>
                        </pic:nvPicPr>
                        <pic:blipFill>
                          <a:blip r:embed="rId24"/>
                          <a:stretch>
                            <a:fillRect/>
                          </a:stretch>
                        </pic:blipFill>
                        <pic:spPr bwMode="auto">
                          <a:xfrm>
                            <a:off x="0" y="0"/>
                            <a:ext cx="5334000" cy="2998910"/>
                          </a:xfrm>
                          <a:prstGeom prst="rect">
                            <a:avLst/>
                          </a:prstGeom>
                          <a:noFill/>
                          <a:ln w="9525">
                            <a:noFill/>
                            <a:headEnd/>
                            <a:tailEnd/>
                          </a:ln>
                        </pic:spPr>
                      </pic:pic>
                    </a:graphicData>
                  </a:graphic>
                </wp:inline>
              </w:drawing>
            </w:r>
          </w:p>
          <w:p w:rsidR="005B279D" w:rsidRPr="002844B1" w:rsidRDefault="005B279D">
            <w:pPr>
              <w:pStyle w:val="ImageCaption"/>
              <w:spacing w:before="200"/>
            </w:pPr>
          </w:p>
        </w:tc>
        <w:bookmarkEnd w:id="142"/>
      </w:tr>
    </w:tbl>
    <w:p w:rsidR="005B279D" w:rsidRPr="002844B1" w:rsidRDefault="00000000">
      <w:pPr>
        <w:pStyle w:val="Heading3"/>
      </w:pPr>
      <w:bookmarkStart w:id="143" w:name="courbe-des-taux"/>
      <w:bookmarkStart w:id="144" w:name="_Toc137651041"/>
      <w:bookmarkEnd w:id="140"/>
      <w:r w:rsidRPr="002844B1">
        <w:t>Courbe des taux</w:t>
      </w:r>
      <w:bookmarkEnd w:id="144"/>
    </w:p>
    <w:p w:rsidR="005B279D" w:rsidRPr="002844B1" w:rsidRDefault="00000000" w:rsidP="00E53985">
      <w:pPr>
        <w:pStyle w:val="FirstParagraph"/>
        <w:jc w:val="both"/>
      </w:pPr>
      <w:r w:rsidRPr="002844B1">
        <w:rPr>
          <w:sz w:val="21"/>
          <w:szCs w:val="21"/>
        </w:rPr>
        <w:t xml:space="preserve">La construction de la courbe des taux zéro coupon est une étape cruciale du calcul de CSR. Nous avons inclus ce processus décrit à la </w:t>
      </w:r>
      <w:hyperlink w:anchor="sec-courbe_zc">
        <w:r w:rsidRPr="002844B1">
          <w:rPr>
            <w:rStyle w:val="Hyperlink"/>
            <w:sz w:val="20"/>
            <w:szCs w:val="20"/>
          </w:rPr>
          <w:t>Section 2.1</w:t>
        </w:r>
      </w:hyperlink>
      <w:r w:rsidRPr="002844B1">
        <w:rPr>
          <w:sz w:val="21"/>
          <w:szCs w:val="21"/>
        </w:rPr>
        <w:t>. L’application donne la main à l’utilisateur de saisir une date de valeur, le 30 décembre 2022 pour notre étude. Cette date n’est rien d’autre que la date d’inventaire</w:t>
      </w:r>
      <w:r w:rsidRPr="002844B1">
        <w:t>.</w:t>
      </w:r>
    </w:p>
    <w:p w:rsidR="00E53985" w:rsidRPr="002844B1" w:rsidRDefault="00E53985" w:rsidP="00E53985">
      <w:pPr>
        <w:pStyle w:val="Caption"/>
        <w:keepNext/>
      </w:pPr>
      <w:r w:rsidRPr="002844B1">
        <w:lastRenderedPageBreak/>
        <w:t xml:space="preserve">Figure </w:t>
      </w:r>
      <w:r w:rsidRPr="002844B1">
        <w:fldChar w:fldCharType="begin"/>
      </w:r>
      <w:r w:rsidRPr="002844B1">
        <w:instrText xml:space="preserve"> SEQ Figure \* ARABIC </w:instrText>
      </w:r>
      <w:r w:rsidRPr="002844B1">
        <w:fldChar w:fldCharType="separate"/>
      </w:r>
      <w:r w:rsidR="008E2C01" w:rsidRPr="002844B1">
        <w:rPr>
          <w:noProof/>
        </w:rPr>
        <w:t>13</w:t>
      </w:r>
      <w:r w:rsidRPr="002844B1">
        <w:fldChar w:fldCharType="end"/>
      </w:r>
      <w:r w:rsidRPr="002844B1">
        <w:t xml:space="preserve">: </w:t>
      </w:r>
      <w:r w:rsidR="007633AB" w:rsidRPr="002844B1">
        <w:t>Sélection</w:t>
      </w:r>
      <w:r w:rsidRPr="002844B1">
        <w:t xml:space="preserve"> de la date de valeur</w:t>
      </w:r>
    </w:p>
    <w:tbl>
      <w:tblPr>
        <w:tblStyle w:val="Table"/>
        <w:tblW w:w="5000" w:type="pct"/>
        <w:tblLook w:val="0000" w:firstRow="0" w:lastRow="0" w:firstColumn="0" w:lastColumn="0" w:noHBand="0" w:noVBand="0"/>
      </w:tblPr>
      <w:tblGrid>
        <w:gridCol w:w="9360"/>
      </w:tblGrid>
      <w:tr w:rsidR="005B279D" w:rsidRPr="002844B1">
        <w:tc>
          <w:tcPr>
            <w:tcW w:w="0" w:type="auto"/>
          </w:tcPr>
          <w:p w:rsidR="005B279D" w:rsidRPr="002844B1" w:rsidRDefault="00000000">
            <w:pPr>
              <w:jc w:val="center"/>
            </w:pPr>
            <w:bookmarkStart w:id="145" w:name="fig-Date_zc"/>
            <w:r w:rsidRPr="002844B1">
              <w:rPr>
                <w:noProof/>
              </w:rPr>
              <w:drawing>
                <wp:inline distT="0" distB="0" distL="0" distR="0">
                  <wp:extent cx="5334000" cy="2998910"/>
                  <wp:effectExtent l="0" t="0" r="0" b="0"/>
                  <wp:docPr id="267" name="Picture"/>
                  <wp:cNvGraphicFramePr/>
                  <a:graphic xmlns:a="http://schemas.openxmlformats.org/drawingml/2006/main">
                    <a:graphicData uri="http://schemas.openxmlformats.org/drawingml/2006/picture">
                      <pic:pic xmlns:pic="http://schemas.openxmlformats.org/drawingml/2006/picture">
                        <pic:nvPicPr>
                          <pic:cNvPr id="268" name="Picture" descr="Rapport-PFE_files/figure-html/Date_zc.png"/>
                          <pic:cNvPicPr>
                            <a:picLocks noChangeAspect="1" noChangeArrowheads="1"/>
                          </pic:cNvPicPr>
                        </pic:nvPicPr>
                        <pic:blipFill>
                          <a:blip r:embed="rId25"/>
                          <a:stretch>
                            <a:fillRect/>
                          </a:stretch>
                        </pic:blipFill>
                        <pic:spPr bwMode="auto">
                          <a:xfrm>
                            <a:off x="0" y="0"/>
                            <a:ext cx="5334000" cy="2998910"/>
                          </a:xfrm>
                          <a:prstGeom prst="rect">
                            <a:avLst/>
                          </a:prstGeom>
                          <a:noFill/>
                          <a:ln w="9525">
                            <a:noFill/>
                            <a:headEnd/>
                            <a:tailEnd/>
                          </a:ln>
                        </pic:spPr>
                      </pic:pic>
                    </a:graphicData>
                  </a:graphic>
                </wp:inline>
              </w:drawing>
            </w:r>
          </w:p>
          <w:p w:rsidR="005B279D" w:rsidRPr="002844B1" w:rsidRDefault="005B279D">
            <w:pPr>
              <w:pStyle w:val="ImageCaption"/>
              <w:spacing w:before="200"/>
            </w:pPr>
          </w:p>
        </w:tc>
        <w:bookmarkEnd w:id="145"/>
      </w:tr>
    </w:tbl>
    <w:p w:rsidR="005B279D" w:rsidRPr="002844B1" w:rsidRDefault="007633AB" w:rsidP="00E53985">
      <w:pPr>
        <w:pStyle w:val="BodyText"/>
        <w:jc w:val="both"/>
        <w:rPr>
          <w:sz w:val="21"/>
          <w:szCs w:val="21"/>
        </w:rPr>
      </w:pPr>
      <w:r w:rsidRPr="002844B1">
        <w:rPr>
          <w:sz w:val="21"/>
          <w:szCs w:val="21"/>
        </w:rPr>
        <w:t>Ensuite</w:t>
      </w:r>
      <w:r w:rsidR="00000000" w:rsidRPr="002844B1">
        <w:rPr>
          <w:sz w:val="21"/>
          <w:szCs w:val="21"/>
        </w:rPr>
        <w:t>, l’application se charge de télécharger automatiquement la table des taux des bons de références disponibles sur le site de la Banque Centrale BAM. Cette table est alors utilisée pour faire une interpolation afin de trouver les taux correspondant aux maturités pleines. On utilise ces derniers pour calculer d’abord les taux actuariels et par ricochet les taux zéro coupon. Dans cet onglet, on peut trouver les différentes étapes suivies pour la construction de la courbe des taux zéro coupon, du téléchargement des données au boostraping. De plus, toutes les tables sont exportables sous format pdf, excel, ou csv.</w:t>
      </w:r>
    </w:p>
    <w:p w:rsidR="00E53985" w:rsidRPr="002844B1" w:rsidRDefault="00E53985" w:rsidP="00E53985">
      <w:pPr>
        <w:pStyle w:val="Caption"/>
        <w:keepNext/>
      </w:pPr>
      <w:r w:rsidRPr="002844B1">
        <w:lastRenderedPageBreak/>
        <w:t xml:space="preserve">Figure </w:t>
      </w:r>
      <w:r w:rsidRPr="002844B1">
        <w:fldChar w:fldCharType="begin"/>
      </w:r>
      <w:r w:rsidRPr="002844B1">
        <w:instrText xml:space="preserve"> SEQ Figure \* ARABIC </w:instrText>
      </w:r>
      <w:r w:rsidRPr="002844B1">
        <w:fldChar w:fldCharType="separate"/>
      </w:r>
      <w:r w:rsidR="008E2C01" w:rsidRPr="002844B1">
        <w:rPr>
          <w:noProof/>
        </w:rPr>
        <w:t>14</w:t>
      </w:r>
      <w:r w:rsidRPr="002844B1">
        <w:fldChar w:fldCharType="end"/>
      </w:r>
      <w:r w:rsidRPr="002844B1">
        <w:t xml:space="preserve">: </w:t>
      </w:r>
      <w:r w:rsidR="007633AB" w:rsidRPr="002844B1">
        <w:t>Aperçu</w:t>
      </w:r>
      <w:r w:rsidRPr="002844B1">
        <w:t xml:space="preserve"> de la courbe des taux zéro-coupon dans l’application</w:t>
      </w:r>
    </w:p>
    <w:tbl>
      <w:tblPr>
        <w:tblStyle w:val="Table"/>
        <w:tblW w:w="5000" w:type="pct"/>
        <w:tblLook w:val="0000" w:firstRow="0" w:lastRow="0" w:firstColumn="0" w:lastColumn="0" w:noHBand="0" w:noVBand="0"/>
      </w:tblPr>
      <w:tblGrid>
        <w:gridCol w:w="9360"/>
      </w:tblGrid>
      <w:tr w:rsidR="005B279D" w:rsidRPr="002844B1">
        <w:tc>
          <w:tcPr>
            <w:tcW w:w="0" w:type="auto"/>
          </w:tcPr>
          <w:p w:rsidR="005B279D" w:rsidRPr="002844B1" w:rsidRDefault="00000000" w:rsidP="00E53985">
            <w:pPr>
              <w:jc w:val="center"/>
            </w:pPr>
            <w:bookmarkStart w:id="146" w:name="fig-tzc_app"/>
            <w:r w:rsidRPr="002844B1">
              <w:rPr>
                <w:noProof/>
              </w:rPr>
              <w:drawing>
                <wp:inline distT="0" distB="0" distL="0" distR="0">
                  <wp:extent cx="5334000" cy="2998910"/>
                  <wp:effectExtent l="0" t="0" r="0" b="0"/>
                  <wp:docPr id="271" name="Picture"/>
                  <wp:cNvGraphicFramePr/>
                  <a:graphic xmlns:a="http://schemas.openxmlformats.org/drawingml/2006/main">
                    <a:graphicData uri="http://schemas.openxmlformats.org/drawingml/2006/picture">
                      <pic:pic xmlns:pic="http://schemas.openxmlformats.org/drawingml/2006/picture">
                        <pic:nvPicPr>
                          <pic:cNvPr id="272" name="Picture" descr="Rapport-PFE_files/figure-html/TauxZC2.png"/>
                          <pic:cNvPicPr>
                            <a:picLocks noChangeAspect="1" noChangeArrowheads="1"/>
                          </pic:cNvPicPr>
                        </pic:nvPicPr>
                        <pic:blipFill>
                          <a:blip r:embed="rId26"/>
                          <a:stretch>
                            <a:fillRect/>
                          </a:stretch>
                        </pic:blipFill>
                        <pic:spPr bwMode="auto">
                          <a:xfrm>
                            <a:off x="0" y="0"/>
                            <a:ext cx="5334000" cy="2998910"/>
                          </a:xfrm>
                          <a:prstGeom prst="rect">
                            <a:avLst/>
                          </a:prstGeom>
                          <a:noFill/>
                          <a:ln w="9525">
                            <a:noFill/>
                            <a:headEnd/>
                            <a:tailEnd/>
                          </a:ln>
                        </pic:spPr>
                      </pic:pic>
                    </a:graphicData>
                  </a:graphic>
                </wp:inline>
              </w:drawing>
            </w:r>
          </w:p>
        </w:tc>
        <w:bookmarkEnd w:id="146"/>
      </w:tr>
    </w:tbl>
    <w:p w:rsidR="005B279D" w:rsidRPr="002844B1" w:rsidRDefault="00000000">
      <w:pPr>
        <w:pStyle w:val="BodyText"/>
      </w:pPr>
      <w:r w:rsidRPr="002844B1">
        <w:t xml:space="preserve"> </w:t>
      </w:r>
    </w:p>
    <w:p w:rsidR="00E53985" w:rsidRPr="002844B1" w:rsidRDefault="00E53985" w:rsidP="00E53985">
      <w:pPr>
        <w:pStyle w:val="Caption"/>
        <w:keepNext/>
      </w:pPr>
      <w:r w:rsidRPr="002844B1">
        <w:t xml:space="preserve">Figure </w:t>
      </w:r>
      <w:r w:rsidRPr="002844B1">
        <w:fldChar w:fldCharType="begin"/>
      </w:r>
      <w:r w:rsidRPr="002844B1">
        <w:instrText xml:space="preserve"> SEQ Figure \* ARABIC </w:instrText>
      </w:r>
      <w:r w:rsidRPr="002844B1">
        <w:fldChar w:fldCharType="separate"/>
      </w:r>
      <w:r w:rsidR="008E2C01" w:rsidRPr="002844B1">
        <w:rPr>
          <w:noProof/>
        </w:rPr>
        <w:t>15</w:t>
      </w:r>
      <w:r w:rsidRPr="002844B1">
        <w:fldChar w:fldCharType="end"/>
      </w:r>
      <w:r w:rsidRPr="002844B1">
        <w:t>: Zoom sur la courbe de taux zéro coupon (En bleue)</w:t>
      </w:r>
    </w:p>
    <w:tbl>
      <w:tblPr>
        <w:tblStyle w:val="Table"/>
        <w:tblW w:w="5000" w:type="pct"/>
        <w:tblLook w:val="0000" w:firstRow="0" w:lastRow="0" w:firstColumn="0" w:lastColumn="0" w:noHBand="0" w:noVBand="0"/>
      </w:tblPr>
      <w:tblGrid>
        <w:gridCol w:w="9360"/>
      </w:tblGrid>
      <w:tr w:rsidR="005B279D" w:rsidRPr="002844B1">
        <w:tc>
          <w:tcPr>
            <w:tcW w:w="0" w:type="auto"/>
          </w:tcPr>
          <w:p w:rsidR="005B279D" w:rsidRPr="002844B1" w:rsidRDefault="00000000">
            <w:pPr>
              <w:jc w:val="center"/>
            </w:pPr>
            <w:bookmarkStart w:id="147" w:name="fig-tzc"/>
            <w:r w:rsidRPr="002844B1">
              <w:rPr>
                <w:noProof/>
              </w:rPr>
              <w:drawing>
                <wp:inline distT="0" distB="0" distL="0" distR="0">
                  <wp:extent cx="5846820" cy="3537459"/>
                  <wp:effectExtent l="0" t="0" r="0" b="6350"/>
                  <wp:docPr id="275" name="Picture"/>
                  <wp:cNvGraphicFramePr/>
                  <a:graphic xmlns:a="http://schemas.openxmlformats.org/drawingml/2006/main">
                    <a:graphicData uri="http://schemas.openxmlformats.org/drawingml/2006/picture">
                      <pic:pic xmlns:pic="http://schemas.openxmlformats.org/drawingml/2006/picture">
                        <pic:nvPicPr>
                          <pic:cNvPr id="276" name="Picture" descr="Rapport-PFE_files/figure-html/tauxZC.png"/>
                          <pic:cNvPicPr>
                            <a:picLocks noChangeAspect="1" noChangeArrowheads="1"/>
                          </pic:cNvPicPr>
                        </pic:nvPicPr>
                        <pic:blipFill>
                          <a:blip r:embed="rId27"/>
                          <a:stretch>
                            <a:fillRect/>
                          </a:stretch>
                        </pic:blipFill>
                        <pic:spPr bwMode="auto">
                          <a:xfrm>
                            <a:off x="0" y="0"/>
                            <a:ext cx="5934198" cy="3590325"/>
                          </a:xfrm>
                          <a:prstGeom prst="rect">
                            <a:avLst/>
                          </a:prstGeom>
                          <a:noFill/>
                          <a:ln w="9525">
                            <a:noFill/>
                            <a:headEnd/>
                            <a:tailEnd/>
                          </a:ln>
                        </pic:spPr>
                      </pic:pic>
                    </a:graphicData>
                  </a:graphic>
                </wp:inline>
              </w:drawing>
            </w:r>
          </w:p>
          <w:p w:rsidR="005B279D" w:rsidRPr="002844B1" w:rsidRDefault="005B279D">
            <w:pPr>
              <w:pStyle w:val="ImageCaption"/>
              <w:spacing w:before="200"/>
            </w:pPr>
          </w:p>
        </w:tc>
        <w:bookmarkEnd w:id="147"/>
      </w:tr>
    </w:tbl>
    <w:p w:rsidR="005B279D" w:rsidRPr="002844B1" w:rsidRDefault="00000000" w:rsidP="00E53985">
      <w:pPr>
        <w:pStyle w:val="BodyText"/>
        <w:jc w:val="both"/>
        <w:rPr>
          <w:sz w:val="21"/>
          <w:szCs w:val="21"/>
        </w:rPr>
      </w:pPr>
      <w:r w:rsidRPr="002844B1">
        <w:rPr>
          <w:sz w:val="21"/>
          <w:szCs w:val="21"/>
        </w:rPr>
        <w:lastRenderedPageBreak/>
        <w:t>Une fois la courbe construite, nous allons l’utiliser dans la suite de notre application pour le calcul des tous les flux futurs actualisés dont nous aurons besoin.</w:t>
      </w:r>
    </w:p>
    <w:p w:rsidR="005B279D" w:rsidRPr="002844B1" w:rsidRDefault="00000000">
      <w:pPr>
        <w:pStyle w:val="Heading3"/>
      </w:pPr>
      <w:bookmarkStart w:id="148" w:name="opérations-dassurance-non-vie-hors-rente"/>
      <w:bookmarkStart w:id="149" w:name="_Toc137651042"/>
      <w:bookmarkEnd w:id="143"/>
      <w:r w:rsidRPr="002844B1">
        <w:t>Opérations d’assurance non-vie hors rente</w:t>
      </w:r>
      <w:bookmarkEnd w:id="149"/>
    </w:p>
    <w:p w:rsidR="005B279D" w:rsidRPr="002844B1" w:rsidRDefault="00000000" w:rsidP="00E53985">
      <w:pPr>
        <w:pStyle w:val="FirstParagraph"/>
        <w:jc w:val="both"/>
        <w:rPr>
          <w:sz w:val="21"/>
          <w:szCs w:val="21"/>
        </w:rPr>
      </w:pPr>
      <w:r w:rsidRPr="002844B1">
        <w:rPr>
          <w:sz w:val="21"/>
          <w:szCs w:val="21"/>
        </w:rPr>
        <w:t xml:space="preserve">Pour cette opération, l’entreprise d’accueil a mis à notre disposition une base de données sur l’assurance Accident de Travail (AT). Il s’agit d’un triangle de règlements cumulés d’une assurance AT (voir la </w:t>
      </w:r>
      <w:hyperlink w:anchor="sec-ladder">
        <w:r w:rsidRPr="002844B1">
          <w:rPr>
            <w:rStyle w:val="Hyperlink"/>
            <w:sz w:val="20"/>
            <w:szCs w:val="20"/>
          </w:rPr>
          <w:t>Section 4.4.1.4</w:t>
        </w:r>
      </w:hyperlink>
      <w:r w:rsidRPr="002844B1">
        <w:rPr>
          <w:sz w:val="21"/>
          <w:szCs w:val="21"/>
        </w:rPr>
        <w:t>).</w:t>
      </w:r>
    </w:p>
    <w:p w:rsidR="005B279D" w:rsidRPr="002844B1" w:rsidRDefault="005B279D">
      <w:pPr>
        <w:pStyle w:val="TableCaption"/>
      </w:pPr>
      <w:bookmarkStart w:id="150" w:name="tbl-triangleAT"/>
    </w:p>
    <w:p w:rsidR="00D70A47" w:rsidRPr="002844B1" w:rsidRDefault="00D70A47" w:rsidP="00D70A47">
      <w:pPr>
        <w:pStyle w:val="Caption"/>
        <w:keepNext/>
      </w:pPr>
      <w:r w:rsidRPr="002844B1">
        <w:t xml:space="preserve">Table </w:t>
      </w:r>
      <w:r w:rsidRPr="002844B1">
        <w:fldChar w:fldCharType="begin"/>
      </w:r>
      <w:r w:rsidRPr="002844B1">
        <w:instrText xml:space="preserve"> SEQ Table \* ARABIC </w:instrText>
      </w:r>
      <w:r w:rsidRPr="002844B1">
        <w:fldChar w:fldCharType="separate"/>
      </w:r>
      <w:r w:rsidR="008E2C01" w:rsidRPr="002844B1">
        <w:rPr>
          <w:noProof/>
        </w:rPr>
        <w:t>6</w:t>
      </w:r>
      <w:r w:rsidRPr="002844B1">
        <w:fldChar w:fldCharType="end"/>
      </w:r>
      <w:r w:rsidRPr="002844B1">
        <w:t xml:space="preserve">: Triangle de </w:t>
      </w:r>
      <w:r w:rsidR="007633AB" w:rsidRPr="002844B1">
        <w:t>règlements</w:t>
      </w:r>
      <w:r w:rsidRPr="002844B1">
        <w:t xml:space="preserve"> cumulés d’une assurance AT</w:t>
      </w:r>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2844B1" w:rsidTr="00D70A47">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rsidR="00D70A47" w:rsidRPr="002844B1" w:rsidRDefault="00D70A47">
            <w:pPr>
              <w:rPr>
                <w:rFonts w:ascii="Calibri" w:hAnsi="Calibri" w:cs="Calibri"/>
                <w:i w:val="0"/>
                <w:iCs w:val="0"/>
                <w:color w:val="000000"/>
                <w:sz w:val="11"/>
                <w:szCs w:val="11"/>
              </w:rPr>
            </w:pPr>
            <w:r w:rsidRPr="002844B1">
              <w:rPr>
                <w:rFonts w:ascii="Calibri" w:hAnsi="Calibri" w:cs="Calibri"/>
                <w:color w:val="000000"/>
                <w:sz w:val="11"/>
                <w:szCs w:val="11"/>
              </w:rPr>
              <w:t> </w:t>
            </w:r>
          </w:p>
        </w:tc>
        <w:tc>
          <w:tcPr>
            <w:tcW w:w="417" w:type="pct"/>
            <w:tcBorders>
              <w:top w:val="single" w:sz="4" w:space="0" w:color="auto"/>
              <w:left w:val="nil"/>
              <w:bottom w:val="single" w:sz="4" w:space="0" w:color="auto"/>
              <w:right w:val="single" w:sz="4" w:space="0" w:color="auto"/>
            </w:tcBorders>
            <w:shd w:val="clear" w:color="000000" w:fill="FFFF00"/>
            <w:noWrap/>
            <w:hideMark/>
          </w:tcPr>
          <w:p w:rsidR="00D70A47" w:rsidRPr="002844B1" w:rsidRDefault="00D70A47">
            <w:pPr>
              <w:jc w:val="right"/>
              <w:rPr>
                <w:rFonts w:ascii="Calibri" w:hAnsi="Calibri" w:cs="Calibri"/>
                <w:color w:val="000000"/>
                <w:sz w:val="11"/>
                <w:szCs w:val="11"/>
              </w:rPr>
            </w:pPr>
            <w:r w:rsidRPr="002844B1">
              <w:rPr>
                <w:rFonts w:ascii="Calibri" w:hAnsi="Calibri" w:cs="Calibri"/>
                <w:color w:val="000000"/>
                <w:sz w:val="11"/>
                <w:szCs w:val="11"/>
              </w:rPr>
              <w:t>0</w:t>
            </w:r>
          </w:p>
        </w:tc>
        <w:tc>
          <w:tcPr>
            <w:tcW w:w="417" w:type="pct"/>
            <w:tcBorders>
              <w:top w:val="single" w:sz="4" w:space="0" w:color="auto"/>
              <w:left w:val="nil"/>
              <w:bottom w:val="single" w:sz="4" w:space="0" w:color="auto"/>
              <w:right w:val="single" w:sz="4" w:space="0" w:color="auto"/>
            </w:tcBorders>
            <w:shd w:val="clear" w:color="000000" w:fill="FFFF00"/>
            <w:noWrap/>
            <w:hideMark/>
          </w:tcPr>
          <w:p w:rsidR="00D70A47" w:rsidRPr="002844B1" w:rsidRDefault="00D70A47">
            <w:pPr>
              <w:jc w:val="right"/>
              <w:rPr>
                <w:rFonts w:ascii="Calibri" w:hAnsi="Calibri" w:cs="Calibri"/>
                <w:color w:val="000000"/>
                <w:sz w:val="11"/>
                <w:szCs w:val="11"/>
              </w:rPr>
            </w:pPr>
            <w:r w:rsidRPr="002844B1">
              <w:rPr>
                <w:rFonts w:ascii="Calibri" w:hAnsi="Calibri" w:cs="Calibri"/>
                <w:color w:val="000000"/>
                <w:sz w:val="11"/>
                <w:szCs w:val="11"/>
              </w:rPr>
              <w:t>1</w:t>
            </w:r>
          </w:p>
        </w:tc>
        <w:tc>
          <w:tcPr>
            <w:tcW w:w="417" w:type="pct"/>
            <w:tcBorders>
              <w:top w:val="single" w:sz="4" w:space="0" w:color="auto"/>
              <w:left w:val="nil"/>
              <w:bottom w:val="single" w:sz="4" w:space="0" w:color="auto"/>
              <w:right w:val="single" w:sz="4" w:space="0" w:color="auto"/>
            </w:tcBorders>
            <w:shd w:val="clear" w:color="000000" w:fill="FFFF00"/>
            <w:noWrap/>
            <w:hideMark/>
          </w:tcPr>
          <w:p w:rsidR="00D70A47" w:rsidRPr="002844B1" w:rsidRDefault="00D70A47">
            <w:pPr>
              <w:jc w:val="right"/>
              <w:rPr>
                <w:rFonts w:ascii="Calibri" w:hAnsi="Calibri" w:cs="Calibri"/>
                <w:color w:val="000000"/>
                <w:sz w:val="11"/>
                <w:szCs w:val="11"/>
              </w:rPr>
            </w:pPr>
            <w:r w:rsidRPr="002844B1">
              <w:rPr>
                <w:rFonts w:ascii="Calibri" w:hAnsi="Calibri" w:cs="Calibri"/>
                <w:color w:val="000000"/>
                <w:sz w:val="11"/>
                <w:szCs w:val="11"/>
              </w:rPr>
              <w:t>2</w:t>
            </w:r>
          </w:p>
        </w:tc>
        <w:tc>
          <w:tcPr>
            <w:tcW w:w="417" w:type="pct"/>
            <w:tcBorders>
              <w:top w:val="single" w:sz="4" w:space="0" w:color="auto"/>
              <w:left w:val="nil"/>
              <w:bottom w:val="single" w:sz="4" w:space="0" w:color="auto"/>
              <w:right w:val="single" w:sz="4" w:space="0" w:color="auto"/>
            </w:tcBorders>
            <w:shd w:val="clear" w:color="000000" w:fill="FFFF00"/>
            <w:noWrap/>
            <w:hideMark/>
          </w:tcPr>
          <w:p w:rsidR="00D70A47" w:rsidRPr="002844B1" w:rsidRDefault="00D70A47">
            <w:pPr>
              <w:jc w:val="right"/>
              <w:rPr>
                <w:rFonts w:ascii="Calibri" w:hAnsi="Calibri" w:cs="Calibri"/>
                <w:color w:val="000000"/>
                <w:sz w:val="11"/>
                <w:szCs w:val="11"/>
              </w:rPr>
            </w:pPr>
            <w:r w:rsidRPr="002844B1">
              <w:rPr>
                <w:rFonts w:ascii="Calibri" w:hAnsi="Calibri" w:cs="Calibri"/>
                <w:color w:val="000000"/>
                <w:sz w:val="11"/>
                <w:szCs w:val="11"/>
              </w:rPr>
              <w:t>3</w:t>
            </w:r>
          </w:p>
        </w:tc>
        <w:tc>
          <w:tcPr>
            <w:tcW w:w="417" w:type="pct"/>
            <w:tcBorders>
              <w:top w:val="single" w:sz="4" w:space="0" w:color="auto"/>
              <w:left w:val="nil"/>
              <w:bottom w:val="single" w:sz="4" w:space="0" w:color="auto"/>
              <w:right w:val="single" w:sz="4" w:space="0" w:color="auto"/>
            </w:tcBorders>
            <w:shd w:val="clear" w:color="000000" w:fill="FFFF00"/>
            <w:noWrap/>
            <w:hideMark/>
          </w:tcPr>
          <w:p w:rsidR="00D70A47" w:rsidRPr="002844B1" w:rsidRDefault="00D70A47">
            <w:pPr>
              <w:jc w:val="right"/>
              <w:rPr>
                <w:rFonts w:ascii="Calibri" w:hAnsi="Calibri" w:cs="Calibri"/>
                <w:color w:val="000000"/>
                <w:sz w:val="11"/>
                <w:szCs w:val="11"/>
              </w:rPr>
            </w:pPr>
            <w:r w:rsidRPr="002844B1">
              <w:rPr>
                <w:rFonts w:ascii="Calibri" w:hAnsi="Calibri" w:cs="Calibri"/>
                <w:color w:val="000000"/>
                <w:sz w:val="11"/>
                <w:szCs w:val="11"/>
              </w:rPr>
              <w:t>4</w:t>
            </w:r>
          </w:p>
        </w:tc>
        <w:tc>
          <w:tcPr>
            <w:tcW w:w="417" w:type="pct"/>
            <w:tcBorders>
              <w:top w:val="single" w:sz="4" w:space="0" w:color="auto"/>
              <w:left w:val="nil"/>
              <w:bottom w:val="single" w:sz="4" w:space="0" w:color="auto"/>
              <w:right w:val="single" w:sz="4" w:space="0" w:color="auto"/>
            </w:tcBorders>
            <w:shd w:val="clear" w:color="000000" w:fill="FFFF00"/>
            <w:noWrap/>
            <w:hideMark/>
          </w:tcPr>
          <w:p w:rsidR="00D70A47" w:rsidRPr="002844B1" w:rsidRDefault="00D70A47">
            <w:pPr>
              <w:jc w:val="right"/>
              <w:rPr>
                <w:rFonts w:ascii="Calibri" w:hAnsi="Calibri" w:cs="Calibri"/>
                <w:color w:val="000000"/>
                <w:sz w:val="11"/>
                <w:szCs w:val="11"/>
              </w:rPr>
            </w:pPr>
            <w:r w:rsidRPr="002844B1">
              <w:rPr>
                <w:rFonts w:ascii="Calibri" w:hAnsi="Calibri" w:cs="Calibri"/>
                <w:color w:val="000000"/>
                <w:sz w:val="11"/>
                <w:szCs w:val="11"/>
              </w:rPr>
              <w:t>5</w:t>
            </w:r>
          </w:p>
        </w:tc>
        <w:tc>
          <w:tcPr>
            <w:tcW w:w="417" w:type="pct"/>
            <w:tcBorders>
              <w:top w:val="single" w:sz="4" w:space="0" w:color="auto"/>
              <w:left w:val="nil"/>
              <w:bottom w:val="single" w:sz="4" w:space="0" w:color="auto"/>
              <w:right w:val="single" w:sz="4" w:space="0" w:color="auto"/>
            </w:tcBorders>
            <w:shd w:val="clear" w:color="000000" w:fill="FFFF00"/>
            <w:noWrap/>
            <w:hideMark/>
          </w:tcPr>
          <w:p w:rsidR="00D70A47" w:rsidRPr="002844B1" w:rsidRDefault="00D70A47">
            <w:pPr>
              <w:jc w:val="right"/>
              <w:rPr>
                <w:rFonts w:ascii="Calibri" w:hAnsi="Calibri" w:cs="Calibri"/>
                <w:color w:val="000000"/>
                <w:sz w:val="11"/>
                <w:szCs w:val="11"/>
              </w:rPr>
            </w:pPr>
            <w:r w:rsidRPr="002844B1">
              <w:rPr>
                <w:rFonts w:ascii="Calibri" w:hAnsi="Calibri" w:cs="Calibri"/>
                <w:color w:val="000000"/>
                <w:sz w:val="11"/>
                <w:szCs w:val="11"/>
              </w:rPr>
              <w:t>6</w:t>
            </w:r>
          </w:p>
        </w:tc>
        <w:tc>
          <w:tcPr>
            <w:tcW w:w="417" w:type="pct"/>
            <w:tcBorders>
              <w:top w:val="single" w:sz="4" w:space="0" w:color="auto"/>
              <w:left w:val="nil"/>
              <w:bottom w:val="single" w:sz="4" w:space="0" w:color="auto"/>
              <w:right w:val="single" w:sz="4" w:space="0" w:color="auto"/>
            </w:tcBorders>
            <w:shd w:val="clear" w:color="000000" w:fill="FFFF00"/>
            <w:noWrap/>
            <w:hideMark/>
          </w:tcPr>
          <w:p w:rsidR="00D70A47" w:rsidRPr="002844B1" w:rsidRDefault="00D70A47">
            <w:pPr>
              <w:jc w:val="right"/>
              <w:rPr>
                <w:rFonts w:ascii="Calibri" w:hAnsi="Calibri" w:cs="Calibri"/>
                <w:color w:val="000000"/>
                <w:sz w:val="11"/>
                <w:szCs w:val="11"/>
              </w:rPr>
            </w:pPr>
            <w:r w:rsidRPr="002844B1">
              <w:rPr>
                <w:rFonts w:ascii="Calibri" w:hAnsi="Calibri" w:cs="Calibri"/>
                <w:color w:val="000000"/>
                <w:sz w:val="11"/>
                <w:szCs w:val="11"/>
              </w:rPr>
              <w:t>7</w:t>
            </w:r>
          </w:p>
        </w:tc>
        <w:tc>
          <w:tcPr>
            <w:tcW w:w="417" w:type="pct"/>
            <w:tcBorders>
              <w:top w:val="single" w:sz="4" w:space="0" w:color="auto"/>
              <w:left w:val="nil"/>
              <w:bottom w:val="single" w:sz="4" w:space="0" w:color="auto"/>
              <w:right w:val="single" w:sz="4" w:space="0" w:color="auto"/>
            </w:tcBorders>
            <w:shd w:val="clear" w:color="000000" w:fill="FFFF00"/>
            <w:noWrap/>
            <w:hideMark/>
          </w:tcPr>
          <w:p w:rsidR="00D70A47" w:rsidRPr="002844B1" w:rsidRDefault="00D70A47">
            <w:pPr>
              <w:jc w:val="right"/>
              <w:rPr>
                <w:rFonts w:ascii="Calibri" w:hAnsi="Calibri" w:cs="Calibri"/>
                <w:color w:val="000000"/>
                <w:sz w:val="11"/>
                <w:szCs w:val="11"/>
              </w:rPr>
            </w:pPr>
            <w:r w:rsidRPr="002844B1">
              <w:rPr>
                <w:rFonts w:ascii="Calibri" w:hAnsi="Calibri" w:cs="Calibri"/>
                <w:color w:val="000000"/>
                <w:sz w:val="11"/>
                <w:szCs w:val="11"/>
              </w:rPr>
              <w:t>8</w:t>
            </w:r>
          </w:p>
        </w:tc>
        <w:tc>
          <w:tcPr>
            <w:tcW w:w="417" w:type="pct"/>
            <w:tcBorders>
              <w:top w:val="single" w:sz="4" w:space="0" w:color="auto"/>
              <w:left w:val="nil"/>
              <w:bottom w:val="single" w:sz="4" w:space="0" w:color="auto"/>
              <w:right w:val="single" w:sz="4" w:space="0" w:color="auto"/>
            </w:tcBorders>
            <w:shd w:val="clear" w:color="000000" w:fill="FFFF00"/>
            <w:noWrap/>
            <w:hideMark/>
          </w:tcPr>
          <w:p w:rsidR="00D70A47" w:rsidRPr="002844B1" w:rsidRDefault="00D70A47">
            <w:pPr>
              <w:jc w:val="right"/>
              <w:rPr>
                <w:rFonts w:ascii="Calibri" w:hAnsi="Calibri" w:cs="Calibri"/>
                <w:color w:val="000000"/>
                <w:sz w:val="11"/>
                <w:szCs w:val="11"/>
              </w:rPr>
            </w:pPr>
            <w:r w:rsidRPr="002844B1">
              <w:rPr>
                <w:rFonts w:ascii="Calibri" w:hAnsi="Calibri" w:cs="Calibri"/>
                <w:color w:val="000000"/>
                <w:sz w:val="11"/>
                <w:szCs w:val="11"/>
              </w:rPr>
              <w:t>9</w:t>
            </w:r>
          </w:p>
        </w:tc>
        <w:tc>
          <w:tcPr>
            <w:tcW w:w="413" w:type="pct"/>
            <w:tcBorders>
              <w:top w:val="single" w:sz="4" w:space="0" w:color="auto"/>
              <w:left w:val="nil"/>
              <w:bottom w:val="single" w:sz="4" w:space="0" w:color="auto"/>
              <w:right w:val="single" w:sz="4" w:space="0" w:color="auto"/>
            </w:tcBorders>
            <w:shd w:val="clear" w:color="000000" w:fill="FFFF00"/>
            <w:noWrap/>
            <w:hideMark/>
          </w:tcPr>
          <w:p w:rsidR="00D70A47" w:rsidRPr="002844B1" w:rsidRDefault="00D70A47">
            <w:pPr>
              <w:jc w:val="right"/>
              <w:rPr>
                <w:rFonts w:ascii="Calibri" w:hAnsi="Calibri" w:cs="Calibri"/>
                <w:color w:val="000000"/>
                <w:sz w:val="11"/>
                <w:szCs w:val="11"/>
              </w:rPr>
            </w:pPr>
            <w:r w:rsidRPr="002844B1">
              <w:rPr>
                <w:rFonts w:ascii="Calibri" w:hAnsi="Calibri" w:cs="Calibri"/>
                <w:color w:val="000000"/>
                <w:sz w:val="11"/>
                <w:szCs w:val="11"/>
              </w:rPr>
              <w:t>10</w:t>
            </w:r>
          </w:p>
        </w:tc>
      </w:tr>
      <w:tr w:rsidR="00D70A47" w:rsidRPr="002844B1"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rsidR="00D70A47" w:rsidRPr="002844B1" w:rsidRDefault="00D70A47" w:rsidP="00D70A47">
            <w:pPr>
              <w:jc w:val="right"/>
              <w:rPr>
                <w:rFonts w:ascii="Calibri" w:hAnsi="Calibri" w:cs="Calibri"/>
                <w:i w:val="0"/>
                <w:iCs w:val="0"/>
                <w:color w:val="000000"/>
                <w:sz w:val="15"/>
                <w:szCs w:val="15"/>
              </w:rPr>
            </w:pPr>
            <w:r w:rsidRPr="002844B1">
              <w:rPr>
                <w:rFonts w:ascii="Calibri" w:hAnsi="Calibri" w:cs="Calibri"/>
                <w:color w:val="000000"/>
                <w:sz w:val="15"/>
                <w:szCs w:val="15"/>
              </w:rPr>
              <w:t>2012</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3 504,00</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17 838,65</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29 762,13</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37 354,13</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48 113,13</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54 288,92</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60 990,92</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64 953,92</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67 075,06</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67 961,14</w:t>
            </w:r>
          </w:p>
        </w:tc>
        <w:tc>
          <w:tcPr>
            <w:tcW w:w="413"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69 073,14</w:t>
            </w:r>
          </w:p>
        </w:tc>
      </w:tr>
      <w:tr w:rsidR="00D70A47" w:rsidRPr="002844B1"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rsidR="00D70A47" w:rsidRPr="002844B1" w:rsidRDefault="00D70A47" w:rsidP="00D70A47">
            <w:pPr>
              <w:jc w:val="right"/>
              <w:rPr>
                <w:rFonts w:ascii="Calibri" w:hAnsi="Calibri" w:cs="Calibri"/>
                <w:color w:val="000000"/>
                <w:sz w:val="15"/>
                <w:szCs w:val="15"/>
              </w:rPr>
            </w:pPr>
            <w:r w:rsidRPr="002844B1">
              <w:rPr>
                <w:rFonts w:ascii="Calibri" w:hAnsi="Calibri" w:cs="Calibri"/>
                <w:color w:val="000000"/>
                <w:sz w:val="15"/>
                <w:szCs w:val="15"/>
              </w:rPr>
              <w:t>2013</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4 774,24</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14 225,85</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24 891,85</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38 451,85</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45 605,98</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54 219,98</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57 611,98</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61 752,56</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62 906,74</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64 306,33</w:t>
            </w:r>
          </w:p>
        </w:tc>
        <w:tc>
          <w:tcPr>
            <w:tcW w:w="413"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r>
      <w:tr w:rsidR="00D70A47" w:rsidRPr="002844B1"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rsidR="00D70A47" w:rsidRPr="002844B1" w:rsidRDefault="00D70A47" w:rsidP="00D70A47">
            <w:pPr>
              <w:jc w:val="right"/>
              <w:rPr>
                <w:rFonts w:ascii="Calibri" w:hAnsi="Calibri" w:cs="Calibri"/>
                <w:color w:val="000000"/>
                <w:sz w:val="15"/>
                <w:szCs w:val="15"/>
              </w:rPr>
            </w:pPr>
            <w:r w:rsidRPr="002844B1">
              <w:rPr>
                <w:rFonts w:ascii="Calibri" w:hAnsi="Calibri" w:cs="Calibri"/>
                <w:color w:val="000000"/>
                <w:sz w:val="15"/>
                <w:szCs w:val="15"/>
              </w:rPr>
              <w:t>2014</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3 821,92</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12 489,92</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28 284,92</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39 782,63</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46 485,63</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51 429,63</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53 462,05</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54 797,99</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55 771,01</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r>
      <w:tr w:rsidR="00D70A47" w:rsidRPr="002844B1"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rsidR="00D70A47" w:rsidRPr="002844B1" w:rsidRDefault="00D70A47" w:rsidP="00D70A47">
            <w:pPr>
              <w:jc w:val="right"/>
              <w:rPr>
                <w:rFonts w:ascii="Calibri" w:hAnsi="Calibri" w:cs="Calibri"/>
                <w:color w:val="000000"/>
                <w:sz w:val="15"/>
                <w:szCs w:val="15"/>
              </w:rPr>
            </w:pPr>
            <w:r w:rsidRPr="002844B1">
              <w:rPr>
                <w:rFonts w:ascii="Calibri" w:hAnsi="Calibri" w:cs="Calibri"/>
                <w:color w:val="000000"/>
                <w:sz w:val="15"/>
                <w:szCs w:val="15"/>
              </w:rPr>
              <w:t>2015</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4 074,00</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19 021,00</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35 729,00</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50 865,00</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58 417,00</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62 138,27</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63 510,56</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64 673,57</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r>
      <w:tr w:rsidR="00D70A47" w:rsidRPr="002844B1"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rsidR="00D70A47" w:rsidRPr="002844B1" w:rsidRDefault="00D70A47" w:rsidP="00D70A47">
            <w:pPr>
              <w:jc w:val="right"/>
              <w:rPr>
                <w:rFonts w:ascii="Calibri" w:hAnsi="Calibri" w:cs="Calibri"/>
                <w:color w:val="000000"/>
                <w:sz w:val="15"/>
                <w:szCs w:val="15"/>
              </w:rPr>
            </w:pPr>
            <w:r w:rsidRPr="002844B1">
              <w:rPr>
                <w:rFonts w:ascii="Calibri" w:hAnsi="Calibri" w:cs="Calibri"/>
                <w:color w:val="000000"/>
                <w:sz w:val="15"/>
                <w:szCs w:val="15"/>
              </w:rPr>
              <w:t>2016</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5 070,00</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19 512,00</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41 560,00</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51 917,00</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59 168,44</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66 278,59</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69 647,56</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r>
      <w:tr w:rsidR="00D70A47" w:rsidRPr="002844B1"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rsidR="00D70A47" w:rsidRPr="002844B1" w:rsidRDefault="00D70A47" w:rsidP="00D70A47">
            <w:pPr>
              <w:jc w:val="right"/>
              <w:rPr>
                <w:rFonts w:ascii="Calibri" w:hAnsi="Calibri" w:cs="Calibri"/>
                <w:color w:val="000000"/>
                <w:sz w:val="15"/>
                <w:szCs w:val="15"/>
              </w:rPr>
            </w:pPr>
            <w:r w:rsidRPr="002844B1">
              <w:rPr>
                <w:rFonts w:ascii="Calibri" w:hAnsi="Calibri" w:cs="Calibri"/>
                <w:color w:val="000000"/>
                <w:sz w:val="15"/>
                <w:szCs w:val="15"/>
              </w:rPr>
              <w:t>2017</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3 817,00</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17 940,00</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27 339,00</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33 666,67</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37 893,96</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41 649,41</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r>
      <w:tr w:rsidR="00D70A47" w:rsidRPr="002844B1"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rsidR="00D70A47" w:rsidRPr="002844B1" w:rsidRDefault="00D70A47" w:rsidP="00D70A47">
            <w:pPr>
              <w:jc w:val="right"/>
              <w:rPr>
                <w:rFonts w:ascii="Calibri" w:hAnsi="Calibri" w:cs="Calibri"/>
                <w:color w:val="000000"/>
                <w:sz w:val="15"/>
                <w:szCs w:val="15"/>
              </w:rPr>
            </w:pPr>
            <w:r w:rsidRPr="002844B1">
              <w:rPr>
                <w:rFonts w:ascii="Calibri" w:hAnsi="Calibri" w:cs="Calibri"/>
                <w:color w:val="000000"/>
                <w:sz w:val="15"/>
                <w:szCs w:val="15"/>
              </w:rPr>
              <w:t>2018</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7 838,00</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23 756,00</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34 489,85</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42 665,27</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51 181,77</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r>
      <w:tr w:rsidR="00D70A47" w:rsidRPr="002844B1"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rsidR="00D70A47" w:rsidRPr="002844B1" w:rsidRDefault="00D70A47" w:rsidP="00D70A47">
            <w:pPr>
              <w:jc w:val="right"/>
              <w:rPr>
                <w:rFonts w:ascii="Calibri" w:hAnsi="Calibri" w:cs="Calibri"/>
                <w:color w:val="000000"/>
                <w:sz w:val="15"/>
                <w:szCs w:val="15"/>
              </w:rPr>
            </w:pPr>
            <w:r w:rsidRPr="002844B1">
              <w:rPr>
                <w:rFonts w:ascii="Calibri" w:hAnsi="Calibri" w:cs="Calibri"/>
                <w:color w:val="000000"/>
                <w:sz w:val="15"/>
                <w:szCs w:val="15"/>
              </w:rPr>
              <w:t>2019</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7 690,00</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29 440,55</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43 027,97</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56 870,69</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r>
      <w:tr w:rsidR="00D70A47" w:rsidRPr="002844B1"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rsidR="00D70A47" w:rsidRPr="002844B1" w:rsidRDefault="00D70A47" w:rsidP="00D70A47">
            <w:pPr>
              <w:jc w:val="right"/>
              <w:rPr>
                <w:rFonts w:ascii="Calibri" w:hAnsi="Calibri" w:cs="Calibri"/>
                <w:color w:val="000000"/>
                <w:sz w:val="15"/>
                <w:szCs w:val="15"/>
              </w:rPr>
            </w:pPr>
            <w:r w:rsidRPr="002844B1">
              <w:rPr>
                <w:rFonts w:ascii="Calibri" w:hAnsi="Calibri" w:cs="Calibri"/>
                <w:color w:val="000000"/>
                <w:sz w:val="15"/>
                <w:szCs w:val="15"/>
              </w:rPr>
              <w:t>2020</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8 935,00</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27 985,56</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42 675,50</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r>
      <w:tr w:rsidR="00D70A47" w:rsidRPr="002844B1"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rsidR="00D70A47" w:rsidRPr="002844B1" w:rsidRDefault="00D70A47" w:rsidP="00D70A47">
            <w:pPr>
              <w:jc w:val="right"/>
              <w:rPr>
                <w:rFonts w:ascii="Calibri" w:hAnsi="Calibri" w:cs="Calibri"/>
                <w:color w:val="000000"/>
                <w:sz w:val="15"/>
                <w:szCs w:val="15"/>
              </w:rPr>
            </w:pPr>
            <w:r w:rsidRPr="002844B1">
              <w:rPr>
                <w:rFonts w:ascii="Calibri" w:hAnsi="Calibri" w:cs="Calibri"/>
                <w:color w:val="000000"/>
                <w:sz w:val="15"/>
                <w:szCs w:val="15"/>
              </w:rPr>
              <w:t>2021</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4 979,97</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21 154,81</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r>
      <w:tr w:rsidR="00D70A47" w:rsidRPr="002844B1"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rsidR="00D70A47" w:rsidRPr="002844B1" w:rsidRDefault="00D70A47" w:rsidP="00D70A47">
            <w:pPr>
              <w:jc w:val="right"/>
              <w:rPr>
                <w:rFonts w:ascii="Calibri" w:hAnsi="Calibri" w:cs="Calibri"/>
                <w:color w:val="000000"/>
                <w:sz w:val="15"/>
                <w:szCs w:val="15"/>
              </w:rPr>
            </w:pPr>
            <w:r w:rsidRPr="002844B1">
              <w:rPr>
                <w:rFonts w:ascii="Calibri" w:hAnsi="Calibri" w:cs="Calibri"/>
                <w:color w:val="000000"/>
                <w:sz w:val="15"/>
                <w:szCs w:val="15"/>
              </w:rPr>
              <w:t>2022</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5 818,64</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rsidR="00D70A47" w:rsidRPr="002844B1" w:rsidRDefault="00D70A47" w:rsidP="00D70A47">
            <w:pPr>
              <w:jc w:val="center"/>
              <w:rPr>
                <w:rFonts w:ascii="Calibri" w:hAnsi="Calibri" w:cs="Calibri"/>
                <w:color w:val="000000"/>
                <w:sz w:val="11"/>
                <w:szCs w:val="11"/>
              </w:rPr>
            </w:pPr>
            <w:r w:rsidRPr="002844B1">
              <w:rPr>
                <w:rFonts w:ascii="Calibri" w:hAnsi="Calibri" w:cs="Calibri"/>
                <w:color w:val="000000"/>
                <w:sz w:val="11"/>
                <w:szCs w:val="11"/>
              </w:rPr>
              <w:t> </w:t>
            </w:r>
          </w:p>
        </w:tc>
      </w:tr>
    </w:tbl>
    <w:bookmarkEnd w:id="150"/>
    <w:p w:rsidR="005B279D" w:rsidRPr="002844B1" w:rsidRDefault="00000000" w:rsidP="00D70A47">
      <w:pPr>
        <w:pStyle w:val="BodyText"/>
        <w:jc w:val="both"/>
        <w:rPr>
          <w:sz w:val="21"/>
          <w:szCs w:val="21"/>
        </w:rPr>
      </w:pPr>
      <w:r w:rsidRPr="002844B1">
        <w:rPr>
          <w:sz w:val="21"/>
          <w:szCs w:val="21"/>
        </w:rPr>
        <w:t>Notre application donne à l’</w:t>
      </w:r>
      <w:r w:rsidR="007633AB" w:rsidRPr="002844B1">
        <w:rPr>
          <w:sz w:val="21"/>
          <w:szCs w:val="21"/>
        </w:rPr>
        <w:t>utilisateur</w:t>
      </w:r>
      <w:r w:rsidRPr="002844B1">
        <w:rPr>
          <w:sz w:val="21"/>
          <w:szCs w:val="21"/>
        </w:rPr>
        <w:t xml:space="preserve"> l’option de </w:t>
      </w:r>
      <w:r w:rsidR="007633AB" w:rsidRPr="002844B1">
        <w:rPr>
          <w:sz w:val="21"/>
          <w:szCs w:val="21"/>
        </w:rPr>
        <w:t>sélectionner</w:t>
      </w:r>
      <w:r w:rsidRPr="002844B1">
        <w:rPr>
          <w:sz w:val="21"/>
          <w:szCs w:val="21"/>
        </w:rPr>
        <w:t xml:space="preserve"> manuellement le triangle, au cas où ce dernier n’est pas cumulé, l’</w:t>
      </w:r>
      <w:r w:rsidR="007633AB" w:rsidRPr="002844B1">
        <w:rPr>
          <w:sz w:val="21"/>
          <w:szCs w:val="21"/>
        </w:rPr>
        <w:t>utilisateur</w:t>
      </w:r>
      <w:r w:rsidRPr="002844B1">
        <w:rPr>
          <w:sz w:val="21"/>
          <w:szCs w:val="21"/>
        </w:rPr>
        <w:t xml:space="preserve"> peut cocher sur la case </w:t>
      </w:r>
      <w:r w:rsidR="00D70A47" w:rsidRPr="002844B1">
        <w:rPr>
          <w:sz w:val="21"/>
          <w:szCs w:val="21"/>
        </w:rPr>
        <w:t>« </w:t>
      </w:r>
      <w:r w:rsidR="007633AB" w:rsidRPr="002844B1">
        <w:rPr>
          <w:sz w:val="21"/>
          <w:szCs w:val="21"/>
        </w:rPr>
        <w:t>Voulez-vous</w:t>
      </w:r>
      <w:r w:rsidRPr="002844B1">
        <w:rPr>
          <w:sz w:val="21"/>
          <w:szCs w:val="21"/>
        </w:rPr>
        <w:t xml:space="preserve"> cumuler le triangle ?</w:t>
      </w:r>
      <w:r w:rsidR="00D70A47" w:rsidRPr="002844B1">
        <w:rPr>
          <w:sz w:val="21"/>
          <w:szCs w:val="21"/>
        </w:rPr>
        <w:t> »</w:t>
      </w:r>
      <w:r w:rsidRPr="002844B1">
        <w:rPr>
          <w:sz w:val="21"/>
          <w:szCs w:val="21"/>
        </w:rPr>
        <w:t xml:space="preserve"> avant de confirmer la lecture (voir </w:t>
      </w:r>
      <w:hyperlink w:anchor="fig-import">
        <w:r w:rsidRPr="002844B1">
          <w:rPr>
            <w:rStyle w:val="Hyperlink"/>
            <w:sz w:val="20"/>
            <w:szCs w:val="20"/>
          </w:rPr>
          <w:t>Figure 16</w:t>
        </w:r>
      </w:hyperlink>
      <w:r w:rsidRPr="002844B1">
        <w:rPr>
          <w:sz w:val="21"/>
          <w:szCs w:val="21"/>
        </w:rPr>
        <w:t>). Les autres paramètres de cette fenêtre sont des paramètres généraux d’importation de données dans commun à tous les langages de programmation.</w:t>
      </w:r>
    </w:p>
    <w:p w:rsidR="00D70A47" w:rsidRPr="002844B1" w:rsidRDefault="00D70A47" w:rsidP="00D70A47">
      <w:pPr>
        <w:pStyle w:val="BodyText"/>
        <w:jc w:val="both"/>
        <w:rPr>
          <w:sz w:val="21"/>
          <w:szCs w:val="21"/>
        </w:rPr>
      </w:pPr>
    </w:p>
    <w:p w:rsidR="00D70A47" w:rsidRPr="002844B1" w:rsidRDefault="00D70A47" w:rsidP="00D70A47">
      <w:pPr>
        <w:pStyle w:val="Caption"/>
        <w:keepNext/>
      </w:pPr>
      <w:r w:rsidRPr="002844B1">
        <w:t xml:space="preserve">Figure </w:t>
      </w:r>
      <w:r w:rsidRPr="002844B1">
        <w:fldChar w:fldCharType="begin"/>
      </w:r>
      <w:r w:rsidRPr="002844B1">
        <w:instrText xml:space="preserve"> SEQ Figure \* ARABIC </w:instrText>
      </w:r>
      <w:r w:rsidRPr="002844B1">
        <w:fldChar w:fldCharType="separate"/>
      </w:r>
      <w:r w:rsidR="008E2C01" w:rsidRPr="002844B1">
        <w:rPr>
          <w:noProof/>
        </w:rPr>
        <w:t>16</w:t>
      </w:r>
      <w:r w:rsidRPr="002844B1">
        <w:fldChar w:fldCharType="end"/>
      </w:r>
      <w:r w:rsidRPr="002844B1">
        <w:t>: Importation du triangle</w:t>
      </w:r>
    </w:p>
    <w:tbl>
      <w:tblPr>
        <w:tblStyle w:val="Table"/>
        <w:tblW w:w="5000" w:type="pct"/>
        <w:tblLook w:val="0000" w:firstRow="0" w:lastRow="0" w:firstColumn="0" w:lastColumn="0" w:noHBand="0" w:noVBand="0"/>
      </w:tblPr>
      <w:tblGrid>
        <w:gridCol w:w="9360"/>
      </w:tblGrid>
      <w:tr w:rsidR="005B279D" w:rsidRPr="002844B1">
        <w:tc>
          <w:tcPr>
            <w:tcW w:w="0" w:type="auto"/>
          </w:tcPr>
          <w:p w:rsidR="005B279D" w:rsidRPr="002844B1" w:rsidRDefault="00000000">
            <w:pPr>
              <w:jc w:val="center"/>
            </w:pPr>
            <w:bookmarkStart w:id="151" w:name="fig-import"/>
            <w:r w:rsidRPr="002844B1">
              <w:rPr>
                <w:noProof/>
              </w:rPr>
              <w:drawing>
                <wp:inline distT="0" distB="0" distL="0" distR="0">
                  <wp:extent cx="5334000" cy="2998910"/>
                  <wp:effectExtent l="0" t="0" r="0" b="0"/>
                  <wp:docPr id="281" name="Picture"/>
                  <wp:cNvGraphicFramePr/>
                  <a:graphic xmlns:a="http://schemas.openxmlformats.org/drawingml/2006/main">
                    <a:graphicData uri="http://schemas.openxmlformats.org/drawingml/2006/picture">
                      <pic:pic xmlns:pic="http://schemas.openxmlformats.org/drawingml/2006/picture">
                        <pic:nvPicPr>
                          <pic:cNvPr id="282" name="Picture" descr="Rapport-PFE_files/figure-html/importTrgle.png"/>
                          <pic:cNvPicPr>
                            <a:picLocks noChangeAspect="1" noChangeArrowheads="1"/>
                          </pic:cNvPicPr>
                        </pic:nvPicPr>
                        <pic:blipFill>
                          <a:blip r:embed="rId28"/>
                          <a:stretch>
                            <a:fillRect/>
                          </a:stretch>
                        </pic:blipFill>
                        <pic:spPr bwMode="auto">
                          <a:xfrm>
                            <a:off x="0" y="0"/>
                            <a:ext cx="5334000" cy="2998910"/>
                          </a:xfrm>
                          <a:prstGeom prst="rect">
                            <a:avLst/>
                          </a:prstGeom>
                          <a:noFill/>
                          <a:ln w="9525">
                            <a:noFill/>
                            <a:headEnd/>
                            <a:tailEnd/>
                          </a:ln>
                        </pic:spPr>
                      </pic:pic>
                    </a:graphicData>
                  </a:graphic>
                </wp:inline>
              </w:drawing>
            </w:r>
          </w:p>
          <w:p w:rsidR="005B279D" w:rsidRPr="002844B1" w:rsidRDefault="005B279D">
            <w:pPr>
              <w:pStyle w:val="ImageCaption"/>
              <w:spacing w:before="200"/>
            </w:pPr>
          </w:p>
        </w:tc>
        <w:bookmarkEnd w:id="151"/>
      </w:tr>
    </w:tbl>
    <w:p w:rsidR="005B279D" w:rsidRPr="002844B1" w:rsidRDefault="00000000" w:rsidP="00D70A47">
      <w:pPr>
        <w:pStyle w:val="BodyText"/>
        <w:jc w:val="both"/>
        <w:rPr>
          <w:sz w:val="21"/>
          <w:szCs w:val="21"/>
        </w:rPr>
      </w:pPr>
      <w:r w:rsidRPr="002844B1">
        <w:rPr>
          <w:sz w:val="21"/>
          <w:szCs w:val="21"/>
        </w:rPr>
        <w:lastRenderedPageBreak/>
        <w:t xml:space="preserve">En plus du triangle, cet onglet de l’application a besoin des </w:t>
      </w:r>
      <w:r w:rsidR="007633AB" w:rsidRPr="002844B1">
        <w:rPr>
          <w:sz w:val="21"/>
          <w:szCs w:val="21"/>
        </w:rPr>
        <w:t>données</w:t>
      </w:r>
      <w:r w:rsidRPr="002844B1">
        <w:rPr>
          <w:sz w:val="21"/>
          <w:szCs w:val="21"/>
        </w:rPr>
        <w:t xml:space="preserve"> d’entrée telles que :</w:t>
      </w:r>
    </w:p>
    <w:p w:rsidR="005B279D" w:rsidRPr="002844B1" w:rsidRDefault="00000000" w:rsidP="00D70A47">
      <w:pPr>
        <w:numPr>
          <w:ilvl w:val="0"/>
          <w:numId w:val="71"/>
        </w:numPr>
        <w:jc w:val="both"/>
        <w:rPr>
          <w:sz w:val="21"/>
          <w:szCs w:val="21"/>
        </w:rPr>
      </w:pPr>
      <w:r w:rsidRPr="002844B1">
        <w:rPr>
          <w:b/>
          <w:bCs/>
          <w:sz w:val="21"/>
          <w:szCs w:val="21"/>
        </w:rPr>
        <w:t>Primes Acquises (PA)</w:t>
      </w:r>
      <w:r w:rsidRPr="002844B1">
        <w:rPr>
          <w:sz w:val="21"/>
          <w:szCs w:val="21"/>
        </w:rPr>
        <w:t xml:space="preserve"> : nécessaire pour le calcul du ratio de sinistralité qui pour rappel vaut </w:t>
      </w:r>
      <m:oMath>
        <m:r>
          <w:rPr>
            <w:rFonts w:ascii="Cambria Math" w:hAnsi="Cambria Math"/>
            <w:sz w:val="21"/>
            <w:szCs w:val="21"/>
          </w:rPr>
          <m:t>RS=</m:t>
        </m:r>
        <m:f>
          <m:fPr>
            <m:ctrlPr>
              <w:rPr>
                <w:rFonts w:ascii="Cambria Math" w:hAnsi="Cambria Math"/>
                <w:sz w:val="21"/>
                <w:szCs w:val="21"/>
              </w:rPr>
            </m:ctrlPr>
          </m:fPr>
          <m:num>
            <m:nary>
              <m:naryPr>
                <m:chr m:val="∑"/>
                <m:limLoc m:val="undOvr"/>
                <m:ctrlPr>
                  <w:rPr>
                    <w:rFonts w:ascii="Cambria Math" w:hAnsi="Cambria Math"/>
                    <w:sz w:val="21"/>
                    <w:szCs w:val="21"/>
                  </w:rPr>
                </m:ctrlPr>
              </m:naryPr>
              <m:sub>
                <m:r>
                  <w:rPr>
                    <w:rFonts w:ascii="Cambria Math" w:hAnsi="Cambria Math"/>
                    <w:sz w:val="21"/>
                    <w:szCs w:val="21"/>
                  </w:rPr>
                  <m:t>i=n-2</m:t>
                </m:r>
              </m:sub>
              <m:sup>
                <m:r>
                  <w:rPr>
                    <w:rFonts w:ascii="Cambria Math" w:hAnsi="Cambria Math"/>
                    <w:sz w:val="21"/>
                    <w:szCs w:val="21"/>
                  </w:rPr>
                  <m:t>n</m:t>
                </m:r>
              </m:sup>
              <m:e>
                <m:r>
                  <w:rPr>
                    <w:rFonts w:ascii="Cambria Math" w:hAnsi="Cambria Math"/>
                    <w:sz w:val="21"/>
                    <w:szCs w:val="21"/>
                  </w:rPr>
                  <m:t>C</m:t>
                </m:r>
              </m:e>
            </m:nary>
            <m:sSub>
              <m:sSubPr>
                <m:ctrlPr>
                  <w:rPr>
                    <w:rFonts w:ascii="Cambria Math" w:hAnsi="Cambria Math"/>
                    <w:sz w:val="21"/>
                    <w:szCs w:val="21"/>
                  </w:rPr>
                </m:ctrlPr>
              </m:sSubPr>
              <m:e>
                <m:r>
                  <w:rPr>
                    <w:rFonts w:ascii="Cambria Math" w:hAnsi="Cambria Math"/>
                    <w:sz w:val="21"/>
                    <w:szCs w:val="21"/>
                  </w:rPr>
                  <m:t>U</m:t>
                </m:r>
              </m:e>
              <m:sub>
                <m:r>
                  <w:rPr>
                    <w:rFonts w:ascii="Cambria Math" w:hAnsi="Cambria Math"/>
                    <w:sz w:val="21"/>
                    <w:szCs w:val="21"/>
                  </w:rPr>
                  <m:t>i</m:t>
                </m:r>
              </m:sub>
            </m:sSub>
          </m:num>
          <m:den>
            <m:nary>
              <m:naryPr>
                <m:chr m:val="∑"/>
                <m:limLoc m:val="undOvr"/>
                <m:ctrlPr>
                  <w:rPr>
                    <w:rFonts w:ascii="Cambria Math" w:hAnsi="Cambria Math"/>
                    <w:sz w:val="21"/>
                    <w:szCs w:val="21"/>
                  </w:rPr>
                </m:ctrlPr>
              </m:naryPr>
              <m:sub>
                <m:r>
                  <w:rPr>
                    <w:rFonts w:ascii="Cambria Math" w:hAnsi="Cambria Math"/>
                    <w:sz w:val="21"/>
                    <w:szCs w:val="21"/>
                  </w:rPr>
                  <m:t>i=n-2</m:t>
                </m:r>
              </m:sub>
              <m:sup>
                <m:r>
                  <w:rPr>
                    <w:rFonts w:ascii="Cambria Math" w:hAnsi="Cambria Math"/>
                    <w:sz w:val="21"/>
                    <w:szCs w:val="21"/>
                  </w:rPr>
                  <m:t>n</m:t>
                </m:r>
              </m:sup>
              <m:e>
                <m:r>
                  <w:rPr>
                    <w:rFonts w:ascii="Cambria Math" w:hAnsi="Cambria Math"/>
                    <w:sz w:val="21"/>
                    <w:szCs w:val="21"/>
                  </w:rPr>
                  <m:t>P</m:t>
                </m:r>
              </m:e>
            </m:nary>
            <m:sSub>
              <m:sSubPr>
                <m:ctrlPr>
                  <w:rPr>
                    <w:rFonts w:ascii="Cambria Math" w:hAnsi="Cambria Math"/>
                    <w:sz w:val="21"/>
                    <w:szCs w:val="21"/>
                  </w:rPr>
                </m:ctrlPr>
              </m:sSubPr>
              <m:e>
                <m:r>
                  <w:rPr>
                    <w:rFonts w:ascii="Cambria Math" w:hAnsi="Cambria Math"/>
                    <w:sz w:val="21"/>
                    <w:szCs w:val="21"/>
                  </w:rPr>
                  <m:t>A</m:t>
                </m:r>
              </m:e>
              <m:sub>
                <m:r>
                  <w:rPr>
                    <w:rFonts w:ascii="Cambria Math" w:hAnsi="Cambria Math"/>
                    <w:sz w:val="21"/>
                    <w:szCs w:val="21"/>
                  </w:rPr>
                  <m:t>i</m:t>
                </m:r>
              </m:sub>
            </m:sSub>
          </m:den>
        </m:f>
      </m:oMath>
      <w:r w:rsidRPr="002844B1">
        <w:rPr>
          <w:sz w:val="21"/>
          <w:szCs w:val="21"/>
        </w:rPr>
        <w:t xml:space="preserve"> où CU représente les charges ultimes,</w:t>
      </w:r>
    </w:p>
    <w:p w:rsidR="005B279D" w:rsidRPr="002844B1" w:rsidRDefault="00000000" w:rsidP="00D70A47">
      <w:pPr>
        <w:numPr>
          <w:ilvl w:val="0"/>
          <w:numId w:val="71"/>
        </w:numPr>
        <w:jc w:val="both"/>
        <w:rPr>
          <w:sz w:val="21"/>
          <w:szCs w:val="21"/>
        </w:rPr>
      </w:pPr>
      <w:r w:rsidRPr="002844B1">
        <w:rPr>
          <w:b/>
          <w:bCs/>
          <w:sz w:val="21"/>
          <w:szCs w:val="21"/>
        </w:rPr>
        <w:t>PPNA</w:t>
      </w:r>
      <w:r w:rsidRPr="002844B1">
        <w:rPr>
          <w:sz w:val="21"/>
          <w:szCs w:val="21"/>
        </w:rPr>
        <w:t xml:space="preserve"> : provision pour primes non acquises à la date d’inventaire,</w:t>
      </w:r>
    </w:p>
    <w:p w:rsidR="005B279D" w:rsidRPr="002844B1" w:rsidRDefault="00000000" w:rsidP="00D70A47">
      <w:pPr>
        <w:numPr>
          <w:ilvl w:val="0"/>
          <w:numId w:val="71"/>
        </w:numPr>
        <w:jc w:val="both"/>
        <w:rPr>
          <w:sz w:val="21"/>
          <w:szCs w:val="21"/>
        </w:rPr>
      </w:pPr>
      <w:r w:rsidRPr="002844B1">
        <w:rPr>
          <w:b/>
          <w:bCs/>
          <w:sz w:val="21"/>
          <w:szCs w:val="21"/>
        </w:rPr>
        <w:t>Primes futurs</w:t>
      </w:r>
      <w:r w:rsidRPr="002844B1">
        <w:rPr>
          <w:sz w:val="21"/>
          <w:szCs w:val="21"/>
        </w:rPr>
        <w:t xml:space="preserve"> : le montant unique des primes futurs,</w:t>
      </w:r>
    </w:p>
    <w:p w:rsidR="005B279D" w:rsidRPr="002844B1" w:rsidRDefault="00000000" w:rsidP="00D70A47">
      <w:pPr>
        <w:numPr>
          <w:ilvl w:val="0"/>
          <w:numId w:val="71"/>
        </w:numPr>
        <w:jc w:val="both"/>
        <w:rPr>
          <w:sz w:val="21"/>
          <w:szCs w:val="21"/>
        </w:rPr>
      </w:pPr>
      <w:r w:rsidRPr="002844B1">
        <w:rPr>
          <w:b/>
          <w:bCs/>
          <w:sz w:val="21"/>
          <w:szCs w:val="21"/>
        </w:rPr>
        <w:t>Taux de frais d’acquisition</w:t>
      </w:r>
      <w:r w:rsidRPr="002844B1">
        <w:rPr>
          <w:sz w:val="21"/>
          <w:szCs w:val="21"/>
        </w:rPr>
        <w:t xml:space="preserve"> : Le taux de frais d’acquisition en assurance est le pourcentage de frais prélevé par l’assureur sur chaque versement effectué par l’assuré</w:t>
      </w:r>
    </w:p>
    <w:p w:rsidR="005B279D" w:rsidRPr="002844B1" w:rsidRDefault="00000000" w:rsidP="00D70A47">
      <w:pPr>
        <w:numPr>
          <w:ilvl w:val="0"/>
          <w:numId w:val="71"/>
        </w:numPr>
        <w:jc w:val="both"/>
        <w:rPr>
          <w:sz w:val="21"/>
          <w:szCs w:val="21"/>
        </w:rPr>
      </w:pPr>
      <w:r w:rsidRPr="002844B1">
        <w:rPr>
          <w:b/>
          <w:bCs/>
          <w:sz w:val="21"/>
          <w:szCs w:val="21"/>
        </w:rPr>
        <w:t>Taux de frais gestion moyens</w:t>
      </w:r>
    </w:p>
    <w:p w:rsidR="005B279D" w:rsidRPr="002844B1" w:rsidRDefault="00000000" w:rsidP="00D70A47">
      <w:pPr>
        <w:pStyle w:val="FirstParagraph"/>
        <w:jc w:val="both"/>
        <w:rPr>
          <w:sz w:val="21"/>
          <w:szCs w:val="21"/>
        </w:rPr>
      </w:pPr>
      <w:r w:rsidRPr="002844B1">
        <w:rPr>
          <w:sz w:val="21"/>
          <w:szCs w:val="21"/>
        </w:rPr>
        <w:t xml:space="preserve">La </w:t>
      </w:r>
      <w:hyperlink w:anchor="fig-parametrage">
        <w:r w:rsidRPr="002844B1">
          <w:rPr>
            <w:rStyle w:val="Hyperlink"/>
            <w:sz w:val="20"/>
            <w:szCs w:val="20"/>
          </w:rPr>
          <w:t>Figure 17</w:t>
        </w:r>
      </w:hyperlink>
      <w:r w:rsidRPr="002844B1">
        <w:rPr>
          <w:sz w:val="21"/>
          <w:szCs w:val="21"/>
        </w:rPr>
        <w:t xml:space="preserve"> donne un aperçu de l’endroit où ces paramètres sont requis et le </w:t>
      </w:r>
      <w:hyperlink w:anchor="tbl-parametrage">
        <w:r w:rsidRPr="002844B1">
          <w:rPr>
            <w:rStyle w:val="Hyperlink"/>
            <w:sz w:val="20"/>
            <w:szCs w:val="20"/>
          </w:rPr>
          <w:t>Table 7</w:t>
        </w:r>
      </w:hyperlink>
      <w:r w:rsidRPr="002844B1">
        <w:rPr>
          <w:sz w:val="21"/>
          <w:szCs w:val="21"/>
        </w:rPr>
        <w:t xml:space="preserve"> représente les données historiques de PA et PPNA dont nous avons besoin.</w:t>
      </w:r>
    </w:p>
    <w:p w:rsidR="00D70A47" w:rsidRPr="002844B1" w:rsidRDefault="00D70A47" w:rsidP="00D70A47">
      <w:pPr>
        <w:pStyle w:val="Caption"/>
        <w:keepNext/>
      </w:pPr>
      <w:r w:rsidRPr="002844B1">
        <w:t xml:space="preserve">Figure </w:t>
      </w:r>
      <w:r w:rsidRPr="002844B1">
        <w:fldChar w:fldCharType="begin"/>
      </w:r>
      <w:r w:rsidRPr="002844B1">
        <w:instrText xml:space="preserve"> SEQ Figure \* ARABIC </w:instrText>
      </w:r>
      <w:r w:rsidRPr="002844B1">
        <w:fldChar w:fldCharType="separate"/>
      </w:r>
      <w:r w:rsidR="008E2C01" w:rsidRPr="002844B1">
        <w:rPr>
          <w:noProof/>
        </w:rPr>
        <w:t>17</w:t>
      </w:r>
      <w:r w:rsidRPr="002844B1">
        <w:fldChar w:fldCharType="end"/>
      </w:r>
      <w:r w:rsidRPr="002844B1">
        <w:t>: Aperçu du paramétrage dans l’application</w:t>
      </w:r>
    </w:p>
    <w:tbl>
      <w:tblPr>
        <w:tblStyle w:val="Table"/>
        <w:tblW w:w="5000" w:type="pct"/>
        <w:tblLook w:val="0000" w:firstRow="0" w:lastRow="0" w:firstColumn="0" w:lastColumn="0" w:noHBand="0" w:noVBand="0"/>
      </w:tblPr>
      <w:tblGrid>
        <w:gridCol w:w="9360"/>
      </w:tblGrid>
      <w:tr w:rsidR="005B279D" w:rsidRPr="002844B1">
        <w:tc>
          <w:tcPr>
            <w:tcW w:w="0" w:type="auto"/>
          </w:tcPr>
          <w:p w:rsidR="005B279D" w:rsidRPr="002844B1" w:rsidRDefault="00000000">
            <w:pPr>
              <w:jc w:val="center"/>
            </w:pPr>
            <w:bookmarkStart w:id="152" w:name="fig-parametrage"/>
            <w:r w:rsidRPr="002844B1">
              <w:rPr>
                <w:noProof/>
              </w:rPr>
              <w:drawing>
                <wp:inline distT="0" distB="0" distL="0" distR="0">
                  <wp:extent cx="5334000" cy="2998910"/>
                  <wp:effectExtent l="0" t="0" r="0" b="0"/>
                  <wp:docPr id="285" name="Picture"/>
                  <wp:cNvGraphicFramePr/>
                  <a:graphic xmlns:a="http://schemas.openxmlformats.org/drawingml/2006/main">
                    <a:graphicData uri="http://schemas.openxmlformats.org/drawingml/2006/picture">
                      <pic:pic xmlns:pic="http://schemas.openxmlformats.org/drawingml/2006/picture">
                        <pic:nvPicPr>
                          <pic:cNvPr id="286" name="Picture" descr="Rapport-PFE_files/figure-html/parametrage.png"/>
                          <pic:cNvPicPr>
                            <a:picLocks noChangeAspect="1" noChangeArrowheads="1"/>
                          </pic:cNvPicPr>
                        </pic:nvPicPr>
                        <pic:blipFill>
                          <a:blip r:embed="rId29"/>
                          <a:stretch>
                            <a:fillRect/>
                          </a:stretch>
                        </pic:blipFill>
                        <pic:spPr bwMode="auto">
                          <a:xfrm>
                            <a:off x="0" y="0"/>
                            <a:ext cx="5334000" cy="2998910"/>
                          </a:xfrm>
                          <a:prstGeom prst="rect">
                            <a:avLst/>
                          </a:prstGeom>
                          <a:noFill/>
                          <a:ln w="9525">
                            <a:noFill/>
                            <a:headEnd/>
                            <a:tailEnd/>
                          </a:ln>
                        </pic:spPr>
                      </pic:pic>
                    </a:graphicData>
                  </a:graphic>
                </wp:inline>
              </w:drawing>
            </w:r>
          </w:p>
          <w:p w:rsidR="005B279D" w:rsidRPr="002844B1" w:rsidRDefault="005B279D">
            <w:pPr>
              <w:pStyle w:val="ImageCaption"/>
              <w:spacing w:before="200"/>
            </w:pPr>
          </w:p>
        </w:tc>
        <w:bookmarkEnd w:id="152"/>
      </w:tr>
    </w:tbl>
    <w:p w:rsidR="005B279D" w:rsidRPr="002844B1" w:rsidRDefault="00000000">
      <w:pPr>
        <w:pStyle w:val="BodyText"/>
      </w:pPr>
      <w:r w:rsidRPr="002844B1">
        <w:t xml:space="preserve"> </w:t>
      </w:r>
    </w:p>
    <w:p w:rsidR="005B279D" w:rsidRPr="002844B1" w:rsidRDefault="005B279D">
      <w:pPr>
        <w:pStyle w:val="TableCaption"/>
      </w:pPr>
      <w:bookmarkStart w:id="153" w:name="tbl-parametrage"/>
    </w:p>
    <w:p w:rsidR="00D70A47" w:rsidRPr="002844B1" w:rsidRDefault="00D70A47">
      <w:pPr>
        <w:pStyle w:val="TableCaption"/>
      </w:pPr>
    </w:p>
    <w:p w:rsidR="00D70A47" w:rsidRPr="002844B1" w:rsidRDefault="00D70A47">
      <w:pPr>
        <w:pStyle w:val="TableCaption"/>
      </w:pPr>
    </w:p>
    <w:p w:rsidR="00D70A47" w:rsidRPr="002844B1" w:rsidRDefault="00D70A47" w:rsidP="00D70A47">
      <w:pPr>
        <w:pStyle w:val="Caption"/>
        <w:keepNext/>
        <w:jc w:val="center"/>
      </w:pPr>
      <w:r w:rsidRPr="002844B1">
        <w:t xml:space="preserve">Table </w:t>
      </w:r>
      <w:r w:rsidRPr="002844B1">
        <w:fldChar w:fldCharType="begin"/>
      </w:r>
      <w:r w:rsidRPr="002844B1">
        <w:instrText xml:space="preserve"> SEQ Table \* ARABIC </w:instrText>
      </w:r>
      <w:r w:rsidRPr="002844B1">
        <w:fldChar w:fldCharType="separate"/>
      </w:r>
      <w:r w:rsidR="008E2C01" w:rsidRPr="002844B1">
        <w:rPr>
          <w:noProof/>
        </w:rPr>
        <w:t>7</w:t>
      </w:r>
      <w:r w:rsidRPr="002844B1">
        <w:fldChar w:fldCharType="end"/>
      </w:r>
      <w:r w:rsidRPr="002844B1">
        <w:t>: Données de PA et PPNA</w:t>
      </w:r>
    </w:p>
    <w:tbl>
      <w:tblPr>
        <w:tblStyle w:val="GridTable4-Accent2"/>
        <w:tblW w:w="0" w:type="auto"/>
        <w:jc w:val="center"/>
        <w:tblLook w:val="0020" w:firstRow="1" w:lastRow="0" w:firstColumn="0" w:lastColumn="0" w:noHBand="0" w:noVBand="0"/>
      </w:tblPr>
      <w:tblGrid>
        <w:gridCol w:w="773"/>
        <w:gridCol w:w="850"/>
        <w:gridCol w:w="745"/>
      </w:tblGrid>
      <w:tr w:rsidR="005B279D" w:rsidRPr="002844B1"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pPr>
            <w:r w:rsidRPr="002844B1">
              <w:t>Année</w:t>
            </w:r>
          </w:p>
        </w:tc>
        <w:tc>
          <w:tcPr>
            <w:tcW w:w="0" w:type="auto"/>
          </w:tcPr>
          <w:p w:rsidR="005B279D" w:rsidRPr="002844B1" w:rsidRDefault="00000000">
            <w:pPr>
              <w:pStyle w:val="Compact"/>
              <w:jc w:val="right"/>
              <w:cnfStyle w:val="100000000000" w:firstRow="1" w:lastRow="0" w:firstColumn="0" w:lastColumn="0" w:oddVBand="0" w:evenVBand="0" w:oddHBand="0" w:evenHBand="0" w:firstRowFirstColumn="0" w:firstRowLastColumn="0" w:lastRowFirstColumn="0" w:lastRowLastColumn="0"/>
            </w:pPr>
            <w:r w:rsidRPr="002844B1">
              <w:t>PA</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pPr>
            <w:r w:rsidRPr="002844B1">
              <w:t>PPNA</w:t>
            </w:r>
          </w:p>
        </w:tc>
      </w:tr>
      <w:tr w:rsidR="005B279D" w:rsidRPr="002844B1"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pPr>
            <w:r w:rsidRPr="002844B1">
              <w:t>2020</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pPr>
            <w:r w:rsidRPr="002844B1">
              <w:t>86292</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pPr>
            <w:r w:rsidRPr="002844B1">
              <w:t>NA</w:t>
            </w:r>
          </w:p>
        </w:tc>
      </w:tr>
      <w:tr w:rsidR="005B279D" w:rsidRPr="002844B1"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pPr>
            <w:r w:rsidRPr="002844B1">
              <w:t>2021</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pPr>
            <w:r w:rsidRPr="002844B1">
              <w:t>133944</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pPr>
            <w:r w:rsidRPr="002844B1">
              <w:t>NA</w:t>
            </w:r>
          </w:p>
        </w:tc>
      </w:tr>
      <w:tr w:rsidR="005B279D" w:rsidRPr="002844B1"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pPr>
            <w:r w:rsidRPr="002844B1">
              <w:t>2022</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pPr>
            <w:r w:rsidRPr="002844B1">
              <w:t>115787</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pPr>
            <w:r w:rsidRPr="002844B1">
              <w:t>25000</w:t>
            </w:r>
          </w:p>
        </w:tc>
      </w:tr>
    </w:tbl>
    <w:bookmarkEnd w:id="153"/>
    <w:p w:rsidR="005B279D" w:rsidRPr="002844B1" w:rsidRDefault="00000000" w:rsidP="00D70A47">
      <w:pPr>
        <w:pStyle w:val="BodyText"/>
        <w:jc w:val="both"/>
        <w:rPr>
          <w:sz w:val="21"/>
          <w:szCs w:val="21"/>
        </w:rPr>
      </w:pPr>
      <w:r w:rsidRPr="002844B1">
        <w:rPr>
          <w:sz w:val="21"/>
          <w:szCs w:val="21"/>
        </w:rPr>
        <w:t>L’application supporte le calcul des meilleures estimations des engagements une fois tous les paramètres de cet onglet sont renseignés.</w:t>
      </w:r>
    </w:p>
    <w:p w:rsidR="005B279D" w:rsidRPr="002844B1" w:rsidRDefault="00000000">
      <w:pPr>
        <w:pStyle w:val="Heading5"/>
      </w:pPr>
      <w:bookmarkStart w:id="154" w:name="X2b8ae77a89950f896ef9c1423091d64484114bd"/>
      <w:r w:rsidRPr="002844B1">
        <w:t>Meilleure estimation des engagements pour sinistres avec Chain Ladder</w:t>
      </w:r>
    </w:p>
    <w:p w:rsidR="005B279D" w:rsidRPr="002844B1" w:rsidRDefault="00000000" w:rsidP="00D70A47">
      <w:pPr>
        <w:pStyle w:val="FirstParagraph"/>
        <w:jc w:val="both"/>
        <w:rPr>
          <w:sz w:val="21"/>
          <w:szCs w:val="21"/>
        </w:rPr>
      </w:pPr>
      <w:r w:rsidRPr="002844B1">
        <w:rPr>
          <w:sz w:val="21"/>
          <w:szCs w:val="21"/>
        </w:rPr>
        <w:t xml:space="preserve">En suivant les étapes mentionnées à la </w:t>
      </w:r>
      <w:hyperlink w:anchor="sec-ladder">
        <w:r w:rsidRPr="002844B1">
          <w:rPr>
            <w:rStyle w:val="Hyperlink"/>
            <w:sz w:val="20"/>
            <w:szCs w:val="20"/>
          </w:rPr>
          <w:t>Section 4.4.1.4</w:t>
        </w:r>
      </w:hyperlink>
      <w:r w:rsidRPr="002844B1">
        <w:rPr>
          <w:sz w:val="21"/>
          <w:szCs w:val="21"/>
        </w:rPr>
        <w:t xml:space="preserve">, on a obtenu les facteurs de développements présenté dans le tableau </w:t>
      </w:r>
      <w:hyperlink w:anchor="tbl-fdev">
        <w:r w:rsidRPr="002844B1">
          <w:rPr>
            <w:rStyle w:val="Hyperlink"/>
            <w:sz w:val="20"/>
            <w:szCs w:val="20"/>
          </w:rPr>
          <w:t>Table 8</w:t>
        </w:r>
      </w:hyperlink>
      <w:r w:rsidRPr="002844B1">
        <w:rPr>
          <w:sz w:val="21"/>
          <w:szCs w:val="21"/>
        </w:rPr>
        <w:t>.</w:t>
      </w:r>
    </w:p>
    <w:p w:rsidR="005B279D" w:rsidRPr="002844B1" w:rsidRDefault="005B279D">
      <w:pPr>
        <w:pStyle w:val="TableCaption"/>
      </w:pPr>
      <w:bookmarkStart w:id="155" w:name="tbl-fdev"/>
    </w:p>
    <w:p w:rsidR="00D70A47" w:rsidRPr="002844B1" w:rsidRDefault="00D70A47" w:rsidP="00D70A47">
      <w:pPr>
        <w:pStyle w:val="Caption"/>
        <w:keepNext/>
        <w:jc w:val="center"/>
      </w:pPr>
      <w:r w:rsidRPr="002844B1">
        <w:t xml:space="preserve">Table </w:t>
      </w:r>
      <w:r w:rsidRPr="002844B1">
        <w:fldChar w:fldCharType="begin"/>
      </w:r>
      <w:r w:rsidRPr="002844B1">
        <w:instrText xml:space="preserve"> SEQ Table \* ARABIC </w:instrText>
      </w:r>
      <w:r w:rsidRPr="002844B1">
        <w:fldChar w:fldCharType="separate"/>
      </w:r>
      <w:r w:rsidR="008E2C01" w:rsidRPr="002844B1">
        <w:rPr>
          <w:noProof/>
        </w:rPr>
        <w:t>8</w:t>
      </w:r>
      <w:r w:rsidRPr="002844B1">
        <w:fldChar w:fldCharType="end"/>
      </w:r>
      <w:r w:rsidRPr="002844B1">
        <w:t>: Les facteur de développements</w:t>
      </w:r>
    </w:p>
    <w:tbl>
      <w:tblPr>
        <w:tblStyle w:val="GridTable4-Accent2"/>
        <w:tblW w:w="0" w:type="auto"/>
        <w:jc w:val="center"/>
        <w:tblLook w:val="0020" w:firstRow="1" w:lastRow="0" w:firstColumn="0" w:lastColumn="0" w:noHBand="0" w:noVBand="0"/>
      </w:tblPr>
      <w:tblGrid>
        <w:gridCol w:w="785"/>
        <w:gridCol w:w="679"/>
        <w:gridCol w:w="785"/>
        <w:gridCol w:w="679"/>
        <w:gridCol w:w="785"/>
        <w:gridCol w:w="785"/>
        <w:gridCol w:w="679"/>
        <w:gridCol w:w="785"/>
        <w:gridCol w:w="785"/>
        <w:gridCol w:w="785"/>
      </w:tblGrid>
      <w:tr w:rsidR="005B279D" w:rsidRPr="002844B1"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pPr>
            <w:r w:rsidRPr="002844B1">
              <w:t>fdc1</w:t>
            </w:r>
          </w:p>
        </w:tc>
        <w:tc>
          <w:tcPr>
            <w:tcW w:w="0" w:type="auto"/>
          </w:tcPr>
          <w:p w:rsidR="005B279D" w:rsidRPr="002844B1" w:rsidRDefault="00000000">
            <w:pPr>
              <w:pStyle w:val="Compact"/>
              <w:jc w:val="right"/>
              <w:cnfStyle w:val="100000000000" w:firstRow="1" w:lastRow="0" w:firstColumn="0" w:lastColumn="0" w:oddVBand="0" w:evenVBand="0" w:oddHBand="0" w:evenHBand="0" w:firstRowFirstColumn="0" w:firstRowLastColumn="0" w:lastRowFirstColumn="0" w:lastRowLastColumn="0"/>
            </w:pPr>
            <w:r w:rsidRPr="002844B1">
              <w:t>fdc2</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pPr>
            <w:r w:rsidRPr="002844B1">
              <w:t>fdc3</w:t>
            </w:r>
          </w:p>
        </w:tc>
        <w:tc>
          <w:tcPr>
            <w:tcW w:w="0" w:type="auto"/>
          </w:tcPr>
          <w:p w:rsidR="005B279D" w:rsidRPr="002844B1" w:rsidRDefault="00000000">
            <w:pPr>
              <w:pStyle w:val="Compact"/>
              <w:jc w:val="right"/>
              <w:cnfStyle w:val="100000000000" w:firstRow="1" w:lastRow="0" w:firstColumn="0" w:lastColumn="0" w:oddVBand="0" w:evenVBand="0" w:oddHBand="0" w:evenHBand="0" w:firstRowFirstColumn="0" w:firstRowLastColumn="0" w:lastRowFirstColumn="0" w:lastRowLastColumn="0"/>
            </w:pPr>
            <w:r w:rsidRPr="002844B1">
              <w:t>fdc4</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pPr>
            <w:r w:rsidRPr="002844B1">
              <w:t>fdc5</w:t>
            </w:r>
          </w:p>
        </w:tc>
        <w:tc>
          <w:tcPr>
            <w:tcW w:w="0" w:type="auto"/>
          </w:tcPr>
          <w:p w:rsidR="005B279D" w:rsidRPr="002844B1" w:rsidRDefault="00000000">
            <w:pPr>
              <w:pStyle w:val="Compact"/>
              <w:jc w:val="right"/>
              <w:cnfStyle w:val="100000000000" w:firstRow="1" w:lastRow="0" w:firstColumn="0" w:lastColumn="0" w:oddVBand="0" w:evenVBand="0" w:oddHBand="0" w:evenHBand="0" w:firstRowFirstColumn="0" w:firstRowLastColumn="0" w:lastRowFirstColumn="0" w:lastRowLastColumn="0"/>
            </w:pPr>
            <w:r w:rsidRPr="002844B1">
              <w:t>fdc6</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pPr>
            <w:r w:rsidRPr="002844B1">
              <w:t>fdc7</w:t>
            </w:r>
          </w:p>
        </w:tc>
        <w:tc>
          <w:tcPr>
            <w:tcW w:w="0" w:type="auto"/>
          </w:tcPr>
          <w:p w:rsidR="005B279D" w:rsidRPr="002844B1" w:rsidRDefault="00000000">
            <w:pPr>
              <w:pStyle w:val="Compact"/>
              <w:jc w:val="right"/>
              <w:cnfStyle w:val="100000000000" w:firstRow="1" w:lastRow="0" w:firstColumn="0" w:lastColumn="0" w:oddVBand="0" w:evenVBand="0" w:oddHBand="0" w:evenHBand="0" w:firstRowFirstColumn="0" w:firstRowLastColumn="0" w:lastRowFirstColumn="0" w:lastRowLastColumn="0"/>
            </w:pPr>
            <w:r w:rsidRPr="002844B1">
              <w:t>fdc8</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pPr>
            <w:r w:rsidRPr="002844B1">
              <w:t>fdc9</w:t>
            </w:r>
          </w:p>
        </w:tc>
        <w:tc>
          <w:tcPr>
            <w:tcW w:w="0" w:type="auto"/>
          </w:tcPr>
          <w:p w:rsidR="005B279D" w:rsidRPr="002844B1" w:rsidRDefault="00000000">
            <w:pPr>
              <w:pStyle w:val="Compact"/>
              <w:jc w:val="right"/>
              <w:cnfStyle w:val="100000000000" w:firstRow="1" w:lastRow="0" w:firstColumn="0" w:lastColumn="0" w:oddVBand="0" w:evenVBand="0" w:oddHBand="0" w:evenHBand="0" w:firstRowFirstColumn="0" w:firstRowLastColumn="0" w:lastRowFirstColumn="0" w:lastRowLastColumn="0"/>
            </w:pPr>
            <w:r w:rsidRPr="002844B1">
              <w:t>fdc10</w:t>
            </w:r>
          </w:p>
        </w:tc>
      </w:tr>
      <w:tr w:rsidR="005B279D" w:rsidRPr="002844B1"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pPr>
            <w:r w:rsidRPr="002844B1">
              <w:t>3.7312</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pPr>
            <w:r w:rsidRPr="002844B1">
              <w:t>1.689</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pPr>
            <w:r w:rsidRPr="002844B1">
              <w:t>1.3263</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pPr>
            <w:r w:rsidRPr="002844B1">
              <w:t>1.177</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pPr>
            <w:r w:rsidRPr="002844B1">
              <w:t>1.1161</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pPr>
            <w:r w:rsidRPr="002844B1">
              <w:t>1.0585</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pPr>
            <w:r w:rsidRPr="002844B1">
              <w:t>1.045</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pPr>
            <w:r w:rsidRPr="002844B1">
              <w:t>1.0234</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pPr>
            <w:r w:rsidRPr="002844B1">
              <w:t>1.0176</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pPr>
            <w:r w:rsidRPr="002844B1">
              <w:t>1.0164</w:t>
            </w:r>
          </w:p>
        </w:tc>
      </w:tr>
    </w:tbl>
    <w:bookmarkEnd w:id="155"/>
    <w:p w:rsidR="005B279D" w:rsidRPr="002844B1" w:rsidRDefault="00000000">
      <w:pPr>
        <w:pStyle w:val="BodyText"/>
      </w:pPr>
      <w:r w:rsidRPr="002844B1">
        <w:t xml:space="preserve">Ces facteurs sont ensuite </w:t>
      </w:r>
      <w:r w:rsidR="007633AB" w:rsidRPr="002844B1">
        <w:t>utilisés</w:t>
      </w:r>
      <w:r w:rsidRPr="002844B1">
        <w:t xml:space="preserve"> pour remplir le triangle inférieur par la méthode de Chaine Ladder pour obtenir les règlements futurs (</w:t>
      </w:r>
      <w:hyperlink w:anchor="tbl-regF">
        <w:r w:rsidRPr="002844B1">
          <w:rPr>
            <w:rStyle w:val="Hyperlink"/>
          </w:rPr>
          <w:t>Table 9</w:t>
        </w:r>
      </w:hyperlink>
      <w:r w:rsidRPr="002844B1">
        <w:t>) cumulés dons la dernières colonnes représente les charges ultimes.</w:t>
      </w:r>
    </w:p>
    <w:p w:rsidR="005B279D" w:rsidRPr="002844B1" w:rsidRDefault="005B279D">
      <w:pPr>
        <w:pStyle w:val="TableCaption"/>
      </w:pPr>
      <w:bookmarkStart w:id="156" w:name="tbl-regF"/>
    </w:p>
    <w:p w:rsidR="00D70A47" w:rsidRPr="002844B1" w:rsidRDefault="00D70A47" w:rsidP="00D70A47">
      <w:pPr>
        <w:pStyle w:val="Caption"/>
        <w:keepNext/>
      </w:pPr>
      <w:r w:rsidRPr="002844B1">
        <w:t xml:space="preserve">Table </w:t>
      </w:r>
      <w:r w:rsidRPr="002844B1">
        <w:fldChar w:fldCharType="begin"/>
      </w:r>
      <w:r w:rsidRPr="002844B1">
        <w:instrText xml:space="preserve"> SEQ Table \* ARABIC </w:instrText>
      </w:r>
      <w:r w:rsidRPr="002844B1">
        <w:fldChar w:fldCharType="separate"/>
      </w:r>
      <w:r w:rsidR="008E2C01" w:rsidRPr="002844B1">
        <w:rPr>
          <w:noProof/>
        </w:rPr>
        <w:t>9</w:t>
      </w:r>
      <w:r w:rsidRPr="002844B1">
        <w:fldChar w:fldCharType="end"/>
      </w:r>
      <w:r w:rsidRPr="002844B1">
        <w:t xml:space="preserve">: </w:t>
      </w:r>
      <w:r w:rsidR="007633AB" w:rsidRPr="002844B1">
        <w:t>Règlements</w:t>
      </w:r>
      <w:r w:rsidRPr="002844B1">
        <w:t xml:space="preserve"> futurs cumulées</w:t>
      </w:r>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2844B1" w:rsidTr="00D70A47">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rsidR="00D70A47" w:rsidRPr="002844B1" w:rsidRDefault="00D70A47">
            <w:pPr>
              <w:rPr>
                <w:rFonts w:ascii="Calibri" w:hAnsi="Calibri" w:cs="Calibri"/>
                <w:color w:val="000000"/>
                <w:sz w:val="13"/>
                <w:szCs w:val="13"/>
              </w:rPr>
            </w:pPr>
            <w:r w:rsidRPr="002844B1">
              <w:rPr>
                <w:rFonts w:ascii="Calibri" w:hAnsi="Calibri" w:cs="Calibri"/>
                <w:color w:val="000000"/>
                <w:sz w:val="13"/>
                <w:szCs w:val="13"/>
              </w:rPr>
              <w:t> </w:t>
            </w:r>
          </w:p>
        </w:tc>
        <w:tc>
          <w:tcPr>
            <w:tcW w:w="417" w:type="pct"/>
            <w:tcBorders>
              <w:top w:val="single" w:sz="4" w:space="0" w:color="auto"/>
              <w:left w:val="nil"/>
              <w:bottom w:val="single" w:sz="4" w:space="0" w:color="auto"/>
              <w:right w:val="single" w:sz="4" w:space="0" w:color="auto"/>
            </w:tcBorders>
            <w:shd w:val="clear" w:color="000000" w:fill="FFFF00"/>
            <w:noWrap/>
            <w:hideMark/>
          </w:tcPr>
          <w:p w:rsidR="00D70A47" w:rsidRPr="002844B1" w:rsidRDefault="00D70A47">
            <w:pPr>
              <w:jc w:val="right"/>
              <w:rPr>
                <w:rFonts w:ascii="Calibri" w:hAnsi="Calibri" w:cs="Calibri"/>
                <w:color w:val="000000"/>
                <w:sz w:val="13"/>
                <w:szCs w:val="13"/>
              </w:rPr>
            </w:pPr>
            <w:r w:rsidRPr="002844B1">
              <w:rPr>
                <w:rFonts w:ascii="Calibri" w:hAnsi="Calibri" w:cs="Calibri"/>
                <w:color w:val="000000"/>
                <w:sz w:val="13"/>
                <w:szCs w:val="13"/>
              </w:rPr>
              <w:t>0</w:t>
            </w:r>
          </w:p>
        </w:tc>
        <w:tc>
          <w:tcPr>
            <w:tcW w:w="417" w:type="pct"/>
            <w:tcBorders>
              <w:top w:val="single" w:sz="4" w:space="0" w:color="auto"/>
              <w:left w:val="nil"/>
              <w:bottom w:val="single" w:sz="4" w:space="0" w:color="auto"/>
              <w:right w:val="single" w:sz="4" w:space="0" w:color="auto"/>
            </w:tcBorders>
            <w:shd w:val="clear" w:color="000000" w:fill="FFFF00"/>
            <w:noWrap/>
            <w:hideMark/>
          </w:tcPr>
          <w:p w:rsidR="00D70A47" w:rsidRPr="002844B1" w:rsidRDefault="00D70A47">
            <w:pPr>
              <w:jc w:val="right"/>
              <w:rPr>
                <w:rFonts w:ascii="Calibri" w:hAnsi="Calibri" w:cs="Calibri"/>
                <w:color w:val="000000"/>
                <w:sz w:val="13"/>
                <w:szCs w:val="13"/>
              </w:rPr>
            </w:pPr>
            <w:r w:rsidRPr="002844B1">
              <w:rPr>
                <w:rFonts w:ascii="Calibri" w:hAnsi="Calibri" w:cs="Calibri"/>
                <w:color w:val="000000"/>
                <w:sz w:val="13"/>
                <w:szCs w:val="13"/>
              </w:rPr>
              <w:t>1</w:t>
            </w:r>
          </w:p>
        </w:tc>
        <w:tc>
          <w:tcPr>
            <w:tcW w:w="417" w:type="pct"/>
            <w:tcBorders>
              <w:top w:val="single" w:sz="4" w:space="0" w:color="auto"/>
              <w:left w:val="nil"/>
              <w:bottom w:val="single" w:sz="4" w:space="0" w:color="auto"/>
              <w:right w:val="single" w:sz="4" w:space="0" w:color="auto"/>
            </w:tcBorders>
            <w:shd w:val="clear" w:color="000000" w:fill="FFFF00"/>
            <w:noWrap/>
            <w:hideMark/>
          </w:tcPr>
          <w:p w:rsidR="00D70A47" w:rsidRPr="002844B1" w:rsidRDefault="00D70A47">
            <w:pPr>
              <w:jc w:val="right"/>
              <w:rPr>
                <w:rFonts w:ascii="Calibri" w:hAnsi="Calibri" w:cs="Calibri"/>
                <w:color w:val="000000"/>
                <w:sz w:val="13"/>
                <w:szCs w:val="13"/>
              </w:rPr>
            </w:pPr>
            <w:r w:rsidRPr="002844B1">
              <w:rPr>
                <w:rFonts w:ascii="Calibri" w:hAnsi="Calibri" w:cs="Calibri"/>
                <w:color w:val="000000"/>
                <w:sz w:val="13"/>
                <w:szCs w:val="13"/>
              </w:rPr>
              <w:t>2</w:t>
            </w:r>
          </w:p>
        </w:tc>
        <w:tc>
          <w:tcPr>
            <w:tcW w:w="417" w:type="pct"/>
            <w:tcBorders>
              <w:top w:val="single" w:sz="4" w:space="0" w:color="auto"/>
              <w:left w:val="nil"/>
              <w:bottom w:val="single" w:sz="4" w:space="0" w:color="auto"/>
              <w:right w:val="single" w:sz="4" w:space="0" w:color="auto"/>
            </w:tcBorders>
            <w:shd w:val="clear" w:color="000000" w:fill="FFFF00"/>
            <w:noWrap/>
            <w:hideMark/>
          </w:tcPr>
          <w:p w:rsidR="00D70A47" w:rsidRPr="002844B1" w:rsidRDefault="00D70A47">
            <w:pPr>
              <w:jc w:val="right"/>
              <w:rPr>
                <w:rFonts w:ascii="Calibri" w:hAnsi="Calibri" w:cs="Calibri"/>
                <w:color w:val="000000"/>
                <w:sz w:val="13"/>
                <w:szCs w:val="13"/>
              </w:rPr>
            </w:pPr>
            <w:r w:rsidRPr="002844B1">
              <w:rPr>
                <w:rFonts w:ascii="Calibri" w:hAnsi="Calibri" w:cs="Calibri"/>
                <w:color w:val="000000"/>
                <w:sz w:val="13"/>
                <w:szCs w:val="13"/>
              </w:rPr>
              <w:t>3</w:t>
            </w:r>
          </w:p>
        </w:tc>
        <w:tc>
          <w:tcPr>
            <w:tcW w:w="417" w:type="pct"/>
            <w:tcBorders>
              <w:top w:val="single" w:sz="4" w:space="0" w:color="auto"/>
              <w:left w:val="nil"/>
              <w:bottom w:val="single" w:sz="4" w:space="0" w:color="auto"/>
              <w:right w:val="single" w:sz="4" w:space="0" w:color="auto"/>
            </w:tcBorders>
            <w:shd w:val="clear" w:color="000000" w:fill="FFFF00"/>
            <w:noWrap/>
            <w:hideMark/>
          </w:tcPr>
          <w:p w:rsidR="00D70A47" w:rsidRPr="002844B1" w:rsidRDefault="00D70A47">
            <w:pPr>
              <w:jc w:val="right"/>
              <w:rPr>
                <w:rFonts w:ascii="Calibri" w:hAnsi="Calibri" w:cs="Calibri"/>
                <w:color w:val="000000"/>
                <w:sz w:val="13"/>
                <w:szCs w:val="13"/>
              </w:rPr>
            </w:pPr>
            <w:r w:rsidRPr="002844B1">
              <w:rPr>
                <w:rFonts w:ascii="Calibri" w:hAnsi="Calibri" w:cs="Calibri"/>
                <w:color w:val="000000"/>
                <w:sz w:val="13"/>
                <w:szCs w:val="13"/>
              </w:rPr>
              <w:t>4</w:t>
            </w:r>
          </w:p>
        </w:tc>
        <w:tc>
          <w:tcPr>
            <w:tcW w:w="417" w:type="pct"/>
            <w:tcBorders>
              <w:top w:val="single" w:sz="4" w:space="0" w:color="auto"/>
              <w:left w:val="nil"/>
              <w:bottom w:val="single" w:sz="4" w:space="0" w:color="auto"/>
              <w:right w:val="single" w:sz="4" w:space="0" w:color="auto"/>
            </w:tcBorders>
            <w:shd w:val="clear" w:color="000000" w:fill="FFFF00"/>
            <w:noWrap/>
            <w:hideMark/>
          </w:tcPr>
          <w:p w:rsidR="00D70A47" w:rsidRPr="002844B1" w:rsidRDefault="00D70A47">
            <w:pPr>
              <w:jc w:val="right"/>
              <w:rPr>
                <w:rFonts w:ascii="Calibri" w:hAnsi="Calibri" w:cs="Calibri"/>
                <w:color w:val="000000"/>
                <w:sz w:val="13"/>
                <w:szCs w:val="13"/>
              </w:rPr>
            </w:pPr>
            <w:r w:rsidRPr="002844B1">
              <w:rPr>
                <w:rFonts w:ascii="Calibri" w:hAnsi="Calibri" w:cs="Calibri"/>
                <w:color w:val="000000"/>
                <w:sz w:val="13"/>
                <w:szCs w:val="13"/>
              </w:rPr>
              <w:t>5</w:t>
            </w:r>
          </w:p>
        </w:tc>
        <w:tc>
          <w:tcPr>
            <w:tcW w:w="417" w:type="pct"/>
            <w:tcBorders>
              <w:top w:val="single" w:sz="4" w:space="0" w:color="auto"/>
              <w:left w:val="nil"/>
              <w:bottom w:val="single" w:sz="4" w:space="0" w:color="auto"/>
              <w:right w:val="single" w:sz="4" w:space="0" w:color="auto"/>
            </w:tcBorders>
            <w:shd w:val="clear" w:color="000000" w:fill="FFFF00"/>
            <w:noWrap/>
            <w:hideMark/>
          </w:tcPr>
          <w:p w:rsidR="00D70A47" w:rsidRPr="002844B1" w:rsidRDefault="00D70A47">
            <w:pPr>
              <w:jc w:val="right"/>
              <w:rPr>
                <w:rFonts w:ascii="Calibri" w:hAnsi="Calibri" w:cs="Calibri"/>
                <w:color w:val="000000"/>
                <w:sz w:val="13"/>
                <w:szCs w:val="13"/>
              </w:rPr>
            </w:pPr>
            <w:r w:rsidRPr="002844B1">
              <w:rPr>
                <w:rFonts w:ascii="Calibri" w:hAnsi="Calibri" w:cs="Calibri"/>
                <w:color w:val="000000"/>
                <w:sz w:val="13"/>
                <w:szCs w:val="13"/>
              </w:rPr>
              <w:t>6</w:t>
            </w:r>
          </w:p>
        </w:tc>
        <w:tc>
          <w:tcPr>
            <w:tcW w:w="417" w:type="pct"/>
            <w:tcBorders>
              <w:top w:val="single" w:sz="4" w:space="0" w:color="auto"/>
              <w:left w:val="nil"/>
              <w:bottom w:val="single" w:sz="4" w:space="0" w:color="auto"/>
              <w:right w:val="single" w:sz="4" w:space="0" w:color="auto"/>
            </w:tcBorders>
            <w:shd w:val="clear" w:color="000000" w:fill="FFFF00"/>
            <w:noWrap/>
            <w:hideMark/>
          </w:tcPr>
          <w:p w:rsidR="00D70A47" w:rsidRPr="002844B1" w:rsidRDefault="00D70A47">
            <w:pPr>
              <w:jc w:val="right"/>
              <w:rPr>
                <w:rFonts w:ascii="Calibri" w:hAnsi="Calibri" w:cs="Calibri"/>
                <w:color w:val="000000"/>
                <w:sz w:val="13"/>
                <w:szCs w:val="13"/>
              </w:rPr>
            </w:pPr>
            <w:r w:rsidRPr="002844B1">
              <w:rPr>
                <w:rFonts w:ascii="Calibri" w:hAnsi="Calibri" w:cs="Calibri"/>
                <w:color w:val="000000"/>
                <w:sz w:val="13"/>
                <w:szCs w:val="13"/>
              </w:rPr>
              <w:t>7</w:t>
            </w:r>
          </w:p>
        </w:tc>
        <w:tc>
          <w:tcPr>
            <w:tcW w:w="417" w:type="pct"/>
            <w:tcBorders>
              <w:top w:val="single" w:sz="4" w:space="0" w:color="auto"/>
              <w:left w:val="nil"/>
              <w:bottom w:val="single" w:sz="4" w:space="0" w:color="auto"/>
              <w:right w:val="single" w:sz="4" w:space="0" w:color="auto"/>
            </w:tcBorders>
            <w:shd w:val="clear" w:color="000000" w:fill="FFFF00"/>
            <w:noWrap/>
            <w:hideMark/>
          </w:tcPr>
          <w:p w:rsidR="00D70A47" w:rsidRPr="002844B1" w:rsidRDefault="00D70A47">
            <w:pPr>
              <w:jc w:val="right"/>
              <w:rPr>
                <w:rFonts w:ascii="Calibri" w:hAnsi="Calibri" w:cs="Calibri"/>
                <w:color w:val="000000"/>
                <w:sz w:val="13"/>
                <w:szCs w:val="13"/>
              </w:rPr>
            </w:pPr>
            <w:r w:rsidRPr="002844B1">
              <w:rPr>
                <w:rFonts w:ascii="Calibri" w:hAnsi="Calibri" w:cs="Calibri"/>
                <w:color w:val="000000"/>
                <w:sz w:val="13"/>
                <w:szCs w:val="13"/>
              </w:rPr>
              <w:t>8</w:t>
            </w:r>
          </w:p>
        </w:tc>
        <w:tc>
          <w:tcPr>
            <w:tcW w:w="417" w:type="pct"/>
            <w:tcBorders>
              <w:top w:val="single" w:sz="4" w:space="0" w:color="auto"/>
              <w:left w:val="nil"/>
              <w:bottom w:val="single" w:sz="4" w:space="0" w:color="auto"/>
              <w:right w:val="single" w:sz="4" w:space="0" w:color="auto"/>
            </w:tcBorders>
            <w:shd w:val="clear" w:color="000000" w:fill="FFFF00"/>
            <w:noWrap/>
            <w:hideMark/>
          </w:tcPr>
          <w:p w:rsidR="00D70A47" w:rsidRPr="002844B1" w:rsidRDefault="00D70A47">
            <w:pPr>
              <w:jc w:val="right"/>
              <w:rPr>
                <w:rFonts w:ascii="Calibri" w:hAnsi="Calibri" w:cs="Calibri"/>
                <w:color w:val="000000"/>
                <w:sz w:val="13"/>
                <w:szCs w:val="13"/>
              </w:rPr>
            </w:pPr>
            <w:r w:rsidRPr="002844B1">
              <w:rPr>
                <w:rFonts w:ascii="Calibri" w:hAnsi="Calibri" w:cs="Calibri"/>
                <w:color w:val="000000"/>
                <w:sz w:val="13"/>
                <w:szCs w:val="13"/>
              </w:rPr>
              <w:t>9</w:t>
            </w:r>
          </w:p>
        </w:tc>
        <w:tc>
          <w:tcPr>
            <w:tcW w:w="413" w:type="pct"/>
            <w:tcBorders>
              <w:top w:val="single" w:sz="4" w:space="0" w:color="auto"/>
              <w:left w:val="nil"/>
              <w:bottom w:val="single" w:sz="4" w:space="0" w:color="auto"/>
              <w:right w:val="single" w:sz="4" w:space="0" w:color="auto"/>
            </w:tcBorders>
            <w:shd w:val="clear" w:color="000000" w:fill="FFFF00"/>
            <w:noWrap/>
            <w:hideMark/>
          </w:tcPr>
          <w:p w:rsidR="00D70A47" w:rsidRPr="002844B1" w:rsidRDefault="00D70A47">
            <w:pPr>
              <w:jc w:val="right"/>
              <w:rPr>
                <w:rFonts w:ascii="Calibri" w:hAnsi="Calibri" w:cs="Calibri"/>
                <w:color w:val="000000"/>
                <w:sz w:val="13"/>
                <w:szCs w:val="13"/>
              </w:rPr>
            </w:pPr>
            <w:r w:rsidRPr="002844B1">
              <w:rPr>
                <w:rFonts w:ascii="Calibri" w:hAnsi="Calibri" w:cs="Calibri"/>
                <w:color w:val="000000"/>
                <w:sz w:val="13"/>
                <w:szCs w:val="13"/>
              </w:rPr>
              <w:t>10</w:t>
            </w:r>
          </w:p>
        </w:tc>
      </w:tr>
      <w:tr w:rsidR="00D70A47" w:rsidRPr="002844B1"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rsidR="00D70A47" w:rsidRPr="002844B1" w:rsidRDefault="00D70A47">
            <w:pPr>
              <w:jc w:val="right"/>
              <w:rPr>
                <w:rFonts w:ascii="Calibri" w:hAnsi="Calibri" w:cs="Calibri"/>
                <w:color w:val="000000"/>
                <w:sz w:val="13"/>
                <w:szCs w:val="13"/>
              </w:rPr>
            </w:pPr>
            <w:r w:rsidRPr="002844B1">
              <w:rPr>
                <w:rFonts w:ascii="Calibri" w:hAnsi="Calibri" w:cs="Calibri"/>
                <w:color w:val="000000"/>
                <w:sz w:val="13"/>
                <w:szCs w:val="13"/>
              </w:rPr>
              <w:t>2011</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3 504,00</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17 838,65</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29 762,13</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37 354,13</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48 113,13</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54 288,92</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60 990,92</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64 953,92</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67 075,06</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67 961,14</w:t>
            </w:r>
          </w:p>
        </w:tc>
        <w:tc>
          <w:tcPr>
            <w:tcW w:w="413"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69 073,14</w:t>
            </w:r>
          </w:p>
        </w:tc>
      </w:tr>
      <w:tr w:rsidR="00D70A47" w:rsidRPr="002844B1"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rsidR="00D70A47" w:rsidRPr="002844B1" w:rsidRDefault="00D70A47">
            <w:pPr>
              <w:jc w:val="right"/>
              <w:rPr>
                <w:rFonts w:ascii="Calibri" w:hAnsi="Calibri" w:cs="Calibri"/>
                <w:color w:val="000000"/>
                <w:sz w:val="13"/>
                <w:szCs w:val="13"/>
              </w:rPr>
            </w:pPr>
            <w:r w:rsidRPr="002844B1">
              <w:rPr>
                <w:rFonts w:ascii="Calibri" w:hAnsi="Calibri" w:cs="Calibri"/>
                <w:color w:val="000000"/>
                <w:sz w:val="13"/>
                <w:szCs w:val="13"/>
              </w:rPr>
              <w:t>2012</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4 774,24</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14 225,85</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24 891,85</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38 451,85</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45 605,98</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54 219,98</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57 611,98</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61 752,56</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62 906,74</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64 306,33</w:t>
            </w:r>
          </w:p>
        </w:tc>
        <w:tc>
          <w:tcPr>
            <w:tcW w:w="413"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65 358,53</w:t>
            </w:r>
          </w:p>
        </w:tc>
      </w:tr>
      <w:tr w:rsidR="00D70A47" w:rsidRPr="002844B1"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rsidR="00D70A47" w:rsidRPr="002844B1" w:rsidRDefault="00D70A47">
            <w:pPr>
              <w:jc w:val="right"/>
              <w:rPr>
                <w:rFonts w:ascii="Calibri" w:hAnsi="Calibri" w:cs="Calibri"/>
                <w:color w:val="000000"/>
                <w:sz w:val="13"/>
                <w:szCs w:val="13"/>
              </w:rPr>
            </w:pPr>
            <w:r w:rsidRPr="002844B1">
              <w:rPr>
                <w:rFonts w:ascii="Calibri" w:hAnsi="Calibri" w:cs="Calibri"/>
                <w:color w:val="000000"/>
                <w:sz w:val="13"/>
                <w:szCs w:val="13"/>
              </w:rPr>
              <w:t>2013</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3 821,92</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12 489,92</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28 284,92</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39 782,63</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46 485,63</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51 429,63</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53 462,05</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54 797,99</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55 771,01</w:t>
            </w:r>
          </w:p>
        </w:tc>
        <w:tc>
          <w:tcPr>
            <w:tcW w:w="417"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56 751,72</w:t>
            </w:r>
          </w:p>
        </w:tc>
        <w:tc>
          <w:tcPr>
            <w:tcW w:w="413"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57 680,30</w:t>
            </w:r>
          </w:p>
        </w:tc>
      </w:tr>
      <w:tr w:rsidR="00D70A47" w:rsidRPr="002844B1"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rsidR="00D70A47" w:rsidRPr="002844B1" w:rsidRDefault="00D70A47">
            <w:pPr>
              <w:jc w:val="right"/>
              <w:rPr>
                <w:rFonts w:ascii="Calibri" w:hAnsi="Calibri" w:cs="Calibri"/>
                <w:color w:val="000000"/>
                <w:sz w:val="13"/>
                <w:szCs w:val="13"/>
              </w:rPr>
            </w:pPr>
            <w:r w:rsidRPr="002844B1">
              <w:rPr>
                <w:rFonts w:ascii="Calibri" w:hAnsi="Calibri" w:cs="Calibri"/>
                <w:color w:val="000000"/>
                <w:sz w:val="13"/>
                <w:szCs w:val="13"/>
              </w:rPr>
              <w:t>2014</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4 074,00</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19 021,00</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35 729,00</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50 865,00</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58 417,00</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62 138,27</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63 510,56</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64 673,57</w:t>
            </w:r>
          </w:p>
        </w:tc>
        <w:tc>
          <w:tcPr>
            <w:tcW w:w="417"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66 187,34</w:t>
            </w:r>
          </w:p>
        </w:tc>
        <w:tc>
          <w:tcPr>
            <w:tcW w:w="417"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67 351,21</w:t>
            </w:r>
          </w:p>
        </w:tc>
        <w:tc>
          <w:tcPr>
            <w:tcW w:w="413"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68 453,23</w:t>
            </w:r>
          </w:p>
        </w:tc>
      </w:tr>
      <w:tr w:rsidR="00D70A47" w:rsidRPr="002844B1"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rsidR="00D70A47" w:rsidRPr="002844B1" w:rsidRDefault="00D70A47">
            <w:pPr>
              <w:jc w:val="right"/>
              <w:rPr>
                <w:rFonts w:ascii="Calibri" w:hAnsi="Calibri" w:cs="Calibri"/>
                <w:color w:val="000000"/>
                <w:sz w:val="13"/>
                <w:szCs w:val="13"/>
              </w:rPr>
            </w:pPr>
            <w:r w:rsidRPr="002844B1">
              <w:rPr>
                <w:rFonts w:ascii="Calibri" w:hAnsi="Calibri" w:cs="Calibri"/>
                <w:color w:val="000000"/>
                <w:sz w:val="13"/>
                <w:szCs w:val="13"/>
              </w:rPr>
              <w:t>2015</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5 070,00</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19 512,00</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41 560,00</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51 917,00</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59 168,44</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66 278,59</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69 647,56</w:t>
            </w:r>
          </w:p>
        </w:tc>
        <w:tc>
          <w:tcPr>
            <w:tcW w:w="417"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72 782,18</w:t>
            </w:r>
          </w:p>
        </w:tc>
        <w:tc>
          <w:tcPr>
            <w:tcW w:w="417"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74 485,74</w:t>
            </w:r>
          </w:p>
        </w:tc>
        <w:tc>
          <w:tcPr>
            <w:tcW w:w="417"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75 795,54</w:t>
            </w:r>
          </w:p>
        </w:tc>
        <w:tc>
          <w:tcPr>
            <w:tcW w:w="413"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77 035,73</w:t>
            </w:r>
          </w:p>
        </w:tc>
      </w:tr>
      <w:tr w:rsidR="00D70A47" w:rsidRPr="002844B1"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rsidR="00D70A47" w:rsidRPr="002844B1" w:rsidRDefault="00D70A47">
            <w:pPr>
              <w:jc w:val="right"/>
              <w:rPr>
                <w:rFonts w:ascii="Calibri" w:hAnsi="Calibri" w:cs="Calibri"/>
                <w:color w:val="000000"/>
                <w:sz w:val="13"/>
                <w:szCs w:val="13"/>
              </w:rPr>
            </w:pPr>
            <w:r w:rsidRPr="002844B1">
              <w:rPr>
                <w:rFonts w:ascii="Calibri" w:hAnsi="Calibri" w:cs="Calibri"/>
                <w:color w:val="000000"/>
                <w:sz w:val="13"/>
                <w:szCs w:val="13"/>
              </w:rPr>
              <w:t>2016</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3 817,00</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17 940,00</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27 339,00</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33 666,67</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37 893,96</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41 649,41</w:t>
            </w:r>
          </w:p>
        </w:tc>
        <w:tc>
          <w:tcPr>
            <w:tcW w:w="417"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44 085,75</w:t>
            </w:r>
          </w:p>
        </w:tc>
        <w:tc>
          <w:tcPr>
            <w:tcW w:w="417"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46 069,91</w:t>
            </w:r>
          </w:p>
        </w:tc>
        <w:tc>
          <w:tcPr>
            <w:tcW w:w="417"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47 148,24</w:t>
            </w:r>
          </w:p>
        </w:tc>
        <w:tc>
          <w:tcPr>
            <w:tcW w:w="417"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47 977,31</w:t>
            </w:r>
          </w:p>
        </w:tc>
        <w:tc>
          <w:tcPr>
            <w:tcW w:w="413"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48 762,33</w:t>
            </w:r>
          </w:p>
        </w:tc>
      </w:tr>
      <w:tr w:rsidR="00D70A47" w:rsidRPr="002844B1"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rsidR="00D70A47" w:rsidRPr="002844B1" w:rsidRDefault="00D70A47">
            <w:pPr>
              <w:jc w:val="right"/>
              <w:rPr>
                <w:rFonts w:ascii="Calibri" w:hAnsi="Calibri" w:cs="Calibri"/>
                <w:color w:val="000000"/>
                <w:sz w:val="13"/>
                <w:szCs w:val="13"/>
              </w:rPr>
            </w:pPr>
            <w:r w:rsidRPr="002844B1">
              <w:rPr>
                <w:rFonts w:ascii="Calibri" w:hAnsi="Calibri" w:cs="Calibri"/>
                <w:color w:val="000000"/>
                <w:sz w:val="13"/>
                <w:szCs w:val="13"/>
              </w:rPr>
              <w:t>2017</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7 838,00</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23 756,00</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34 489,85</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42 665,27</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51 181,77</w:t>
            </w:r>
          </w:p>
        </w:tc>
        <w:tc>
          <w:tcPr>
            <w:tcW w:w="417"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57 122,55</w:t>
            </w:r>
          </w:p>
        </w:tc>
        <w:tc>
          <w:tcPr>
            <w:tcW w:w="417"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60 464,00</w:t>
            </w:r>
          </w:p>
        </w:tc>
        <w:tc>
          <w:tcPr>
            <w:tcW w:w="417"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63 185,29</w:t>
            </w:r>
          </w:p>
        </w:tc>
        <w:tc>
          <w:tcPr>
            <w:tcW w:w="417"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64 664,23</w:t>
            </w:r>
          </w:p>
        </w:tc>
        <w:tc>
          <w:tcPr>
            <w:tcW w:w="417"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65 801,32</w:t>
            </w:r>
          </w:p>
        </w:tc>
        <w:tc>
          <w:tcPr>
            <w:tcW w:w="413"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66 877,98</w:t>
            </w:r>
          </w:p>
        </w:tc>
      </w:tr>
      <w:tr w:rsidR="00D70A47" w:rsidRPr="002844B1"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rsidR="00D70A47" w:rsidRPr="002844B1" w:rsidRDefault="00D70A47">
            <w:pPr>
              <w:jc w:val="right"/>
              <w:rPr>
                <w:rFonts w:ascii="Calibri" w:hAnsi="Calibri" w:cs="Calibri"/>
                <w:color w:val="000000"/>
                <w:sz w:val="13"/>
                <w:szCs w:val="13"/>
              </w:rPr>
            </w:pPr>
            <w:r w:rsidRPr="002844B1">
              <w:rPr>
                <w:rFonts w:ascii="Calibri" w:hAnsi="Calibri" w:cs="Calibri"/>
                <w:color w:val="000000"/>
                <w:sz w:val="13"/>
                <w:szCs w:val="13"/>
              </w:rPr>
              <w:t>2018</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7 690,00</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29 440,55</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43 027,97</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56 870,69</w:t>
            </w:r>
          </w:p>
        </w:tc>
        <w:tc>
          <w:tcPr>
            <w:tcW w:w="417"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66 936,99</w:t>
            </w:r>
          </w:p>
        </w:tc>
        <w:tc>
          <w:tcPr>
            <w:tcW w:w="417"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74 706,50</w:t>
            </w:r>
          </w:p>
        </w:tc>
        <w:tc>
          <w:tcPr>
            <w:tcW w:w="417"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79 076,55</w:t>
            </w:r>
          </w:p>
        </w:tc>
        <w:tc>
          <w:tcPr>
            <w:tcW w:w="417"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82 635,54</w:t>
            </w:r>
          </w:p>
        </w:tc>
        <w:tc>
          <w:tcPr>
            <w:tcW w:w="417"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84 569,73</w:t>
            </w:r>
          </w:p>
        </w:tc>
        <w:tc>
          <w:tcPr>
            <w:tcW w:w="417"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86 056,85</w:t>
            </w:r>
          </w:p>
        </w:tc>
        <w:tc>
          <w:tcPr>
            <w:tcW w:w="413"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87 464,94</w:t>
            </w:r>
          </w:p>
        </w:tc>
      </w:tr>
      <w:tr w:rsidR="00D70A47" w:rsidRPr="002844B1"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rsidR="00D70A47" w:rsidRPr="002844B1" w:rsidRDefault="00D70A47">
            <w:pPr>
              <w:jc w:val="right"/>
              <w:rPr>
                <w:rFonts w:ascii="Calibri" w:hAnsi="Calibri" w:cs="Calibri"/>
                <w:color w:val="000000"/>
                <w:sz w:val="13"/>
                <w:szCs w:val="13"/>
              </w:rPr>
            </w:pPr>
            <w:r w:rsidRPr="002844B1">
              <w:rPr>
                <w:rFonts w:ascii="Calibri" w:hAnsi="Calibri" w:cs="Calibri"/>
                <w:color w:val="000000"/>
                <w:sz w:val="13"/>
                <w:szCs w:val="13"/>
              </w:rPr>
              <w:t>2019</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8 935,00</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27 985,56</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42 675,50</w:t>
            </w:r>
          </w:p>
        </w:tc>
        <w:tc>
          <w:tcPr>
            <w:tcW w:w="417"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56 599,12</w:t>
            </w:r>
          </w:p>
        </w:tc>
        <w:tc>
          <w:tcPr>
            <w:tcW w:w="417"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66 617,36</w:t>
            </w:r>
          </w:p>
        </w:tc>
        <w:tc>
          <w:tcPr>
            <w:tcW w:w="417"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74 349,77</w:t>
            </w:r>
          </w:p>
        </w:tc>
        <w:tc>
          <w:tcPr>
            <w:tcW w:w="417"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78 698,95</w:t>
            </w:r>
          </w:p>
        </w:tc>
        <w:tc>
          <w:tcPr>
            <w:tcW w:w="417"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82 240,95</w:t>
            </w:r>
          </w:p>
        </w:tc>
        <w:tc>
          <w:tcPr>
            <w:tcW w:w="417"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84 165,90</w:t>
            </w:r>
          </w:p>
        </w:tc>
        <w:tc>
          <w:tcPr>
            <w:tcW w:w="417"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85 645,92</w:t>
            </w:r>
          </w:p>
        </w:tc>
        <w:tc>
          <w:tcPr>
            <w:tcW w:w="413"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87 047,28</w:t>
            </w:r>
          </w:p>
        </w:tc>
      </w:tr>
      <w:tr w:rsidR="00D70A47" w:rsidRPr="002844B1"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rsidR="00D70A47" w:rsidRPr="002844B1" w:rsidRDefault="00D70A47">
            <w:pPr>
              <w:jc w:val="right"/>
              <w:rPr>
                <w:rFonts w:ascii="Calibri" w:hAnsi="Calibri" w:cs="Calibri"/>
                <w:color w:val="000000"/>
                <w:sz w:val="13"/>
                <w:szCs w:val="13"/>
              </w:rPr>
            </w:pPr>
            <w:r w:rsidRPr="002844B1">
              <w:rPr>
                <w:rFonts w:ascii="Calibri" w:hAnsi="Calibri" w:cs="Calibri"/>
                <w:color w:val="000000"/>
                <w:sz w:val="13"/>
                <w:szCs w:val="13"/>
              </w:rPr>
              <w:t>2020</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4 979,97</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21 154,81</w:t>
            </w:r>
          </w:p>
        </w:tc>
        <w:tc>
          <w:tcPr>
            <w:tcW w:w="417"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35 731,44</w:t>
            </w:r>
          </w:p>
        </w:tc>
        <w:tc>
          <w:tcPr>
            <w:tcW w:w="417"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47 389,45</w:t>
            </w:r>
          </w:p>
        </w:tc>
        <w:tc>
          <w:tcPr>
            <w:tcW w:w="417"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55 777,54</w:t>
            </w:r>
          </w:p>
        </w:tc>
        <w:tc>
          <w:tcPr>
            <w:tcW w:w="417"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62 251,75</w:t>
            </w:r>
          </w:p>
        </w:tc>
        <w:tc>
          <w:tcPr>
            <w:tcW w:w="417"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65 893,24</w:t>
            </w:r>
          </w:p>
        </w:tc>
        <w:tc>
          <w:tcPr>
            <w:tcW w:w="417"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68 858,89</w:t>
            </w:r>
          </w:p>
        </w:tc>
        <w:tc>
          <w:tcPr>
            <w:tcW w:w="417"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70 470,62</w:t>
            </w:r>
          </w:p>
        </w:tc>
        <w:tc>
          <w:tcPr>
            <w:tcW w:w="417"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71 709,81</w:t>
            </w:r>
          </w:p>
        </w:tc>
        <w:tc>
          <w:tcPr>
            <w:tcW w:w="413"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72 883,15</w:t>
            </w:r>
          </w:p>
        </w:tc>
      </w:tr>
      <w:tr w:rsidR="00D70A47" w:rsidRPr="002844B1"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rsidR="00D70A47" w:rsidRPr="002844B1" w:rsidRDefault="00D70A47">
            <w:pPr>
              <w:jc w:val="right"/>
              <w:rPr>
                <w:rFonts w:ascii="Calibri" w:hAnsi="Calibri" w:cs="Calibri"/>
                <w:color w:val="000000"/>
                <w:sz w:val="13"/>
                <w:szCs w:val="13"/>
              </w:rPr>
            </w:pPr>
            <w:r w:rsidRPr="002844B1">
              <w:rPr>
                <w:rFonts w:ascii="Calibri" w:hAnsi="Calibri" w:cs="Calibri"/>
                <w:color w:val="000000"/>
                <w:sz w:val="13"/>
                <w:szCs w:val="13"/>
              </w:rPr>
              <w:t>2021</w:t>
            </w:r>
          </w:p>
        </w:tc>
        <w:tc>
          <w:tcPr>
            <w:tcW w:w="417" w:type="pct"/>
            <w:tcBorders>
              <w:top w:val="nil"/>
              <w:left w:val="nil"/>
              <w:bottom w:val="single" w:sz="4" w:space="0" w:color="auto"/>
              <w:right w:val="single" w:sz="4" w:space="0" w:color="auto"/>
            </w:tcBorders>
            <w:shd w:val="clear" w:color="auto" w:fill="auto"/>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5 818,64</w:t>
            </w:r>
          </w:p>
        </w:tc>
        <w:tc>
          <w:tcPr>
            <w:tcW w:w="417"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21 710,35</w:t>
            </w:r>
          </w:p>
        </w:tc>
        <w:tc>
          <w:tcPr>
            <w:tcW w:w="417"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36 669,78</w:t>
            </w:r>
          </w:p>
        </w:tc>
        <w:tc>
          <w:tcPr>
            <w:tcW w:w="417"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48 633,93</w:t>
            </w:r>
          </w:p>
        </w:tc>
        <w:tc>
          <w:tcPr>
            <w:tcW w:w="417"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57 242,31</w:t>
            </w:r>
          </w:p>
        </w:tc>
        <w:tc>
          <w:tcPr>
            <w:tcW w:w="417"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63 886,54</w:t>
            </w:r>
          </w:p>
        </w:tc>
        <w:tc>
          <w:tcPr>
            <w:tcW w:w="417"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67 623,65</w:t>
            </w:r>
          </w:p>
        </w:tc>
        <w:tc>
          <w:tcPr>
            <w:tcW w:w="417"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70 667,19</w:t>
            </w:r>
          </w:p>
        </w:tc>
        <w:tc>
          <w:tcPr>
            <w:tcW w:w="417"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72 321,24</w:t>
            </w:r>
          </w:p>
        </w:tc>
        <w:tc>
          <w:tcPr>
            <w:tcW w:w="417"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73 592,98</w:t>
            </w:r>
          </w:p>
        </w:tc>
        <w:tc>
          <w:tcPr>
            <w:tcW w:w="413" w:type="pct"/>
            <w:tcBorders>
              <w:top w:val="nil"/>
              <w:left w:val="nil"/>
              <w:bottom w:val="single" w:sz="4" w:space="0" w:color="auto"/>
              <w:right w:val="single" w:sz="4" w:space="0" w:color="auto"/>
            </w:tcBorders>
            <w:shd w:val="clear" w:color="000000" w:fill="D9E1F2"/>
            <w:noWrap/>
            <w:hideMark/>
          </w:tcPr>
          <w:p w:rsidR="00D70A47" w:rsidRPr="002844B1" w:rsidRDefault="00D70A47">
            <w:pPr>
              <w:jc w:val="center"/>
              <w:rPr>
                <w:rFonts w:ascii="Calibri" w:hAnsi="Calibri" w:cs="Calibri"/>
                <w:color w:val="000000"/>
                <w:sz w:val="13"/>
                <w:szCs w:val="13"/>
              </w:rPr>
            </w:pPr>
            <w:r w:rsidRPr="002844B1">
              <w:rPr>
                <w:rFonts w:ascii="Calibri" w:hAnsi="Calibri" w:cs="Calibri"/>
                <w:color w:val="000000"/>
                <w:sz w:val="13"/>
                <w:szCs w:val="13"/>
              </w:rPr>
              <w:t>74 797,13</w:t>
            </w:r>
          </w:p>
        </w:tc>
      </w:tr>
    </w:tbl>
    <w:bookmarkEnd w:id="156"/>
    <w:p w:rsidR="005B279D" w:rsidRPr="002844B1" w:rsidRDefault="00000000" w:rsidP="00D70A47">
      <w:pPr>
        <w:pStyle w:val="BodyText"/>
        <w:jc w:val="both"/>
        <w:rPr>
          <w:sz w:val="21"/>
          <w:szCs w:val="21"/>
        </w:rPr>
      </w:pPr>
      <w:r w:rsidRPr="002844B1">
        <w:rPr>
          <w:sz w:val="21"/>
          <w:szCs w:val="21"/>
        </w:rPr>
        <w:t xml:space="preserve">On en déduit facilement les flux de règlements futurs en faisant la sommes des </w:t>
      </w:r>
      <w:r w:rsidR="007633AB" w:rsidRPr="002844B1">
        <w:rPr>
          <w:sz w:val="21"/>
          <w:szCs w:val="21"/>
        </w:rPr>
        <w:t>éléments</w:t>
      </w:r>
      <w:r w:rsidRPr="002844B1">
        <w:rPr>
          <w:sz w:val="21"/>
          <w:szCs w:val="21"/>
        </w:rPr>
        <w:t xml:space="preserve"> du triangle inférieur décumulé. Par suite, on obtient les cashflows pour les 10 années de projections suivants :</w:t>
      </w:r>
    </w:p>
    <w:p w:rsidR="005B279D" w:rsidRPr="002844B1" w:rsidRDefault="005B279D">
      <w:pPr>
        <w:pStyle w:val="TableCaption"/>
      </w:pPr>
      <w:bookmarkStart w:id="157" w:name="tbl-cash"/>
    </w:p>
    <w:p w:rsidR="00D70A47" w:rsidRPr="002844B1" w:rsidRDefault="00D70A47" w:rsidP="00D70A47">
      <w:pPr>
        <w:pStyle w:val="Caption"/>
        <w:keepNext/>
        <w:jc w:val="center"/>
      </w:pPr>
      <w:r w:rsidRPr="002844B1">
        <w:t xml:space="preserve">Table </w:t>
      </w:r>
      <w:r w:rsidRPr="002844B1">
        <w:fldChar w:fldCharType="begin"/>
      </w:r>
      <w:r w:rsidRPr="002844B1">
        <w:instrText xml:space="preserve"> SEQ Table \* ARABIC </w:instrText>
      </w:r>
      <w:r w:rsidRPr="002844B1">
        <w:fldChar w:fldCharType="separate"/>
      </w:r>
      <w:r w:rsidR="008E2C01" w:rsidRPr="002844B1">
        <w:rPr>
          <w:noProof/>
        </w:rPr>
        <w:t>10</w:t>
      </w:r>
      <w:r w:rsidRPr="002844B1">
        <w:fldChar w:fldCharType="end"/>
      </w:r>
      <w:r w:rsidRPr="002844B1">
        <w:t>: Flux de règlements futurs (Cafh Flows)</w:t>
      </w:r>
    </w:p>
    <w:tbl>
      <w:tblPr>
        <w:tblStyle w:val="TableGrid"/>
        <w:tblW w:w="0" w:type="auto"/>
        <w:jc w:val="center"/>
        <w:tblLook w:val="0020" w:firstRow="1" w:lastRow="0" w:firstColumn="0" w:lastColumn="0" w:noHBand="0" w:noVBand="0"/>
      </w:tblPr>
      <w:tblGrid>
        <w:gridCol w:w="731"/>
        <w:gridCol w:w="3623"/>
      </w:tblGrid>
      <w:tr w:rsidR="005B279D" w:rsidRPr="002844B1" w:rsidTr="00D70A47">
        <w:trPr>
          <w:jc w:val="center"/>
        </w:trPr>
        <w:tc>
          <w:tcPr>
            <w:tcW w:w="0" w:type="auto"/>
          </w:tcPr>
          <w:p w:rsidR="005B279D" w:rsidRPr="002844B1" w:rsidRDefault="00000000">
            <w:pPr>
              <w:pStyle w:val="Compact"/>
              <w:jc w:val="right"/>
            </w:pPr>
            <w:r w:rsidRPr="002844B1">
              <w:t>Année</w:t>
            </w:r>
          </w:p>
        </w:tc>
        <w:tc>
          <w:tcPr>
            <w:tcW w:w="0" w:type="auto"/>
          </w:tcPr>
          <w:p w:rsidR="005B279D" w:rsidRPr="002844B1" w:rsidRDefault="00000000">
            <w:pPr>
              <w:pStyle w:val="Compact"/>
              <w:jc w:val="right"/>
            </w:pPr>
            <w:r w:rsidRPr="002844B1">
              <w:t>Flux de règlements futurs nets de recours</w:t>
            </w:r>
          </w:p>
        </w:tc>
      </w:tr>
      <w:tr w:rsidR="005B279D" w:rsidRPr="002844B1" w:rsidTr="00D70A47">
        <w:trPr>
          <w:jc w:val="center"/>
        </w:trPr>
        <w:tc>
          <w:tcPr>
            <w:tcW w:w="0" w:type="auto"/>
          </w:tcPr>
          <w:p w:rsidR="005B279D" w:rsidRPr="002844B1" w:rsidRDefault="00000000">
            <w:pPr>
              <w:pStyle w:val="Compact"/>
              <w:jc w:val="right"/>
            </w:pPr>
            <w:r w:rsidRPr="002844B1">
              <w:lastRenderedPageBreak/>
              <w:t>2023</w:t>
            </w:r>
          </w:p>
        </w:tc>
        <w:tc>
          <w:tcPr>
            <w:tcW w:w="0" w:type="auto"/>
          </w:tcPr>
          <w:p w:rsidR="005B279D" w:rsidRPr="002844B1" w:rsidRDefault="00000000">
            <w:pPr>
              <w:pStyle w:val="Compact"/>
              <w:jc w:val="right"/>
            </w:pPr>
            <w:r w:rsidRPr="002844B1">
              <w:t>69516.673</w:t>
            </w:r>
          </w:p>
        </w:tc>
      </w:tr>
      <w:tr w:rsidR="005B279D" w:rsidRPr="002844B1" w:rsidTr="00D70A47">
        <w:trPr>
          <w:jc w:val="center"/>
        </w:trPr>
        <w:tc>
          <w:tcPr>
            <w:tcW w:w="0" w:type="auto"/>
          </w:tcPr>
          <w:p w:rsidR="005B279D" w:rsidRPr="002844B1" w:rsidRDefault="00000000">
            <w:pPr>
              <w:pStyle w:val="Compact"/>
              <w:jc w:val="right"/>
            </w:pPr>
            <w:r w:rsidRPr="002844B1">
              <w:t>2024</w:t>
            </w:r>
          </w:p>
        </w:tc>
        <w:tc>
          <w:tcPr>
            <w:tcW w:w="0" w:type="auto"/>
          </w:tcPr>
          <w:p w:rsidR="005B279D" w:rsidRPr="002844B1" w:rsidRDefault="00000000">
            <w:pPr>
              <w:pStyle w:val="Compact"/>
              <w:jc w:val="right"/>
            </w:pPr>
            <w:r w:rsidRPr="002844B1">
              <w:t>53526.816</w:t>
            </w:r>
          </w:p>
        </w:tc>
      </w:tr>
      <w:tr w:rsidR="005B279D" w:rsidRPr="002844B1" w:rsidTr="00D70A47">
        <w:trPr>
          <w:jc w:val="center"/>
        </w:trPr>
        <w:tc>
          <w:tcPr>
            <w:tcW w:w="0" w:type="auto"/>
          </w:tcPr>
          <w:p w:rsidR="005B279D" w:rsidRPr="002844B1" w:rsidRDefault="00000000">
            <w:pPr>
              <w:pStyle w:val="Compact"/>
              <w:jc w:val="right"/>
            </w:pPr>
            <w:r w:rsidRPr="002844B1">
              <w:t>2025</w:t>
            </w:r>
          </w:p>
        </w:tc>
        <w:tc>
          <w:tcPr>
            <w:tcW w:w="0" w:type="auto"/>
          </w:tcPr>
          <w:p w:rsidR="005B279D" w:rsidRPr="002844B1" w:rsidRDefault="00000000">
            <w:pPr>
              <w:pStyle w:val="Compact"/>
              <w:jc w:val="right"/>
            </w:pPr>
            <w:r w:rsidRPr="002844B1">
              <w:t>38666.143</w:t>
            </w:r>
          </w:p>
        </w:tc>
      </w:tr>
      <w:tr w:rsidR="005B279D" w:rsidRPr="002844B1" w:rsidTr="00D70A47">
        <w:trPr>
          <w:jc w:val="center"/>
        </w:trPr>
        <w:tc>
          <w:tcPr>
            <w:tcW w:w="0" w:type="auto"/>
          </w:tcPr>
          <w:p w:rsidR="005B279D" w:rsidRPr="002844B1" w:rsidRDefault="00000000">
            <w:pPr>
              <w:pStyle w:val="Compact"/>
              <w:jc w:val="right"/>
            </w:pPr>
            <w:r w:rsidRPr="002844B1">
              <w:t>2026</w:t>
            </w:r>
          </w:p>
        </w:tc>
        <w:tc>
          <w:tcPr>
            <w:tcW w:w="0" w:type="auto"/>
          </w:tcPr>
          <w:p w:rsidR="005B279D" w:rsidRPr="002844B1" w:rsidRDefault="00000000">
            <w:pPr>
              <w:pStyle w:val="Compact"/>
              <w:jc w:val="right"/>
            </w:pPr>
            <w:r w:rsidRPr="002844B1">
              <w:t>26538.953</w:t>
            </w:r>
          </w:p>
        </w:tc>
      </w:tr>
      <w:tr w:rsidR="005B279D" w:rsidRPr="002844B1" w:rsidTr="00D70A47">
        <w:trPr>
          <w:jc w:val="center"/>
        </w:trPr>
        <w:tc>
          <w:tcPr>
            <w:tcW w:w="0" w:type="auto"/>
          </w:tcPr>
          <w:p w:rsidR="005B279D" w:rsidRPr="002844B1" w:rsidRDefault="00000000">
            <w:pPr>
              <w:pStyle w:val="Compact"/>
              <w:jc w:val="right"/>
            </w:pPr>
            <w:r w:rsidRPr="002844B1">
              <w:t>2027</w:t>
            </w:r>
          </w:p>
        </w:tc>
        <w:tc>
          <w:tcPr>
            <w:tcW w:w="0" w:type="auto"/>
          </w:tcPr>
          <w:p w:rsidR="005B279D" w:rsidRPr="002844B1" w:rsidRDefault="00000000">
            <w:pPr>
              <w:pStyle w:val="Compact"/>
              <w:jc w:val="right"/>
            </w:pPr>
            <w:r w:rsidRPr="002844B1">
              <w:t>17684.015</w:t>
            </w:r>
          </w:p>
        </w:tc>
      </w:tr>
      <w:tr w:rsidR="005B279D" w:rsidRPr="002844B1" w:rsidTr="00D70A47">
        <w:trPr>
          <w:jc w:val="center"/>
        </w:trPr>
        <w:tc>
          <w:tcPr>
            <w:tcW w:w="0" w:type="auto"/>
          </w:tcPr>
          <w:p w:rsidR="005B279D" w:rsidRPr="002844B1" w:rsidRDefault="00000000">
            <w:pPr>
              <w:pStyle w:val="Compact"/>
              <w:jc w:val="right"/>
            </w:pPr>
            <w:r w:rsidRPr="002844B1">
              <w:t>2028</w:t>
            </w:r>
          </w:p>
        </w:tc>
        <w:tc>
          <w:tcPr>
            <w:tcW w:w="0" w:type="auto"/>
          </w:tcPr>
          <w:p w:rsidR="005B279D" w:rsidRPr="002844B1" w:rsidRDefault="00000000">
            <w:pPr>
              <w:pStyle w:val="Compact"/>
              <w:jc w:val="right"/>
            </w:pPr>
            <w:r w:rsidRPr="002844B1">
              <w:t>11191.502</w:t>
            </w:r>
          </w:p>
        </w:tc>
      </w:tr>
      <w:tr w:rsidR="005B279D" w:rsidRPr="002844B1" w:rsidTr="00D70A47">
        <w:trPr>
          <w:jc w:val="center"/>
        </w:trPr>
        <w:tc>
          <w:tcPr>
            <w:tcW w:w="0" w:type="auto"/>
          </w:tcPr>
          <w:p w:rsidR="005B279D" w:rsidRPr="002844B1" w:rsidRDefault="00000000">
            <w:pPr>
              <w:pStyle w:val="Compact"/>
              <w:jc w:val="right"/>
            </w:pPr>
            <w:r w:rsidRPr="002844B1">
              <w:t>2029</w:t>
            </w:r>
          </w:p>
        </w:tc>
        <w:tc>
          <w:tcPr>
            <w:tcW w:w="0" w:type="auto"/>
          </w:tcPr>
          <w:p w:rsidR="005B279D" w:rsidRPr="002844B1" w:rsidRDefault="00000000">
            <w:pPr>
              <w:pStyle w:val="Compact"/>
              <w:jc w:val="right"/>
            </w:pPr>
            <w:r w:rsidRPr="002844B1">
              <w:t>7543.367</w:t>
            </w:r>
          </w:p>
        </w:tc>
      </w:tr>
      <w:tr w:rsidR="005B279D" w:rsidRPr="002844B1" w:rsidTr="00D70A47">
        <w:trPr>
          <w:jc w:val="center"/>
        </w:trPr>
        <w:tc>
          <w:tcPr>
            <w:tcW w:w="0" w:type="auto"/>
          </w:tcPr>
          <w:p w:rsidR="005B279D" w:rsidRPr="002844B1" w:rsidRDefault="00000000">
            <w:pPr>
              <w:pStyle w:val="Compact"/>
              <w:jc w:val="right"/>
            </w:pPr>
            <w:r w:rsidRPr="002844B1">
              <w:t>2030</w:t>
            </w:r>
          </w:p>
        </w:tc>
        <w:tc>
          <w:tcPr>
            <w:tcW w:w="0" w:type="auto"/>
          </w:tcPr>
          <w:p w:rsidR="005B279D" w:rsidRPr="002844B1" w:rsidRDefault="00000000">
            <w:pPr>
              <w:pStyle w:val="Compact"/>
              <w:jc w:val="right"/>
            </w:pPr>
            <w:r w:rsidRPr="002844B1">
              <w:t>4294.611</w:t>
            </w:r>
          </w:p>
        </w:tc>
      </w:tr>
      <w:tr w:rsidR="005B279D" w:rsidRPr="002844B1" w:rsidTr="00D70A47">
        <w:trPr>
          <w:jc w:val="center"/>
        </w:trPr>
        <w:tc>
          <w:tcPr>
            <w:tcW w:w="0" w:type="auto"/>
          </w:tcPr>
          <w:p w:rsidR="005B279D" w:rsidRPr="002844B1" w:rsidRDefault="00000000">
            <w:pPr>
              <w:pStyle w:val="Compact"/>
              <w:jc w:val="right"/>
            </w:pPr>
            <w:r w:rsidRPr="002844B1">
              <w:t>2031</w:t>
            </w:r>
          </w:p>
        </w:tc>
        <w:tc>
          <w:tcPr>
            <w:tcW w:w="0" w:type="auto"/>
          </w:tcPr>
          <w:p w:rsidR="005B279D" w:rsidRPr="002844B1" w:rsidRDefault="00000000">
            <w:pPr>
              <w:pStyle w:val="Compact"/>
              <w:jc w:val="right"/>
            </w:pPr>
            <w:r w:rsidRPr="002844B1">
              <w:t>2445.069</w:t>
            </w:r>
          </w:p>
        </w:tc>
      </w:tr>
      <w:tr w:rsidR="005B279D" w:rsidRPr="002844B1" w:rsidTr="00D70A47">
        <w:trPr>
          <w:jc w:val="center"/>
        </w:trPr>
        <w:tc>
          <w:tcPr>
            <w:tcW w:w="0" w:type="auto"/>
          </w:tcPr>
          <w:p w:rsidR="005B279D" w:rsidRPr="002844B1" w:rsidRDefault="00000000">
            <w:pPr>
              <w:pStyle w:val="Compact"/>
              <w:jc w:val="right"/>
            </w:pPr>
            <w:r w:rsidRPr="002844B1">
              <w:t>2032</w:t>
            </w:r>
          </w:p>
        </w:tc>
        <w:tc>
          <w:tcPr>
            <w:tcW w:w="0" w:type="auto"/>
          </w:tcPr>
          <w:p w:rsidR="005B279D" w:rsidRPr="002844B1" w:rsidRDefault="00000000">
            <w:pPr>
              <w:pStyle w:val="Compact"/>
              <w:jc w:val="right"/>
            </w:pPr>
            <w:r w:rsidRPr="002844B1">
              <w:t>1204.150</w:t>
            </w:r>
          </w:p>
        </w:tc>
      </w:tr>
    </w:tbl>
    <w:bookmarkEnd w:id="157"/>
    <w:p w:rsidR="005B279D" w:rsidRPr="002844B1" w:rsidRDefault="00000000" w:rsidP="00D70A47">
      <w:pPr>
        <w:pStyle w:val="BodyText"/>
        <w:jc w:val="both"/>
        <w:rPr>
          <w:sz w:val="21"/>
          <w:szCs w:val="21"/>
        </w:rPr>
      </w:pPr>
      <w:r w:rsidRPr="002844B1">
        <w:rPr>
          <w:sz w:val="21"/>
          <w:szCs w:val="21"/>
        </w:rPr>
        <w:t xml:space="preserve">Une actualisation des cash flows de la </w:t>
      </w:r>
      <w:hyperlink w:anchor="tbl-cash">
        <w:r w:rsidRPr="002844B1">
          <w:rPr>
            <w:rStyle w:val="Hyperlink"/>
            <w:sz w:val="20"/>
            <w:szCs w:val="20"/>
          </w:rPr>
          <w:t>Table 10</w:t>
        </w:r>
      </w:hyperlink>
      <w:r w:rsidRPr="002844B1">
        <w:rPr>
          <w:sz w:val="21"/>
          <w:szCs w:val="21"/>
        </w:rPr>
        <w:t xml:space="preserve"> par la courbe des taux zéro coupon s’opère automatiquement par l’application pour effectuer le calcul de la meilleure estimation des engagements pour sinistres :</w:t>
      </w:r>
    </w:p>
    <w:p w:rsidR="005B279D" w:rsidRPr="002844B1" w:rsidRDefault="00000000" w:rsidP="00D70A47">
      <w:pPr>
        <w:pStyle w:val="BodyText"/>
        <w:jc w:val="both"/>
        <w:rPr>
          <w:sz w:val="21"/>
          <w:szCs w:val="21"/>
        </w:rPr>
      </w:pPr>
      <m:oMathPara>
        <m:oMathParaPr>
          <m:jc m:val="center"/>
        </m:oMathParaPr>
        <m:oMath>
          <m:r>
            <w:rPr>
              <w:rFonts w:ascii="Cambria Math" w:hAnsi="Cambria Math"/>
              <w:sz w:val="21"/>
              <w:szCs w:val="21"/>
            </w:rPr>
            <m:t>BES=213 799 </m:t>
          </m:r>
          <m:r>
            <m:rPr>
              <m:nor/>
            </m:rPr>
            <w:rPr>
              <w:sz w:val="21"/>
              <w:szCs w:val="21"/>
            </w:rPr>
            <m:t>MAD</m:t>
          </m:r>
        </m:oMath>
      </m:oMathPara>
    </w:p>
    <w:p w:rsidR="005B279D" w:rsidRPr="002844B1" w:rsidRDefault="00000000">
      <w:pPr>
        <w:pStyle w:val="Heading5"/>
      </w:pPr>
      <w:bookmarkStart w:id="158" w:name="Xec76dcf86b3294f48a9bca8d3a72733b31834ca"/>
      <w:bookmarkEnd w:id="154"/>
      <w:r w:rsidRPr="002844B1">
        <w:t>Meilleure estimation des engagements pour prime (</w:t>
      </w:r>
      <m:oMath>
        <m:r>
          <m:rPr>
            <m:sty m:val="bi"/>
          </m:rPr>
          <w:rPr>
            <w:rFonts w:ascii="Cambria Math" w:hAnsi="Cambria Math"/>
          </w:rPr>
          <m:t>BEP</m:t>
        </m:r>
      </m:oMath>
      <w:r w:rsidRPr="002844B1">
        <w:t>)</w:t>
      </w:r>
    </w:p>
    <w:p w:rsidR="005B279D" w:rsidRPr="002844B1" w:rsidRDefault="00000000" w:rsidP="00D70A47">
      <w:pPr>
        <w:pStyle w:val="FirstParagraph"/>
        <w:jc w:val="both"/>
        <w:rPr>
          <w:sz w:val="21"/>
          <w:szCs w:val="21"/>
        </w:rPr>
      </w:pPr>
      <w:r w:rsidRPr="002844B1">
        <w:rPr>
          <w:sz w:val="21"/>
          <w:szCs w:val="21"/>
        </w:rPr>
        <w:t xml:space="preserve">Pour le calcul de la </w:t>
      </w:r>
      <m:oMath>
        <m:r>
          <w:rPr>
            <w:rFonts w:ascii="Cambria Math" w:hAnsi="Cambria Math"/>
            <w:sz w:val="21"/>
            <w:szCs w:val="21"/>
          </w:rPr>
          <m:t>BEP</m:t>
        </m:r>
      </m:oMath>
      <w:r w:rsidRPr="002844B1">
        <w:rPr>
          <w:sz w:val="21"/>
          <w:szCs w:val="21"/>
        </w:rPr>
        <w:t>, nous avons besoin du ration de sinitralité (</w:t>
      </w:r>
      <m:oMath>
        <m:r>
          <w:rPr>
            <w:rFonts w:ascii="Cambria Math" w:hAnsi="Cambria Math"/>
            <w:sz w:val="21"/>
            <w:szCs w:val="21"/>
          </w:rPr>
          <m:t>RS=</m:t>
        </m:r>
        <m:f>
          <m:fPr>
            <m:ctrlPr>
              <w:rPr>
                <w:rFonts w:ascii="Cambria Math" w:hAnsi="Cambria Math"/>
                <w:sz w:val="21"/>
                <w:szCs w:val="21"/>
              </w:rPr>
            </m:ctrlPr>
          </m:fPr>
          <m:num>
            <m:nary>
              <m:naryPr>
                <m:chr m:val="∑"/>
                <m:limLoc m:val="undOvr"/>
                <m:ctrlPr>
                  <w:rPr>
                    <w:rFonts w:ascii="Cambria Math" w:hAnsi="Cambria Math"/>
                    <w:sz w:val="21"/>
                    <w:szCs w:val="21"/>
                  </w:rPr>
                </m:ctrlPr>
              </m:naryPr>
              <m:sub>
                <m:r>
                  <w:rPr>
                    <w:rFonts w:ascii="Cambria Math" w:hAnsi="Cambria Math"/>
                    <w:sz w:val="21"/>
                    <w:szCs w:val="21"/>
                  </w:rPr>
                  <m:t>i=n-2</m:t>
                </m:r>
              </m:sub>
              <m:sup>
                <m:r>
                  <w:rPr>
                    <w:rFonts w:ascii="Cambria Math" w:hAnsi="Cambria Math"/>
                    <w:sz w:val="21"/>
                    <w:szCs w:val="21"/>
                  </w:rPr>
                  <m:t>n</m:t>
                </m:r>
              </m:sup>
              <m:e>
                <m:r>
                  <w:rPr>
                    <w:rFonts w:ascii="Cambria Math" w:hAnsi="Cambria Math"/>
                    <w:sz w:val="21"/>
                    <w:szCs w:val="21"/>
                  </w:rPr>
                  <m:t>C</m:t>
                </m:r>
              </m:e>
            </m:nary>
            <m:sSub>
              <m:sSubPr>
                <m:ctrlPr>
                  <w:rPr>
                    <w:rFonts w:ascii="Cambria Math" w:hAnsi="Cambria Math"/>
                    <w:sz w:val="21"/>
                    <w:szCs w:val="21"/>
                  </w:rPr>
                </m:ctrlPr>
              </m:sSubPr>
              <m:e>
                <m:r>
                  <w:rPr>
                    <w:rFonts w:ascii="Cambria Math" w:hAnsi="Cambria Math"/>
                    <w:sz w:val="21"/>
                    <w:szCs w:val="21"/>
                  </w:rPr>
                  <m:t>U</m:t>
                </m:r>
              </m:e>
              <m:sub>
                <m:r>
                  <w:rPr>
                    <w:rFonts w:ascii="Cambria Math" w:hAnsi="Cambria Math"/>
                    <w:sz w:val="21"/>
                    <w:szCs w:val="21"/>
                  </w:rPr>
                  <m:t>i</m:t>
                </m:r>
              </m:sub>
            </m:sSub>
          </m:num>
          <m:den>
            <m:nary>
              <m:naryPr>
                <m:chr m:val="∑"/>
                <m:limLoc m:val="undOvr"/>
                <m:ctrlPr>
                  <w:rPr>
                    <w:rFonts w:ascii="Cambria Math" w:hAnsi="Cambria Math"/>
                    <w:sz w:val="21"/>
                    <w:szCs w:val="21"/>
                  </w:rPr>
                </m:ctrlPr>
              </m:naryPr>
              <m:sub>
                <m:r>
                  <w:rPr>
                    <w:rFonts w:ascii="Cambria Math" w:hAnsi="Cambria Math"/>
                    <w:sz w:val="21"/>
                    <w:szCs w:val="21"/>
                  </w:rPr>
                  <m:t>i=n-2</m:t>
                </m:r>
              </m:sub>
              <m:sup>
                <m:r>
                  <w:rPr>
                    <w:rFonts w:ascii="Cambria Math" w:hAnsi="Cambria Math"/>
                    <w:sz w:val="21"/>
                    <w:szCs w:val="21"/>
                  </w:rPr>
                  <m:t>n</m:t>
                </m:r>
              </m:sup>
              <m:e>
                <m:r>
                  <w:rPr>
                    <w:rFonts w:ascii="Cambria Math" w:hAnsi="Cambria Math"/>
                    <w:sz w:val="21"/>
                    <w:szCs w:val="21"/>
                  </w:rPr>
                  <m:t>P</m:t>
                </m:r>
              </m:e>
            </m:nary>
            <m:sSub>
              <m:sSubPr>
                <m:ctrlPr>
                  <w:rPr>
                    <w:rFonts w:ascii="Cambria Math" w:hAnsi="Cambria Math"/>
                    <w:sz w:val="21"/>
                    <w:szCs w:val="21"/>
                  </w:rPr>
                </m:ctrlPr>
              </m:sSubPr>
              <m:e>
                <m:r>
                  <w:rPr>
                    <w:rFonts w:ascii="Cambria Math" w:hAnsi="Cambria Math"/>
                    <w:sz w:val="21"/>
                    <w:szCs w:val="21"/>
                  </w:rPr>
                  <m:t>A</m:t>
                </m:r>
              </m:e>
              <m:sub>
                <m:r>
                  <w:rPr>
                    <w:rFonts w:ascii="Cambria Math" w:hAnsi="Cambria Math"/>
                    <w:sz w:val="21"/>
                    <w:szCs w:val="21"/>
                  </w:rPr>
                  <m:t>i</m:t>
                </m:r>
              </m:sub>
            </m:sSub>
          </m:den>
        </m:f>
      </m:oMath>
      <w:r w:rsidRPr="002844B1">
        <w:rPr>
          <w:sz w:val="21"/>
          <w:szCs w:val="21"/>
        </w:rPr>
        <w:t xml:space="preserve">). Notre application calcule ce ratio à partir des PA données en input puisque nous disposons déjà des charges ultimes, qui, nous le rappelons, correspondent aux éléments de la dernière colonne de la </w:t>
      </w:r>
      <w:hyperlink w:anchor="tbl-regF">
        <w:r w:rsidRPr="002844B1">
          <w:rPr>
            <w:rStyle w:val="Hyperlink"/>
            <w:sz w:val="20"/>
            <w:szCs w:val="20"/>
          </w:rPr>
          <w:t>Table 9</w:t>
        </w:r>
      </w:hyperlink>
      <w:r w:rsidRPr="002844B1">
        <w:rPr>
          <w:sz w:val="21"/>
          <w:szCs w:val="21"/>
        </w:rPr>
        <w:t>. Ainsi nous obtenons les paramètres suivants :</w:t>
      </w:r>
    </w:p>
    <w:tbl>
      <w:tblPr>
        <w:tblStyle w:val="PlainTable2"/>
        <w:tblW w:w="0" w:type="auto"/>
        <w:jc w:val="center"/>
        <w:tblLook w:val="0020" w:firstRow="1" w:lastRow="0" w:firstColumn="0" w:lastColumn="0" w:noHBand="0" w:noVBand="0"/>
      </w:tblPr>
      <w:tblGrid>
        <w:gridCol w:w="2408"/>
        <w:gridCol w:w="1313"/>
      </w:tblGrid>
      <w:tr w:rsidR="005B279D" w:rsidRPr="002844B1"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7633AB">
            <w:pPr>
              <w:pStyle w:val="Compact"/>
            </w:pPr>
            <w:r w:rsidRPr="002844B1">
              <w:t>Paramètre</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pPr>
            <w:r w:rsidRPr="002844B1">
              <w:t>Valeur</w:t>
            </w:r>
          </w:p>
        </w:tc>
      </w:tr>
      <w:tr w:rsidR="005B279D" w:rsidRPr="002844B1"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RS</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pPr>
            <w:r w:rsidRPr="002844B1">
              <w:t>0,698546111</w:t>
            </w:r>
          </w:p>
        </w:tc>
      </w:tr>
      <w:tr w:rsidR="005B279D" w:rsidRPr="002844B1"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PPNA</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pPr>
            <w:r w:rsidRPr="002844B1">
              <w:t>25000</w:t>
            </w:r>
          </w:p>
        </w:tc>
      </w:tr>
      <w:tr w:rsidR="005B279D" w:rsidRPr="002844B1"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Primes futurs</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pPr>
            <w:r w:rsidRPr="002844B1">
              <w:t>100000</w:t>
            </w:r>
          </w:p>
        </w:tc>
      </w:tr>
      <w:tr w:rsidR="005B279D" w:rsidRPr="002844B1"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Taux de frais d'acquisition</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pPr>
            <w:r w:rsidRPr="002844B1">
              <w:t>0,1</w:t>
            </w:r>
          </w:p>
        </w:tc>
      </w:tr>
    </w:tbl>
    <w:p w:rsidR="005B279D" w:rsidRPr="002844B1" w:rsidRDefault="00000000" w:rsidP="00D70A47">
      <w:pPr>
        <w:pStyle w:val="BodyText"/>
        <w:jc w:val="both"/>
        <w:rPr>
          <w:sz w:val="21"/>
          <w:szCs w:val="21"/>
        </w:rPr>
      </w:pPr>
      <w:r w:rsidRPr="002844B1">
        <w:rPr>
          <w:sz w:val="21"/>
          <w:szCs w:val="21"/>
        </w:rPr>
        <w:t>Après détermination des cadences de liquidation, nous trouve comme meilleure estimation des engagements pour prime :</w:t>
      </w:r>
    </w:p>
    <w:p w:rsidR="005B279D" w:rsidRPr="002844B1" w:rsidRDefault="00000000">
      <w:pPr>
        <w:pStyle w:val="BodyText"/>
      </w:pPr>
      <m:oMathPara>
        <m:oMathParaPr>
          <m:jc m:val="center"/>
        </m:oMathParaPr>
        <m:oMath>
          <m:r>
            <w:rPr>
              <w:rFonts w:ascii="Cambria Math" w:hAnsi="Cambria Math"/>
            </w:rPr>
            <m:t>BEP=-16 907 </m:t>
          </m:r>
          <m:r>
            <m:rPr>
              <m:nor/>
            </m:rPr>
            <m:t>MAD</m:t>
          </m:r>
        </m:oMath>
      </m:oMathPara>
    </w:p>
    <w:p w:rsidR="005B279D" w:rsidRPr="002844B1" w:rsidRDefault="00000000" w:rsidP="00D70A47">
      <w:pPr>
        <w:pStyle w:val="FirstParagraph"/>
        <w:jc w:val="both"/>
        <w:rPr>
          <w:sz w:val="21"/>
          <w:szCs w:val="21"/>
        </w:rPr>
      </w:pPr>
      <w:r w:rsidRPr="002844B1">
        <w:rPr>
          <w:sz w:val="21"/>
          <w:szCs w:val="21"/>
        </w:rPr>
        <w:t>Ce résultat négatif s’explique par le montant des primes  futurs. En effet, du fait que cette prime soit unique et importante, au moment de l’inventaire, l’</w:t>
      </w:r>
      <w:r w:rsidR="007633AB" w:rsidRPr="002844B1">
        <w:rPr>
          <w:sz w:val="21"/>
          <w:szCs w:val="21"/>
        </w:rPr>
        <w:t>assureur</w:t>
      </w:r>
      <w:r w:rsidRPr="002844B1">
        <w:rPr>
          <w:sz w:val="21"/>
          <w:szCs w:val="21"/>
        </w:rPr>
        <w:t xml:space="preserve"> a encaissé plus qu’il ne doit décaisser d’ici 10 ans pour les engagements correspondants. Par conséquent, puis que la meilleure estimation correspond à la différence entre les </w:t>
      </w:r>
      <w:r w:rsidR="007633AB" w:rsidRPr="002844B1">
        <w:rPr>
          <w:sz w:val="21"/>
          <w:szCs w:val="21"/>
        </w:rPr>
        <w:t>décaissements</w:t>
      </w:r>
      <w:r w:rsidRPr="002844B1">
        <w:rPr>
          <w:sz w:val="21"/>
          <w:szCs w:val="21"/>
        </w:rPr>
        <w:t xml:space="preserve"> et les encaissements, alors c’est pourquoi la </w:t>
      </w:r>
      <m:oMath>
        <m:r>
          <w:rPr>
            <w:rFonts w:ascii="Cambria Math" w:hAnsi="Cambria Math"/>
            <w:sz w:val="21"/>
            <w:szCs w:val="21"/>
          </w:rPr>
          <m:t>BEP</m:t>
        </m:r>
      </m:oMath>
      <w:r w:rsidRPr="002844B1">
        <w:rPr>
          <w:sz w:val="21"/>
          <w:szCs w:val="21"/>
        </w:rPr>
        <w:t xml:space="preserve"> est négative.</w:t>
      </w:r>
    </w:p>
    <w:tbl>
      <w:tblPr>
        <w:tblStyle w:val="GridTable4-Accent2"/>
        <w:tblW w:w="0" w:type="auto"/>
        <w:jc w:val="center"/>
        <w:tblLook w:val="0020" w:firstRow="1" w:lastRow="0" w:firstColumn="0" w:lastColumn="0" w:noHBand="0" w:noVBand="0"/>
      </w:tblPr>
      <w:tblGrid>
        <w:gridCol w:w="745"/>
        <w:gridCol w:w="851"/>
        <w:gridCol w:w="851"/>
        <w:gridCol w:w="851"/>
        <w:gridCol w:w="851"/>
        <w:gridCol w:w="745"/>
        <w:gridCol w:w="745"/>
        <w:gridCol w:w="745"/>
        <w:gridCol w:w="745"/>
        <w:gridCol w:w="745"/>
        <w:gridCol w:w="829"/>
      </w:tblGrid>
      <w:tr w:rsidR="005B279D" w:rsidRPr="002844B1"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Cad.0</w:t>
            </w:r>
          </w:p>
        </w:tc>
        <w:tc>
          <w:tcPr>
            <w:tcW w:w="0" w:type="auto"/>
          </w:tcPr>
          <w:p w:rsidR="005B279D" w:rsidRPr="002844B1" w:rsidRDefault="00000000">
            <w:pPr>
              <w:pStyle w:val="Compact"/>
              <w:cnfStyle w:val="100000000000" w:firstRow="1" w:lastRow="0" w:firstColumn="0" w:lastColumn="0" w:oddVBand="0" w:evenVBand="0" w:oddHBand="0" w:evenHBand="0" w:firstRowFirstColumn="0" w:firstRowLastColumn="0" w:lastRowFirstColumn="0" w:lastRowLastColumn="0"/>
            </w:pPr>
            <w:r w:rsidRPr="002844B1">
              <w:t>Cad.1</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Cad.2</w:t>
            </w:r>
          </w:p>
        </w:tc>
        <w:tc>
          <w:tcPr>
            <w:tcW w:w="0" w:type="auto"/>
          </w:tcPr>
          <w:p w:rsidR="005B279D" w:rsidRPr="002844B1" w:rsidRDefault="00000000">
            <w:pPr>
              <w:pStyle w:val="Compact"/>
              <w:cnfStyle w:val="100000000000" w:firstRow="1" w:lastRow="0" w:firstColumn="0" w:lastColumn="0" w:oddVBand="0" w:evenVBand="0" w:oddHBand="0" w:evenHBand="0" w:firstRowFirstColumn="0" w:firstRowLastColumn="0" w:lastRowFirstColumn="0" w:lastRowLastColumn="0"/>
            </w:pPr>
            <w:r w:rsidRPr="002844B1">
              <w:t>Cad.3</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Cad.4</w:t>
            </w:r>
          </w:p>
        </w:tc>
        <w:tc>
          <w:tcPr>
            <w:tcW w:w="0" w:type="auto"/>
          </w:tcPr>
          <w:p w:rsidR="005B279D" w:rsidRPr="002844B1" w:rsidRDefault="00000000">
            <w:pPr>
              <w:pStyle w:val="Compact"/>
              <w:cnfStyle w:val="100000000000" w:firstRow="1" w:lastRow="0" w:firstColumn="0" w:lastColumn="0" w:oddVBand="0" w:evenVBand="0" w:oddHBand="0" w:evenHBand="0" w:firstRowFirstColumn="0" w:firstRowLastColumn="0" w:lastRowFirstColumn="0" w:lastRowLastColumn="0"/>
            </w:pPr>
            <w:r w:rsidRPr="002844B1">
              <w:t>Cad.5</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Cad.6</w:t>
            </w:r>
          </w:p>
        </w:tc>
        <w:tc>
          <w:tcPr>
            <w:tcW w:w="0" w:type="auto"/>
          </w:tcPr>
          <w:p w:rsidR="005B279D" w:rsidRPr="002844B1" w:rsidRDefault="00000000">
            <w:pPr>
              <w:pStyle w:val="Compact"/>
              <w:cnfStyle w:val="100000000000" w:firstRow="1" w:lastRow="0" w:firstColumn="0" w:lastColumn="0" w:oddVBand="0" w:evenVBand="0" w:oddHBand="0" w:evenHBand="0" w:firstRowFirstColumn="0" w:firstRowLastColumn="0" w:lastRowFirstColumn="0" w:lastRowLastColumn="0"/>
            </w:pPr>
            <w:r w:rsidRPr="002844B1">
              <w:t>Cad.7</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Cad.8</w:t>
            </w:r>
          </w:p>
        </w:tc>
        <w:tc>
          <w:tcPr>
            <w:tcW w:w="0" w:type="auto"/>
          </w:tcPr>
          <w:p w:rsidR="005B279D" w:rsidRPr="002844B1" w:rsidRDefault="00000000">
            <w:pPr>
              <w:pStyle w:val="Compact"/>
              <w:cnfStyle w:val="100000000000" w:firstRow="1" w:lastRow="0" w:firstColumn="0" w:lastColumn="0" w:oddVBand="0" w:evenVBand="0" w:oddHBand="0" w:evenHBand="0" w:firstRowFirstColumn="0" w:firstRowLastColumn="0" w:lastRowFirstColumn="0" w:lastRowLastColumn="0"/>
            </w:pPr>
            <w:r w:rsidRPr="002844B1">
              <w:t>Cad.9</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Cad.10</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7,78%</w:t>
            </w:r>
          </w:p>
        </w:tc>
        <w:tc>
          <w:tcPr>
            <w:tcW w:w="0" w:type="auto"/>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21,25%</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20,00%</w:t>
            </w:r>
          </w:p>
        </w:tc>
        <w:tc>
          <w:tcPr>
            <w:tcW w:w="0" w:type="auto"/>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16,00%</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11,51%</w:t>
            </w:r>
          </w:p>
        </w:tc>
        <w:tc>
          <w:tcPr>
            <w:tcW w:w="0" w:type="auto"/>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8,88%</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5,00%</w:t>
            </w:r>
          </w:p>
        </w:tc>
        <w:tc>
          <w:tcPr>
            <w:tcW w:w="0" w:type="auto"/>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4,07%</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2,21%</w:t>
            </w:r>
          </w:p>
        </w:tc>
        <w:tc>
          <w:tcPr>
            <w:tcW w:w="0" w:type="auto"/>
          </w:tcPr>
          <w:p w:rsidR="005B279D" w:rsidRPr="002844B1" w:rsidRDefault="00000000">
            <w:pPr>
              <w:pStyle w:val="Compact"/>
              <w:cnfStyle w:val="000000100000" w:firstRow="0" w:lastRow="0" w:firstColumn="0" w:lastColumn="0" w:oddVBand="0" w:evenVBand="0" w:oddHBand="1" w:evenHBand="0" w:firstRowFirstColumn="0" w:firstRowLastColumn="0" w:lastRowFirstColumn="0" w:lastRowLastColumn="0"/>
            </w:pPr>
            <w:r w:rsidRPr="002844B1">
              <w:t>1,70%</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1,61%</w:t>
            </w:r>
          </w:p>
        </w:tc>
      </w:tr>
    </w:tbl>
    <w:p w:rsidR="005B279D" w:rsidRPr="002844B1" w:rsidRDefault="00000000">
      <w:pPr>
        <w:pStyle w:val="BodyText"/>
      </w:pPr>
      <w:r w:rsidRPr="002844B1">
        <w:t xml:space="preserve"> </w:t>
      </w:r>
    </w:p>
    <w:tbl>
      <w:tblPr>
        <w:tblStyle w:val="Table"/>
        <w:tblW w:w="5000" w:type="pct"/>
        <w:tblLook w:val="0000" w:firstRow="0" w:lastRow="0" w:firstColumn="0" w:lastColumn="0" w:noHBand="0" w:noVBand="0"/>
      </w:tblPr>
      <w:tblGrid>
        <w:gridCol w:w="9360"/>
      </w:tblGrid>
      <w:tr w:rsidR="005B279D" w:rsidRPr="002844B1">
        <w:tc>
          <w:tcPr>
            <w:tcW w:w="0" w:type="auto"/>
          </w:tcPr>
          <w:p w:rsidR="005B279D" w:rsidRPr="002844B1" w:rsidRDefault="00000000">
            <w:pPr>
              <w:jc w:val="center"/>
            </w:pPr>
            <w:r w:rsidRPr="002844B1">
              <w:rPr>
                <w:noProof/>
              </w:rPr>
              <w:lastRenderedPageBreak/>
              <w:drawing>
                <wp:inline distT="0" distB="0" distL="0" distR="0">
                  <wp:extent cx="5334000" cy="4262214"/>
                  <wp:effectExtent l="0" t="0" r="0" b="0"/>
                  <wp:docPr id="294" name="Picture"/>
                  <wp:cNvGraphicFramePr/>
                  <a:graphic xmlns:a="http://schemas.openxmlformats.org/drawingml/2006/main">
                    <a:graphicData uri="http://schemas.openxmlformats.org/drawingml/2006/picture">
                      <pic:pic xmlns:pic="http://schemas.openxmlformats.org/drawingml/2006/picture">
                        <pic:nvPicPr>
                          <pic:cNvPr id="295" name="Picture" descr="Rapport-PFE_files/figure-html/cad.png"/>
                          <pic:cNvPicPr>
                            <a:picLocks noChangeAspect="1" noChangeArrowheads="1"/>
                          </pic:cNvPicPr>
                        </pic:nvPicPr>
                        <pic:blipFill>
                          <a:blip r:embed="rId30"/>
                          <a:stretch>
                            <a:fillRect/>
                          </a:stretch>
                        </pic:blipFill>
                        <pic:spPr bwMode="auto">
                          <a:xfrm>
                            <a:off x="0" y="0"/>
                            <a:ext cx="5334000" cy="4262214"/>
                          </a:xfrm>
                          <a:prstGeom prst="rect">
                            <a:avLst/>
                          </a:prstGeom>
                          <a:noFill/>
                          <a:ln w="9525">
                            <a:noFill/>
                            <a:headEnd/>
                            <a:tailEnd/>
                          </a:ln>
                        </pic:spPr>
                      </pic:pic>
                    </a:graphicData>
                  </a:graphic>
                </wp:inline>
              </w:drawing>
            </w:r>
          </w:p>
          <w:p w:rsidR="005B279D" w:rsidRPr="002844B1" w:rsidRDefault="00000000">
            <w:pPr>
              <w:pStyle w:val="ImageCaption"/>
              <w:spacing w:before="200"/>
            </w:pPr>
            <w:r w:rsidRPr="002844B1">
              <w:t>Output des cadences de liquidations dans l’application</w:t>
            </w:r>
          </w:p>
        </w:tc>
      </w:tr>
    </w:tbl>
    <w:p w:rsidR="005B279D" w:rsidRPr="002844B1" w:rsidRDefault="00000000">
      <w:pPr>
        <w:pStyle w:val="Heading5"/>
      </w:pPr>
      <w:bookmarkStart w:id="159" w:name="X2013334023ad673b57272bdd191af21a92b46a7"/>
      <w:bookmarkEnd w:id="158"/>
      <w:r w:rsidRPr="002844B1">
        <w:t>Meilleure estimation des frais de gestions (</w:t>
      </w:r>
      <m:oMath>
        <m:r>
          <m:rPr>
            <m:sty m:val="bi"/>
          </m:rPr>
          <w:rPr>
            <w:rFonts w:ascii="Cambria Math" w:hAnsi="Cambria Math"/>
          </w:rPr>
          <m:t>BEFG</m:t>
        </m:r>
      </m:oMath>
      <w:r w:rsidRPr="002844B1">
        <w:t>)</w:t>
      </w:r>
    </w:p>
    <w:p w:rsidR="005B279D" w:rsidRPr="002844B1" w:rsidRDefault="00000000" w:rsidP="008E2C01">
      <w:pPr>
        <w:pStyle w:val="FirstParagraph"/>
        <w:jc w:val="both"/>
        <w:rPr>
          <w:sz w:val="21"/>
          <w:szCs w:val="21"/>
        </w:rPr>
      </w:pPr>
      <w:r w:rsidRPr="002844B1">
        <w:rPr>
          <w:sz w:val="21"/>
          <w:szCs w:val="21"/>
        </w:rPr>
        <w:t xml:space="preserve">Le taux moyen des trois dernières années des frais de gestions étant de </w:t>
      </w:r>
      <m:oMath>
        <m:r>
          <w:rPr>
            <w:rFonts w:ascii="Cambria Math" w:hAnsi="Cambria Math"/>
            <w:sz w:val="21"/>
            <w:szCs w:val="21"/>
          </w:rPr>
          <m:t>3%</m:t>
        </m:r>
      </m:oMath>
      <w:r w:rsidRPr="002844B1">
        <w:rPr>
          <w:sz w:val="21"/>
          <w:szCs w:val="21"/>
        </w:rPr>
        <w:t>, on aboutit au résultat :</w:t>
      </w:r>
    </w:p>
    <w:p w:rsidR="005B279D" w:rsidRPr="002844B1" w:rsidRDefault="00000000" w:rsidP="008E2C01">
      <w:pPr>
        <w:pStyle w:val="BodyText"/>
        <w:jc w:val="both"/>
        <w:rPr>
          <w:sz w:val="21"/>
          <w:szCs w:val="21"/>
        </w:rPr>
      </w:pPr>
      <m:oMathPara>
        <m:oMathParaPr>
          <m:jc m:val="center"/>
        </m:oMathParaPr>
        <m:oMath>
          <m:r>
            <w:rPr>
              <w:rFonts w:ascii="Cambria Math" w:hAnsi="Cambria Math"/>
              <w:sz w:val="21"/>
              <w:szCs w:val="21"/>
            </w:rPr>
            <m:t>BEFG=59 067 </m:t>
          </m:r>
          <m:r>
            <m:rPr>
              <m:nor/>
            </m:rPr>
            <w:rPr>
              <w:sz w:val="21"/>
              <w:szCs w:val="21"/>
            </w:rPr>
            <m:t>MAD</m:t>
          </m:r>
        </m:oMath>
      </m:oMathPara>
    </w:p>
    <w:tbl>
      <w:tblPr>
        <w:tblStyle w:val="Table"/>
        <w:tblW w:w="5000" w:type="pct"/>
        <w:tblLook w:val="0000" w:firstRow="0" w:lastRow="0" w:firstColumn="0" w:lastColumn="0" w:noHBand="0" w:noVBand="0"/>
      </w:tblPr>
      <w:tblGrid>
        <w:gridCol w:w="9360"/>
      </w:tblGrid>
      <w:tr w:rsidR="005B279D" w:rsidRPr="002844B1">
        <w:tc>
          <w:tcPr>
            <w:tcW w:w="0" w:type="auto"/>
          </w:tcPr>
          <w:p w:rsidR="005B279D" w:rsidRPr="002844B1" w:rsidRDefault="00000000">
            <w:pPr>
              <w:jc w:val="center"/>
            </w:pPr>
            <w:r w:rsidRPr="002844B1">
              <w:rPr>
                <w:noProof/>
              </w:rPr>
              <w:lastRenderedPageBreak/>
              <w:drawing>
                <wp:inline distT="0" distB="0" distL="0" distR="0">
                  <wp:extent cx="5334000" cy="2998910"/>
                  <wp:effectExtent l="0" t="0" r="0" b="0"/>
                  <wp:docPr id="298" name="Picture"/>
                  <wp:cNvGraphicFramePr/>
                  <a:graphic xmlns:a="http://schemas.openxmlformats.org/drawingml/2006/main">
                    <a:graphicData uri="http://schemas.openxmlformats.org/drawingml/2006/picture">
                      <pic:pic xmlns:pic="http://schemas.openxmlformats.org/drawingml/2006/picture">
                        <pic:nvPicPr>
                          <pic:cNvPr id="299" name="Picture" descr="Rapport-PFE_files/figure-html/BENV.png"/>
                          <pic:cNvPicPr>
                            <a:picLocks noChangeAspect="1" noChangeArrowheads="1"/>
                          </pic:cNvPicPr>
                        </pic:nvPicPr>
                        <pic:blipFill>
                          <a:blip r:embed="rId31"/>
                          <a:stretch>
                            <a:fillRect/>
                          </a:stretch>
                        </pic:blipFill>
                        <pic:spPr bwMode="auto">
                          <a:xfrm>
                            <a:off x="0" y="0"/>
                            <a:ext cx="5334000" cy="2998910"/>
                          </a:xfrm>
                          <a:prstGeom prst="rect">
                            <a:avLst/>
                          </a:prstGeom>
                          <a:noFill/>
                          <a:ln w="9525">
                            <a:noFill/>
                            <a:headEnd/>
                            <a:tailEnd/>
                          </a:ln>
                        </pic:spPr>
                      </pic:pic>
                    </a:graphicData>
                  </a:graphic>
                </wp:inline>
              </w:drawing>
            </w:r>
          </w:p>
          <w:p w:rsidR="005B279D" w:rsidRPr="002844B1" w:rsidRDefault="00000000">
            <w:pPr>
              <w:pStyle w:val="ImageCaption"/>
              <w:spacing w:before="200"/>
            </w:pPr>
            <w:r w:rsidRPr="002844B1">
              <w:t>Affichages des BE dans l’application</w:t>
            </w:r>
          </w:p>
        </w:tc>
      </w:tr>
    </w:tbl>
    <w:p w:rsidR="005B279D" w:rsidRPr="002844B1" w:rsidRDefault="00000000">
      <w:pPr>
        <w:pStyle w:val="Heading3"/>
      </w:pPr>
      <w:bookmarkStart w:id="160" w:name="opérations-dassurance-vie"/>
      <w:bookmarkStart w:id="161" w:name="_Toc137651043"/>
      <w:bookmarkEnd w:id="148"/>
      <w:bookmarkEnd w:id="159"/>
      <w:r w:rsidRPr="002844B1">
        <w:t>Opérations d’assurance vie</w:t>
      </w:r>
      <w:bookmarkEnd w:id="161"/>
    </w:p>
    <w:p w:rsidR="005B279D" w:rsidRPr="002844B1" w:rsidRDefault="00000000" w:rsidP="008E2C01">
      <w:pPr>
        <w:pStyle w:val="FirstParagraph"/>
        <w:jc w:val="both"/>
        <w:rPr>
          <w:sz w:val="21"/>
          <w:szCs w:val="21"/>
        </w:rPr>
      </w:pPr>
      <w:r w:rsidRPr="002844B1">
        <w:rPr>
          <w:sz w:val="21"/>
          <w:szCs w:val="21"/>
        </w:rPr>
        <w:t>Dans ce projet nous avons étudié le cas d’un capital décès dégressif. Ce dernier est un type de capital versé aux bénéficiaires d’une assurance décès qui diminue progressivement avec le temps, jusqu’à atteindre un capital nul. Ce type de capital est utile pour couvrir un besoin financier important lors des premières années de l’assurance (hypothèque, crédit, enfants à charge, etc.) et qui diminue au fil du temps. Comme dans le cas du triangle, l’utilisateur de notre application peut parcourir son ordinateur afin de sélectionner la table de données qui doit contenir au moins les colonnes suivantes :</w:t>
      </w:r>
    </w:p>
    <w:p w:rsidR="005B279D" w:rsidRPr="002844B1" w:rsidRDefault="00000000" w:rsidP="008E2C01">
      <w:pPr>
        <w:pStyle w:val="Compact"/>
        <w:numPr>
          <w:ilvl w:val="0"/>
          <w:numId w:val="72"/>
        </w:numPr>
        <w:jc w:val="both"/>
        <w:rPr>
          <w:sz w:val="21"/>
          <w:szCs w:val="21"/>
        </w:rPr>
      </w:pPr>
      <w:r w:rsidRPr="002844B1">
        <w:rPr>
          <w:b/>
          <w:bCs/>
          <w:sz w:val="21"/>
          <w:szCs w:val="21"/>
        </w:rPr>
        <w:t>Age de l’assuré</w:t>
      </w:r>
      <w:r w:rsidRPr="002844B1">
        <w:rPr>
          <w:sz w:val="21"/>
          <w:szCs w:val="21"/>
        </w:rPr>
        <w:t>,</w:t>
      </w:r>
    </w:p>
    <w:p w:rsidR="005B279D" w:rsidRPr="002844B1" w:rsidRDefault="00000000" w:rsidP="008E2C01">
      <w:pPr>
        <w:pStyle w:val="Compact"/>
        <w:numPr>
          <w:ilvl w:val="0"/>
          <w:numId w:val="72"/>
        </w:numPr>
        <w:jc w:val="both"/>
        <w:rPr>
          <w:sz w:val="21"/>
          <w:szCs w:val="21"/>
        </w:rPr>
      </w:pPr>
      <w:r w:rsidRPr="002844B1">
        <w:rPr>
          <w:b/>
          <w:bCs/>
          <w:sz w:val="21"/>
          <w:szCs w:val="21"/>
        </w:rPr>
        <w:t>Année d’effet du contrat</w:t>
      </w:r>
      <w:r w:rsidRPr="002844B1">
        <w:rPr>
          <w:sz w:val="21"/>
          <w:szCs w:val="21"/>
        </w:rPr>
        <w:t>,</w:t>
      </w:r>
    </w:p>
    <w:p w:rsidR="005B279D" w:rsidRPr="002844B1" w:rsidRDefault="00000000" w:rsidP="008E2C01">
      <w:pPr>
        <w:pStyle w:val="Compact"/>
        <w:numPr>
          <w:ilvl w:val="0"/>
          <w:numId w:val="72"/>
        </w:numPr>
        <w:jc w:val="both"/>
        <w:rPr>
          <w:sz w:val="21"/>
          <w:szCs w:val="21"/>
        </w:rPr>
      </w:pPr>
      <w:r w:rsidRPr="002844B1">
        <w:rPr>
          <w:b/>
          <w:bCs/>
          <w:sz w:val="21"/>
          <w:szCs w:val="21"/>
        </w:rPr>
        <w:t>Durée du contrat</w:t>
      </w:r>
      <w:r w:rsidRPr="002844B1">
        <w:rPr>
          <w:sz w:val="21"/>
          <w:szCs w:val="21"/>
        </w:rPr>
        <w:t>,</w:t>
      </w:r>
    </w:p>
    <w:p w:rsidR="005B279D" w:rsidRPr="002844B1" w:rsidRDefault="00000000" w:rsidP="008E2C01">
      <w:pPr>
        <w:pStyle w:val="Compact"/>
        <w:numPr>
          <w:ilvl w:val="0"/>
          <w:numId w:val="72"/>
        </w:numPr>
        <w:jc w:val="both"/>
        <w:rPr>
          <w:sz w:val="21"/>
          <w:szCs w:val="21"/>
        </w:rPr>
      </w:pPr>
      <w:r w:rsidRPr="002844B1">
        <w:rPr>
          <w:b/>
          <w:bCs/>
          <w:sz w:val="21"/>
          <w:szCs w:val="21"/>
        </w:rPr>
        <w:t>Durée restante du contrat</w:t>
      </w:r>
      <w:r w:rsidRPr="002844B1">
        <w:rPr>
          <w:sz w:val="21"/>
          <w:szCs w:val="21"/>
        </w:rPr>
        <w:t>,</w:t>
      </w:r>
    </w:p>
    <w:p w:rsidR="005B279D" w:rsidRPr="002844B1" w:rsidRDefault="00000000" w:rsidP="008E2C01">
      <w:pPr>
        <w:pStyle w:val="Compact"/>
        <w:numPr>
          <w:ilvl w:val="0"/>
          <w:numId w:val="72"/>
        </w:numPr>
        <w:jc w:val="both"/>
        <w:rPr>
          <w:sz w:val="21"/>
          <w:szCs w:val="21"/>
        </w:rPr>
      </w:pPr>
      <w:r w:rsidRPr="002844B1">
        <w:rPr>
          <w:b/>
          <w:bCs/>
          <w:sz w:val="21"/>
          <w:szCs w:val="21"/>
        </w:rPr>
        <w:t>Le capital initial</w:t>
      </w:r>
      <w:r w:rsidRPr="002844B1">
        <w:rPr>
          <w:sz w:val="21"/>
          <w:szCs w:val="21"/>
        </w:rPr>
        <w:t>.</w:t>
      </w:r>
    </w:p>
    <w:p w:rsidR="005B279D" w:rsidRPr="002844B1" w:rsidRDefault="00000000" w:rsidP="008E2C01">
      <w:pPr>
        <w:pStyle w:val="FirstParagraph"/>
        <w:jc w:val="both"/>
        <w:rPr>
          <w:sz w:val="21"/>
          <w:szCs w:val="21"/>
        </w:rPr>
      </w:pPr>
      <w:r w:rsidRPr="002844B1">
        <w:rPr>
          <w:sz w:val="21"/>
          <w:szCs w:val="21"/>
        </w:rPr>
        <w:t xml:space="preserve">L’utilisateur doit sélectionner les colonnes mentionner sous-dessus puis renseigné les frais de gestions unitaire moyen qui est de </w:t>
      </w:r>
      <m:oMath>
        <m:r>
          <w:rPr>
            <w:rFonts w:ascii="Cambria Math" w:hAnsi="Cambria Math"/>
            <w:sz w:val="21"/>
            <w:szCs w:val="21"/>
          </w:rPr>
          <m:t>100</m:t>
        </m:r>
      </m:oMath>
      <w:r w:rsidRPr="002844B1">
        <w:rPr>
          <w:sz w:val="21"/>
          <w:szCs w:val="21"/>
        </w:rPr>
        <w:t xml:space="preserve"> pour notre étude.</w:t>
      </w:r>
    </w:p>
    <w:p w:rsidR="008E2C01" w:rsidRPr="002844B1" w:rsidRDefault="008E2C01" w:rsidP="008E2C01">
      <w:pPr>
        <w:pStyle w:val="Caption"/>
        <w:keepNext/>
      </w:pPr>
      <w:r w:rsidRPr="002844B1">
        <w:lastRenderedPageBreak/>
        <w:t xml:space="preserve">Figure </w:t>
      </w:r>
      <w:r w:rsidRPr="002844B1">
        <w:fldChar w:fldCharType="begin"/>
      </w:r>
      <w:r w:rsidRPr="002844B1">
        <w:instrText xml:space="preserve"> SEQ Figure \* ARABIC </w:instrText>
      </w:r>
      <w:r w:rsidRPr="002844B1">
        <w:fldChar w:fldCharType="separate"/>
      </w:r>
      <w:r w:rsidRPr="002844B1">
        <w:rPr>
          <w:noProof/>
        </w:rPr>
        <w:t>18</w:t>
      </w:r>
      <w:r w:rsidRPr="002844B1">
        <w:fldChar w:fldCharType="end"/>
      </w:r>
      <w:r w:rsidRPr="002844B1">
        <w:t>: Importation des données (Capital Décès Dégressif)</w:t>
      </w:r>
    </w:p>
    <w:tbl>
      <w:tblPr>
        <w:tblStyle w:val="Table"/>
        <w:tblW w:w="5000" w:type="pct"/>
        <w:tblLook w:val="0000" w:firstRow="0" w:lastRow="0" w:firstColumn="0" w:lastColumn="0" w:noHBand="0" w:noVBand="0"/>
      </w:tblPr>
      <w:tblGrid>
        <w:gridCol w:w="9360"/>
      </w:tblGrid>
      <w:tr w:rsidR="005B279D" w:rsidRPr="002844B1">
        <w:tc>
          <w:tcPr>
            <w:tcW w:w="0" w:type="auto"/>
          </w:tcPr>
          <w:p w:rsidR="005B279D" w:rsidRPr="002844B1" w:rsidRDefault="00000000">
            <w:pPr>
              <w:jc w:val="center"/>
            </w:pPr>
            <w:bookmarkStart w:id="162" w:name="fig-dec_import"/>
            <w:r w:rsidRPr="002844B1">
              <w:rPr>
                <w:noProof/>
              </w:rPr>
              <w:drawing>
                <wp:inline distT="0" distB="0" distL="0" distR="0">
                  <wp:extent cx="5334000" cy="2998910"/>
                  <wp:effectExtent l="0" t="0" r="0" b="0"/>
                  <wp:docPr id="303" name="Picture"/>
                  <wp:cNvGraphicFramePr/>
                  <a:graphic xmlns:a="http://schemas.openxmlformats.org/drawingml/2006/main">
                    <a:graphicData uri="http://schemas.openxmlformats.org/drawingml/2006/picture">
                      <pic:pic xmlns:pic="http://schemas.openxmlformats.org/drawingml/2006/picture">
                        <pic:nvPicPr>
                          <pic:cNvPr id="304" name="Picture" descr="Rapport-PFE_files/figure-html/dec_import.png"/>
                          <pic:cNvPicPr>
                            <a:picLocks noChangeAspect="1" noChangeArrowheads="1"/>
                          </pic:cNvPicPr>
                        </pic:nvPicPr>
                        <pic:blipFill>
                          <a:blip r:embed="rId32"/>
                          <a:stretch>
                            <a:fillRect/>
                          </a:stretch>
                        </pic:blipFill>
                        <pic:spPr bwMode="auto">
                          <a:xfrm>
                            <a:off x="0" y="0"/>
                            <a:ext cx="5334000" cy="2998910"/>
                          </a:xfrm>
                          <a:prstGeom prst="rect">
                            <a:avLst/>
                          </a:prstGeom>
                          <a:noFill/>
                          <a:ln w="9525">
                            <a:noFill/>
                            <a:headEnd/>
                            <a:tailEnd/>
                          </a:ln>
                        </pic:spPr>
                      </pic:pic>
                    </a:graphicData>
                  </a:graphic>
                </wp:inline>
              </w:drawing>
            </w:r>
          </w:p>
          <w:p w:rsidR="005B279D" w:rsidRPr="002844B1" w:rsidRDefault="005B279D">
            <w:pPr>
              <w:pStyle w:val="ImageCaption"/>
              <w:spacing w:before="200"/>
            </w:pPr>
          </w:p>
        </w:tc>
        <w:bookmarkEnd w:id="162"/>
      </w:tr>
    </w:tbl>
    <w:p w:rsidR="005B279D" w:rsidRPr="002844B1" w:rsidRDefault="00000000">
      <w:pPr>
        <w:pStyle w:val="BodyText"/>
      </w:pPr>
      <w:r w:rsidRPr="002844B1">
        <w:t xml:space="preserve"> </w:t>
      </w:r>
    </w:p>
    <w:p w:rsidR="005B279D" w:rsidRPr="002844B1" w:rsidRDefault="005B279D">
      <w:pPr>
        <w:pStyle w:val="TableCaption"/>
      </w:pPr>
      <w:bookmarkStart w:id="163" w:name="tbl-dec_table"/>
    </w:p>
    <w:p w:rsidR="008E2C01" w:rsidRPr="002844B1" w:rsidRDefault="008E2C01" w:rsidP="008E2C01">
      <w:pPr>
        <w:pStyle w:val="Caption"/>
        <w:keepNext/>
        <w:jc w:val="center"/>
      </w:pPr>
      <w:r w:rsidRPr="002844B1">
        <w:t xml:space="preserve">Table </w:t>
      </w:r>
      <w:r w:rsidRPr="002844B1">
        <w:fldChar w:fldCharType="begin"/>
      </w:r>
      <w:r w:rsidRPr="002844B1">
        <w:instrText xml:space="preserve"> SEQ Table \* ARABIC </w:instrText>
      </w:r>
      <w:r w:rsidRPr="002844B1">
        <w:fldChar w:fldCharType="separate"/>
      </w:r>
      <w:r w:rsidRPr="002844B1">
        <w:rPr>
          <w:noProof/>
        </w:rPr>
        <w:t>11</w:t>
      </w:r>
      <w:r w:rsidRPr="002844B1">
        <w:fldChar w:fldCharType="end"/>
      </w:r>
      <w:r w:rsidRPr="002844B1">
        <w:t>: Données du Capital décès dégressif (CDD)</w:t>
      </w:r>
    </w:p>
    <w:tbl>
      <w:tblPr>
        <w:tblStyle w:val="GridTable4-Accent2"/>
        <w:tblpPr w:leftFromText="180" w:rightFromText="180" w:vertAnchor="text" w:horzAnchor="margin" w:tblpY="305"/>
        <w:tblW w:w="0" w:type="auto"/>
        <w:tblLook w:val="0020" w:firstRow="1" w:lastRow="0" w:firstColumn="0" w:lastColumn="0" w:noHBand="0" w:noVBand="0"/>
      </w:tblPr>
      <w:tblGrid>
        <w:gridCol w:w="771"/>
        <w:gridCol w:w="468"/>
        <w:gridCol w:w="1089"/>
        <w:gridCol w:w="1504"/>
        <w:gridCol w:w="1368"/>
        <w:gridCol w:w="1752"/>
        <w:gridCol w:w="624"/>
        <w:gridCol w:w="1540"/>
      </w:tblGrid>
      <w:tr w:rsidR="008E2C01" w:rsidRPr="002844B1" w:rsidTr="008E2C0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8E2C01" w:rsidRPr="002844B1" w:rsidRDefault="008E2C01" w:rsidP="008E2C01">
            <w:pPr>
              <w:pStyle w:val="Compact"/>
              <w:jc w:val="right"/>
              <w:rPr>
                <w:sz w:val="15"/>
                <w:szCs w:val="15"/>
              </w:rPr>
            </w:pPr>
            <w:r w:rsidRPr="002844B1">
              <w:rPr>
                <w:sz w:val="15"/>
                <w:szCs w:val="15"/>
              </w:rPr>
              <w:t>ID</w:t>
            </w:r>
          </w:p>
        </w:tc>
        <w:tc>
          <w:tcPr>
            <w:tcW w:w="0" w:type="auto"/>
          </w:tcPr>
          <w:p w:rsidR="008E2C01" w:rsidRPr="002844B1"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sz w:val="15"/>
                <w:szCs w:val="15"/>
              </w:rPr>
            </w:pPr>
            <w:r w:rsidRPr="002844B1">
              <w:rPr>
                <w:sz w:val="15"/>
                <w:szCs w:val="15"/>
              </w:rPr>
              <w:t>Age</w:t>
            </w:r>
          </w:p>
        </w:tc>
        <w:tc>
          <w:tcPr>
            <w:cnfStyle w:val="000010000000" w:firstRow="0" w:lastRow="0" w:firstColumn="0" w:lastColumn="0" w:oddVBand="1" w:evenVBand="0" w:oddHBand="0" w:evenHBand="0" w:firstRowFirstColumn="0" w:firstRowLastColumn="0" w:lastRowFirstColumn="0" w:lastRowLastColumn="0"/>
            <w:tcW w:w="0" w:type="auto"/>
          </w:tcPr>
          <w:p w:rsidR="008E2C01" w:rsidRPr="002844B1" w:rsidRDefault="007633AB" w:rsidP="008E2C01">
            <w:pPr>
              <w:pStyle w:val="Compact"/>
              <w:jc w:val="right"/>
              <w:rPr>
                <w:sz w:val="15"/>
                <w:szCs w:val="15"/>
              </w:rPr>
            </w:pPr>
            <w:r w:rsidRPr="002844B1">
              <w:rPr>
                <w:sz w:val="15"/>
                <w:szCs w:val="15"/>
              </w:rPr>
              <w:t>Année</w:t>
            </w:r>
            <w:r>
              <w:rPr>
                <w:sz w:val="15"/>
                <w:szCs w:val="15"/>
              </w:rPr>
              <w:t xml:space="preserve"> </w:t>
            </w:r>
            <w:r w:rsidRPr="002844B1">
              <w:rPr>
                <w:sz w:val="15"/>
                <w:szCs w:val="15"/>
              </w:rPr>
              <w:t>d'effet</w:t>
            </w:r>
          </w:p>
        </w:tc>
        <w:tc>
          <w:tcPr>
            <w:tcW w:w="0" w:type="auto"/>
          </w:tcPr>
          <w:p w:rsidR="008E2C01" w:rsidRPr="002844B1"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sz w:val="15"/>
                <w:szCs w:val="15"/>
              </w:rPr>
            </w:pPr>
            <w:r w:rsidRPr="002844B1">
              <w:rPr>
                <w:sz w:val="15"/>
                <w:szCs w:val="15"/>
              </w:rPr>
              <w:t>Ann_e_d_expiration</w:t>
            </w:r>
          </w:p>
        </w:tc>
        <w:tc>
          <w:tcPr>
            <w:cnfStyle w:val="000010000000" w:firstRow="0" w:lastRow="0" w:firstColumn="0" w:lastColumn="0" w:oddVBand="1" w:evenVBand="0" w:oddHBand="0" w:evenHBand="0" w:firstRowFirstColumn="0" w:firstRowLastColumn="0" w:lastRowFirstColumn="0" w:lastRowLastColumn="0"/>
            <w:tcW w:w="0" w:type="auto"/>
          </w:tcPr>
          <w:p w:rsidR="008E2C01" w:rsidRPr="002844B1" w:rsidRDefault="008E2C01" w:rsidP="008E2C01">
            <w:pPr>
              <w:pStyle w:val="Compact"/>
              <w:jc w:val="right"/>
              <w:rPr>
                <w:sz w:val="15"/>
                <w:szCs w:val="15"/>
              </w:rPr>
            </w:pPr>
            <w:r w:rsidRPr="002844B1">
              <w:rPr>
                <w:sz w:val="15"/>
                <w:szCs w:val="15"/>
              </w:rPr>
              <w:t>Dur_e_de_contrat</w:t>
            </w:r>
          </w:p>
        </w:tc>
        <w:tc>
          <w:tcPr>
            <w:tcW w:w="0" w:type="auto"/>
          </w:tcPr>
          <w:p w:rsidR="008E2C01" w:rsidRPr="002844B1"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sz w:val="15"/>
                <w:szCs w:val="15"/>
              </w:rPr>
            </w:pPr>
            <w:r w:rsidRPr="002844B1">
              <w:rPr>
                <w:sz w:val="15"/>
                <w:szCs w:val="15"/>
              </w:rPr>
              <w:t>Durre.contrat.restante</w:t>
            </w:r>
          </w:p>
        </w:tc>
        <w:tc>
          <w:tcPr>
            <w:cnfStyle w:val="000010000000" w:firstRow="0" w:lastRow="0" w:firstColumn="0" w:lastColumn="0" w:oddVBand="1" w:evenVBand="0" w:oddHBand="0" w:evenHBand="0" w:firstRowFirstColumn="0" w:firstRowLastColumn="0" w:lastRowFirstColumn="0" w:lastRowLastColumn="0"/>
            <w:tcW w:w="0" w:type="auto"/>
          </w:tcPr>
          <w:p w:rsidR="008E2C01" w:rsidRPr="002844B1" w:rsidRDefault="008E2C01" w:rsidP="008E2C01">
            <w:pPr>
              <w:pStyle w:val="Compact"/>
              <w:jc w:val="right"/>
              <w:rPr>
                <w:sz w:val="15"/>
                <w:szCs w:val="15"/>
              </w:rPr>
            </w:pPr>
            <w:r w:rsidRPr="002844B1">
              <w:rPr>
                <w:sz w:val="15"/>
                <w:szCs w:val="15"/>
              </w:rPr>
              <w:t>Prime</w:t>
            </w:r>
          </w:p>
        </w:tc>
        <w:tc>
          <w:tcPr>
            <w:tcW w:w="0" w:type="auto"/>
          </w:tcPr>
          <w:p w:rsidR="008E2C01" w:rsidRPr="002844B1"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sz w:val="15"/>
                <w:szCs w:val="15"/>
              </w:rPr>
            </w:pPr>
            <w:r w:rsidRPr="002844B1">
              <w:rPr>
                <w:sz w:val="15"/>
                <w:szCs w:val="15"/>
              </w:rPr>
              <w:t>Capital_d_c_s_initial</w:t>
            </w:r>
          </w:p>
        </w:tc>
      </w:tr>
      <w:tr w:rsidR="008E2C01" w:rsidRPr="002844B1"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8E2C01" w:rsidRPr="002844B1" w:rsidRDefault="008E2C01" w:rsidP="008E2C01">
            <w:pPr>
              <w:pStyle w:val="Compact"/>
              <w:jc w:val="right"/>
              <w:rPr>
                <w:sz w:val="15"/>
                <w:szCs w:val="15"/>
              </w:rPr>
            </w:pPr>
            <w:r w:rsidRPr="002844B1">
              <w:rPr>
                <w:sz w:val="15"/>
                <w:szCs w:val="15"/>
              </w:rPr>
              <w:t>1400001</w:t>
            </w:r>
          </w:p>
        </w:tc>
        <w:tc>
          <w:tcPr>
            <w:tcW w:w="0" w:type="auto"/>
          </w:tcPr>
          <w:p w:rsidR="008E2C01" w:rsidRPr="002844B1"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sz w:val="15"/>
                <w:szCs w:val="15"/>
              </w:rPr>
            </w:pPr>
            <w:r w:rsidRPr="002844B1">
              <w:rPr>
                <w:sz w:val="15"/>
                <w:szCs w:val="15"/>
              </w:rPr>
              <w:t>46</w:t>
            </w:r>
          </w:p>
        </w:tc>
        <w:tc>
          <w:tcPr>
            <w:cnfStyle w:val="000010000000" w:firstRow="0" w:lastRow="0" w:firstColumn="0" w:lastColumn="0" w:oddVBand="1" w:evenVBand="0" w:oddHBand="0" w:evenHBand="0" w:firstRowFirstColumn="0" w:firstRowLastColumn="0" w:lastRowFirstColumn="0" w:lastRowLastColumn="0"/>
            <w:tcW w:w="0" w:type="auto"/>
          </w:tcPr>
          <w:p w:rsidR="008E2C01" w:rsidRPr="002844B1" w:rsidRDefault="008E2C01" w:rsidP="008E2C01">
            <w:pPr>
              <w:pStyle w:val="Compact"/>
              <w:jc w:val="right"/>
              <w:rPr>
                <w:sz w:val="15"/>
                <w:szCs w:val="15"/>
              </w:rPr>
            </w:pPr>
            <w:r w:rsidRPr="002844B1">
              <w:rPr>
                <w:sz w:val="15"/>
                <w:szCs w:val="15"/>
              </w:rPr>
              <w:t>2017</w:t>
            </w:r>
          </w:p>
        </w:tc>
        <w:tc>
          <w:tcPr>
            <w:tcW w:w="0" w:type="auto"/>
          </w:tcPr>
          <w:p w:rsidR="008E2C01" w:rsidRPr="002844B1"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sz w:val="15"/>
                <w:szCs w:val="15"/>
              </w:rPr>
            </w:pPr>
            <w:r w:rsidRPr="002844B1">
              <w:rPr>
                <w:sz w:val="15"/>
                <w:szCs w:val="15"/>
              </w:rPr>
              <w:t>2037</w:t>
            </w:r>
          </w:p>
        </w:tc>
        <w:tc>
          <w:tcPr>
            <w:cnfStyle w:val="000010000000" w:firstRow="0" w:lastRow="0" w:firstColumn="0" w:lastColumn="0" w:oddVBand="1" w:evenVBand="0" w:oddHBand="0" w:evenHBand="0" w:firstRowFirstColumn="0" w:firstRowLastColumn="0" w:lastRowFirstColumn="0" w:lastRowLastColumn="0"/>
            <w:tcW w:w="0" w:type="auto"/>
          </w:tcPr>
          <w:p w:rsidR="008E2C01" w:rsidRPr="002844B1" w:rsidRDefault="008E2C01" w:rsidP="008E2C01">
            <w:pPr>
              <w:pStyle w:val="Compact"/>
              <w:jc w:val="right"/>
              <w:rPr>
                <w:sz w:val="15"/>
                <w:szCs w:val="15"/>
              </w:rPr>
            </w:pPr>
            <w:r w:rsidRPr="002844B1">
              <w:rPr>
                <w:sz w:val="15"/>
                <w:szCs w:val="15"/>
              </w:rPr>
              <w:t>20</w:t>
            </w:r>
          </w:p>
        </w:tc>
        <w:tc>
          <w:tcPr>
            <w:tcW w:w="0" w:type="auto"/>
          </w:tcPr>
          <w:p w:rsidR="008E2C01" w:rsidRPr="002844B1"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sz w:val="15"/>
                <w:szCs w:val="15"/>
              </w:rPr>
            </w:pPr>
            <w:r w:rsidRPr="002844B1">
              <w:rPr>
                <w:sz w:val="15"/>
                <w:szCs w:val="15"/>
              </w:rPr>
              <w:t>15</w:t>
            </w:r>
          </w:p>
        </w:tc>
        <w:tc>
          <w:tcPr>
            <w:cnfStyle w:val="000010000000" w:firstRow="0" w:lastRow="0" w:firstColumn="0" w:lastColumn="0" w:oddVBand="1" w:evenVBand="0" w:oddHBand="0" w:evenHBand="0" w:firstRowFirstColumn="0" w:firstRowLastColumn="0" w:lastRowFirstColumn="0" w:lastRowLastColumn="0"/>
            <w:tcW w:w="0" w:type="auto"/>
          </w:tcPr>
          <w:p w:rsidR="008E2C01" w:rsidRPr="002844B1" w:rsidRDefault="008E2C01" w:rsidP="008E2C01">
            <w:pPr>
              <w:pStyle w:val="Compact"/>
              <w:jc w:val="right"/>
              <w:rPr>
                <w:sz w:val="15"/>
                <w:szCs w:val="15"/>
              </w:rPr>
            </w:pPr>
            <w:r w:rsidRPr="002844B1">
              <w:rPr>
                <w:sz w:val="15"/>
                <w:szCs w:val="15"/>
              </w:rPr>
              <w:t>55624</w:t>
            </w:r>
          </w:p>
        </w:tc>
        <w:tc>
          <w:tcPr>
            <w:tcW w:w="0" w:type="auto"/>
          </w:tcPr>
          <w:p w:rsidR="008E2C01" w:rsidRPr="002844B1"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sz w:val="15"/>
                <w:szCs w:val="15"/>
              </w:rPr>
            </w:pPr>
            <w:r w:rsidRPr="002844B1">
              <w:rPr>
                <w:sz w:val="15"/>
                <w:szCs w:val="15"/>
              </w:rPr>
              <w:t>2625000</w:t>
            </w:r>
          </w:p>
        </w:tc>
      </w:tr>
      <w:tr w:rsidR="008E2C01" w:rsidRPr="002844B1" w:rsidTr="008E2C01">
        <w:tc>
          <w:tcPr>
            <w:cnfStyle w:val="000010000000" w:firstRow="0" w:lastRow="0" w:firstColumn="0" w:lastColumn="0" w:oddVBand="1" w:evenVBand="0" w:oddHBand="0" w:evenHBand="0" w:firstRowFirstColumn="0" w:firstRowLastColumn="0" w:lastRowFirstColumn="0" w:lastRowLastColumn="0"/>
            <w:tcW w:w="0" w:type="auto"/>
          </w:tcPr>
          <w:p w:rsidR="008E2C01" w:rsidRPr="002844B1" w:rsidRDefault="008E2C01" w:rsidP="008E2C01">
            <w:pPr>
              <w:pStyle w:val="Compact"/>
              <w:jc w:val="right"/>
              <w:rPr>
                <w:sz w:val="15"/>
                <w:szCs w:val="15"/>
              </w:rPr>
            </w:pPr>
            <w:r w:rsidRPr="002844B1">
              <w:rPr>
                <w:sz w:val="15"/>
                <w:szCs w:val="15"/>
              </w:rPr>
              <w:t>1400002</w:t>
            </w:r>
          </w:p>
        </w:tc>
        <w:tc>
          <w:tcPr>
            <w:tcW w:w="0" w:type="auto"/>
          </w:tcPr>
          <w:p w:rsidR="008E2C01" w:rsidRPr="002844B1"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sz w:val="15"/>
                <w:szCs w:val="15"/>
              </w:rPr>
            </w:pPr>
            <w:r w:rsidRPr="002844B1">
              <w:rPr>
                <w:sz w:val="15"/>
                <w:szCs w:val="15"/>
              </w:rPr>
              <w:t>43</w:t>
            </w:r>
          </w:p>
        </w:tc>
        <w:tc>
          <w:tcPr>
            <w:cnfStyle w:val="000010000000" w:firstRow="0" w:lastRow="0" w:firstColumn="0" w:lastColumn="0" w:oddVBand="1" w:evenVBand="0" w:oddHBand="0" w:evenHBand="0" w:firstRowFirstColumn="0" w:firstRowLastColumn="0" w:lastRowFirstColumn="0" w:lastRowLastColumn="0"/>
            <w:tcW w:w="0" w:type="auto"/>
          </w:tcPr>
          <w:p w:rsidR="008E2C01" w:rsidRPr="002844B1" w:rsidRDefault="008E2C01" w:rsidP="008E2C01">
            <w:pPr>
              <w:pStyle w:val="Compact"/>
              <w:jc w:val="right"/>
              <w:rPr>
                <w:sz w:val="15"/>
                <w:szCs w:val="15"/>
              </w:rPr>
            </w:pPr>
            <w:r w:rsidRPr="002844B1">
              <w:rPr>
                <w:sz w:val="15"/>
                <w:szCs w:val="15"/>
              </w:rPr>
              <w:t>2017</w:t>
            </w:r>
          </w:p>
        </w:tc>
        <w:tc>
          <w:tcPr>
            <w:tcW w:w="0" w:type="auto"/>
          </w:tcPr>
          <w:p w:rsidR="008E2C01" w:rsidRPr="002844B1"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sz w:val="15"/>
                <w:szCs w:val="15"/>
              </w:rPr>
            </w:pPr>
            <w:r w:rsidRPr="002844B1">
              <w:rPr>
                <w:sz w:val="15"/>
                <w:szCs w:val="15"/>
              </w:rPr>
              <w:t>2042</w:t>
            </w:r>
          </w:p>
        </w:tc>
        <w:tc>
          <w:tcPr>
            <w:cnfStyle w:val="000010000000" w:firstRow="0" w:lastRow="0" w:firstColumn="0" w:lastColumn="0" w:oddVBand="1" w:evenVBand="0" w:oddHBand="0" w:evenHBand="0" w:firstRowFirstColumn="0" w:firstRowLastColumn="0" w:lastRowFirstColumn="0" w:lastRowLastColumn="0"/>
            <w:tcW w:w="0" w:type="auto"/>
          </w:tcPr>
          <w:p w:rsidR="008E2C01" w:rsidRPr="002844B1" w:rsidRDefault="008E2C01" w:rsidP="008E2C01">
            <w:pPr>
              <w:pStyle w:val="Compact"/>
              <w:jc w:val="right"/>
              <w:rPr>
                <w:sz w:val="15"/>
                <w:szCs w:val="15"/>
              </w:rPr>
            </w:pPr>
            <w:r w:rsidRPr="002844B1">
              <w:rPr>
                <w:sz w:val="15"/>
                <w:szCs w:val="15"/>
              </w:rPr>
              <w:t>25</w:t>
            </w:r>
          </w:p>
        </w:tc>
        <w:tc>
          <w:tcPr>
            <w:tcW w:w="0" w:type="auto"/>
          </w:tcPr>
          <w:p w:rsidR="008E2C01" w:rsidRPr="002844B1"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sz w:val="15"/>
                <w:szCs w:val="15"/>
              </w:rPr>
            </w:pPr>
            <w:r w:rsidRPr="002844B1">
              <w:rPr>
                <w:sz w:val="15"/>
                <w:szCs w:val="15"/>
              </w:rPr>
              <w:t>20</w:t>
            </w:r>
          </w:p>
        </w:tc>
        <w:tc>
          <w:tcPr>
            <w:cnfStyle w:val="000010000000" w:firstRow="0" w:lastRow="0" w:firstColumn="0" w:lastColumn="0" w:oddVBand="1" w:evenVBand="0" w:oddHBand="0" w:evenHBand="0" w:firstRowFirstColumn="0" w:firstRowLastColumn="0" w:lastRowFirstColumn="0" w:lastRowLastColumn="0"/>
            <w:tcW w:w="0" w:type="auto"/>
          </w:tcPr>
          <w:p w:rsidR="008E2C01" w:rsidRPr="002844B1" w:rsidRDefault="008E2C01" w:rsidP="008E2C01">
            <w:pPr>
              <w:pStyle w:val="Compact"/>
              <w:jc w:val="right"/>
              <w:rPr>
                <w:sz w:val="15"/>
                <w:szCs w:val="15"/>
              </w:rPr>
            </w:pPr>
            <w:r w:rsidRPr="002844B1">
              <w:rPr>
                <w:sz w:val="15"/>
                <w:szCs w:val="15"/>
              </w:rPr>
              <w:t>94684</w:t>
            </w:r>
          </w:p>
        </w:tc>
        <w:tc>
          <w:tcPr>
            <w:tcW w:w="0" w:type="auto"/>
          </w:tcPr>
          <w:p w:rsidR="008E2C01" w:rsidRPr="002844B1"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sz w:val="15"/>
                <w:szCs w:val="15"/>
              </w:rPr>
            </w:pPr>
            <w:r w:rsidRPr="002844B1">
              <w:rPr>
                <w:sz w:val="15"/>
                <w:szCs w:val="15"/>
              </w:rPr>
              <w:t>1785000</w:t>
            </w:r>
          </w:p>
        </w:tc>
      </w:tr>
      <w:tr w:rsidR="008E2C01" w:rsidRPr="002844B1"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8E2C01" w:rsidRPr="002844B1" w:rsidRDefault="008E2C01" w:rsidP="008E2C01">
            <w:pPr>
              <w:pStyle w:val="Compact"/>
              <w:jc w:val="right"/>
              <w:rPr>
                <w:sz w:val="15"/>
                <w:szCs w:val="15"/>
              </w:rPr>
            </w:pPr>
            <w:r w:rsidRPr="002844B1">
              <w:rPr>
                <w:sz w:val="15"/>
                <w:szCs w:val="15"/>
              </w:rPr>
              <w:t>1400003</w:t>
            </w:r>
          </w:p>
        </w:tc>
        <w:tc>
          <w:tcPr>
            <w:tcW w:w="0" w:type="auto"/>
          </w:tcPr>
          <w:p w:rsidR="008E2C01" w:rsidRPr="002844B1"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sz w:val="15"/>
                <w:szCs w:val="15"/>
              </w:rPr>
            </w:pPr>
            <w:r w:rsidRPr="002844B1">
              <w:rPr>
                <w:sz w:val="15"/>
                <w:szCs w:val="15"/>
              </w:rPr>
              <w:t>35</w:t>
            </w:r>
          </w:p>
        </w:tc>
        <w:tc>
          <w:tcPr>
            <w:cnfStyle w:val="000010000000" w:firstRow="0" w:lastRow="0" w:firstColumn="0" w:lastColumn="0" w:oddVBand="1" w:evenVBand="0" w:oddHBand="0" w:evenHBand="0" w:firstRowFirstColumn="0" w:firstRowLastColumn="0" w:lastRowFirstColumn="0" w:lastRowLastColumn="0"/>
            <w:tcW w:w="0" w:type="auto"/>
          </w:tcPr>
          <w:p w:rsidR="008E2C01" w:rsidRPr="002844B1" w:rsidRDefault="008E2C01" w:rsidP="008E2C01">
            <w:pPr>
              <w:pStyle w:val="Compact"/>
              <w:jc w:val="right"/>
              <w:rPr>
                <w:sz w:val="15"/>
                <w:szCs w:val="15"/>
              </w:rPr>
            </w:pPr>
            <w:r w:rsidRPr="002844B1">
              <w:rPr>
                <w:sz w:val="15"/>
                <w:szCs w:val="15"/>
              </w:rPr>
              <w:t>2014</w:t>
            </w:r>
          </w:p>
        </w:tc>
        <w:tc>
          <w:tcPr>
            <w:tcW w:w="0" w:type="auto"/>
          </w:tcPr>
          <w:p w:rsidR="008E2C01" w:rsidRPr="002844B1"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sz w:val="15"/>
                <w:szCs w:val="15"/>
              </w:rPr>
            </w:pPr>
            <w:r w:rsidRPr="002844B1">
              <w:rPr>
                <w:sz w:val="15"/>
                <w:szCs w:val="15"/>
              </w:rPr>
              <w:t>2039</w:t>
            </w:r>
          </w:p>
        </w:tc>
        <w:tc>
          <w:tcPr>
            <w:cnfStyle w:val="000010000000" w:firstRow="0" w:lastRow="0" w:firstColumn="0" w:lastColumn="0" w:oddVBand="1" w:evenVBand="0" w:oddHBand="0" w:evenHBand="0" w:firstRowFirstColumn="0" w:firstRowLastColumn="0" w:lastRowFirstColumn="0" w:lastRowLastColumn="0"/>
            <w:tcW w:w="0" w:type="auto"/>
          </w:tcPr>
          <w:p w:rsidR="008E2C01" w:rsidRPr="002844B1" w:rsidRDefault="008E2C01" w:rsidP="008E2C01">
            <w:pPr>
              <w:pStyle w:val="Compact"/>
              <w:jc w:val="right"/>
              <w:rPr>
                <w:sz w:val="15"/>
                <w:szCs w:val="15"/>
              </w:rPr>
            </w:pPr>
            <w:r w:rsidRPr="002844B1">
              <w:rPr>
                <w:sz w:val="15"/>
                <w:szCs w:val="15"/>
              </w:rPr>
              <w:t>25</w:t>
            </w:r>
          </w:p>
        </w:tc>
        <w:tc>
          <w:tcPr>
            <w:tcW w:w="0" w:type="auto"/>
          </w:tcPr>
          <w:p w:rsidR="008E2C01" w:rsidRPr="002844B1"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sz w:val="15"/>
                <w:szCs w:val="15"/>
              </w:rPr>
            </w:pPr>
            <w:r w:rsidRPr="002844B1">
              <w:rPr>
                <w:sz w:val="15"/>
                <w:szCs w:val="15"/>
              </w:rPr>
              <w:t>17</w:t>
            </w:r>
          </w:p>
        </w:tc>
        <w:tc>
          <w:tcPr>
            <w:cnfStyle w:val="000010000000" w:firstRow="0" w:lastRow="0" w:firstColumn="0" w:lastColumn="0" w:oddVBand="1" w:evenVBand="0" w:oddHBand="0" w:evenHBand="0" w:firstRowFirstColumn="0" w:firstRowLastColumn="0" w:lastRowFirstColumn="0" w:lastRowLastColumn="0"/>
            <w:tcW w:w="0" w:type="auto"/>
          </w:tcPr>
          <w:p w:rsidR="008E2C01" w:rsidRPr="002844B1" w:rsidRDefault="008E2C01" w:rsidP="008E2C01">
            <w:pPr>
              <w:pStyle w:val="Compact"/>
              <w:jc w:val="right"/>
              <w:rPr>
                <w:sz w:val="15"/>
                <w:szCs w:val="15"/>
              </w:rPr>
            </w:pPr>
            <w:r w:rsidRPr="002844B1">
              <w:rPr>
                <w:sz w:val="15"/>
                <w:szCs w:val="15"/>
              </w:rPr>
              <w:t>4113</w:t>
            </w:r>
          </w:p>
        </w:tc>
        <w:tc>
          <w:tcPr>
            <w:tcW w:w="0" w:type="auto"/>
          </w:tcPr>
          <w:p w:rsidR="008E2C01" w:rsidRPr="002844B1"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sz w:val="15"/>
                <w:szCs w:val="15"/>
              </w:rPr>
            </w:pPr>
            <w:r w:rsidRPr="002844B1">
              <w:rPr>
                <w:sz w:val="15"/>
                <w:szCs w:val="15"/>
              </w:rPr>
              <w:t>262500</w:t>
            </w:r>
          </w:p>
        </w:tc>
      </w:tr>
    </w:tbl>
    <w:p w:rsidR="008E2C01" w:rsidRPr="002844B1" w:rsidRDefault="008E2C01">
      <w:pPr>
        <w:pStyle w:val="TableCaption"/>
      </w:pPr>
    </w:p>
    <w:p w:rsidR="008E2C01" w:rsidRPr="002844B1" w:rsidRDefault="008E2C01">
      <w:pPr>
        <w:pStyle w:val="TableCaption"/>
      </w:pPr>
    </w:p>
    <w:p w:rsidR="008E2C01" w:rsidRPr="002844B1" w:rsidRDefault="008E2C01">
      <w:pPr>
        <w:pStyle w:val="TableCaption"/>
      </w:pPr>
    </w:p>
    <w:p w:rsidR="005B279D" w:rsidRPr="002844B1" w:rsidRDefault="00000000">
      <w:pPr>
        <w:pStyle w:val="Heading4"/>
      </w:pPr>
      <w:bookmarkStart w:id="164" w:name="tableau-damortissement"/>
      <w:bookmarkEnd w:id="163"/>
      <w:r w:rsidRPr="002844B1">
        <w:t>Tableau d’amortissement</w:t>
      </w:r>
    </w:p>
    <w:p w:rsidR="005B279D" w:rsidRPr="002844B1" w:rsidRDefault="00000000" w:rsidP="008E2C01">
      <w:pPr>
        <w:pStyle w:val="FirstParagraph"/>
        <w:jc w:val="both"/>
        <w:rPr>
          <w:sz w:val="21"/>
          <w:szCs w:val="21"/>
        </w:rPr>
      </w:pPr>
      <w:r w:rsidRPr="002844B1">
        <w:rPr>
          <w:sz w:val="21"/>
          <w:szCs w:val="21"/>
        </w:rPr>
        <w:t>Le capital étant dégressif, il est primordial de voir comment se capital est amorti tout au long de la durée du contrat. Voici un exemple d’</w:t>
      </w:r>
      <w:r w:rsidR="007633AB" w:rsidRPr="002844B1">
        <w:rPr>
          <w:sz w:val="21"/>
          <w:szCs w:val="21"/>
        </w:rPr>
        <w:t>amortissement</w:t>
      </w:r>
      <w:r w:rsidRPr="002844B1">
        <w:rPr>
          <w:sz w:val="21"/>
          <w:szCs w:val="21"/>
        </w:rPr>
        <w:t xml:space="preserve"> d’un contrat de durée </w:t>
      </w:r>
      <m:oMath>
        <m:r>
          <w:rPr>
            <w:rFonts w:ascii="Cambria Math" w:hAnsi="Cambria Math"/>
            <w:sz w:val="21"/>
            <w:szCs w:val="21"/>
          </w:rPr>
          <m:t>25 ans</m:t>
        </m:r>
      </m:oMath>
      <w:r w:rsidRPr="002844B1">
        <w:rPr>
          <w:sz w:val="21"/>
          <w:szCs w:val="21"/>
        </w:rPr>
        <w:t xml:space="preserve">, de date d’effet 2017, de capital initial </w:t>
      </w:r>
      <m:oMath>
        <m:r>
          <w:rPr>
            <w:rFonts w:ascii="Cambria Math" w:hAnsi="Cambria Math"/>
            <w:sz w:val="21"/>
            <w:szCs w:val="21"/>
          </w:rPr>
          <m:t>1 785 000 </m:t>
        </m:r>
        <m:r>
          <m:rPr>
            <m:nor/>
          </m:rPr>
          <w:rPr>
            <w:sz w:val="21"/>
            <w:szCs w:val="21"/>
          </w:rPr>
          <m:t>MAD</m:t>
        </m:r>
      </m:oMath>
      <w:r w:rsidRPr="002844B1">
        <w:rPr>
          <w:sz w:val="21"/>
          <w:szCs w:val="21"/>
        </w:rPr>
        <w:t xml:space="preserve">. Le montant des annuités vaut </w:t>
      </w:r>
      <m:oMath>
        <m:r>
          <w:rPr>
            <w:rFonts w:ascii="Cambria Math" w:hAnsi="Cambria Math"/>
            <w:sz w:val="21"/>
            <w:szCs w:val="21"/>
          </w:rPr>
          <m:t>114 261 </m:t>
        </m:r>
        <m:r>
          <m:rPr>
            <m:nor/>
          </m:rPr>
          <w:rPr>
            <w:sz w:val="21"/>
            <w:szCs w:val="21"/>
          </w:rPr>
          <m:t>MAD</m:t>
        </m:r>
      </m:oMath>
      <w:r w:rsidRPr="002844B1">
        <w:rPr>
          <w:sz w:val="21"/>
          <w:szCs w:val="21"/>
        </w:rPr>
        <w:t xml:space="preserve"> sachant que le taux d’intérêt est de </w:t>
      </w:r>
      <m:oMath>
        <m:r>
          <w:rPr>
            <w:rFonts w:ascii="Cambria Math" w:hAnsi="Cambria Math"/>
            <w:sz w:val="21"/>
            <w:szCs w:val="21"/>
          </w:rPr>
          <m:t>4%</m:t>
        </m:r>
      </m:oMath>
      <w:r w:rsidRPr="002844B1">
        <w:rPr>
          <w:sz w:val="21"/>
          <w:szCs w:val="21"/>
        </w:rPr>
        <w:t>.</w:t>
      </w:r>
      <w:bookmarkStart w:id="165" w:name="tbl-amort-1"/>
      <w:bookmarkStart w:id="166" w:name="tbl-amort"/>
    </w:p>
    <w:p w:rsidR="008E2C01" w:rsidRPr="002844B1" w:rsidRDefault="008E2C01" w:rsidP="008E2C01">
      <w:pPr>
        <w:pStyle w:val="Caption"/>
        <w:keepNext/>
        <w:jc w:val="center"/>
      </w:pPr>
      <w:r w:rsidRPr="002844B1">
        <w:t xml:space="preserve">Table </w:t>
      </w:r>
      <w:r w:rsidRPr="002844B1">
        <w:fldChar w:fldCharType="begin"/>
      </w:r>
      <w:r w:rsidRPr="002844B1">
        <w:instrText xml:space="preserve"> SEQ Table \* ARABIC </w:instrText>
      </w:r>
      <w:r w:rsidRPr="002844B1">
        <w:fldChar w:fldCharType="separate"/>
      </w:r>
      <w:r w:rsidRPr="002844B1">
        <w:rPr>
          <w:noProof/>
        </w:rPr>
        <w:t>12</w:t>
      </w:r>
      <w:r w:rsidRPr="002844B1">
        <w:fldChar w:fldCharType="end"/>
      </w:r>
      <w:r w:rsidRPr="002844B1">
        <w:t>: Tableau d’amortissement</w:t>
      </w:r>
      <w:r w:rsidRPr="002844B1">
        <w:br/>
      </w:r>
      <w:r w:rsidRPr="002844B1">
        <w:rPr>
          <w:sz w:val="13"/>
          <w:szCs w:val="13"/>
        </w:rPr>
        <w:t>*</w:t>
      </w:r>
      <w:r w:rsidRPr="002844B1">
        <w:rPr>
          <w:sz w:val="13"/>
          <w:szCs w:val="13"/>
        </w:rPr>
        <w:t>CRP désigne le capital restant à payer en cas de décès</w:t>
      </w:r>
    </w:p>
    <w:tbl>
      <w:tblPr>
        <w:tblStyle w:val="TableGrid"/>
        <w:tblW w:w="0" w:type="auto"/>
        <w:jc w:val="center"/>
        <w:tblLook w:val="0020" w:firstRow="1" w:lastRow="0" w:firstColumn="0" w:lastColumn="0" w:noHBand="0" w:noVBand="0"/>
      </w:tblPr>
      <w:tblGrid>
        <w:gridCol w:w="731"/>
        <w:gridCol w:w="956"/>
        <w:gridCol w:w="866"/>
        <w:gridCol w:w="1471"/>
        <w:gridCol w:w="870"/>
      </w:tblGrid>
      <w:tr w:rsidR="005B279D" w:rsidRPr="002844B1" w:rsidTr="008E2C01">
        <w:trPr>
          <w:jc w:val="center"/>
        </w:trPr>
        <w:tc>
          <w:tcPr>
            <w:tcW w:w="0" w:type="auto"/>
          </w:tcPr>
          <w:p w:rsidR="005B279D" w:rsidRPr="002844B1" w:rsidRDefault="00000000">
            <w:pPr>
              <w:pStyle w:val="Compact"/>
              <w:jc w:val="right"/>
            </w:pPr>
            <w:r w:rsidRPr="002844B1">
              <w:t>Annee</w:t>
            </w:r>
          </w:p>
        </w:tc>
        <w:tc>
          <w:tcPr>
            <w:tcW w:w="0" w:type="auto"/>
          </w:tcPr>
          <w:p w:rsidR="005B279D" w:rsidRPr="002844B1" w:rsidRDefault="00000000">
            <w:pPr>
              <w:pStyle w:val="Compact"/>
              <w:jc w:val="right"/>
            </w:pPr>
            <w:r w:rsidRPr="002844B1">
              <w:t>CRP</w:t>
            </w:r>
          </w:p>
        </w:tc>
        <w:tc>
          <w:tcPr>
            <w:tcW w:w="0" w:type="auto"/>
          </w:tcPr>
          <w:p w:rsidR="005B279D" w:rsidRPr="002844B1" w:rsidRDefault="00000000">
            <w:pPr>
              <w:pStyle w:val="Compact"/>
              <w:jc w:val="right"/>
            </w:pPr>
            <w:r w:rsidRPr="002844B1">
              <w:t>Intérêts</w:t>
            </w:r>
          </w:p>
        </w:tc>
        <w:tc>
          <w:tcPr>
            <w:tcW w:w="0" w:type="auto"/>
          </w:tcPr>
          <w:p w:rsidR="005B279D" w:rsidRPr="002844B1" w:rsidRDefault="00000000">
            <w:pPr>
              <w:pStyle w:val="Compact"/>
              <w:jc w:val="right"/>
            </w:pPr>
            <w:r w:rsidRPr="002844B1">
              <w:t>Amortissement</w:t>
            </w:r>
          </w:p>
        </w:tc>
        <w:tc>
          <w:tcPr>
            <w:tcW w:w="0" w:type="auto"/>
          </w:tcPr>
          <w:p w:rsidR="005B279D" w:rsidRPr="002844B1" w:rsidRDefault="00000000">
            <w:pPr>
              <w:pStyle w:val="Compact"/>
              <w:jc w:val="right"/>
            </w:pPr>
            <w:r w:rsidRPr="002844B1">
              <w:t>Annuité</w:t>
            </w:r>
          </w:p>
        </w:tc>
      </w:tr>
      <w:tr w:rsidR="005B279D" w:rsidRPr="002844B1" w:rsidTr="008E2C01">
        <w:trPr>
          <w:jc w:val="center"/>
        </w:trPr>
        <w:tc>
          <w:tcPr>
            <w:tcW w:w="0" w:type="auto"/>
          </w:tcPr>
          <w:p w:rsidR="005B279D" w:rsidRPr="002844B1" w:rsidRDefault="00000000">
            <w:pPr>
              <w:pStyle w:val="Compact"/>
              <w:jc w:val="right"/>
            </w:pPr>
            <w:r w:rsidRPr="002844B1">
              <w:t>2017</w:t>
            </w:r>
          </w:p>
        </w:tc>
        <w:tc>
          <w:tcPr>
            <w:tcW w:w="0" w:type="auto"/>
          </w:tcPr>
          <w:p w:rsidR="005B279D" w:rsidRPr="002844B1" w:rsidRDefault="00000000">
            <w:pPr>
              <w:pStyle w:val="Compact"/>
              <w:jc w:val="right"/>
            </w:pPr>
            <w:r w:rsidRPr="002844B1">
              <w:t>1785000</w:t>
            </w:r>
          </w:p>
        </w:tc>
        <w:tc>
          <w:tcPr>
            <w:tcW w:w="0" w:type="auto"/>
          </w:tcPr>
          <w:p w:rsidR="005B279D" w:rsidRPr="002844B1" w:rsidRDefault="00000000">
            <w:pPr>
              <w:pStyle w:val="Compact"/>
              <w:jc w:val="right"/>
            </w:pPr>
            <w:r w:rsidRPr="002844B1">
              <w:t>71400</w:t>
            </w:r>
          </w:p>
        </w:tc>
        <w:tc>
          <w:tcPr>
            <w:tcW w:w="0" w:type="auto"/>
          </w:tcPr>
          <w:p w:rsidR="005B279D" w:rsidRPr="002844B1" w:rsidRDefault="00000000">
            <w:pPr>
              <w:pStyle w:val="Compact"/>
              <w:jc w:val="right"/>
            </w:pPr>
            <w:r w:rsidRPr="002844B1">
              <w:t>42861</w:t>
            </w:r>
          </w:p>
        </w:tc>
        <w:tc>
          <w:tcPr>
            <w:tcW w:w="0" w:type="auto"/>
          </w:tcPr>
          <w:p w:rsidR="005B279D" w:rsidRPr="002844B1" w:rsidRDefault="00000000">
            <w:pPr>
              <w:pStyle w:val="Compact"/>
              <w:jc w:val="right"/>
            </w:pPr>
            <w:r w:rsidRPr="002844B1">
              <w:t>114261</w:t>
            </w:r>
          </w:p>
        </w:tc>
      </w:tr>
      <w:tr w:rsidR="005B279D" w:rsidRPr="002844B1" w:rsidTr="008E2C01">
        <w:trPr>
          <w:jc w:val="center"/>
        </w:trPr>
        <w:tc>
          <w:tcPr>
            <w:tcW w:w="0" w:type="auto"/>
          </w:tcPr>
          <w:p w:rsidR="005B279D" w:rsidRPr="002844B1" w:rsidRDefault="00000000">
            <w:pPr>
              <w:pStyle w:val="Compact"/>
              <w:jc w:val="right"/>
            </w:pPr>
            <w:r w:rsidRPr="002844B1">
              <w:t>2018</w:t>
            </w:r>
          </w:p>
        </w:tc>
        <w:tc>
          <w:tcPr>
            <w:tcW w:w="0" w:type="auto"/>
          </w:tcPr>
          <w:p w:rsidR="005B279D" w:rsidRPr="002844B1" w:rsidRDefault="00000000">
            <w:pPr>
              <w:pStyle w:val="Compact"/>
              <w:jc w:val="right"/>
            </w:pPr>
            <w:r w:rsidRPr="002844B1">
              <w:t>1742139</w:t>
            </w:r>
          </w:p>
        </w:tc>
        <w:tc>
          <w:tcPr>
            <w:tcW w:w="0" w:type="auto"/>
          </w:tcPr>
          <w:p w:rsidR="005B279D" w:rsidRPr="002844B1" w:rsidRDefault="00000000">
            <w:pPr>
              <w:pStyle w:val="Compact"/>
              <w:jc w:val="right"/>
            </w:pPr>
            <w:r w:rsidRPr="002844B1">
              <w:t>69686</w:t>
            </w:r>
          </w:p>
        </w:tc>
        <w:tc>
          <w:tcPr>
            <w:tcW w:w="0" w:type="auto"/>
          </w:tcPr>
          <w:p w:rsidR="005B279D" w:rsidRPr="002844B1" w:rsidRDefault="00000000">
            <w:pPr>
              <w:pStyle w:val="Compact"/>
              <w:jc w:val="right"/>
            </w:pPr>
            <w:r w:rsidRPr="002844B1">
              <w:t>44576</w:t>
            </w:r>
          </w:p>
        </w:tc>
        <w:tc>
          <w:tcPr>
            <w:tcW w:w="0" w:type="auto"/>
          </w:tcPr>
          <w:p w:rsidR="005B279D" w:rsidRPr="002844B1" w:rsidRDefault="00000000">
            <w:pPr>
              <w:pStyle w:val="Compact"/>
              <w:jc w:val="right"/>
            </w:pPr>
            <w:r w:rsidRPr="002844B1">
              <w:t>114261</w:t>
            </w:r>
          </w:p>
        </w:tc>
      </w:tr>
      <w:tr w:rsidR="005B279D" w:rsidRPr="002844B1" w:rsidTr="008E2C01">
        <w:trPr>
          <w:jc w:val="center"/>
        </w:trPr>
        <w:tc>
          <w:tcPr>
            <w:tcW w:w="0" w:type="auto"/>
          </w:tcPr>
          <w:p w:rsidR="005B279D" w:rsidRPr="002844B1" w:rsidRDefault="00000000">
            <w:pPr>
              <w:pStyle w:val="Compact"/>
              <w:jc w:val="right"/>
            </w:pPr>
            <w:r w:rsidRPr="002844B1">
              <w:lastRenderedPageBreak/>
              <w:t>2019</w:t>
            </w:r>
          </w:p>
        </w:tc>
        <w:tc>
          <w:tcPr>
            <w:tcW w:w="0" w:type="auto"/>
          </w:tcPr>
          <w:p w:rsidR="005B279D" w:rsidRPr="002844B1" w:rsidRDefault="00000000">
            <w:pPr>
              <w:pStyle w:val="Compact"/>
              <w:jc w:val="right"/>
            </w:pPr>
            <w:r w:rsidRPr="002844B1">
              <w:t>1697563</w:t>
            </w:r>
          </w:p>
        </w:tc>
        <w:tc>
          <w:tcPr>
            <w:tcW w:w="0" w:type="auto"/>
          </w:tcPr>
          <w:p w:rsidR="005B279D" w:rsidRPr="002844B1" w:rsidRDefault="00000000">
            <w:pPr>
              <w:pStyle w:val="Compact"/>
              <w:jc w:val="right"/>
            </w:pPr>
            <w:r w:rsidRPr="002844B1">
              <w:t>67903</w:t>
            </w:r>
          </w:p>
        </w:tc>
        <w:tc>
          <w:tcPr>
            <w:tcW w:w="0" w:type="auto"/>
          </w:tcPr>
          <w:p w:rsidR="005B279D" w:rsidRPr="002844B1" w:rsidRDefault="00000000">
            <w:pPr>
              <w:pStyle w:val="Compact"/>
              <w:jc w:val="right"/>
            </w:pPr>
            <w:r w:rsidRPr="002844B1">
              <w:t>46359</w:t>
            </w:r>
          </w:p>
        </w:tc>
        <w:tc>
          <w:tcPr>
            <w:tcW w:w="0" w:type="auto"/>
          </w:tcPr>
          <w:p w:rsidR="005B279D" w:rsidRPr="002844B1" w:rsidRDefault="00000000">
            <w:pPr>
              <w:pStyle w:val="Compact"/>
              <w:jc w:val="right"/>
            </w:pPr>
            <w:r w:rsidRPr="002844B1">
              <w:t>114261</w:t>
            </w:r>
          </w:p>
        </w:tc>
      </w:tr>
      <w:tr w:rsidR="005B279D" w:rsidRPr="002844B1" w:rsidTr="008E2C01">
        <w:trPr>
          <w:jc w:val="center"/>
        </w:trPr>
        <w:tc>
          <w:tcPr>
            <w:tcW w:w="0" w:type="auto"/>
          </w:tcPr>
          <w:p w:rsidR="005B279D" w:rsidRPr="002844B1" w:rsidRDefault="00000000">
            <w:pPr>
              <w:pStyle w:val="Compact"/>
              <w:jc w:val="right"/>
            </w:pPr>
            <w:r w:rsidRPr="002844B1">
              <w:t>2020</w:t>
            </w:r>
          </w:p>
        </w:tc>
        <w:tc>
          <w:tcPr>
            <w:tcW w:w="0" w:type="auto"/>
          </w:tcPr>
          <w:p w:rsidR="005B279D" w:rsidRPr="002844B1" w:rsidRDefault="00000000">
            <w:pPr>
              <w:pStyle w:val="Compact"/>
              <w:jc w:val="right"/>
            </w:pPr>
            <w:r w:rsidRPr="002844B1">
              <w:t>1651204</w:t>
            </w:r>
          </w:p>
        </w:tc>
        <w:tc>
          <w:tcPr>
            <w:tcW w:w="0" w:type="auto"/>
          </w:tcPr>
          <w:p w:rsidR="005B279D" w:rsidRPr="002844B1" w:rsidRDefault="00000000">
            <w:pPr>
              <w:pStyle w:val="Compact"/>
              <w:jc w:val="right"/>
            </w:pPr>
            <w:r w:rsidRPr="002844B1">
              <w:t>66048</w:t>
            </w:r>
          </w:p>
        </w:tc>
        <w:tc>
          <w:tcPr>
            <w:tcW w:w="0" w:type="auto"/>
          </w:tcPr>
          <w:p w:rsidR="005B279D" w:rsidRPr="002844B1" w:rsidRDefault="00000000">
            <w:pPr>
              <w:pStyle w:val="Compact"/>
              <w:jc w:val="right"/>
            </w:pPr>
            <w:r w:rsidRPr="002844B1">
              <w:t>48213</w:t>
            </w:r>
          </w:p>
        </w:tc>
        <w:tc>
          <w:tcPr>
            <w:tcW w:w="0" w:type="auto"/>
          </w:tcPr>
          <w:p w:rsidR="005B279D" w:rsidRPr="002844B1" w:rsidRDefault="00000000">
            <w:pPr>
              <w:pStyle w:val="Compact"/>
              <w:jc w:val="right"/>
            </w:pPr>
            <w:r w:rsidRPr="002844B1">
              <w:t>114261</w:t>
            </w:r>
          </w:p>
        </w:tc>
      </w:tr>
      <w:tr w:rsidR="005B279D" w:rsidRPr="002844B1" w:rsidTr="008E2C01">
        <w:trPr>
          <w:jc w:val="center"/>
        </w:trPr>
        <w:tc>
          <w:tcPr>
            <w:tcW w:w="0" w:type="auto"/>
          </w:tcPr>
          <w:p w:rsidR="005B279D" w:rsidRPr="002844B1" w:rsidRDefault="00000000">
            <w:pPr>
              <w:pStyle w:val="Compact"/>
              <w:jc w:val="right"/>
            </w:pPr>
            <w:r w:rsidRPr="002844B1">
              <w:t>2021</w:t>
            </w:r>
          </w:p>
        </w:tc>
        <w:tc>
          <w:tcPr>
            <w:tcW w:w="0" w:type="auto"/>
          </w:tcPr>
          <w:p w:rsidR="005B279D" w:rsidRPr="002844B1" w:rsidRDefault="00000000">
            <w:pPr>
              <w:pStyle w:val="Compact"/>
              <w:jc w:val="right"/>
            </w:pPr>
            <w:r w:rsidRPr="002844B1">
              <w:t>1602991</w:t>
            </w:r>
          </w:p>
        </w:tc>
        <w:tc>
          <w:tcPr>
            <w:tcW w:w="0" w:type="auto"/>
          </w:tcPr>
          <w:p w:rsidR="005B279D" w:rsidRPr="002844B1" w:rsidRDefault="00000000">
            <w:pPr>
              <w:pStyle w:val="Compact"/>
              <w:jc w:val="right"/>
            </w:pPr>
            <w:r w:rsidRPr="002844B1">
              <w:t>64120</w:t>
            </w:r>
          </w:p>
        </w:tc>
        <w:tc>
          <w:tcPr>
            <w:tcW w:w="0" w:type="auto"/>
          </w:tcPr>
          <w:p w:rsidR="005B279D" w:rsidRPr="002844B1" w:rsidRDefault="00000000">
            <w:pPr>
              <w:pStyle w:val="Compact"/>
              <w:jc w:val="right"/>
            </w:pPr>
            <w:r w:rsidRPr="002844B1">
              <w:t>50142</w:t>
            </w:r>
          </w:p>
        </w:tc>
        <w:tc>
          <w:tcPr>
            <w:tcW w:w="0" w:type="auto"/>
          </w:tcPr>
          <w:p w:rsidR="005B279D" w:rsidRPr="002844B1" w:rsidRDefault="00000000">
            <w:pPr>
              <w:pStyle w:val="Compact"/>
              <w:jc w:val="right"/>
            </w:pPr>
            <w:r w:rsidRPr="002844B1">
              <w:t>114261</w:t>
            </w:r>
          </w:p>
        </w:tc>
      </w:tr>
      <w:tr w:rsidR="005B279D" w:rsidRPr="002844B1" w:rsidTr="008E2C01">
        <w:trPr>
          <w:jc w:val="center"/>
        </w:trPr>
        <w:tc>
          <w:tcPr>
            <w:tcW w:w="0" w:type="auto"/>
          </w:tcPr>
          <w:p w:rsidR="005B279D" w:rsidRPr="002844B1" w:rsidRDefault="00000000">
            <w:pPr>
              <w:pStyle w:val="Compact"/>
              <w:jc w:val="right"/>
            </w:pPr>
            <w:r w:rsidRPr="002844B1">
              <w:t>2022</w:t>
            </w:r>
          </w:p>
        </w:tc>
        <w:tc>
          <w:tcPr>
            <w:tcW w:w="0" w:type="auto"/>
          </w:tcPr>
          <w:p w:rsidR="005B279D" w:rsidRPr="002844B1" w:rsidRDefault="00000000">
            <w:pPr>
              <w:pStyle w:val="Compact"/>
              <w:jc w:val="right"/>
            </w:pPr>
            <w:r w:rsidRPr="002844B1">
              <w:t>1552849</w:t>
            </w:r>
          </w:p>
        </w:tc>
        <w:tc>
          <w:tcPr>
            <w:tcW w:w="0" w:type="auto"/>
          </w:tcPr>
          <w:p w:rsidR="005B279D" w:rsidRPr="002844B1" w:rsidRDefault="00000000">
            <w:pPr>
              <w:pStyle w:val="Compact"/>
              <w:jc w:val="right"/>
            </w:pPr>
            <w:r w:rsidRPr="002844B1">
              <w:t>62114</w:t>
            </w:r>
          </w:p>
        </w:tc>
        <w:tc>
          <w:tcPr>
            <w:tcW w:w="0" w:type="auto"/>
          </w:tcPr>
          <w:p w:rsidR="005B279D" w:rsidRPr="002844B1" w:rsidRDefault="00000000">
            <w:pPr>
              <w:pStyle w:val="Compact"/>
              <w:jc w:val="right"/>
            </w:pPr>
            <w:r w:rsidRPr="002844B1">
              <w:t>52147</w:t>
            </w:r>
          </w:p>
        </w:tc>
        <w:tc>
          <w:tcPr>
            <w:tcW w:w="0" w:type="auto"/>
          </w:tcPr>
          <w:p w:rsidR="005B279D" w:rsidRPr="002844B1" w:rsidRDefault="00000000">
            <w:pPr>
              <w:pStyle w:val="Compact"/>
              <w:jc w:val="right"/>
            </w:pPr>
            <w:r w:rsidRPr="002844B1">
              <w:t>114261</w:t>
            </w:r>
          </w:p>
        </w:tc>
      </w:tr>
      <w:tr w:rsidR="005B279D" w:rsidRPr="002844B1" w:rsidTr="008E2C01">
        <w:trPr>
          <w:jc w:val="center"/>
        </w:trPr>
        <w:tc>
          <w:tcPr>
            <w:tcW w:w="0" w:type="auto"/>
          </w:tcPr>
          <w:p w:rsidR="005B279D" w:rsidRPr="002844B1" w:rsidRDefault="00000000">
            <w:pPr>
              <w:pStyle w:val="Compact"/>
              <w:jc w:val="right"/>
            </w:pPr>
            <w:r w:rsidRPr="002844B1">
              <w:t>2023</w:t>
            </w:r>
          </w:p>
        </w:tc>
        <w:tc>
          <w:tcPr>
            <w:tcW w:w="0" w:type="auto"/>
          </w:tcPr>
          <w:p w:rsidR="005B279D" w:rsidRPr="002844B1" w:rsidRDefault="00000000">
            <w:pPr>
              <w:pStyle w:val="Compact"/>
              <w:jc w:val="right"/>
            </w:pPr>
            <w:r w:rsidRPr="002844B1">
              <w:t>1500702</w:t>
            </w:r>
          </w:p>
        </w:tc>
        <w:tc>
          <w:tcPr>
            <w:tcW w:w="0" w:type="auto"/>
          </w:tcPr>
          <w:p w:rsidR="005B279D" w:rsidRPr="002844B1" w:rsidRDefault="00000000">
            <w:pPr>
              <w:pStyle w:val="Compact"/>
              <w:jc w:val="right"/>
            </w:pPr>
            <w:r w:rsidRPr="002844B1">
              <w:t>60028</w:t>
            </w:r>
          </w:p>
        </w:tc>
        <w:tc>
          <w:tcPr>
            <w:tcW w:w="0" w:type="auto"/>
          </w:tcPr>
          <w:p w:rsidR="005B279D" w:rsidRPr="002844B1" w:rsidRDefault="00000000">
            <w:pPr>
              <w:pStyle w:val="Compact"/>
              <w:jc w:val="right"/>
            </w:pPr>
            <w:r w:rsidRPr="002844B1">
              <w:t>54233</w:t>
            </w:r>
          </w:p>
        </w:tc>
        <w:tc>
          <w:tcPr>
            <w:tcW w:w="0" w:type="auto"/>
          </w:tcPr>
          <w:p w:rsidR="005B279D" w:rsidRPr="002844B1" w:rsidRDefault="00000000">
            <w:pPr>
              <w:pStyle w:val="Compact"/>
              <w:jc w:val="right"/>
            </w:pPr>
            <w:r w:rsidRPr="002844B1">
              <w:t>114261</w:t>
            </w:r>
          </w:p>
        </w:tc>
      </w:tr>
      <w:tr w:rsidR="005B279D" w:rsidRPr="002844B1" w:rsidTr="008E2C01">
        <w:trPr>
          <w:jc w:val="center"/>
        </w:trPr>
        <w:tc>
          <w:tcPr>
            <w:tcW w:w="0" w:type="auto"/>
          </w:tcPr>
          <w:p w:rsidR="005B279D" w:rsidRPr="002844B1" w:rsidRDefault="00000000">
            <w:pPr>
              <w:pStyle w:val="Compact"/>
              <w:jc w:val="right"/>
            </w:pPr>
            <w:r w:rsidRPr="002844B1">
              <w:t>2024</w:t>
            </w:r>
          </w:p>
        </w:tc>
        <w:tc>
          <w:tcPr>
            <w:tcW w:w="0" w:type="auto"/>
          </w:tcPr>
          <w:p w:rsidR="005B279D" w:rsidRPr="002844B1" w:rsidRDefault="00000000">
            <w:pPr>
              <w:pStyle w:val="Compact"/>
              <w:jc w:val="right"/>
            </w:pPr>
            <w:r w:rsidRPr="002844B1">
              <w:t>1446468</w:t>
            </w:r>
          </w:p>
        </w:tc>
        <w:tc>
          <w:tcPr>
            <w:tcW w:w="0" w:type="auto"/>
          </w:tcPr>
          <w:p w:rsidR="005B279D" w:rsidRPr="002844B1" w:rsidRDefault="00000000">
            <w:pPr>
              <w:pStyle w:val="Compact"/>
              <w:jc w:val="right"/>
            </w:pPr>
            <w:r w:rsidRPr="002844B1">
              <w:t>57859</w:t>
            </w:r>
          </w:p>
        </w:tc>
        <w:tc>
          <w:tcPr>
            <w:tcW w:w="0" w:type="auto"/>
          </w:tcPr>
          <w:p w:rsidR="005B279D" w:rsidRPr="002844B1" w:rsidRDefault="00000000">
            <w:pPr>
              <w:pStyle w:val="Compact"/>
              <w:jc w:val="right"/>
            </w:pPr>
            <w:r w:rsidRPr="002844B1">
              <w:t>56403</w:t>
            </w:r>
          </w:p>
        </w:tc>
        <w:tc>
          <w:tcPr>
            <w:tcW w:w="0" w:type="auto"/>
          </w:tcPr>
          <w:p w:rsidR="005B279D" w:rsidRPr="002844B1" w:rsidRDefault="00000000">
            <w:pPr>
              <w:pStyle w:val="Compact"/>
              <w:jc w:val="right"/>
            </w:pPr>
            <w:r w:rsidRPr="002844B1">
              <w:t>114261</w:t>
            </w:r>
          </w:p>
        </w:tc>
      </w:tr>
      <w:tr w:rsidR="005B279D" w:rsidRPr="002844B1" w:rsidTr="008E2C01">
        <w:trPr>
          <w:jc w:val="center"/>
        </w:trPr>
        <w:tc>
          <w:tcPr>
            <w:tcW w:w="0" w:type="auto"/>
          </w:tcPr>
          <w:p w:rsidR="005B279D" w:rsidRPr="002844B1" w:rsidRDefault="00000000">
            <w:pPr>
              <w:pStyle w:val="Compact"/>
              <w:jc w:val="right"/>
            </w:pPr>
            <w:r w:rsidRPr="002844B1">
              <w:t>2025</w:t>
            </w:r>
          </w:p>
        </w:tc>
        <w:tc>
          <w:tcPr>
            <w:tcW w:w="0" w:type="auto"/>
          </w:tcPr>
          <w:p w:rsidR="005B279D" w:rsidRPr="002844B1" w:rsidRDefault="00000000">
            <w:pPr>
              <w:pStyle w:val="Compact"/>
              <w:jc w:val="right"/>
            </w:pPr>
            <w:r w:rsidRPr="002844B1">
              <w:t>1390066</w:t>
            </w:r>
          </w:p>
        </w:tc>
        <w:tc>
          <w:tcPr>
            <w:tcW w:w="0" w:type="auto"/>
          </w:tcPr>
          <w:p w:rsidR="005B279D" w:rsidRPr="002844B1" w:rsidRDefault="00000000">
            <w:pPr>
              <w:pStyle w:val="Compact"/>
              <w:jc w:val="right"/>
            </w:pPr>
            <w:r w:rsidRPr="002844B1">
              <w:t>55603</w:t>
            </w:r>
          </w:p>
        </w:tc>
        <w:tc>
          <w:tcPr>
            <w:tcW w:w="0" w:type="auto"/>
          </w:tcPr>
          <w:p w:rsidR="005B279D" w:rsidRPr="002844B1" w:rsidRDefault="00000000">
            <w:pPr>
              <w:pStyle w:val="Compact"/>
              <w:jc w:val="right"/>
            </w:pPr>
            <w:r w:rsidRPr="002844B1">
              <w:t>58659</w:t>
            </w:r>
          </w:p>
        </w:tc>
        <w:tc>
          <w:tcPr>
            <w:tcW w:w="0" w:type="auto"/>
          </w:tcPr>
          <w:p w:rsidR="005B279D" w:rsidRPr="002844B1" w:rsidRDefault="00000000">
            <w:pPr>
              <w:pStyle w:val="Compact"/>
              <w:jc w:val="right"/>
            </w:pPr>
            <w:r w:rsidRPr="002844B1">
              <w:t>114261</w:t>
            </w:r>
          </w:p>
        </w:tc>
      </w:tr>
      <w:tr w:rsidR="005B279D" w:rsidRPr="002844B1" w:rsidTr="008E2C01">
        <w:trPr>
          <w:jc w:val="center"/>
        </w:trPr>
        <w:tc>
          <w:tcPr>
            <w:tcW w:w="0" w:type="auto"/>
          </w:tcPr>
          <w:p w:rsidR="005B279D" w:rsidRPr="002844B1" w:rsidRDefault="00000000">
            <w:pPr>
              <w:pStyle w:val="Compact"/>
              <w:jc w:val="right"/>
            </w:pPr>
            <w:r w:rsidRPr="002844B1">
              <w:t>2026</w:t>
            </w:r>
          </w:p>
        </w:tc>
        <w:tc>
          <w:tcPr>
            <w:tcW w:w="0" w:type="auto"/>
          </w:tcPr>
          <w:p w:rsidR="005B279D" w:rsidRPr="002844B1" w:rsidRDefault="00000000">
            <w:pPr>
              <w:pStyle w:val="Compact"/>
              <w:jc w:val="right"/>
            </w:pPr>
            <w:r w:rsidRPr="002844B1">
              <w:t>1331407</w:t>
            </w:r>
          </w:p>
        </w:tc>
        <w:tc>
          <w:tcPr>
            <w:tcW w:w="0" w:type="auto"/>
          </w:tcPr>
          <w:p w:rsidR="005B279D" w:rsidRPr="002844B1" w:rsidRDefault="00000000">
            <w:pPr>
              <w:pStyle w:val="Compact"/>
              <w:jc w:val="right"/>
            </w:pPr>
            <w:r w:rsidRPr="002844B1">
              <w:t>53256</w:t>
            </w:r>
          </w:p>
        </w:tc>
        <w:tc>
          <w:tcPr>
            <w:tcW w:w="0" w:type="auto"/>
          </w:tcPr>
          <w:p w:rsidR="005B279D" w:rsidRPr="002844B1" w:rsidRDefault="00000000">
            <w:pPr>
              <w:pStyle w:val="Compact"/>
              <w:jc w:val="right"/>
            </w:pPr>
            <w:r w:rsidRPr="002844B1">
              <w:t>61005</w:t>
            </w:r>
          </w:p>
        </w:tc>
        <w:tc>
          <w:tcPr>
            <w:tcW w:w="0" w:type="auto"/>
          </w:tcPr>
          <w:p w:rsidR="005B279D" w:rsidRPr="002844B1" w:rsidRDefault="00000000">
            <w:pPr>
              <w:pStyle w:val="Compact"/>
              <w:jc w:val="right"/>
            </w:pPr>
            <w:r w:rsidRPr="002844B1">
              <w:t>114261</w:t>
            </w:r>
          </w:p>
        </w:tc>
      </w:tr>
      <w:tr w:rsidR="005B279D" w:rsidRPr="002844B1" w:rsidTr="008E2C01">
        <w:trPr>
          <w:jc w:val="center"/>
        </w:trPr>
        <w:tc>
          <w:tcPr>
            <w:tcW w:w="0" w:type="auto"/>
          </w:tcPr>
          <w:p w:rsidR="005B279D" w:rsidRPr="002844B1" w:rsidRDefault="00000000">
            <w:pPr>
              <w:pStyle w:val="Compact"/>
              <w:jc w:val="right"/>
            </w:pPr>
            <w:r w:rsidRPr="002844B1">
              <w:t>2027</w:t>
            </w:r>
          </w:p>
        </w:tc>
        <w:tc>
          <w:tcPr>
            <w:tcW w:w="0" w:type="auto"/>
          </w:tcPr>
          <w:p w:rsidR="005B279D" w:rsidRPr="002844B1" w:rsidRDefault="00000000">
            <w:pPr>
              <w:pStyle w:val="Compact"/>
              <w:jc w:val="right"/>
            </w:pPr>
            <w:r w:rsidRPr="002844B1">
              <w:t>1270402</w:t>
            </w:r>
          </w:p>
        </w:tc>
        <w:tc>
          <w:tcPr>
            <w:tcW w:w="0" w:type="auto"/>
          </w:tcPr>
          <w:p w:rsidR="005B279D" w:rsidRPr="002844B1" w:rsidRDefault="00000000">
            <w:pPr>
              <w:pStyle w:val="Compact"/>
              <w:jc w:val="right"/>
            </w:pPr>
            <w:r w:rsidRPr="002844B1">
              <w:t>50816</w:t>
            </w:r>
          </w:p>
        </w:tc>
        <w:tc>
          <w:tcPr>
            <w:tcW w:w="0" w:type="auto"/>
          </w:tcPr>
          <w:p w:rsidR="005B279D" w:rsidRPr="002844B1" w:rsidRDefault="00000000">
            <w:pPr>
              <w:pStyle w:val="Compact"/>
              <w:jc w:val="right"/>
            </w:pPr>
            <w:r w:rsidRPr="002844B1">
              <w:t>63445</w:t>
            </w:r>
          </w:p>
        </w:tc>
        <w:tc>
          <w:tcPr>
            <w:tcW w:w="0" w:type="auto"/>
          </w:tcPr>
          <w:p w:rsidR="005B279D" w:rsidRPr="002844B1" w:rsidRDefault="00000000">
            <w:pPr>
              <w:pStyle w:val="Compact"/>
              <w:jc w:val="right"/>
            </w:pPr>
            <w:r w:rsidRPr="002844B1">
              <w:t>114261</w:t>
            </w:r>
          </w:p>
        </w:tc>
      </w:tr>
      <w:tr w:rsidR="005B279D" w:rsidRPr="002844B1" w:rsidTr="008E2C01">
        <w:trPr>
          <w:jc w:val="center"/>
        </w:trPr>
        <w:tc>
          <w:tcPr>
            <w:tcW w:w="0" w:type="auto"/>
          </w:tcPr>
          <w:p w:rsidR="005B279D" w:rsidRPr="002844B1" w:rsidRDefault="00000000">
            <w:pPr>
              <w:pStyle w:val="Compact"/>
              <w:jc w:val="right"/>
            </w:pPr>
            <w:r w:rsidRPr="002844B1">
              <w:t>2028</w:t>
            </w:r>
          </w:p>
        </w:tc>
        <w:tc>
          <w:tcPr>
            <w:tcW w:w="0" w:type="auto"/>
          </w:tcPr>
          <w:p w:rsidR="005B279D" w:rsidRPr="002844B1" w:rsidRDefault="00000000">
            <w:pPr>
              <w:pStyle w:val="Compact"/>
              <w:jc w:val="right"/>
            </w:pPr>
            <w:r w:rsidRPr="002844B1">
              <w:t>1206957</w:t>
            </w:r>
          </w:p>
        </w:tc>
        <w:tc>
          <w:tcPr>
            <w:tcW w:w="0" w:type="auto"/>
          </w:tcPr>
          <w:p w:rsidR="005B279D" w:rsidRPr="002844B1" w:rsidRDefault="00000000">
            <w:pPr>
              <w:pStyle w:val="Compact"/>
              <w:jc w:val="right"/>
            </w:pPr>
            <w:r w:rsidRPr="002844B1">
              <w:t>48278</w:t>
            </w:r>
          </w:p>
        </w:tc>
        <w:tc>
          <w:tcPr>
            <w:tcW w:w="0" w:type="auto"/>
          </w:tcPr>
          <w:p w:rsidR="005B279D" w:rsidRPr="002844B1" w:rsidRDefault="00000000">
            <w:pPr>
              <w:pStyle w:val="Compact"/>
              <w:jc w:val="right"/>
            </w:pPr>
            <w:r w:rsidRPr="002844B1">
              <w:t>65983</w:t>
            </w:r>
          </w:p>
        </w:tc>
        <w:tc>
          <w:tcPr>
            <w:tcW w:w="0" w:type="auto"/>
          </w:tcPr>
          <w:p w:rsidR="005B279D" w:rsidRPr="002844B1" w:rsidRDefault="00000000">
            <w:pPr>
              <w:pStyle w:val="Compact"/>
              <w:jc w:val="right"/>
            </w:pPr>
            <w:r w:rsidRPr="002844B1">
              <w:t>114261</w:t>
            </w:r>
          </w:p>
        </w:tc>
      </w:tr>
      <w:tr w:rsidR="005B279D" w:rsidRPr="002844B1" w:rsidTr="008E2C01">
        <w:trPr>
          <w:jc w:val="center"/>
        </w:trPr>
        <w:tc>
          <w:tcPr>
            <w:tcW w:w="0" w:type="auto"/>
          </w:tcPr>
          <w:p w:rsidR="005B279D" w:rsidRPr="002844B1" w:rsidRDefault="00000000">
            <w:pPr>
              <w:pStyle w:val="Compact"/>
              <w:jc w:val="right"/>
            </w:pPr>
            <w:r w:rsidRPr="002844B1">
              <w:t>2029</w:t>
            </w:r>
          </w:p>
        </w:tc>
        <w:tc>
          <w:tcPr>
            <w:tcW w:w="0" w:type="auto"/>
          </w:tcPr>
          <w:p w:rsidR="005B279D" w:rsidRPr="002844B1" w:rsidRDefault="00000000">
            <w:pPr>
              <w:pStyle w:val="Compact"/>
              <w:jc w:val="right"/>
            </w:pPr>
            <w:r w:rsidRPr="002844B1">
              <w:t>1140974</w:t>
            </w:r>
          </w:p>
        </w:tc>
        <w:tc>
          <w:tcPr>
            <w:tcW w:w="0" w:type="auto"/>
          </w:tcPr>
          <w:p w:rsidR="005B279D" w:rsidRPr="002844B1" w:rsidRDefault="00000000">
            <w:pPr>
              <w:pStyle w:val="Compact"/>
              <w:jc w:val="right"/>
            </w:pPr>
            <w:r w:rsidRPr="002844B1">
              <w:t>45639</w:t>
            </w:r>
          </w:p>
        </w:tc>
        <w:tc>
          <w:tcPr>
            <w:tcW w:w="0" w:type="auto"/>
          </w:tcPr>
          <w:p w:rsidR="005B279D" w:rsidRPr="002844B1" w:rsidRDefault="00000000">
            <w:pPr>
              <w:pStyle w:val="Compact"/>
              <w:jc w:val="right"/>
            </w:pPr>
            <w:r w:rsidRPr="002844B1">
              <w:t>68622</w:t>
            </w:r>
          </w:p>
        </w:tc>
        <w:tc>
          <w:tcPr>
            <w:tcW w:w="0" w:type="auto"/>
          </w:tcPr>
          <w:p w:rsidR="005B279D" w:rsidRPr="002844B1" w:rsidRDefault="00000000">
            <w:pPr>
              <w:pStyle w:val="Compact"/>
              <w:jc w:val="right"/>
            </w:pPr>
            <w:r w:rsidRPr="002844B1">
              <w:t>114261</w:t>
            </w:r>
          </w:p>
        </w:tc>
      </w:tr>
      <w:tr w:rsidR="005B279D" w:rsidRPr="002844B1" w:rsidTr="008E2C01">
        <w:trPr>
          <w:jc w:val="center"/>
        </w:trPr>
        <w:tc>
          <w:tcPr>
            <w:tcW w:w="0" w:type="auto"/>
          </w:tcPr>
          <w:p w:rsidR="005B279D" w:rsidRPr="002844B1" w:rsidRDefault="00000000">
            <w:pPr>
              <w:pStyle w:val="Compact"/>
              <w:jc w:val="right"/>
            </w:pPr>
            <w:r w:rsidRPr="002844B1">
              <w:t>2030</w:t>
            </w:r>
          </w:p>
        </w:tc>
        <w:tc>
          <w:tcPr>
            <w:tcW w:w="0" w:type="auto"/>
          </w:tcPr>
          <w:p w:rsidR="005B279D" w:rsidRPr="002844B1" w:rsidRDefault="00000000">
            <w:pPr>
              <w:pStyle w:val="Compact"/>
              <w:jc w:val="right"/>
            </w:pPr>
            <w:r w:rsidRPr="002844B1">
              <w:t>1072351</w:t>
            </w:r>
          </w:p>
        </w:tc>
        <w:tc>
          <w:tcPr>
            <w:tcW w:w="0" w:type="auto"/>
          </w:tcPr>
          <w:p w:rsidR="005B279D" w:rsidRPr="002844B1" w:rsidRDefault="00000000">
            <w:pPr>
              <w:pStyle w:val="Compact"/>
              <w:jc w:val="right"/>
            </w:pPr>
            <w:r w:rsidRPr="002844B1">
              <w:t>42894</w:t>
            </w:r>
          </w:p>
        </w:tc>
        <w:tc>
          <w:tcPr>
            <w:tcW w:w="0" w:type="auto"/>
          </w:tcPr>
          <w:p w:rsidR="005B279D" w:rsidRPr="002844B1" w:rsidRDefault="00000000">
            <w:pPr>
              <w:pStyle w:val="Compact"/>
              <w:jc w:val="right"/>
            </w:pPr>
            <w:r w:rsidRPr="002844B1">
              <w:t>71367</w:t>
            </w:r>
          </w:p>
        </w:tc>
        <w:tc>
          <w:tcPr>
            <w:tcW w:w="0" w:type="auto"/>
          </w:tcPr>
          <w:p w:rsidR="005B279D" w:rsidRPr="002844B1" w:rsidRDefault="00000000">
            <w:pPr>
              <w:pStyle w:val="Compact"/>
              <w:jc w:val="right"/>
            </w:pPr>
            <w:r w:rsidRPr="002844B1">
              <w:t>114261</w:t>
            </w:r>
          </w:p>
        </w:tc>
      </w:tr>
      <w:tr w:rsidR="005B279D" w:rsidRPr="002844B1" w:rsidTr="008E2C01">
        <w:trPr>
          <w:jc w:val="center"/>
        </w:trPr>
        <w:tc>
          <w:tcPr>
            <w:tcW w:w="0" w:type="auto"/>
          </w:tcPr>
          <w:p w:rsidR="005B279D" w:rsidRPr="002844B1" w:rsidRDefault="00000000">
            <w:pPr>
              <w:pStyle w:val="Compact"/>
              <w:jc w:val="right"/>
            </w:pPr>
            <w:r w:rsidRPr="002844B1">
              <w:t>2031</w:t>
            </w:r>
          </w:p>
        </w:tc>
        <w:tc>
          <w:tcPr>
            <w:tcW w:w="0" w:type="auto"/>
          </w:tcPr>
          <w:p w:rsidR="005B279D" w:rsidRPr="002844B1" w:rsidRDefault="00000000">
            <w:pPr>
              <w:pStyle w:val="Compact"/>
              <w:jc w:val="right"/>
            </w:pPr>
            <w:r w:rsidRPr="002844B1">
              <w:t>1000984</w:t>
            </w:r>
          </w:p>
        </w:tc>
        <w:tc>
          <w:tcPr>
            <w:tcW w:w="0" w:type="auto"/>
          </w:tcPr>
          <w:p w:rsidR="005B279D" w:rsidRPr="002844B1" w:rsidRDefault="00000000">
            <w:pPr>
              <w:pStyle w:val="Compact"/>
              <w:jc w:val="right"/>
            </w:pPr>
            <w:r w:rsidRPr="002844B1">
              <w:t>40039</w:t>
            </w:r>
          </w:p>
        </w:tc>
        <w:tc>
          <w:tcPr>
            <w:tcW w:w="0" w:type="auto"/>
          </w:tcPr>
          <w:p w:rsidR="005B279D" w:rsidRPr="002844B1" w:rsidRDefault="00000000">
            <w:pPr>
              <w:pStyle w:val="Compact"/>
              <w:jc w:val="right"/>
            </w:pPr>
            <w:r w:rsidRPr="002844B1">
              <w:t>74222</w:t>
            </w:r>
          </w:p>
        </w:tc>
        <w:tc>
          <w:tcPr>
            <w:tcW w:w="0" w:type="auto"/>
          </w:tcPr>
          <w:p w:rsidR="005B279D" w:rsidRPr="002844B1" w:rsidRDefault="00000000">
            <w:pPr>
              <w:pStyle w:val="Compact"/>
              <w:jc w:val="right"/>
            </w:pPr>
            <w:r w:rsidRPr="002844B1">
              <w:t>114261</w:t>
            </w:r>
          </w:p>
        </w:tc>
      </w:tr>
      <w:tr w:rsidR="005B279D" w:rsidRPr="002844B1" w:rsidTr="008E2C01">
        <w:trPr>
          <w:jc w:val="center"/>
        </w:trPr>
        <w:tc>
          <w:tcPr>
            <w:tcW w:w="0" w:type="auto"/>
          </w:tcPr>
          <w:p w:rsidR="005B279D" w:rsidRPr="002844B1" w:rsidRDefault="00000000">
            <w:pPr>
              <w:pStyle w:val="Compact"/>
              <w:jc w:val="right"/>
            </w:pPr>
            <w:r w:rsidRPr="002844B1">
              <w:t>2032</w:t>
            </w:r>
          </w:p>
        </w:tc>
        <w:tc>
          <w:tcPr>
            <w:tcW w:w="0" w:type="auto"/>
          </w:tcPr>
          <w:p w:rsidR="005B279D" w:rsidRPr="002844B1" w:rsidRDefault="00000000">
            <w:pPr>
              <w:pStyle w:val="Compact"/>
              <w:jc w:val="right"/>
            </w:pPr>
            <w:r w:rsidRPr="002844B1">
              <w:t>926762</w:t>
            </w:r>
          </w:p>
        </w:tc>
        <w:tc>
          <w:tcPr>
            <w:tcW w:w="0" w:type="auto"/>
          </w:tcPr>
          <w:p w:rsidR="005B279D" w:rsidRPr="002844B1" w:rsidRDefault="00000000">
            <w:pPr>
              <w:pStyle w:val="Compact"/>
              <w:jc w:val="right"/>
            </w:pPr>
            <w:r w:rsidRPr="002844B1">
              <w:t>37070</w:t>
            </w:r>
          </w:p>
        </w:tc>
        <w:tc>
          <w:tcPr>
            <w:tcW w:w="0" w:type="auto"/>
          </w:tcPr>
          <w:p w:rsidR="005B279D" w:rsidRPr="002844B1" w:rsidRDefault="00000000">
            <w:pPr>
              <w:pStyle w:val="Compact"/>
              <w:jc w:val="right"/>
            </w:pPr>
            <w:r w:rsidRPr="002844B1">
              <w:t>77191</w:t>
            </w:r>
          </w:p>
        </w:tc>
        <w:tc>
          <w:tcPr>
            <w:tcW w:w="0" w:type="auto"/>
          </w:tcPr>
          <w:p w:rsidR="005B279D" w:rsidRPr="002844B1" w:rsidRDefault="00000000">
            <w:pPr>
              <w:pStyle w:val="Compact"/>
              <w:jc w:val="right"/>
            </w:pPr>
            <w:r w:rsidRPr="002844B1">
              <w:t>114261</w:t>
            </w:r>
          </w:p>
        </w:tc>
      </w:tr>
      <w:tr w:rsidR="005B279D" w:rsidRPr="002844B1" w:rsidTr="008E2C01">
        <w:trPr>
          <w:jc w:val="center"/>
        </w:trPr>
        <w:tc>
          <w:tcPr>
            <w:tcW w:w="0" w:type="auto"/>
          </w:tcPr>
          <w:p w:rsidR="005B279D" w:rsidRPr="002844B1" w:rsidRDefault="00000000">
            <w:pPr>
              <w:pStyle w:val="Compact"/>
              <w:jc w:val="right"/>
            </w:pPr>
            <w:r w:rsidRPr="002844B1">
              <w:t>2033</w:t>
            </w:r>
          </w:p>
        </w:tc>
        <w:tc>
          <w:tcPr>
            <w:tcW w:w="0" w:type="auto"/>
          </w:tcPr>
          <w:p w:rsidR="005B279D" w:rsidRPr="002844B1" w:rsidRDefault="00000000">
            <w:pPr>
              <w:pStyle w:val="Compact"/>
              <w:jc w:val="right"/>
            </w:pPr>
            <w:r w:rsidRPr="002844B1">
              <w:t>849571</w:t>
            </w:r>
          </w:p>
        </w:tc>
        <w:tc>
          <w:tcPr>
            <w:tcW w:w="0" w:type="auto"/>
          </w:tcPr>
          <w:p w:rsidR="005B279D" w:rsidRPr="002844B1" w:rsidRDefault="00000000">
            <w:pPr>
              <w:pStyle w:val="Compact"/>
              <w:jc w:val="right"/>
            </w:pPr>
            <w:r w:rsidRPr="002844B1">
              <w:t>33983</w:t>
            </w:r>
          </w:p>
        </w:tc>
        <w:tc>
          <w:tcPr>
            <w:tcW w:w="0" w:type="auto"/>
          </w:tcPr>
          <w:p w:rsidR="005B279D" w:rsidRPr="002844B1" w:rsidRDefault="00000000">
            <w:pPr>
              <w:pStyle w:val="Compact"/>
              <w:jc w:val="right"/>
            </w:pPr>
            <w:r w:rsidRPr="002844B1">
              <w:t>80279</w:t>
            </w:r>
          </w:p>
        </w:tc>
        <w:tc>
          <w:tcPr>
            <w:tcW w:w="0" w:type="auto"/>
          </w:tcPr>
          <w:p w:rsidR="005B279D" w:rsidRPr="002844B1" w:rsidRDefault="00000000">
            <w:pPr>
              <w:pStyle w:val="Compact"/>
              <w:jc w:val="right"/>
            </w:pPr>
            <w:r w:rsidRPr="002844B1">
              <w:t>114261</w:t>
            </w:r>
          </w:p>
        </w:tc>
      </w:tr>
      <w:tr w:rsidR="005B279D" w:rsidRPr="002844B1" w:rsidTr="008E2C01">
        <w:trPr>
          <w:jc w:val="center"/>
        </w:trPr>
        <w:tc>
          <w:tcPr>
            <w:tcW w:w="0" w:type="auto"/>
          </w:tcPr>
          <w:p w:rsidR="005B279D" w:rsidRPr="002844B1" w:rsidRDefault="00000000">
            <w:pPr>
              <w:pStyle w:val="Compact"/>
              <w:jc w:val="right"/>
            </w:pPr>
            <w:r w:rsidRPr="002844B1">
              <w:t>2034</w:t>
            </w:r>
          </w:p>
        </w:tc>
        <w:tc>
          <w:tcPr>
            <w:tcW w:w="0" w:type="auto"/>
          </w:tcPr>
          <w:p w:rsidR="005B279D" w:rsidRPr="002844B1" w:rsidRDefault="00000000">
            <w:pPr>
              <w:pStyle w:val="Compact"/>
              <w:jc w:val="right"/>
            </w:pPr>
            <w:r w:rsidRPr="002844B1">
              <w:t>769293</w:t>
            </w:r>
          </w:p>
        </w:tc>
        <w:tc>
          <w:tcPr>
            <w:tcW w:w="0" w:type="auto"/>
          </w:tcPr>
          <w:p w:rsidR="005B279D" w:rsidRPr="002844B1" w:rsidRDefault="00000000">
            <w:pPr>
              <w:pStyle w:val="Compact"/>
              <w:jc w:val="right"/>
            </w:pPr>
            <w:r w:rsidRPr="002844B1">
              <w:t>30772</w:t>
            </w:r>
          </w:p>
        </w:tc>
        <w:tc>
          <w:tcPr>
            <w:tcW w:w="0" w:type="auto"/>
          </w:tcPr>
          <w:p w:rsidR="005B279D" w:rsidRPr="002844B1" w:rsidRDefault="00000000">
            <w:pPr>
              <w:pStyle w:val="Compact"/>
              <w:jc w:val="right"/>
            </w:pPr>
            <w:r w:rsidRPr="002844B1">
              <w:t>83490</w:t>
            </w:r>
          </w:p>
        </w:tc>
        <w:tc>
          <w:tcPr>
            <w:tcW w:w="0" w:type="auto"/>
          </w:tcPr>
          <w:p w:rsidR="005B279D" w:rsidRPr="002844B1" w:rsidRDefault="00000000">
            <w:pPr>
              <w:pStyle w:val="Compact"/>
              <w:jc w:val="right"/>
            </w:pPr>
            <w:r w:rsidRPr="002844B1">
              <w:t>114261</w:t>
            </w:r>
          </w:p>
        </w:tc>
      </w:tr>
      <w:tr w:rsidR="005B279D" w:rsidRPr="002844B1" w:rsidTr="008E2C01">
        <w:trPr>
          <w:jc w:val="center"/>
        </w:trPr>
        <w:tc>
          <w:tcPr>
            <w:tcW w:w="0" w:type="auto"/>
          </w:tcPr>
          <w:p w:rsidR="005B279D" w:rsidRPr="002844B1" w:rsidRDefault="00000000">
            <w:pPr>
              <w:pStyle w:val="Compact"/>
              <w:jc w:val="right"/>
            </w:pPr>
            <w:r w:rsidRPr="002844B1">
              <w:t>2035</w:t>
            </w:r>
          </w:p>
        </w:tc>
        <w:tc>
          <w:tcPr>
            <w:tcW w:w="0" w:type="auto"/>
          </w:tcPr>
          <w:p w:rsidR="005B279D" w:rsidRPr="002844B1" w:rsidRDefault="00000000">
            <w:pPr>
              <w:pStyle w:val="Compact"/>
              <w:jc w:val="right"/>
            </w:pPr>
            <w:r w:rsidRPr="002844B1">
              <w:t>685803</w:t>
            </w:r>
          </w:p>
        </w:tc>
        <w:tc>
          <w:tcPr>
            <w:tcW w:w="0" w:type="auto"/>
          </w:tcPr>
          <w:p w:rsidR="005B279D" w:rsidRPr="002844B1" w:rsidRDefault="00000000">
            <w:pPr>
              <w:pStyle w:val="Compact"/>
              <w:jc w:val="right"/>
            </w:pPr>
            <w:r w:rsidRPr="002844B1">
              <w:t>27432</w:t>
            </w:r>
          </w:p>
        </w:tc>
        <w:tc>
          <w:tcPr>
            <w:tcW w:w="0" w:type="auto"/>
          </w:tcPr>
          <w:p w:rsidR="005B279D" w:rsidRPr="002844B1" w:rsidRDefault="00000000">
            <w:pPr>
              <w:pStyle w:val="Compact"/>
              <w:jc w:val="right"/>
            </w:pPr>
            <w:r w:rsidRPr="002844B1">
              <w:t>86829</w:t>
            </w:r>
          </w:p>
        </w:tc>
        <w:tc>
          <w:tcPr>
            <w:tcW w:w="0" w:type="auto"/>
          </w:tcPr>
          <w:p w:rsidR="005B279D" w:rsidRPr="002844B1" w:rsidRDefault="00000000">
            <w:pPr>
              <w:pStyle w:val="Compact"/>
              <w:jc w:val="right"/>
            </w:pPr>
            <w:r w:rsidRPr="002844B1">
              <w:t>114261</w:t>
            </w:r>
          </w:p>
        </w:tc>
      </w:tr>
      <w:tr w:rsidR="005B279D" w:rsidRPr="002844B1" w:rsidTr="008E2C01">
        <w:trPr>
          <w:jc w:val="center"/>
        </w:trPr>
        <w:tc>
          <w:tcPr>
            <w:tcW w:w="0" w:type="auto"/>
          </w:tcPr>
          <w:p w:rsidR="005B279D" w:rsidRPr="002844B1" w:rsidRDefault="00000000">
            <w:pPr>
              <w:pStyle w:val="Compact"/>
              <w:jc w:val="right"/>
            </w:pPr>
            <w:r w:rsidRPr="002844B1">
              <w:t>2036</w:t>
            </w:r>
          </w:p>
        </w:tc>
        <w:tc>
          <w:tcPr>
            <w:tcW w:w="0" w:type="auto"/>
          </w:tcPr>
          <w:p w:rsidR="005B279D" w:rsidRPr="002844B1" w:rsidRDefault="00000000">
            <w:pPr>
              <w:pStyle w:val="Compact"/>
              <w:jc w:val="right"/>
            </w:pPr>
            <w:r w:rsidRPr="002844B1">
              <w:t>598974</w:t>
            </w:r>
          </w:p>
        </w:tc>
        <w:tc>
          <w:tcPr>
            <w:tcW w:w="0" w:type="auto"/>
          </w:tcPr>
          <w:p w:rsidR="005B279D" w:rsidRPr="002844B1" w:rsidRDefault="00000000">
            <w:pPr>
              <w:pStyle w:val="Compact"/>
              <w:jc w:val="right"/>
            </w:pPr>
            <w:r w:rsidRPr="002844B1">
              <w:t>23959</w:t>
            </w:r>
          </w:p>
        </w:tc>
        <w:tc>
          <w:tcPr>
            <w:tcW w:w="0" w:type="auto"/>
          </w:tcPr>
          <w:p w:rsidR="005B279D" w:rsidRPr="002844B1" w:rsidRDefault="00000000">
            <w:pPr>
              <w:pStyle w:val="Compact"/>
              <w:jc w:val="right"/>
            </w:pPr>
            <w:r w:rsidRPr="002844B1">
              <w:t>90302</w:t>
            </w:r>
          </w:p>
        </w:tc>
        <w:tc>
          <w:tcPr>
            <w:tcW w:w="0" w:type="auto"/>
          </w:tcPr>
          <w:p w:rsidR="005B279D" w:rsidRPr="002844B1" w:rsidRDefault="00000000">
            <w:pPr>
              <w:pStyle w:val="Compact"/>
              <w:jc w:val="right"/>
            </w:pPr>
            <w:r w:rsidRPr="002844B1">
              <w:t>114261</w:t>
            </w:r>
          </w:p>
        </w:tc>
      </w:tr>
      <w:tr w:rsidR="005B279D" w:rsidRPr="002844B1" w:rsidTr="008E2C01">
        <w:trPr>
          <w:jc w:val="center"/>
        </w:trPr>
        <w:tc>
          <w:tcPr>
            <w:tcW w:w="0" w:type="auto"/>
          </w:tcPr>
          <w:p w:rsidR="005B279D" w:rsidRPr="002844B1" w:rsidRDefault="00000000">
            <w:pPr>
              <w:pStyle w:val="Compact"/>
              <w:jc w:val="right"/>
            </w:pPr>
            <w:r w:rsidRPr="002844B1">
              <w:t>2037</w:t>
            </w:r>
          </w:p>
        </w:tc>
        <w:tc>
          <w:tcPr>
            <w:tcW w:w="0" w:type="auto"/>
          </w:tcPr>
          <w:p w:rsidR="005B279D" w:rsidRPr="002844B1" w:rsidRDefault="00000000">
            <w:pPr>
              <w:pStyle w:val="Compact"/>
              <w:jc w:val="right"/>
            </w:pPr>
            <w:r w:rsidRPr="002844B1">
              <w:t>508671</w:t>
            </w:r>
          </w:p>
        </w:tc>
        <w:tc>
          <w:tcPr>
            <w:tcW w:w="0" w:type="auto"/>
          </w:tcPr>
          <w:p w:rsidR="005B279D" w:rsidRPr="002844B1" w:rsidRDefault="00000000">
            <w:pPr>
              <w:pStyle w:val="Compact"/>
              <w:jc w:val="right"/>
            </w:pPr>
            <w:r w:rsidRPr="002844B1">
              <w:t>20347</w:t>
            </w:r>
          </w:p>
        </w:tc>
        <w:tc>
          <w:tcPr>
            <w:tcW w:w="0" w:type="auto"/>
          </w:tcPr>
          <w:p w:rsidR="005B279D" w:rsidRPr="002844B1" w:rsidRDefault="00000000">
            <w:pPr>
              <w:pStyle w:val="Compact"/>
              <w:jc w:val="right"/>
            </w:pPr>
            <w:r w:rsidRPr="002844B1">
              <w:t>93915</w:t>
            </w:r>
          </w:p>
        </w:tc>
        <w:tc>
          <w:tcPr>
            <w:tcW w:w="0" w:type="auto"/>
          </w:tcPr>
          <w:p w:rsidR="005B279D" w:rsidRPr="002844B1" w:rsidRDefault="00000000">
            <w:pPr>
              <w:pStyle w:val="Compact"/>
              <w:jc w:val="right"/>
            </w:pPr>
            <w:r w:rsidRPr="002844B1">
              <w:t>114261</w:t>
            </w:r>
          </w:p>
        </w:tc>
      </w:tr>
      <w:tr w:rsidR="005B279D" w:rsidRPr="002844B1" w:rsidTr="008E2C01">
        <w:trPr>
          <w:jc w:val="center"/>
        </w:trPr>
        <w:tc>
          <w:tcPr>
            <w:tcW w:w="0" w:type="auto"/>
          </w:tcPr>
          <w:p w:rsidR="005B279D" w:rsidRPr="002844B1" w:rsidRDefault="00000000">
            <w:pPr>
              <w:pStyle w:val="Compact"/>
              <w:jc w:val="right"/>
            </w:pPr>
            <w:r w:rsidRPr="002844B1">
              <w:t>2038</w:t>
            </w:r>
          </w:p>
        </w:tc>
        <w:tc>
          <w:tcPr>
            <w:tcW w:w="0" w:type="auto"/>
          </w:tcPr>
          <w:p w:rsidR="005B279D" w:rsidRPr="002844B1" w:rsidRDefault="00000000">
            <w:pPr>
              <w:pStyle w:val="Compact"/>
              <w:jc w:val="right"/>
            </w:pPr>
            <w:r w:rsidRPr="002844B1">
              <w:t>414757</w:t>
            </w:r>
          </w:p>
        </w:tc>
        <w:tc>
          <w:tcPr>
            <w:tcW w:w="0" w:type="auto"/>
          </w:tcPr>
          <w:p w:rsidR="005B279D" w:rsidRPr="002844B1" w:rsidRDefault="00000000">
            <w:pPr>
              <w:pStyle w:val="Compact"/>
              <w:jc w:val="right"/>
            </w:pPr>
            <w:r w:rsidRPr="002844B1">
              <w:t>16590</w:t>
            </w:r>
          </w:p>
        </w:tc>
        <w:tc>
          <w:tcPr>
            <w:tcW w:w="0" w:type="auto"/>
          </w:tcPr>
          <w:p w:rsidR="005B279D" w:rsidRPr="002844B1" w:rsidRDefault="00000000">
            <w:pPr>
              <w:pStyle w:val="Compact"/>
              <w:jc w:val="right"/>
            </w:pPr>
            <w:r w:rsidRPr="002844B1">
              <w:t>97671</w:t>
            </w:r>
          </w:p>
        </w:tc>
        <w:tc>
          <w:tcPr>
            <w:tcW w:w="0" w:type="auto"/>
          </w:tcPr>
          <w:p w:rsidR="005B279D" w:rsidRPr="002844B1" w:rsidRDefault="00000000">
            <w:pPr>
              <w:pStyle w:val="Compact"/>
              <w:jc w:val="right"/>
            </w:pPr>
            <w:r w:rsidRPr="002844B1">
              <w:t>114261</w:t>
            </w:r>
          </w:p>
        </w:tc>
      </w:tr>
      <w:tr w:rsidR="005B279D" w:rsidRPr="002844B1" w:rsidTr="008E2C01">
        <w:trPr>
          <w:jc w:val="center"/>
        </w:trPr>
        <w:tc>
          <w:tcPr>
            <w:tcW w:w="0" w:type="auto"/>
          </w:tcPr>
          <w:p w:rsidR="005B279D" w:rsidRPr="002844B1" w:rsidRDefault="00000000">
            <w:pPr>
              <w:pStyle w:val="Compact"/>
              <w:jc w:val="right"/>
            </w:pPr>
            <w:r w:rsidRPr="002844B1">
              <w:t>2039</w:t>
            </w:r>
          </w:p>
        </w:tc>
        <w:tc>
          <w:tcPr>
            <w:tcW w:w="0" w:type="auto"/>
          </w:tcPr>
          <w:p w:rsidR="005B279D" w:rsidRPr="002844B1" w:rsidRDefault="00000000">
            <w:pPr>
              <w:pStyle w:val="Compact"/>
              <w:jc w:val="right"/>
            </w:pPr>
            <w:r w:rsidRPr="002844B1">
              <w:t>317086</w:t>
            </w:r>
          </w:p>
        </w:tc>
        <w:tc>
          <w:tcPr>
            <w:tcW w:w="0" w:type="auto"/>
          </w:tcPr>
          <w:p w:rsidR="005B279D" w:rsidRPr="002844B1" w:rsidRDefault="00000000">
            <w:pPr>
              <w:pStyle w:val="Compact"/>
              <w:jc w:val="right"/>
            </w:pPr>
            <w:r w:rsidRPr="002844B1">
              <w:t>12683</w:t>
            </w:r>
          </w:p>
        </w:tc>
        <w:tc>
          <w:tcPr>
            <w:tcW w:w="0" w:type="auto"/>
          </w:tcPr>
          <w:p w:rsidR="005B279D" w:rsidRPr="002844B1" w:rsidRDefault="00000000">
            <w:pPr>
              <w:pStyle w:val="Compact"/>
              <w:jc w:val="right"/>
            </w:pPr>
            <w:r w:rsidRPr="002844B1">
              <w:t>101578</w:t>
            </w:r>
          </w:p>
        </w:tc>
        <w:tc>
          <w:tcPr>
            <w:tcW w:w="0" w:type="auto"/>
          </w:tcPr>
          <w:p w:rsidR="005B279D" w:rsidRPr="002844B1" w:rsidRDefault="00000000">
            <w:pPr>
              <w:pStyle w:val="Compact"/>
              <w:jc w:val="right"/>
            </w:pPr>
            <w:r w:rsidRPr="002844B1">
              <w:t>114261</w:t>
            </w:r>
          </w:p>
        </w:tc>
      </w:tr>
      <w:tr w:rsidR="005B279D" w:rsidRPr="002844B1" w:rsidTr="008E2C01">
        <w:trPr>
          <w:jc w:val="center"/>
        </w:trPr>
        <w:tc>
          <w:tcPr>
            <w:tcW w:w="0" w:type="auto"/>
          </w:tcPr>
          <w:p w:rsidR="005B279D" w:rsidRPr="002844B1" w:rsidRDefault="00000000">
            <w:pPr>
              <w:pStyle w:val="Compact"/>
              <w:jc w:val="right"/>
            </w:pPr>
            <w:r w:rsidRPr="002844B1">
              <w:t>2040</w:t>
            </w:r>
          </w:p>
        </w:tc>
        <w:tc>
          <w:tcPr>
            <w:tcW w:w="0" w:type="auto"/>
          </w:tcPr>
          <w:p w:rsidR="005B279D" w:rsidRPr="002844B1" w:rsidRDefault="00000000">
            <w:pPr>
              <w:pStyle w:val="Compact"/>
              <w:jc w:val="right"/>
            </w:pPr>
            <w:r w:rsidRPr="002844B1">
              <w:t>215508</w:t>
            </w:r>
          </w:p>
        </w:tc>
        <w:tc>
          <w:tcPr>
            <w:tcW w:w="0" w:type="auto"/>
          </w:tcPr>
          <w:p w:rsidR="005B279D" w:rsidRPr="002844B1" w:rsidRDefault="00000000">
            <w:pPr>
              <w:pStyle w:val="Compact"/>
              <w:jc w:val="right"/>
            </w:pPr>
            <w:r w:rsidRPr="002844B1">
              <w:t>8620</w:t>
            </w:r>
          </w:p>
        </w:tc>
        <w:tc>
          <w:tcPr>
            <w:tcW w:w="0" w:type="auto"/>
          </w:tcPr>
          <w:p w:rsidR="005B279D" w:rsidRPr="002844B1" w:rsidRDefault="00000000">
            <w:pPr>
              <w:pStyle w:val="Compact"/>
              <w:jc w:val="right"/>
            </w:pPr>
            <w:r w:rsidRPr="002844B1">
              <w:t>105641</w:t>
            </w:r>
          </w:p>
        </w:tc>
        <w:tc>
          <w:tcPr>
            <w:tcW w:w="0" w:type="auto"/>
          </w:tcPr>
          <w:p w:rsidR="005B279D" w:rsidRPr="002844B1" w:rsidRDefault="00000000">
            <w:pPr>
              <w:pStyle w:val="Compact"/>
              <w:jc w:val="right"/>
            </w:pPr>
            <w:r w:rsidRPr="002844B1">
              <w:t>114261</w:t>
            </w:r>
          </w:p>
        </w:tc>
      </w:tr>
      <w:tr w:rsidR="005B279D" w:rsidRPr="002844B1" w:rsidTr="008E2C01">
        <w:trPr>
          <w:jc w:val="center"/>
        </w:trPr>
        <w:tc>
          <w:tcPr>
            <w:tcW w:w="0" w:type="auto"/>
          </w:tcPr>
          <w:p w:rsidR="005B279D" w:rsidRPr="002844B1" w:rsidRDefault="00000000">
            <w:pPr>
              <w:pStyle w:val="Compact"/>
              <w:jc w:val="right"/>
            </w:pPr>
            <w:r w:rsidRPr="002844B1">
              <w:t>2041</w:t>
            </w:r>
          </w:p>
        </w:tc>
        <w:tc>
          <w:tcPr>
            <w:tcW w:w="0" w:type="auto"/>
          </w:tcPr>
          <w:p w:rsidR="005B279D" w:rsidRPr="002844B1" w:rsidRDefault="00000000">
            <w:pPr>
              <w:pStyle w:val="Compact"/>
              <w:jc w:val="right"/>
            </w:pPr>
            <w:r w:rsidRPr="002844B1">
              <w:t>109867</w:t>
            </w:r>
          </w:p>
        </w:tc>
        <w:tc>
          <w:tcPr>
            <w:tcW w:w="0" w:type="auto"/>
          </w:tcPr>
          <w:p w:rsidR="005B279D" w:rsidRPr="002844B1" w:rsidRDefault="00000000">
            <w:pPr>
              <w:pStyle w:val="Compact"/>
              <w:jc w:val="right"/>
            </w:pPr>
            <w:r w:rsidRPr="002844B1">
              <w:t>4395</w:t>
            </w:r>
          </w:p>
        </w:tc>
        <w:tc>
          <w:tcPr>
            <w:tcW w:w="0" w:type="auto"/>
          </w:tcPr>
          <w:p w:rsidR="005B279D" w:rsidRPr="002844B1" w:rsidRDefault="00000000">
            <w:pPr>
              <w:pStyle w:val="Compact"/>
              <w:jc w:val="right"/>
            </w:pPr>
            <w:r w:rsidRPr="002844B1">
              <w:t>109867</w:t>
            </w:r>
          </w:p>
        </w:tc>
        <w:tc>
          <w:tcPr>
            <w:tcW w:w="0" w:type="auto"/>
          </w:tcPr>
          <w:p w:rsidR="005B279D" w:rsidRPr="002844B1" w:rsidRDefault="00000000">
            <w:pPr>
              <w:pStyle w:val="Compact"/>
              <w:jc w:val="right"/>
            </w:pPr>
            <w:r w:rsidRPr="002844B1">
              <w:t>114261</w:t>
            </w:r>
          </w:p>
        </w:tc>
      </w:tr>
      <w:tr w:rsidR="005B279D" w:rsidRPr="002844B1" w:rsidTr="008E2C01">
        <w:trPr>
          <w:jc w:val="center"/>
        </w:trPr>
        <w:tc>
          <w:tcPr>
            <w:tcW w:w="0" w:type="auto"/>
          </w:tcPr>
          <w:p w:rsidR="005B279D" w:rsidRPr="002844B1" w:rsidRDefault="00000000">
            <w:pPr>
              <w:pStyle w:val="Compact"/>
              <w:jc w:val="right"/>
            </w:pPr>
            <w:r w:rsidRPr="002844B1">
              <w:t>2042</w:t>
            </w:r>
          </w:p>
        </w:tc>
        <w:tc>
          <w:tcPr>
            <w:tcW w:w="0" w:type="auto"/>
          </w:tcPr>
          <w:p w:rsidR="005B279D" w:rsidRPr="002844B1" w:rsidRDefault="00000000">
            <w:pPr>
              <w:pStyle w:val="Compact"/>
              <w:jc w:val="right"/>
            </w:pPr>
            <w:r w:rsidRPr="002844B1">
              <w:t>0</w:t>
            </w:r>
          </w:p>
        </w:tc>
        <w:tc>
          <w:tcPr>
            <w:tcW w:w="0" w:type="auto"/>
          </w:tcPr>
          <w:p w:rsidR="005B279D" w:rsidRPr="002844B1" w:rsidRDefault="00000000">
            <w:pPr>
              <w:pStyle w:val="Compact"/>
              <w:jc w:val="right"/>
            </w:pPr>
            <w:r w:rsidRPr="002844B1">
              <w:t>0</w:t>
            </w:r>
          </w:p>
        </w:tc>
        <w:tc>
          <w:tcPr>
            <w:tcW w:w="0" w:type="auto"/>
          </w:tcPr>
          <w:p w:rsidR="005B279D" w:rsidRPr="002844B1" w:rsidRDefault="00000000">
            <w:pPr>
              <w:pStyle w:val="Compact"/>
              <w:jc w:val="right"/>
            </w:pPr>
            <w:r w:rsidRPr="002844B1">
              <w:t>0</w:t>
            </w:r>
          </w:p>
        </w:tc>
        <w:tc>
          <w:tcPr>
            <w:tcW w:w="0" w:type="auto"/>
          </w:tcPr>
          <w:p w:rsidR="005B279D" w:rsidRPr="002844B1" w:rsidRDefault="00000000">
            <w:pPr>
              <w:pStyle w:val="Compact"/>
              <w:jc w:val="right"/>
            </w:pPr>
            <w:r w:rsidRPr="002844B1">
              <w:t>0</w:t>
            </w:r>
          </w:p>
        </w:tc>
      </w:tr>
      <w:bookmarkEnd w:id="165"/>
    </w:tbl>
    <w:p w:rsidR="005B279D" w:rsidRPr="002844B1" w:rsidRDefault="005B279D">
      <w:pPr>
        <w:pStyle w:val="BodyText"/>
      </w:pPr>
    </w:p>
    <w:bookmarkEnd w:id="166"/>
    <w:p w:rsidR="005B279D" w:rsidRPr="002844B1" w:rsidRDefault="00000000" w:rsidP="008E2C01">
      <w:pPr>
        <w:pStyle w:val="BodyText"/>
        <w:jc w:val="both"/>
        <w:rPr>
          <w:sz w:val="21"/>
          <w:szCs w:val="21"/>
        </w:rPr>
      </w:pPr>
      <w:r w:rsidRPr="002844B1">
        <w:rPr>
          <w:sz w:val="21"/>
          <w:szCs w:val="21"/>
        </w:rPr>
        <w:t>Ce calcul se fait automatiquement par l’application à partir de la table de données.</w:t>
      </w:r>
    </w:p>
    <w:p w:rsidR="005B279D" w:rsidRPr="002844B1" w:rsidRDefault="00000000">
      <w:pPr>
        <w:pStyle w:val="Heading4"/>
      </w:pPr>
      <w:bookmarkStart w:id="167" w:name="projection-du-capital-ammorti"/>
      <w:bookmarkEnd w:id="164"/>
      <w:r w:rsidRPr="002844B1">
        <w:t xml:space="preserve">Projection du capital </w:t>
      </w:r>
      <w:r w:rsidR="007633AB" w:rsidRPr="002844B1">
        <w:t>amorti</w:t>
      </w:r>
    </w:p>
    <w:p w:rsidR="005B279D" w:rsidRPr="002844B1" w:rsidRDefault="00000000" w:rsidP="008E2C01">
      <w:pPr>
        <w:pStyle w:val="FirstParagraph"/>
        <w:jc w:val="both"/>
        <w:rPr>
          <w:sz w:val="21"/>
          <w:szCs w:val="21"/>
        </w:rPr>
      </w:pPr>
      <w:r w:rsidRPr="002844B1">
        <w:rPr>
          <w:sz w:val="21"/>
          <w:szCs w:val="21"/>
        </w:rPr>
        <w:t xml:space="preserve">Maintenant que nous disposant du capital amorti pour la durée du contrat, l’étape qui s’en suit est de déterminer la valeur probable de ce capital. On sait que ce capital sera versé qu’en cas de décès de l’assuré. Alors, pour une année </w:t>
      </w:r>
      <m:oMath>
        <m:r>
          <w:rPr>
            <w:rFonts w:ascii="Cambria Math" w:hAnsi="Cambria Math"/>
            <w:sz w:val="21"/>
            <w:szCs w:val="21"/>
          </w:rPr>
          <m:t>j</m:t>
        </m:r>
      </m:oMath>
      <w:r w:rsidRPr="002844B1">
        <w:rPr>
          <w:sz w:val="21"/>
          <w:szCs w:val="21"/>
        </w:rPr>
        <w:t xml:space="preserve"> de projection de donnée, le capital restant (</w:t>
      </w:r>
      <m:oMath>
        <m:r>
          <w:rPr>
            <w:rFonts w:ascii="Cambria Math" w:hAnsi="Cambria Math"/>
            <w:sz w:val="21"/>
            <w:szCs w:val="21"/>
          </w:rPr>
          <m:t>VPC</m:t>
        </m:r>
      </m:oMath>
      <w:r w:rsidRPr="002844B1">
        <w:rPr>
          <w:sz w:val="21"/>
          <w:szCs w:val="21"/>
        </w:rPr>
        <w:t xml:space="preserve">) est versé que si l’assuré d’âge </w:t>
      </w:r>
      <m:oMath>
        <m:r>
          <w:rPr>
            <w:rFonts w:ascii="Cambria Math" w:hAnsi="Cambria Math"/>
            <w:sz w:val="21"/>
            <w:szCs w:val="21"/>
          </w:rPr>
          <m:t>x</m:t>
        </m:r>
      </m:oMath>
      <w:r w:rsidRPr="002844B1">
        <w:rPr>
          <w:sz w:val="21"/>
          <w:szCs w:val="21"/>
        </w:rPr>
        <w:t xml:space="preserve"> survit jusqu’à l’année </w:t>
      </w:r>
      <m:oMath>
        <m:r>
          <w:rPr>
            <w:rFonts w:ascii="Cambria Math" w:hAnsi="Cambria Math"/>
            <w:sz w:val="21"/>
            <w:szCs w:val="21"/>
          </w:rPr>
          <m:t>j-1</m:t>
        </m:r>
      </m:oMath>
      <w:r w:rsidRPr="002844B1">
        <w:rPr>
          <w:sz w:val="21"/>
          <w:szCs w:val="21"/>
        </w:rPr>
        <w:t xml:space="preserve"> et décède à l’année </w:t>
      </w:r>
      <m:oMath>
        <m:r>
          <w:rPr>
            <w:rFonts w:ascii="Cambria Math" w:hAnsi="Cambria Math"/>
            <w:sz w:val="21"/>
            <w:szCs w:val="21"/>
          </w:rPr>
          <m:t>j</m:t>
        </m:r>
      </m:oMath>
      <w:r w:rsidRPr="002844B1">
        <w:rPr>
          <w:sz w:val="21"/>
          <w:szCs w:val="21"/>
        </w:rPr>
        <w:t>. En terme mathématiques :</w:t>
      </w:r>
    </w:p>
    <w:p w:rsidR="005B279D" w:rsidRPr="002844B1" w:rsidRDefault="00000000">
      <w:pPr>
        <w:pStyle w:val="BodyText"/>
      </w:pPr>
      <m:oMathPara>
        <m:oMathParaPr>
          <m:jc m:val="center"/>
        </m:oMathParaPr>
        <m:oMath>
          <m:r>
            <w:rPr>
              <w:rFonts w:ascii="Cambria Math" w:hAnsi="Cambria Math"/>
            </w:rPr>
            <m:t>VPC</m:t>
          </m:r>
          <m:sSub>
            <m:sSubPr>
              <m:ctrlPr>
                <w:rPr>
                  <w:rFonts w:ascii="Cambria Math" w:hAnsi="Cambria Math"/>
                </w:rPr>
              </m:ctrlPr>
            </m:sSubPr>
            <m:e>
              <m:r>
                <w:rPr>
                  <w:rFonts w:ascii="Cambria Math" w:hAnsi="Cambria Math"/>
                </w:rPr>
                <m:t>=</m:t>
              </m:r>
            </m:e>
            <m:sub>
              <m:r>
                <w:rPr>
                  <w:rFonts w:ascii="Cambria Math" w:hAnsi="Cambria Math"/>
                </w:rPr>
                <m:t>j-1</m:t>
              </m:r>
            </m:sub>
          </m:sSub>
          <m:sSub>
            <m:sSubPr>
              <m:ctrlPr>
                <w:rPr>
                  <w:rFonts w:ascii="Cambria Math" w:hAnsi="Cambria Math"/>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x+j</m:t>
              </m:r>
            </m:sub>
          </m:sSub>
          <m:r>
            <w:rPr>
              <w:rFonts w:ascii="Cambria Math" w:hAnsi="Cambria Math"/>
            </w:rPr>
            <m:t>*CR</m:t>
          </m:r>
          <m:sSub>
            <m:sSubPr>
              <m:ctrlPr>
                <w:rPr>
                  <w:rFonts w:ascii="Cambria Math" w:hAnsi="Cambria Math"/>
                </w:rPr>
              </m:ctrlPr>
            </m:sSubPr>
            <m:e>
              <m:r>
                <w:rPr>
                  <w:rFonts w:ascii="Cambria Math" w:hAnsi="Cambria Math"/>
                </w:rPr>
                <m:t>P</m:t>
              </m:r>
            </m:e>
            <m:sub>
              <m:r>
                <w:rPr>
                  <w:rFonts w:ascii="Cambria Math" w:hAnsi="Cambria Math"/>
                </w:rPr>
                <m:t>i</m:t>
              </m:r>
            </m:sub>
          </m:sSub>
        </m:oMath>
      </m:oMathPara>
    </w:p>
    <w:p w:rsidR="005B279D" w:rsidRPr="002844B1" w:rsidRDefault="00000000">
      <w:pPr>
        <w:pStyle w:val="Heading4"/>
      </w:pPr>
      <w:bookmarkStart w:id="168" w:name="résultats-et-interprétations"/>
      <w:bookmarkEnd w:id="167"/>
      <w:r w:rsidRPr="002844B1">
        <w:t>Résultats et interprétations</w:t>
      </w:r>
    </w:p>
    <w:p w:rsidR="005B279D" w:rsidRPr="002844B1" w:rsidRDefault="00000000" w:rsidP="008E2C01">
      <w:pPr>
        <w:pStyle w:val="FirstParagraph"/>
        <w:jc w:val="both"/>
        <w:rPr>
          <w:sz w:val="21"/>
          <w:szCs w:val="21"/>
        </w:rPr>
      </w:pPr>
      <w:r w:rsidRPr="002844B1">
        <w:rPr>
          <w:sz w:val="21"/>
          <w:szCs w:val="21"/>
        </w:rPr>
        <w:t>L’onglet dédié à cette opération d’assurance de capital décès dégressif, après tout calcul, fournit les résultat suivants :</w:t>
      </w:r>
    </w:p>
    <w:p w:rsidR="005B279D" w:rsidRPr="002844B1" w:rsidRDefault="005B279D">
      <w:pPr>
        <w:pStyle w:val="TableCaption"/>
      </w:pPr>
      <w:bookmarkStart w:id="169" w:name="tbl-bevie"/>
    </w:p>
    <w:tbl>
      <w:tblPr>
        <w:tblStyle w:val="PlainTable2"/>
        <w:tblW w:w="0" w:type="auto"/>
        <w:jc w:val="center"/>
        <w:tblLook w:val="0020" w:firstRow="1" w:lastRow="0" w:firstColumn="0" w:lastColumn="0" w:noHBand="0" w:noVBand="0"/>
      </w:tblPr>
      <w:tblGrid>
        <w:gridCol w:w="4593"/>
        <w:gridCol w:w="3936"/>
      </w:tblGrid>
      <w:tr w:rsidR="005B279D" w:rsidRPr="002844B1"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Meilleure estimation des garanties probabilisées</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pPr>
            <w:r w:rsidRPr="002844B1">
              <w:t>Meilleure estimation des frais de gestions</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183 895 103</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pPr>
            <w:r w:rsidRPr="002844B1">
              <w:t>3 725 418</w:t>
            </w:r>
          </w:p>
        </w:tc>
      </w:tr>
    </w:tbl>
    <w:bookmarkEnd w:id="169"/>
    <w:p w:rsidR="005B279D" w:rsidRPr="002844B1" w:rsidRDefault="00000000">
      <w:pPr>
        <w:pStyle w:val="BodyText"/>
      </w:pPr>
      <w:r w:rsidRPr="002844B1">
        <w:t xml:space="preserve"> </w:t>
      </w:r>
    </w:p>
    <w:tbl>
      <w:tblPr>
        <w:tblStyle w:val="Table"/>
        <w:tblW w:w="5000" w:type="pct"/>
        <w:tblLook w:val="0000" w:firstRow="0" w:lastRow="0" w:firstColumn="0" w:lastColumn="0" w:noHBand="0" w:noVBand="0"/>
      </w:tblPr>
      <w:tblGrid>
        <w:gridCol w:w="9360"/>
      </w:tblGrid>
      <w:tr w:rsidR="005B279D" w:rsidRPr="002844B1">
        <w:tc>
          <w:tcPr>
            <w:tcW w:w="0" w:type="auto"/>
          </w:tcPr>
          <w:p w:rsidR="005B279D" w:rsidRPr="002844B1" w:rsidRDefault="00000000">
            <w:pPr>
              <w:jc w:val="center"/>
            </w:pPr>
            <w:r w:rsidRPr="002844B1">
              <w:rPr>
                <w:noProof/>
              </w:rPr>
              <w:drawing>
                <wp:inline distT="0" distB="0" distL="0" distR="0">
                  <wp:extent cx="5334000" cy="2998910"/>
                  <wp:effectExtent l="0" t="0" r="0" b="0"/>
                  <wp:docPr id="313" name="Picture"/>
                  <wp:cNvGraphicFramePr/>
                  <a:graphic xmlns:a="http://schemas.openxmlformats.org/drawingml/2006/main">
                    <a:graphicData uri="http://schemas.openxmlformats.org/drawingml/2006/picture">
                      <pic:pic xmlns:pic="http://schemas.openxmlformats.org/drawingml/2006/picture">
                        <pic:nvPicPr>
                          <pic:cNvPr id="314" name="Picture" descr="Rapport-PFE_files/figure-html/BE_VIE.png"/>
                          <pic:cNvPicPr>
                            <a:picLocks noChangeAspect="1" noChangeArrowheads="1"/>
                          </pic:cNvPicPr>
                        </pic:nvPicPr>
                        <pic:blipFill>
                          <a:blip r:embed="rId33"/>
                          <a:stretch>
                            <a:fillRect/>
                          </a:stretch>
                        </pic:blipFill>
                        <pic:spPr bwMode="auto">
                          <a:xfrm>
                            <a:off x="0" y="0"/>
                            <a:ext cx="5334000" cy="2998910"/>
                          </a:xfrm>
                          <a:prstGeom prst="rect">
                            <a:avLst/>
                          </a:prstGeom>
                          <a:noFill/>
                          <a:ln w="9525">
                            <a:noFill/>
                            <a:headEnd/>
                            <a:tailEnd/>
                          </a:ln>
                        </pic:spPr>
                      </pic:pic>
                    </a:graphicData>
                  </a:graphic>
                </wp:inline>
              </w:drawing>
            </w:r>
          </w:p>
          <w:p w:rsidR="005B279D" w:rsidRPr="002844B1" w:rsidRDefault="007633AB">
            <w:pPr>
              <w:pStyle w:val="ImageCaption"/>
              <w:spacing w:before="200"/>
            </w:pPr>
            <w:r w:rsidRPr="002844B1">
              <w:t>Aperçu</w:t>
            </w:r>
            <w:r w:rsidR="00000000" w:rsidRPr="002844B1">
              <w:t xml:space="preserve"> des résultat dans l’application</w:t>
            </w:r>
          </w:p>
        </w:tc>
      </w:tr>
    </w:tbl>
    <w:p w:rsidR="005B279D" w:rsidRPr="002844B1" w:rsidRDefault="00000000">
      <w:pPr>
        <w:pStyle w:val="Heading3"/>
      </w:pPr>
      <w:bookmarkStart w:id="170" w:name="part-des-cessionnaires"/>
      <w:bookmarkStart w:id="171" w:name="_Toc137651044"/>
      <w:bookmarkEnd w:id="160"/>
      <w:bookmarkEnd w:id="168"/>
      <w:r w:rsidRPr="002844B1">
        <w:t>Part des cessionnaires</w:t>
      </w:r>
      <w:bookmarkEnd w:id="171"/>
    </w:p>
    <w:p w:rsidR="005B279D" w:rsidRPr="002844B1" w:rsidRDefault="00000000" w:rsidP="008E2C01">
      <w:pPr>
        <w:pStyle w:val="FirstParagraph"/>
        <w:jc w:val="both"/>
        <w:rPr>
          <w:sz w:val="21"/>
          <w:szCs w:val="21"/>
        </w:rPr>
      </w:pPr>
      <w:r w:rsidRPr="002844B1">
        <w:rPr>
          <w:sz w:val="21"/>
          <w:szCs w:val="21"/>
        </w:rPr>
        <w:t>La part des cessionnaires est déterminées conformément aux spécification techniques de l’ACAPS. Les taux de cession sont fournis dans l’onglet paramètres et peuvent être modifiés en fonction du traité de réassurance correspondant à l’étude :</w:t>
      </w:r>
    </w:p>
    <w:p w:rsidR="005B279D" w:rsidRPr="002844B1" w:rsidRDefault="00000000" w:rsidP="008E2C01">
      <w:pPr>
        <w:numPr>
          <w:ilvl w:val="0"/>
          <w:numId w:val="73"/>
        </w:numPr>
        <w:jc w:val="both"/>
        <w:rPr>
          <w:sz w:val="21"/>
          <w:szCs w:val="21"/>
        </w:rPr>
      </w:pPr>
      <w:r w:rsidRPr="002844B1">
        <w:rPr>
          <w:b/>
          <w:bCs/>
          <w:sz w:val="21"/>
          <w:szCs w:val="21"/>
        </w:rPr>
        <w:t>Taux de cession des engagements vie</w:t>
      </w:r>
      <w:r w:rsidRPr="002844B1">
        <w:rPr>
          <w:sz w:val="21"/>
          <w:szCs w:val="21"/>
        </w:rPr>
        <w:t xml:space="preserve"> : </w:t>
      </w:r>
      <m:oMath>
        <m:r>
          <w:rPr>
            <w:rFonts w:ascii="Cambria Math" w:hAnsi="Cambria Math"/>
            <w:sz w:val="21"/>
            <w:szCs w:val="21"/>
          </w:rPr>
          <m:t>1%</m:t>
        </m:r>
      </m:oMath>
      <w:r w:rsidRPr="002844B1">
        <w:rPr>
          <w:sz w:val="21"/>
          <w:szCs w:val="21"/>
        </w:rPr>
        <w:t>,</w:t>
      </w:r>
    </w:p>
    <w:p w:rsidR="005B279D" w:rsidRPr="002844B1" w:rsidRDefault="00000000" w:rsidP="008E2C01">
      <w:pPr>
        <w:numPr>
          <w:ilvl w:val="0"/>
          <w:numId w:val="73"/>
        </w:numPr>
        <w:jc w:val="both"/>
        <w:rPr>
          <w:sz w:val="21"/>
          <w:szCs w:val="21"/>
        </w:rPr>
      </w:pPr>
      <w:r w:rsidRPr="002844B1">
        <w:rPr>
          <w:b/>
          <w:bCs/>
          <w:sz w:val="21"/>
          <w:szCs w:val="21"/>
        </w:rPr>
        <w:t>Taux de cession primes non-vie</w:t>
      </w:r>
      <w:r w:rsidRPr="002844B1">
        <w:rPr>
          <w:sz w:val="21"/>
          <w:szCs w:val="21"/>
        </w:rPr>
        <w:t xml:space="preserve"> : </w:t>
      </w:r>
      <m:oMath>
        <m:r>
          <w:rPr>
            <w:rFonts w:ascii="Cambria Math" w:hAnsi="Cambria Math"/>
            <w:sz w:val="21"/>
            <w:szCs w:val="21"/>
          </w:rPr>
          <m:t>5%</m:t>
        </m:r>
      </m:oMath>
      <w:r w:rsidRPr="002844B1">
        <w:rPr>
          <w:sz w:val="21"/>
          <w:szCs w:val="21"/>
        </w:rPr>
        <w:t>,</w:t>
      </w:r>
    </w:p>
    <w:p w:rsidR="005B279D" w:rsidRPr="002844B1" w:rsidRDefault="00000000" w:rsidP="008E2C01">
      <w:pPr>
        <w:numPr>
          <w:ilvl w:val="0"/>
          <w:numId w:val="73"/>
        </w:numPr>
        <w:jc w:val="both"/>
        <w:rPr>
          <w:sz w:val="21"/>
          <w:szCs w:val="21"/>
        </w:rPr>
      </w:pPr>
      <w:r w:rsidRPr="002844B1">
        <w:rPr>
          <w:b/>
          <w:bCs/>
          <w:sz w:val="21"/>
          <w:szCs w:val="21"/>
        </w:rPr>
        <w:t>Taux de cession sinistres non-vie</w:t>
      </w:r>
      <w:r w:rsidRPr="002844B1">
        <w:rPr>
          <w:sz w:val="21"/>
          <w:szCs w:val="21"/>
        </w:rPr>
        <w:t xml:space="preserve"> : </w:t>
      </w:r>
      <m:oMath>
        <m:r>
          <w:rPr>
            <w:rFonts w:ascii="Cambria Math" w:hAnsi="Cambria Math"/>
            <w:sz w:val="21"/>
            <w:szCs w:val="21"/>
          </w:rPr>
          <m:t>3%</m:t>
        </m:r>
      </m:oMath>
      <w:r w:rsidRPr="002844B1">
        <w:rPr>
          <w:sz w:val="21"/>
          <w:szCs w:val="21"/>
        </w:rPr>
        <w:t>.</w:t>
      </w:r>
    </w:p>
    <w:p w:rsidR="005B279D" w:rsidRPr="002844B1" w:rsidRDefault="00000000" w:rsidP="008E2C01">
      <w:pPr>
        <w:pStyle w:val="FirstParagraph"/>
        <w:jc w:val="both"/>
        <w:rPr>
          <w:sz w:val="21"/>
          <w:szCs w:val="21"/>
        </w:rPr>
      </w:pPr>
      <w:r w:rsidRPr="002844B1">
        <w:rPr>
          <w:sz w:val="21"/>
          <w:szCs w:val="21"/>
        </w:rPr>
        <w:t>La meilleure estimations des engagements pour primes non-vie étant négative, on s’attend aussi à une cession négative des primes.</w:t>
      </w:r>
    </w:p>
    <w:p w:rsidR="008E2C01" w:rsidRPr="002844B1" w:rsidRDefault="008E2C01" w:rsidP="008E2C01">
      <w:pPr>
        <w:pStyle w:val="Caption"/>
        <w:keepNext/>
      </w:pPr>
      <w:r w:rsidRPr="002844B1">
        <w:lastRenderedPageBreak/>
        <w:t xml:space="preserve">Figure </w:t>
      </w:r>
      <w:r w:rsidRPr="002844B1">
        <w:fldChar w:fldCharType="begin"/>
      </w:r>
      <w:r w:rsidRPr="002844B1">
        <w:instrText xml:space="preserve"> SEQ Figure \* ARABIC </w:instrText>
      </w:r>
      <w:r w:rsidRPr="002844B1">
        <w:fldChar w:fldCharType="separate"/>
      </w:r>
      <w:r w:rsidRPr="002844B1">
        <w:rPr>
          <w:noProof/>
        </w:rPr>
        <w:t>19</w:t>
      </w:r>
      <w:r w:rsidRPr="002844B1">
        <w:fldChar w:fldCharType="end"/>
      </w:r>
      <w:r w:rsidRPr="002844B1">
        <w:t>: Part des cessionnaires</w:t>
      </w:r>
    </w:p>
    <w:tbl>
      <w:tblPr>
        <w:tblStyle w:val="Table"/>
        <w:tblW w:w="5000" w:type="pct"/>
        <w:tblLook w:val="0000" w:firstRow="0" w:lastRow="0" w:firstColumn="0" w:lastColumn="0" w:noHBand="0" w:noVBand="0"/>
      </w:tblPr>
      <w:tblGrid>
        <w:gridCol w:w="9360"/>
      </w:tblGrid>
      <w:tr w:rsidR="005B279D" w:rsidRPr="002844B1">
        <w:tc>
          <w:tcPr>
            <w:tcW w:w="0" w:type="auto"/>
          </w:tcPr>
          <w:p w:rsidR="005B279D" w:rsidRPr="002844B1" w:rsidRDefault="00000000">
            <w:pPr>
              <w:jc w:val="center"/>
            </w:pPr>
            <w:bookmarkStart w:id="172" w:name="fig-cession"/>
            <w:r w:rsidRPr="002844B1">
              <w:rPr>
                <w:noProof/>
              </w:rPr>
              <w:drawing>
                <wp:inline distT="0" distB="0" distL="0" distR="0">
                  <wp:extent cx="5334000" cy="2998910"/>
                  <wp:effectExtent l="0" t="0" r="0" b="0"/>
                  <wp:docPr id="318" name="Picture"/>
                  <wp:cNvGraphicFramePr/>
                  <a:graphic xmlns:a="http://schemas.openxmlformats.org/drawingml/2006/main">
                    <a:graphicData uri="http://schemas.openxmlformats.org/drawingml/2006/picture">
                      <pic:pic xmlns:pic="http://schemas.openxmlformats.org/drawingml/2006/picture">
                        <pic:nvPicPr>
                          <pic:cNvPr id="319" name="Picture" descr="Rapport-PFE_files/figure-html/cession.png"/>
                          <pic:cNvPicPr>
                            <a:picLocks noChangeAspect="1" noChangeArrowheads="1"/>
                          </pic:cNvPicPr>
                        </pic:nvPicPr>
                        <pic:blipFill>
                          <a:blip r:embed="rId34"/>
                          <a:stretch>
                            <a:fillRect/>
                          </a:stretch>
                        </pic:blipFill>
                        <pic:spPr bwMode="auto">
                          <a:xfrm>
                            <a:off x="0" y="0"/>
                            <a:ext cx="5334000" cy="2998910"/>
                          </a:xfrm>
                          <a:prstGeom prst="rect">
                            <a:avLst/>
                          </a:prstGeom>
                          <a:noFill/>
                          <a:ln w="9525">
                            <a:noFill/>
                            <a:headEnd/>
                            <a:tailEnd/>
                          </a:ln>
                        </pic:spPr>
                      </pic:pic>
                    </a:graphicData>
                  </a:graphic>
                </wp:inline>
              </w:drawing>
            </w:r>
          </w:p>
          <w:p w:rsidR="005B279D" w:rsidRPr="002844B1" w:rsidRDefault="005B279D">
            <w:pPr>
              <w:pStyle w:val="ImageCaption"/>
              <w:spacing w:before="200"/>
            </w:pPr>
          </w:p>
        </w:tc>
        <w:bookmarkEnd w:id="172"/>
      </w:tr>
    </w:tbl>
    <w:p w:rsidR="005B279D" w:rsidRPr="002844B1" w:rsidRDefault="00000000">
      <w:pPr>
        <w:pStyle w:val="Heading3"/>
      </w:pPr>
      <w:bookmarkStart w:id="173" w:name="capital-de-solvabilité-requis"/>
      <w:bookmarkStart w:id="174" w:name="_Toc137651045"/>
      <w:bookmarkEnd w:id="170"/>
      <w:r w:rsidRPr="002844B1">
        <w:t>Capital de solvabilité requis</w:t>
      </w:r>
      <w:bookmarkEnd w:id="174"/>
    </w:p>
    <w:p w:rsidR="005B279D" w:rsidRPr="002844B1" w:rsidRDefault="00000000">
      <w:pPr>
        <w:pStyle w:val="FirstParagraph"/>
        <w:rPr>
          <w:sz w:val="21"/>
          <w:szCs w:val="21"/>
        </w:rPr>
      </w:pPr>
      <w:r w:rsidRPr="002844B1">
        <w:rPr>
          <w:sz w:val="21"/>
          <w:szCs w:val="21"/>
        </w:rPr>
        <w:t>En tenant compte des paramètres renseigné dans le premier onglet ainsi que de tous les calculs effectués dans les autres onglets, il en ressort les capitaux de solvabilité requis pour les risque de souscription vie et non vie indiqué à la figure suivante :</w:t>
      </w:r>
    </w:p>
    <w:p w:rsidR="005B279D" w:rsidRPr="002844B1" w:rsidRDefault="005B279D">
      <w:pPr>
        <w:pStyle w:val="TableCaption"/>
      </w:pPr>
      <w:bookmarkStart w:id="175" w:name="tbl-csr_vie_non"/>
    </w:p>
    <w:p w:rsidR="008E2C01" w:rsidRPr="002844B1" w:rsidRDefault="008E2C01" w:rsidP="008E2C01">
      <w:pPr>
        <w:pStyle w:val="Caption"/>
        <w:keepNext/>
        <w:jc w:val="center"/>
      </w:pPr>
      <w:r w:rsidRPr="002844B1">
        <w:t xml:space="preserve">Table </w:t>
      </w:r>
      <w:r w:rsidRPr="002844B1">
        <w:fldChar w:fldCharType="begin"/>
      </w:r>
      <w:r w:rsidRPr="002844B1">
        <w:instrText xml:space="preserve"> SEQ Table \* ARABIC </w:instrText>
      </w:r>
      <w:r w:rsidRPr="002844B1">
        <w:fldChar w:fldCharType="separate"/>
      </w:r>
      <w:r w:rsidRPr="002844B1">
        <w:rPr>
          <w:noProof/>
        </w:rPr>
        <w:t>13</w:t>
      </w:r>
      <w:r w:rsidRPr="002844B1">
        <w:fldChar w:fldCharType="end"/>
      </w:r>
      <w:r w:rsidRPr="002844B1">
        <w:t>: CSR Souscription</w:t>
      </w:r>
    </w:p>
    <w:tbl>
      <w:tblPr>
        <w:tblStyle w:val="TableGrid"/>
        <w:tblW w:w="0" w:type="auto"/>
        <w:jc w:val="center"/>
        <w:tblLook w:val="0000" w:firstRow="0" w:lastRow="0" w:firstColumn="0" w:lastColumn="0" w:noHBand="0" w:noVBand="0"/>
      </w:tblPr>
      <w:tblGrid>
        <w:gridCol w:w="1905"/>
        <w:gridCol w:w="2284"/>
      </w:tblGrid>
      <w:tr w:rsidR="005B279D" w:rsidRPr="002844B1" w:rsidTr="008E2C01">
        <w:trPr>
          <w:jc w:val="center"/>
        </w:trPr>
        <w:tc>
          <w:tcPr>
            <w:tcW w:w="0" w:type="auto"/>
          </w:tcPr>
          <w:p w:rsidR="005B279D" w:rsidRPr="002844B1" w:rsidRDefault="00000000">
            <w:pPr>
              <w:pStyle w:val="Compact"/>
            </w:pPr>
            <w:r w:rsidRPr="002844B1">
              <w:t>CSR Souscription vie</w:t>
            </w:r>
          </w:p>
        </w:tc>
        <w:tc>
          <w:tcPr>
            <w:tcW w:w="0" w:type="auto"/>
          </w:tcPr>
          <w:p w:rsidR="005B279D" w:rsidRPr="002844B1" w:rsidRDefault="00000000">
            <w:pPr>
              <w:pStyle w:val="Compact"/>
            </w:pPr>
            <w:r w:rsidRPr="002844B1">
              <w:t>CSR Souscription non-vie</w:t>
            </w:r>
          </w:p>
        </w:tc>
      </w:tr>
      <w:tr w:rsidR="005B279D" w:rsidRPr="002844B1" w:rsidTr="008E2C01">
        <w:trPr>
          <w:jc w:val="center"/>
        </w:trPr>
        <w:tc>
          <w:tcPr>
            <w:tcW w:w="0" w:type="auto"/>
          </w:tcPr>
          <w:p w:rsidR="005B279D" w:rsidRPr="002844B1" w:rsidRDefault="00000000">
            <w:pPr>
              <w:pStyle w:val="Compact"/>
            </w:pPr>
            <w:r w:rsidRPr="002844B1">
              <w:t>52 496 918</w:t>
            </w:r>
          </w:p>
        </w:tc>
        <w:tc>
          <w:tcPr>
            <w:tcW w:w="0" w:type="auto"/>
          </w:tcPr>
          <w:p w:rsidR="005B279D" w:rsidRPr="002844B1" w:rsidRDefault="00000000">
            <w:pPr>
              <w:pStyle w:val="Compact"/>
            </w:pPr>
            <w:r w:rsidRPr="002844B1">
              <w:t>197 616</w:t>
            </w:r>
          </w:p>
        </w:tc>
      </w:tr>
    </w:tbl>
    <w:p w:rsidR="005B279D" w:rsidRPr="002844B1" w:rsidRDefault="005B279D">
      <w:pPr>
        <w:pStyle w:val="TableCaption"/>
      </w:pPr>
      <w:bookmarkStart w:id="176" w:name="tbl-csr_sousrisk"/>
      <w:bookmarkEnd w:id="175"/>
    </w:p>
    <w:p w:rsidR="008E2C01" w:rsidRPr="002844B1" w:rsidRDefault="008E2C01" w:rsidP="008E2C01">
      <w:pPr>
        <w:pStyle w:val="Caption"/>
        <w:keepNext/>
        <w:jc w:val="center"/>
      </w:pPr>
      <w:r w:rsidRPr="002844B1">
        <w:t xml:space="preserve">Table </w:t>
      </w:r>
      <w:r w:rsidRPr="002844B1">
        <w:fldChar w:fldCharType="begin"/>
      </w:r>
      <w:r w:rsidRPr="002844B1">
        <w:instrText xml:space="preserve"> SEQ Table \* ARABIC </w:instrText>
      </w:r>
      <w:r w:rsidRPr="002844B1">
        <w:fldChar w:fldCharType="separate"/>
      </w:r>
      <w:r w:rsidRPr="002844B1">
        <w:rPr>
          <w:noProof/>
        </w:rPr>
        <w:t>14</w:t>
      </w:r>
      <w:r w:rsidRPr="002844B1">
        <w:fldChar w:fldCharType="end"/>
      </w:r>
      <w:r w:rsidRPr="002844B1">
        <w:t>: CSR Sous-risques</w:t>
      </w:r>
    </w:p>
    <w:tbl>
      <w:tblPr>
        <w:tblStyle w:val="TableGrid"/>
        <w:tblW w:w="0" w:type="auto"/>
        <w:jc w:val="center"/>
        <w:tblLook w:val="0000" w:firstRow="0" w:lastRow="0" w:firstColumn="0" w:lastColumn="0" w:noHBand="0" w:noVBand="0"/>
      </w:tblPr>
      <w:tblGrid>
        <w:gridCol w:w="1368"/>
        <w:gridCol w:w="1580"/>
        <w:gridCol w:w="1044"/>
      </w:tblGrid>
      <w:tr w:rsidR="005B279D" w:rsidRPr="002844B1" w:rsidTr="008E2C01">
        <w:trPr>
          <w:jc w:val="center"/>
        </w:trPr>
        <w:tc>
          <w:tcPr>
            <w:tcW w:w="0" w:type="auto"/>
          </w:tcPr>
          <w:p w:rsidR="005B279D" w:rsidRPr="002844B1" w:rsidRDefault="00000000" w:rsidP="008E2C01">
            <w:pPr>
              <w:pStyle w:val="Compact"/>
              <w:jc w:val="center"/>
            </w:pPr>
            <w:r w:rsidRPr="002844B1">
              <w:t>CSR mortalité</w:t>
            </w:r>
          </w:p>
        </w:tc>
        <w:tc>
          <w:tcPr>
            <w:tcW w:w="0" w:type="auto"/>
          </w:tcPr>
          <w:p w:rsidR="005B279D" w:rsidRPr="002844B1" w:rsidRDefault="00000000" w:rsidP="008E2C01">
            <w:pPr>
              <w:pStyle w:val="Compact"/>
              <w:jc w:val="center"/>
            </w:pPr>
            <w:r w:rsidRPr="002844B1">
              <w:t>CSR catastrophe</w:t>
            </w:r>
          </w:p>
        </w:tc>
        <w:tc>
          <w:tcPr>
            <w:tcW w:w="0" w:type="auto"/>
          </w:tcPr>
          <w:p w:rsidR="005B279D" w:rsidRPr="002844B1" w:rsidRDefault="00000000" w:rsidP="008E2C01">
            <w:pPr>
              <w:pStyle w:val="Compact"/>
              <w:jc w:val="center"/>
            </w:pPr>
            <w:r w:rsidRPr="002844B1">
              <w:t>CSR frais</w:t>
            </w:r>
          </w:p>
        </w:tc>
      </w:tr>
      <w:tr w:rsidR="005B279D" w:rsidRPr="002844B1" w:rsidTr="008E2C01">
        <w:trPr>
          <w:jc w:val="center"/>
        </w:trPr>
        <w:tc>
          <w:tcPr>
            <w:tcW w:w="0" w:type="auto"/>
          </w:tcPr>
          <w:p w:rsidR="005B279D" w:rsidRPr="002844B1" w:rsidRDefault="00000000" w:rsidP="008E2C01">
            <w:pPr>
              <w:pStyle w:val="Compact"/>
              <w:jc w:val="center"/>
            </w:pPr>
            <w:r w:rsidRPr="002844B1">
              <w:t>52 485 959</w:t>
            </w:r>
          </w:p>
        </w:tc>
        <w:tc>
          <w:tcPr>
            <w:tcW w:w="0" w:type="auto"/>
          </w:tcPr>
          <w:p w:rsidR="005B279D" w:rsidRPr="002844B1" w:rsidRDefault="00000000" w:rsidP="008E2C01">
            <w:pPr>
              <w:pStyle w:val="Compact"/>
              <w:jc w:val="center"/>
            </w:pPr>
            <w:r w:rsidRPr="002844B1">
              <w:t>353 884</w:t>
            </w:r>
          </w:p>
        </w:tc>
        <w:tc>
          <w:tcPr>
            <w:tcW w:w="0" w:type="auto"/>
          </w:tcPr>
          <w:p w:rsidR="005B279D" w:rsidRPr="002844B1" w:rsidRDefault="00000000" w:rsidP="008E2C01">
            <w:pPr>
              <w:pStyle w:val="Compact"/>
              <w:jc w:val="center"/>
            </w:pPr>
            <w:r w:rsidRPr="002844B1">
              <w:t>1 012 563</w:t>
            </w:r>
          </w:p>
        </w:tc>
      </w:tr>
    </w:tbl>
    <w:bookmarkEnd w:id="176"/>
    <w:p w:rsidR="005B279D" w:rsidRPr="002844B1" w:rsidRDefault="00000000">
      <w:pPr>
        <w:pStyle w:val="BodyText"/>
      </w:pPr>
      <w:r w:rsidRPr="002844B1">
        <w:t xml:space="preserve"> </w:t>
      </w:r>
    </w:p>
    <w:p w:rsidR="005B279D" w:rsidRPr="002844B1" w:rsidRDefault="005B279D">
      <w:pPr>
        <w:pStyle w:val="TableCaption"/>
      </w:pPr>
      <w:bookmarkStart w:id="177" w:name="tbl-RM"/>
    </w:p>
    <w:p w:rsidR="008E2C01" w:rsidRPr="002844B1" w:rsidRDefault="008E2C01" w:rsidP="008E2C01">
      <w:pPr>
        <w:pStyle w:val="Caption"/>
        <w:keepNext/>
        <w:jc w:val="center"/>
      </w:pPr>
      <w:r w:rsidRPr="002844B1">
        <w:t xml:space="preserve">Table </w:t>
      </w:r>
      <w:r w:rsidRPr="002844B1">
        <w:fldChar w:fldCharType="begin"/>
      </w:r>
      <w:r w:rsidRPr="002844B1">
        <w:instrText xml:space="preserve"> SEQ Table \* ARABIC </w:instrText>
      </w:r>
      <w:r w:rsidRPr="002844B1">
        <w:fldChar w:fldCharType="separate"/>
      </w:r>
      <w:r w:rsidRPr="002844B1">
        <w:rPr>
          <w:noProof/>
        </w:rPr>
        <w:t>15</w:t>
      </w:r>
      <w:r w:rsidRPr="002844B1">
        <w:fldChar w:fldCharType="end"/>
      </w:r>
      <w:r w:rsidRPr="002844B1">
        <w:t>: Marges de risques</w:t>
      </w:r>
    </w:p>
    <w:tbl>
      <w:tblPr>
        <w:tblStyle w:val="TableGrid"/>
        <w:tblW w:w="0" w:type="auto"/>
        <w:jc w:val="center"/>
        <w:tblLook w:val="0000" w:firstRow="0" w:lastRow="0" w:firstColumn="0" w:lastColumn="0" w:noHBand="0" w:noVBand="0"/>
      </w:tblPr>
      <w:tblGrid>
        <w:gridCol w:w="2217"/>
        <w:gridCol w:w="1838"/>
      </w:tblGrid>
      <w:tr w:rsidR="005B279D" w:rsidRPr="002844B1" w:rsidTr="008E2C01">
        <w:trPr>
          <w:jc w:val="center"/>
        </w:trPr>
        <w:tc>
          <w:tcPr>
            <w:tcW w:w="0" w:type="auto"/>
          </w:tcPr>
          <w:p w:rsidR="005B279D" w:rsidRPr="002844B1" w:rsidRDefault="00000000">
            <w:pPr>
              <w:pStyle w:val="Compact"/>
            </w:pPr>
            <w:r w:rsidRPr="002844B1">
              <w:t>Marge de risque non-vie</w:t>
            </w:r>
          </w:p>
        </w:tc>
        <w:tc>
          <w:tcPr>
            <w:tcW w:w="0" w:type="auto"/>
          </w:tcPr>
          <w:p w:rsidR="005B279D" w:rsidRPr="002844B1" w:rsidRDefault="00000000">
            <w:pPr>
              <w:pStyle w:val="Compact"/>
            </w:pPr>
            <w:r w:rsidRPr="002844B1">
              <w:t>Marge de risque vie</w:t>
            </w:r>
          </w:p>
        </w:tc>
      </w:tr>
      <w:tr w:rsidR="005B279D" w:rsidRPr="002844B1" w:rsidTr="008E2C01">
        <w:trPr>
          <w:jc w:val="center"/>
        </w:trPr>
        <w:tc>
          <w:tcPr>
            <w:tcW w:w="0" w:type="auto"/>
          </w:tcPr>
          <w:p w:rsidR="005B279D" w:rsidRPr="002844B1" w:rsidRDefault="00000000">
            <w:pPr>
              <w:pStyle w:val="Compact"/>
            </w:pPr>
            <w:r w:rsidRPr="002844B1">
              <w:t>9 338 125</w:t>
            </w:r>
          </w:p>
        </w:tc>
        <w:tc>
          <w:tcPr>
            <w:tcW w:w="0" w:type="auto"/>
          </w:tcPr>
          <w:p w:rsidR="005B279D" w:rsidRPr="002844B1" w:rsidRDefault="00000000">
            <w:pPr>
              <w:pStyle w:val="Compact"/>
            </w:pPr>
            <w:r w:rsidRPr="002844B1">
              <w:t>19 965 000</w:t>
            </w:r>
          </w:p>
        </w:tc>
      </w:tr>
    </w:tbl>
    <w:bookmarkEnd w:id="177"/>
    <w:p w:rsidR="005B279D" w:rsidRPr="002844B1" w:rsidRDefault="00000000">
      <w:pPr>
        <w:pStyle w:val="BodyText"/>
      </w:pPr>
      <w:r w:rsidRPr="002844B1">
        <w:lastRenderedPageBreak/>
        <w:t xml:space="preserve"> </w:t>
      </w:r>
    </w:p>
    <w:p w:rsidR="008E2C01" w:rsidRPr="002844B1" w:rsidRDefault="008E2C01" w:rsidP="008E2C01">
      <w:pPr>
        <w:pStyle w:val="Caption"/>
        <w:keepNext/>
      </w:pPr>
      <w:r w:rsidRPr="002844B1">
        <w:t xml:space="preserve">Figure </w:t>
      </w:r>
      <w:r w:rsidRPr="002844B1">
        <w:fldChar w:fldCharType="begin"/>
      </w:r>
      <w:r w:rsidRPr="002844B1">
        <w:instrText xml:space="preserve"> SEQ Figure \* ARABIC </w:instrText>
      </w:r>
      <w:r w:rsidRPr="002844B1">
        <w:fldChar w:fldCharType="separate"/>
      </w:r>
      <w:r w:rsidRPr="002844B1">
        <w:rPr>
          <w:noProof/>
        </w:rPr>
        <w:t>20</w:t>
      </w:r>
      <w:r w:rsidRPr="002844B1">
        <w:fldChar w:fldCharType="end"/>
      </w:r>
      <w:r w:rsidRPr="002844B1">
        <w:t>: les CSR calculés</w:t>
      </w:r>
    </w:p>
    <w:tbl>
      <w:tblPr>
        <w:tblStyle w:val="Table"/>
        <w:tblW w:w="5000" w:type="pct"/>
        <w:tblLook w:val="0000" w:firstRow="0" w:lastRow="0" w:firstColumn="0" w:lastColumn="0" w:noHBand="0" w:noVBand="0"/>
      </w:tblPr>
      <w:tblGrid>
        <w:gridCol w:w="9360"/>
      </w:tblGrid>
      <w:tr w:rsidR="005B279D" w:rsidRPr="002844B1">
        <w:tc>
          <w:tcPr>
            <w:tcW w:w="0" w:type="auto"/>
          </w:tcPr>
          <w:p w:rsidR="005B279D" w:rsidRPr="002844B1" w:rsidRDefault="00000000">
            <w:pPr>
              <w:jc w:val="center"/>
            </w:pPr>
            <w:bookmarkStart w:id="178" w:name="fig-csr"/>
            <w:r w:rsidRPr="002844B1">
              <w:rPr>
                <w:noProof/>
              </w:rPr>
              <w:drawing>
                <wp:inline distT="0" distB="0" distL="0" distR="0">
                  <wp:extent cx="5334000" cy="2998910"/>
                  <wp:effectExtent l="0" t="0" r="0" b="0"/>
                  <wp:docPr id="326" name="Picture"/>
                  <wp:cNvGraphicFramePr/>
                  <a:graphic xmlns:a="http://schemas.openxmlformats.org/drawingml/2006/main">
                    <a:graphicData uri="http://schemas.openxmlformats.org/drawingml/2006/picture">
                      <pic:pic xmlns:pic="http://schemas.openxmlformats.org/drawingml/2006/picture">
                        <pic:nvPicPr>
                          <pic:cNvPr id="327" name="Picture" descr="Rapport-PFE_files/figure-html/CSR.png"/>
                          <pic:cNvPicPr>
                            <a:picLocks noChangeAspect="1" noChangeArrowheads="1"/>
                          </pic:cNvPicPr>
                        </pic:nvPicPr>
                        <pic:blipFill>
                          <a:blip r:embed="rId35"/>
                          <a:stretch>
                            <a:fillRect/>
                          </a:stretch>
                        </pic:blipFill>
                        <pic:spPr bwMode="auto">
                          <a:xfrm>
                            <a:off x="0" y="0"/>
                            <a:ext cx="5334000" cy="2998910"/>
                          </a:xfrm>
                          <a:prstGeom prst="rect">
                            <a:avLst/>
                          </a:prstGeom>
                          <a:noFill/>
                          <a:ln w="9525">
                            <a:noFill/>
                            <a:headEnd/>
                            <a:tailEnd/>
                          </a:ln>
                        </pic:spPr>
                      </pic:pic>
                    </a:graphicData>
                  </a:graphic>
                </wp:inline>
              </w:drawing>
            </w:r>
          </w:p>
          <w:p w:rsidR="005B279D" w:rsidRPr="002844B1" w:rsidRDefault="005B279D">
            <w:pPr>
              <w:pStyle w:val="ImageCaption"/>
              <w:spacing w:before="200"/>
            </w:pPr>
          </w:p>
        </w:tc>
        <w:bookmarkEnd w:id="178"/>
      </w:tr>
    </w:tbl>
    <w:p w:rsidR="005B279D" w:rsidRPr="002844B1" w:rsidRDefault="00000000">
      <w:pPr>
        <w:pStyle w:val="BodyText"/>
      </w:pPr>
      <w:r w:rsidRPr="002844B1">
        <w:t>Nous avons supposé que les sous risques sont indépendants entendant la publication de la matrice de corrélation entre ces sous-risques.</w:t>
      </w:r>
    </w:p>
    <w:p w:rsidR="005B279D" w:rsidRPr="002844B1" w:rsidRDefault="00000000" w:rsidP="00AA7351">
      <w:pPr>
        <w:pStyle w:val="headAOD"/>
      </w:pPr>
      <w:bookmarkStart w:id="179" w:name="_Toc137651046"/>
      <w:bookmarkEnd w:id="134"/>
      <w:bookmarkEnd w:id="135"/>
      <w:bookmarkEnd w:id="173"/>
      <w:r w:rsidRPr="002844B1">
        <w:t>Conclusion</w:t>
      </w:r>
      <w:bookmarkStart w:id="180" w:name="conclusion"/>
      <w:bookmarkEnd w:id="179"/>
    </w:p>
    <w:p w:rsidR="005B279D" w:rsidRPr="002844B1" w:rsidRDefault="00000000" w:rsidP="008E2C01">
      <w:pPr>
        <w:pStyle w:val="FirstParagraph"/>
        <w:jc w:val="both"/>
        <w:rPr>
          <w:sz w:val="21"/>
          <w:szCs w:val="21"/>
        </w:rPr>
      </w:pPr>
      <w:r w:rsidRPr="002844B1">
        <w:rPr>
          <w:sz w:val="21"/>
          <w:szCs w:val="21"/>
        </w:rPr>
        <w:t xml:space="preserve">L’assurance est une opération de garantie de risque en contrepartie d’une prime. De ce fait, le secteur de l’assurance demeure très visqueux </w:t>
      </w:r>
      <w:r w:rsidR="007633AB" w:rsidRPr="002844B1">
        <w:rPr>
          <w:sz w:val="21"/>
          <w:szCs w:val="21"/>
        </w:rPr>
        <w:t>en termes de</w:t>
      </w:r>
      <w:r w:rsidRPr="002844B1">
        <w:rPr>
          <w:sz w:val="21"/>
          <w:szCs w:val="21"/>
        </w:rPr>
        <w:t xml:space="preserve"> risques encourus. Il est de la responsabilité des autorités de réglementer ce milieu car la ruine d’une compagnie peut engendrer des conséquences néfastes à l’économie globale.</w:t>
      </w:r>
    </w:p>
    <w:p w:rsidR="005B279D" w:rsidRPr="002844B1" w:rsidRDefault="00000000" w:rsidP="008E2C01">
      <w:pPr>
        <w:pStyle w:val="BodyText"/>
        <w:jc w:val="both"/>
        <w:rPr>
          <w:sz w:val="21"/>
          <w:szCs w:val="21"/>
        </w:rPr>
      </w:pPr>
      <w:r w:rsidRPr="002844B1">
        <w:rPr>
          <w:sz w:val="21"/>
          <w:szCs w:val="21"/>
        </w:rPr>
        <w:t xml:space="preserve">La Solvabilité Basée sur les Risques (SBR) est une réforme en cours d’élaboration qui est inspirée de la directive européenne Solvabilité II. Lors de ce stage au sein de </w:t>
      </w:r>
      <w:r w:rsidRPr="002844B1">
        <w:rPr>
          <w:b/>
          <w:bCs/>
          <w:sz w:val="21"/>
          <w:szCs w:val="21"/>
        </w:rPr>
        <w:t>ARM CONSULTANTS</w:t>
      </w:r>
      <w:r w:rsidRPr="002844B1">
        <w:rPr>
          <w:sz w:val="21"/>
          <w:szCs w:val="21"/>
        </w:rPr>
        <w:t xml:space="preserve">, nous avons développés une application avec le langage R permettant de calculer les capitaux de solvabilité requis comme indiqué par la norme SBR. L’application automatise tous le processus de calcul permettant ainsi une utilisation sans avoir, au préalable, connaissance du langage R. L’objectif est d’anticiper l’élaboration d’un outil de calcul des SCR afin de faciliter la transition vers la nouvelle norme. Notre </w:t>
      </w:r>
      <w:r w:rsidR="007633AB" w:rsidRPr="002844B1">
        <w:rPr>
          <w:sz w:val="21"/>
          <w:szCs w:val="21"/>
        </w:rPr>
        <w:t>travail</w:t>
      </w:r>
      <w:r w:rsidRPr="002844B1">
        <w:rPr>
          <w:sz w:val="21"/>
          <w:szCs w:val="21"/>
        </w:rPr>
        <w:t xml:space="preserve"> reste ouvert à toute proposition allant dans le sens à le bonifier.</w:t>
      </w:r>
    </w:p>
    <w:p w:rsidR="008E2C01" w:rsidRPr="002844B1" w:rsidRDefault="00000000" w:rsidP="008E2C01">
      <w:pPr>
        <w:pStyle w:val="BodyText"/>
        <w:jc w:val="both"/>
        <w:rPr>
          <w:sz w:val="21"/>
          <w:szCs w:val="21"/>
        </w:rPr>
      </w:pPr>
      <w:r w:rsidRPr="002844B1">
        <w:rPr>
          <w:sz w:val="21"/>
          <w:szCs w:val="21"/>
        </w:rPr>
        <w:t>Ce stage nous a permis de renforcer nos connaissance en assurance. Au cours de notre passage de ce cabinet, nous avons appris à faire face à des problématiques réelles du marché. Cette expérience acquise, est aussi le fruit d’un encadrement étroit dont nous avons fait objet.</w:t>
      </w:r>
    </w:p>
    <w:p w:rsidR="008E2C01" w:rsidRPr="002844B1" w:rsidRDefault="008E2C01" w:rsidP="008E2C01">
      <w:pPr>
        <w:pStyle w:val="BodyText"/>
        <w:jc w:val="both"/>
        <w:rPr>
          <w:sz w:val="21"/>
          <w:szCs w:val="21"/>
        </w:rPr>
      </w:pPr>
    </w:p>
    <w:p w:rsidR="008E2C01" w:rsidRPr="002844B1" w:rsidRDefault="008E2C01" w:rsidP="008E2C01">
      <w:pPr>
        <w:rPr>
          <w:sz w:val="21"/>
          <w:szCs w:val="21"/>
        </w:rPr>
      </w:pPr>
      <w:r w:rsidRPr="002844B1">
        <w:rPr>
          <w:sz w:val="21"/>
          <w:szCs w:val="21"/>
        </w:rPr>
        <w:br w:type="page"/>
      </w:r>
    </w:p>
    <w:p w:rsidR="005B279D" w:rsidRPr="002844B1" w:rsidRDefault="00000000" w:rsidP="00AA7351">
      <w:pPr>
        <w:pStyle w:val="headAOD"/>
      </w:pPr>
      <w:bookmarkStart w:id="181" w:name="_Toc137651047"/>
      <w:bookmarkEnd w:id="180"/>
      <w:r w:rsidRPr="002844B1">
        <w:lastRenderedPageBreak/>
        <w:t>ANNEXE N°1 : MARGE DE RISQUE</w:t>
      </w:r>
      <w:bookmarkStart w:id="182" w:name="annexe-n1-marge-de-risque"/>
      <w:bookmarkEnd w:id="181"/>
    </w:p>
    <w:p w:rsidR="005B279D" w:rsidRPr="002844B1" w:rsidRDefault="00000000" w:rsidP="008E2C01">
      <w:pPr>
        <w:pStyle w:val="FirstParagraph"/>
        <w:jc w:val="both"/>
        <w:rPr>
          <w:sz w:val="21"/>
          <w:szCs w:val="21"/>
        </w:rPr>
      </w:pPr>
      <w:r w:rsidRPr="002844B1">
        <w:rPr>
          <w:sz w:val="21"/>
          <w:szCs w:val="21"/>
        </w:rPr>
        <w:t>La marge de risque est calculée séparément pour les engagements vie et rentes découlant des opérations non vie ainsi que pour les engagements des opérations non vie comme suit :</w:t>
      </w:r>
    </w:p>
    <w:p w:rsidR="005B279D" w:rsidRPr="002844B1" w:rsidRDefault="00000000">
      <w:pPr>
        <w:pStyle w:val="BodyText"/>
      </w:pPr>
      <m:oMathPara>
        <m:oMathParaPr>
          <m:jc m:val="center"/>
        </m:oMathParaPr>
        <m:oMath>
          <m:r>
            <w:rPr>
              <w:rFonts w:ascii="Cambria Math" w:hAnsi="Cambria Math"/>
            </w:rPr>
            <m:t>MR=α×</m:t>
          </m:r>
          <m:nary>
            <m:naryPr>
              <m:chr m:val="∑"/>
              <m:limLoc m:val="undOvr"/>
              <m:supHide m:val="1"/>
              <m:ctrlPr>
                <w:rPr>
                  <w:rFonts w:ascii="Cambria Math" w:hAnsi="Cambria Math"/>
                </w:rPr>
              </m:ctrlPr>
            </m:naryPr>
            <m:sub>
              <m:r>
                <w:rPr>
                  <w:rFonts w:ascii="Cambria Math" w:hAnsi="Cambria Math"/>
                </w:rPr>
                <m:t>i≥0</m:t>
              </m:r>
            </m:sub>
            <m:sup>
              <m:r>
                <w:rPr>
                  <w:rFonts w:ascii="Cambria Math" w:hAnsi="Cambria Math"/>
                </w:rPr>
                <m:t>​</m:t>
              </m:r>
            </m:sup>
            <m:e>
              <m:f>
                <m:fPr>
                  <m:ctrlPr>
                    <w:rPr>
                      <w:rFonts w:ascii="Cambria Math" w:hAnsi="Cambria Math"/>
                    </w:rPr>
                  </m:ctrlPr>
                </m:fPr>
                <m:num>
                  <m:r>
                    <w:rPr>
                      <w:rFonts w:ascii="Cambria Math" w:hAnsi="Cambria Math"/>
                    </w:rPr>
                    <m:t>CS</m:t>
                  </m:r>
                  <m:sSub>
                    <m:sSubPr>
                      <m:ctrlPr>
                        <w:rPr>
                          <w:rFonts w:ascii="Cambria Math" w:hAnsi="Cambria Math"/>
                        </w:rPr>
                      </m:ctrlPr>
                    </m:sSubPr>
                    <m:e>
                      <m:r>
                        <w:rPr>
                          <w:rFonts w:ascii="Cambria Math" w:hAnsi="Cambria Math"/>
                        </w:rPr>
                        <m:t>R</m:t>
                      </m:r>
                    </m:e>
                    <m:sub>
                      <m:r>
                        <w:rPr>
                          <w:rFonts w:ascii="Cambria Math" w:hAnsi="Cambria Math"/>
                        </w:rPr>
                        <m:t>i</m:t>
                      </m:r>
                    </m:sub>
                  </m:sSub>
                </m:num>
                <m:den>
                  <m:sSup>
                    <m:sSupPr>
                      <m:ctrlPr>
                        <w:rPr>
                          <w:rFonts w:ascii="Cambria Math" w:hAnsi="Cambria Math"/>
                        </w:rPr>
                      </m:ctrlPr>
                    </m:sSup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r</m:t>
                              </m:r>
                            </m:e>
                            <m:sub>
                              <m:r>
                                <w:rPr>
                                  <w:rFonts w:ascii="Cambria Math" w:hAnsi="Cambria Math"/>
                                </w:rPr>
                                <m:t>i+1</m:t>
                              </m:r>
                            </m:sub>
                          </m:sSub>
                        </m:e>
                      </m:d>
                    </m:e>
                    <m:sup>
                      <m:r>
                        <w:rPr>
                          <w:rFonts w:ascii="Cambria Math" w:hAnsi="Cambria Math"/>
                        </w:rPr>
                        <m:t>i+1</m:t>
                      </m:r>
                    </m:sup>
                  </m:sSup>
                </m:den>
              </m:f>
            </m:e>
          </m:nary>
          <m:r>
            <w:rPr>
              <w:rFonts w:ascii="Cambria Math" w:hAnsi="Cambria Math"/>
            </w:rPr>
            <m:t> ,</m:t>
          </m:r>
        </m:oMath>
      </m:oMathPara>
    </w:p>
    <w:p w:rsidR="005B279D" w:rsidRPr="002844B1" w:rsidRDefault="00000000">
      <w:pPr>
        <w:pStyle w:val="FirstParagraph"/>
      </w:pPr>
      <w:r w:rsidRPr="002844B1">
        <w:t>où :</w:t>
      </w:r>
    </w:p>
    <w:p w:rsidR="005B279D" w:rsidRPr="002844B1" w:rsidRDefault="00000000" w:rsidP="008E2C01">
      <w:pPr>
        <w:numPr>
          <w:ilvl w:val="0"/>
          <w:numId w:val="74"/>
        </w:numPr>
        <w:jc w:val="both"/>
        <w:rPr>
          <w:sz w:val="21"/>
          <w:szCs w:val="21"/>
        </w:rPr>
      </w:pPr>
      <m:oMath>
        <m:r>
          <w:rPr>
            <w:rFonts w:ascii="Cambria Math" w:hAnsi="Cambria Math"/>
            <w:sz w:val="21"/>
            <w:szCs w:val="21"/>
          </w:rPr>
          <m:t>α</m:t>
        </m:r>
      </m:oMath>
      <w:r w:rsidRPr="002844B1">
        <w:rPr>
          <w:sz w:val="21"/>
          <w:szCs w:val="21"/>
        </w:rPr>
        <w:t xml:space="preserve"> : représente le taux du coût du capital, pas encore publié mais établi à </w:t>
      </w:r>
      <m:oMath>
        <m:r>
          <w:rPr>
            <w:rFonts w:ascii="Cambria Math" w:hAnsi="Cambria Math"/>
            <w:sz w:val="21"/>
            <w:szCs w:val="21"/>
          </w:rPr>
          <m:t>α=6%</m:t>
        </m:r>
      </m:oMath>
      <w:r w:rsidRPr="002844B1">
        <w:rPr>
          <w:sz w:val="21"/>
          <w:szCs w:val="21"/>
        </w:rPr>
        <w:t xml:space="preserve"> dans notre projet.</w:t>
      </w:r>
    </w:p>
    <w:p w:rsidR="005B279D" w:rsidRPr="002844B1" w:rsidRDefault="00000000" w:rsidP="008E2C01">
      <w:pPr>
        <w:numPr>
          <w:ilvl w:val="0"/>
          <w:numId w:val="74"/>
        </w:numPr>
        <w:jc w:val="both"/>
        <w:rPr>
          <w:sz w:val="21"/>
          <w:szCs w:val="21"/>
        </w:rPr>
      </w:pPr>
      <m:oMath>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2844B1">
        <w:rPr>
          <w:sz w:val="21"/>
          <w:szCs w:val="21"/>
        </w:rPr>
        <w:t xml:space="preserve"> : représente le capital de solvabilité requis projeté à la date </w:t>
      </w:r>
      <m:oMath>
        <m:r>
          <w:rPr>
            <w:rFonts w:ascii="Cambria Math" w:hAnsi="Cambria Math"/>
            <w:sz w:val="21"/>
            <w:szCs w:val="21"/>
          </w:rPr>
          <m:t>i</m:t>
        </m:r>
      </m:oMath>
      <w:r w:rsidRPr="002844B1">
        <w:rPr>
          <w:sz w:val="21"/>
          <w:szCs w:val="21"/>
        </w:rPr>
        <w:t xml:space="preserve"> compte non tenu des exigences de capitaux relatives aux risques opérationnel, de marché, de concentration et de contrepartie. Il est calculé comme suit :</w:t>
      </w:r>
    </w:p>
    <w:p w:rsidR="005B279D" w:rsidRPr="002844B1" w:rsidRDefault="00000000" w:rsidP="008E2C01">
      <w:pPr>
        <w:pStyle w:val="FirstParagraph"/>
        <w:jc w:val="both"/>
        <w:rPr>
          <w:sz w:val="21"/>
          <w:szCs w:val="21"/>
        </w:rPr>
      </w:pPr>
      <m:oMathPara>
        <m:oMathParaPr>
          <m:jc m:val="center"/>
        </m:oMathParaPr>
        <m:oMath>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B</m:t>
              </m:r>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en</m:t>
                  </m:r>
                  <m:sSub>
                    <m:sSubPr>
                      <m:ctrlPr>
                        <w:rPr>
                          <w:rFonts w:ascii="Cambria Math" w:hAnsi="Cambria Math"/>
                          <w:sz w:val="21"/>
                          <w:szCs w:val="21"/>
                        </w:rPr>
                      </m:ctrlPr>
                    </m:sSubPr>
                    <m:e>
                      <m:r>
                        <w:rPr>
                          <w:rFonts w:ascii="Cambria Math" w:hAnsi="Cambria Math"/>
                          <w:sz w:val="21"/>
                          <w:szCs w:val="21"/>
                        </w:rPr>
                        <m:t>g</m:t>
                      </m:r>
                    </m:e>
                    <m:sub>
                      <m:r>
                        <w:rPr>
                          <w:rFonts w:ascii="Cambria Math" w:hAnsi="Cambria Math"/>
                          <w:sz w:val="21"/>
                          <w:szCs w:val="21"/>
                        </w:rPr>
                        <m:t>i</m:t>
                      </m:r>
                    </m:sub>
                  </m:sSub>
                </m:sub>
              </m:sSub>
            </m:num>
            <m:den>
              <m:r>
                <w:rPr>
                  <w:rFonts w:ascii="Cambria Math" w:hAnsi="Cambria Math"/>
                  <w:sz w:val="21"/>
                  <w:szCs w:val="21"/>
                </w:rPr>
                <m:t>B</m:t>
              </m:r>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en</m:t>
                  </m:r>
                  <m:sSub>
                    <m:sSubPr>
                      <m:ctrlPr>
                        <w:rPr>
                          <w:rFonts w:ascii="Cambria Math" w:hAnsi="Cambria Math"/>
                          <w:sz w:val="21"/>
                          <w:szCs w:val="21"/>
                        </w:rPr>
                      </m:ctrlPr>
                    </m:sSubPr>
                    <m:e>
                      <m:r>
                        <w:rPr>
                          <w:rFonts w:ascii="Cambria Math" w:hAnsi="Cambria Math"/>
                          <w:sz w:val="21"/>
                          <w:szCs w:val="21"/>
                        </w:rPr>
                        <m:t>g</m:t>
                      </m:r>
                    </m:e>
                    <m:sub>
                      <m:r>
                        <w:rPr>
                          <w:rFonts w:ascii="Cambria Math" w:hAnsi="Cambria Math"/>
                          <w:sz w:val="21"/>
                          <w:szCs w:val="21"/>
                        </w:rPr>
                        <m:t>0</m:t>
                      </m:r>
                    </m:sub>
                  </m:sSub>
                </m:sub>
              </m:sSub>
            </m:den>
          </m:f>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0</m:t>
              </m:r>
            </m:sub>
          </m:sSub>
          <m:r>
            <w:rPr>
              <w:rFonts w:ascii="Cambria Math" w:hAnsi="Cambria Math"/>
              <w:sz w:val="21"/>
              <w:szCs w:val="21"/>
            </w:rPr>
            <m:t> ,</m:t>
          </m:r>
        </m:oMath>
      </m:oMathPara>
    </w:p>
    <w:p w:rsidR="005B279D" w:rsidRPr="002844B1" w:rsidRDefault="00000000" w:rsidP="008E2C01">
      <w:pPr>
        <w:numPr>
          <w:ilvl w:val="0"/>
          <w:numId w:val="75"/>
        </w:numPr>
        <w:jc w:val="both"/>
        <w:rPr>
          <w:sz w:val="21"/>
          <w:szCs w:val="21"/>
        </w:rPr>
      </w:pPr>
      <m:oMath>
        <m:r>
          <w:rPr>
            <w:rFonts w:ascii="Cambria Math" w:hAnsi="Cambria Math"/>
            <w:sz w:val="21"/>
            <w:szCs w:val="21"/>
          </w:rPr>
          <m:t>B</m:t>
        </m:r>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en</m:t>
            </m:r>
            <m:sSub>
              <m:sSubPr>
                <m:ctrlPr>
                  <w:rPr>
                    <w:rFonts w:ascii="Cambria Math" w:hAnsi="Cambria Math"/>
                    <w:sz w:val="21"/>
                    <w:szCs w:val="21"/>
                  </w:rPr>
                </m:ctrlPr>
              </m:sSubPr>
              <m:e>
                <m:r>
                  <w:rPr>
                    <w:rFonts w:ascii="Cambria Math" w:hAnsi="Cambria Math"/>
                    <w:sz w:val="21"/>
                    <w:szCs w:val="21"/>
                  </w:rPr>
                  <m:t>g</m:t>
                </m:r>
              </m:e>
              <m:sub>
                <m:r>
                  <w:rPr>
                    <w:rFonts w:ascii="Cambria Math" w:hAnsi="Cambria Math"/>
                    <w:sz w:val="21"/>
                    <w:szCs w:val="21"/>
                  </w:rPr>
                  <m:t>i</m:t>
                </m:r>
              </m:sub>
            </m:sSub>
          </m:sub>
        </m:sSub>
      </m:oMath>
      <w:r w:rsidRPr="002844B1">
        <w:rPr>
          <w:sz w:val="21"/>
          <w:szCs w:val="21"/>
        </w:rPr>
        <w:t xml:space="preserve"> : correspond à la meilleure estimation des engagements projetée à la date </w:t>
      </w:r>
      <m:oMath>
        <m:r>
          <w:rPr>
            <w:rFonts w:ascii="Cambria Math" w:hAnsi="Cambria Math"/>
            <w:sz w:val="21"/>
            <w:szCs w:val="21"/>
          </w:rPr>
          <m:t>i</m:t>
        </m:r>
      </m:oMath>
      <w:r w:rsidRPr="002844B1">
        <w:rPr>
          <w:sz w:val="21"/>
          <w:szCs w:val="21"/>
        </w:rPr>
        <w:t>.</w:t>
      </w:r>
    </w:p>
    <w:p w:rsidR="005B279D" w:rsidRPr="002844B1" w:rsidRDefault="00000000" w:rsidP="008E2C01">
      <w:pPr>
        <w:numPr>
          <w:ilvl w:val="0"/>
          <w:numId w:val="75"/>
        </w:numPr>
        <w:jc w:val="both"/>
        <w:rPr>
          <w:sz w:val="21"/>
          <w:szCs w:val="21"/>
        </w:rPr>
      </w:pPr>
      <m:oMath>
        <m:r>
          <w:rPr>
            <w:rFonts w:ascii="Cambria Math" w:hAnsi="Cambria Math"/>
            <w:sz w:val="21"/>
            <w:szCs w:val="21"/>
          </w:rPr>
          <m:t>CS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0</m:t>
            </m:r>
          </m:sub>
        </m:sSub>
      </m:oMath>
      <w:r w:rsidRPr="002844B1">
        <w:rPr>
          <w:sz w:val="21"/>
          <w:szCs w:val="21"/>
        </w:rPr>
        <w:t xml:space="preserve"> : représente le capital de solvabilité requis à la date d’inventaire compte non tenu des exigences de capitaux relatives aux risques opérationnel, de marché, de concentration et de contrepartie.</w:t>
      </w:r>
    </w:p>
    <w:p w:rsidR="005B279D" w:rsidRPr="002844B1" w:rsidRDefault="00000000" w:rsidP="008E2C01">
      <w:pPr>
        <w:numPr>
          <w:ilvl w:val="0"/>
          <w:numId w:val="75"/>
        </w:numPr>
        <w:jc w:val="both"/>
        <w:rPr>
          <w:sz w:val="21"/>
          <w:szCs w:val="21"/>
        </w:rPr>
      </w:pP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2844B1">
        <w:rPr>
          <w:sz w:val="21"/>
          <w:szCs w:val="21"/>
        </w:rPr>
        <w:t xml:space="preserve"> : correspond à la structure par terme de la courbe des taux fixée par l’Autorité.</w:t>
      </w:r>
    </w:p>
    <w:p w:rsidR="008E2C01" w:rsidRPr="002844B1" w:rsidRDefault="008E2C01" w:rsidP="008E2C01">
      <w:pPr>
        <w:ind w:left="720"/>
        <w:jc w:val="both"/>
        <w:rPr>
          <w:sz w:val="21"/>
          <w:szCs w:val="21"/>
        </w:rPr>
      </w:pPr>
    </w:p>
    <w:p w:rsidR="008E2C01" w:rsidRPr="002844B1" w:rsidRDefault="008E2C01">
      <w:pPr>
        <w:rPr>
          <w:sz w:val="21"/>
          <w:szCs w:val="21"/>
        </w:rPr>
      </w:pPr>
      <w:r w:rsidRPr="002844B1">
        <w:rPr>
          <w:sz w:val="21"/>
          <w:szCs w:val="21"/>
        </w:rPr>
        <w:br w:type="page"/>
      </w:r>
    </w:p>
    <w:p w:rsidR="008E2C01" w:rsidRPr="002844B1" w:rsidRDefault="008E2C01" w:rsidP="008E2C01">
      <w:pPr>
        <w:ind w:left="720"/>
        <w:jc w:val="both"/>
        <w:rPr>
          <w:sz w:val="21"/>
          <w:szCs w:val="21"/>
        </w:rPr>
      </w:pPr>
    </w:p>
    <w:p w:rsidR="005B279D" w:rsidRPr="002844B1" w:rsidRDefault="00000000" w:rsidP="00AA7351">
      <w:pPr>
        <w:pStyle w:val="headAOD"/>
      </w:pPr>
      <w:bookmarkStart w:id="183" w:name="_Toc137651048"/>
      <w:bookmarkEnd w:id="182"/>
      <w:r w:rsidRPr="002844B1">
        <w:t>ANNEXE N°2 : CORRESPONDANCE ENTRE ECHELLE DE NOTATION ET PROBABILITE DE DEFAUT</w:t>
      </w:r>
      <w:bookmarkEnd w:id="183"/>
    </w:p>
    <w:p w:rsidR="005B279D" w:rsidRPr="002844B1" w:rsidRDefault="007633AB">
      <w:pPr>
        <w:pStyle w:val="Heading2"/>
      </w:pPr>
      <w:bookmarkStart w:id="184" w:name="_Toc137651049"/>
      <w:r w:rsidRPr="002844B1">
        <w:t>Échelles</w:t>
      </w:r>
      <w:r w:rsidR="00000000" w:rsidRPr="002844B1">
        <w:t xml:space="preserve"> de notation</w:t>
      </w:r>
      <w:bookmarkStart w:id="185" w:name="echelles-de-notation"/>
      <w:bookmarkEnd w:id="184"/>
    </w:p>
    <w:p w:rsidR="005B279D" w:rsidRPr="002844B1" w:rsidRDefault="00000000">
      <w:pPr>
        <w:pStyle w:val="Compact"/>
        <w:numPr>
          <w:ilvl w:val="0"/>
          <w:numId w:val="76"/>
        </w:numPr>
      </w:pPr>
      <w:r w:rsidRPr="002844B1">
        <w:t>Pour les cessionnaires et les cédantes :</w:t>
      </w:r>
    </w:p>
    <w:p w:rsidR="005B279D" w:rsidRPr="002844B1" w:rsidRDefault="00000000" w:rsidP="008E2C01">
      <w:pPr>
        <w:pStyle w:val="FirstParagraph"/>
        <w:jc w:val="both"/>
        <w:rPr>
          <w:sz w:val="21"/>
          <w:szCs w:val="21"/>
        </w:rPr>
      </w:pPr>
      <w:r w:rsidRPr="002844B1">
        <w:rPr>
          <w:sz w:val="21"/>
          <w:szCs w:val="21"/>
        </w:rPr>
        <w:t>L’échelle de notation à retenir correspond à la notation financière la plus récente délivrée, durant les dix-huit (18) derniers mois, par l’une des agences de notation citées ci-dessous et ce, conformément au tableau de correspondance suivant :</w:t>
      </w:r>
    </w:p>
    <w:tbl>
      <w:tblPr>
        <w:tblStyle w:val="PlainTable2"/>
        <w:tblW w:w="0" w:type="auto"/>
        <w:tblLook w:val="0020" w:firstRow="1" w:lastRow="0" w:firstColumn="0" w:lastColumn="0" w:noHBand="0" w:noVBand="0"/>
      </w:tblPr>
      <w:tblGrid>
        <w:gridCol w:w="1490"/>
        <w:gridCol w:w="2620"/>
        <w:gridCol w:w="2620"/>
        <w:gridCol w:w="2620"/>
      </w:tblGrid>
      <w:tr w:rsidR="005B279D" w:rsidRPr="002844B1" w:rsidTr="008E2C0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7633AB">
            <w:pPr>
              <w:pStyle w:val="Compact"/>
            </w:pPr>
            <w:r w:rsidRPr="002844B1">
              <w:t>Échelle</w:t>
            </w:r>
            <w:r w:rsidR="00000000" w:rsidRPr="002844B1">
              <w:t xml:space="preserve"> de notation</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pPr>
            <w:r w:rsidRPr="002844B1">
              <w:t>S&amp;P</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FITCH RATING</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pPr>
            <w:r w:rsidRPr="002844B1">
              <w:t>AM BEST</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1</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pPr>
            <w:r w:rsidRPr="002844B1">
              <w:t>Supérieure ou égale à AA</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Supérieure ou égale à AA</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pPr>
            <w:r w:rsidRPr="002844B1">
              <w:t>Supérieure ou égale à AA</w:t>
            </w:r>
          </w:p>
        </w:tc>
      </w:tr>
      <w:tr w:rsidR="005B279D" w:rsidRPr="002844B1" w:rsidTr="008E2C01">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2</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pPr>
            <w:r w:rsidRPr="002844B1">
              <w:t>Inférieure à AA et supérieure ou égale à A</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Inférieure à AA et supérieure ou égale à A</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7633AB">
            <w:pPr>
              <w:pStyle w:val="Compact"/>
            </w:pPr>
            <w:r w:rsidRPr="002844B1">
              <w:t>Inférieure</w:t>
            </w:r>
            <w:r w:rsidR="00000000" w:rsidRPr="002844B1">
              <w:t xml:space="preserve"> à AA et supérieure ou égale à A</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3</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pPr>
            <w:r w:rsidRPr="002844B1">
              <w:t>Inférieure A et supérieure ou égale à BBB</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Inférieure A et supérieure ou égale à BBB</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pPr>
            <w:r w:rsidRPr="002844B1">
              <w:t>Inférieure à A et supérieure ou égale à BBB</w:t>
            </w:r>
          </w:p>
        </w:tc>
      </w:tr>
      <w:tr w:rsidR="005B279D" w:rsidRPr="002844B1" w:rsidTr="008E2C01">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4</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pPr>
            <w:r w:rsidRPr="002844B1">
              <w:t>Inférieure à BBB et supérieure ou égale à BB</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Inférieure à BBB et supérieure ou égale à BB</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pPr>
            <w:r w:rsidRPr="002844B1">
              <w:t>Inférieure à BBB et supérieure ou égale à BB</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5</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pPr>
            <w:r w:rsidRPr="002844B1">
              <w:t>Inférieure à BB</w:t>
            </w:r>
          </w:p>
        </w:tc>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Inférieure à BB</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pPr>
            <w:r w:rsidRPr="002844B1">
              <w:t>Inférieure à BB</w:t>
            </w:r>
          </w:p>
        </w:tc>
      </w:tr>
    </w:tbl>
    <w:p w:rsidR="005B279D" w:rsidRPr="002844B1" w:rsidRDefault="00000000" w:rsidP="008E2C01">
      <w:pPr>
        <w:pStyle w:val="BodyText"/>
        <w:jc w:val="both"/>
        <w:rPr>
          <w:sz w:val="21"/>
          <w:szCs w:val="21"/>
        </w:rPr>
      </w:pPr>
      <w:r w:rsidRPr="002844B1">
        <w:rPr>
          <w:sz w:val="21"/>
          <w:szCs w:val="21"/>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du cessionnaire ou de la cédante concerné et ce, conformément au tableau de correspondance suivant :</w:t>
      </w:r>
    </w:p>
    <w:tbl>
      <w:tblPr>
        <w:tblStyle w:val="TableGrid"/>
        <w:tblW w:w="0" w:type="auto"/>
        <w:jc w:val="center"/>
        <w:tblLook w:val="0020" w:firstRow="1" w:lastRow="0" w:firstColumn="0" w:lastColumn="0" w:noHBand="0" w:noVBand="0"/>
      </w:tblPr>
      <w:tblGrid>
        <w:gridCol w:w="1811"/>
        <w:gridCol w:w="2271"/>
      </w:tblGrid>
      <w:tr w:rsidR="005B279D" w:rsidRPr="002844B1" w:rsidTr="008E2C01">
        <w:trPr>
          <w:jc w:val="center"/>
        </w:trPr>
        <w:tc>
          <w:tcPr>
            <w:tcW w:w="0" w:type="auto"/>
          </w:tcPr>
          <w:p w:rsidR="005B279D" w:rsidRPr="002844B1" w:rsidRDefault="007633AB">
            <w:pPr>
              <w:pStyle w:val="Compact"/>
            </w:pPr>
            <w:r w:rsidRPr="002844B1">
              <w:t>Échelle</w:t>
            </w:r>
            <w:r w:rsidR="00000000" w:rsidRPr="002844B1">
              <w:t xml:space="preserve"> de notation</w:t>
            </w:r>
          </w:p>
        </w:tc>
        <w:tc>
          <w:tcPr>
            <w:tcW w:w="0" w:type="auto"/>
          </w:tcPr>
          <w:p w:rsidR="005B279D" w:rsidRPr="002844B1" w:rsidRDefault="00000000">
            <w:pPr>
              <w:pStyle w:val="Compact"/>
            </w:pPr>
            <w:r w:rsidRPr="002844B1">
              <w:t>Ratio de solvabilité</w:t>
            </w:r>
          </w:p>
        </w:tc>
      </w:tr>
      <w:tr w:rsidR="005B279D" w:rsidRPr="002844B1" w:rsidTr="008E2C01">
        <w:trPr>
          <w:jc w:val="center"/>
        </w:trPr>
        <w:tc>
          <w:tcPr>
            <w:tcW w:w="0" w:type="auto"/>
          </w:tcPr>
          <w:p w:rsidR="005B279D" w:rsidRPr="002844B1" w:rsidRDefault="00000000">
            <w:pPr>
              <w:pStyle w:val="Compact"/>
            </w:pPr>
            <w:r w:rsidRPr="002844B1">
              <w:t>1</w:t>
            </w:r>
          </w:p>
        </w:tc>
        <w:tc>
          <w:tcPr>
            <w:tcW w:w="0" w:type="auto"/>
          </w:tcPr>
          <w:p w:rsidR="005B279D" w:rsidRPr="002844B1" w:rsidRDefault="00000000">
            <w:pPr>
              <w:pStyle w:val="Compact"/>
            </w:pPr>
            <w:r w:rsidRPr="002844B1">
              <w:t>Supérieur à 175%</w:t>
            </w:r>
          </w:p>
        </w:tc>
      </w:tr>
      <w:tr w:rsidR="005B279D" w:rsidRPr="002844B1" w:rsidTr="008E2C01">
        <w:trPr>
          <w:jc w:val="center"/>
        </w:trPr>
        <w:tc>
          <w:tcPr>
            <w:tcW w:w="0" w:type="auto"/>
          </w:tcPr>
          <w:p w:rsidR="005B279D" w:rsidRPr="002844B1" w:rsidRDefault="00000000">
            <w:pPr>
              <w:pStyle w:val="Compact"/>
            </w:pPr>
            <w:r w:rsidRPr="002844B1">
              <w:t>2</w:t>
            </w:r>
          </w:p>
        </w:tc>
        <w:tc>
          <w:tcPr>
            <w:tcW w:w="0" w:type="auto"/>
          </w:tcPr>
          <w:p w:rsidR="005B279D" w:rsidRPr="002844B1" w:rsidRDefault="00000000">
            <w:pPr>
              <w:pStyle w:val="Compact"/>
            </w:pPr>
            <w:r w:rsidRPr="002844B1">
              <w:t>]122% ; 175%]</w:t>
            </w:r>
          </w:p>
        </w:tc>
      </w:tr>
      <w:tr w:rsidR="005B279D" w:rsidRPr="002844B1" w:rsidTr="008E2C01">
        <w:trPr>
          <w:jc w:val="center"/>
        </w:trPr>
        <w:tc>
          <w:tcPr>
            <w:tcW w:w="0" w:type="auto"/>
          </w:tcPr>
          <w:p w:rsidR="005B279D" w:rsidRPr="002844B1" w:rsidRDefault="00000000">
            <w:pPr>
              <w:pStyle w:val="Compact"/>
            </w:pPr>
            <w:r w:rsidRPr="002844B1">
              <w:t>3</w:t>
            </w:r>
          </w:p>
        </w:tc>
        <w:tc>
          <w:tcPr>
            <w:tcW w:w="0" w:type="auto"/>
          </w:tcPr>
          <w:p w:rsidR="005B279D" w:rsidRPr="002844B1" w:rsidRDefault="00000000">
            <w:pPr>
              <w:pStyle w:val="Compact"/>
            </w:pPr>
            <w:r w:rsidRPr="002844B1">
              <w:t>]95% ; 122%]</w:t>
            </w:r>
          </w:p>
        </w:tc>
      </w:tr>
      <w:tr w:rsidR="005B279D" w:rsidRPr="002844B1" w:rsidTr="008E2C01">
        <w:trPr>
          <w:jc w:val="center"/>
        </w:trPr>
        <w:tc>
          <w:tcPr>
            <w:tcW w:w="0" w:type="auto"/>
          </w:tcPr>
          <w:p w:rsidR="005B279D" w:rsidRPr="002844B1" w:rsidRDefault="00000000">
            <w:pPr>
              <w:pStyle w:val="Compact"/>
            </w:pPr>
            <w:r w:rsidRPr="002844B1">
              <w:t>4</w:t>
            </w:r>
          </w:p>
        </w:tc>
        <w:tc>
          <w:tcPr>
            <w:tcW w:w="0" w:type="auto"/>
          </w:tcPr>
          <w:p w:rsidR="005B279D" w:rsidRPr="002844B1" w:rsidRDefault="00000000">
            <w:pPr>
              <w:pStyle w:val="Compact"/>
            </w:pPr>
            <w:r w:rsidRPr="002844B1">
              <w:t>]75% ; 95%]</w:t>
            </w:r>
          </w:p>
        </w:tc>
      </w:tr>
      <w:tr w:rsidR="005B279D" w:rsidRPr="002844B1" w:rsidTr="008E2C01">
        <w:trPr>
          <w:jc w:val="center"/>
        </w:trPr>
        <w:tc>
          <w:tcPr>
            <w:tcW w:w="0" w:type="auto"/>
          </w:tcPr>
          <w:p w:rsidR="005B279D" w:rsidRPr="002844B1" w:rsidRDefault="00000000">
            <w:pPr>
              <w:pStyle w:val="Compact"/>
            </w:pPr>
            <w:r w:rsidRPr="002844B1">
              <w:t>5</w:t>
            </w:r>
          </w:p>
        </w:tc>
        <w:tc>
          <w:tcPr>
            <w:tcW w:w="0" w:type="auto"/>
          </w:tcPr>
          <w:p w:rsidR="005B279D" w:rsidRPr="002844B1" w:rsidRDefault="00000000">
            <w:pPr>
              <w:pStyle w:val="Compact"/>
            </w:pPr>
            <w:r w:rsidRPr="002844B1">
              <w:t>Inférieur ou égale à 75%</w:t>
            </w:r>
          </w:p>
        </w:tc>
      </w:tr>
    </w:tbl>
    <w:p w:rsidR="005B279D" w:rsidRPr="002844B1" w:rsidRDefault="00000000">
      <w:pPr>
        <w:pStyle w:val="BodyText"/>
      </w:pPr>
      <w:r w:rsidRPr="002844B1">
        <w:t>Dans les autres cas, l’échelle de notation la plus faible est retenue.</w:t>
      </w:r>
    </w:p>
    <w:p w:rsidR="005B279D" w:rsidRPr="002844B1" w:rsidRDefault="00000000">
      <w:pPr>
        <w:pStyle w:val="Compact"/>
        <w:numPr>
          <w:ilvl w:val="0"/>
          <w:numId w:val="77"/>
        </w:numPr>
      </w:pPr>
      <w:r w:rsidRPr="002844B1">
        <w:t>Pour les organismes dépositaires :</w:t>
      </w:r>
    </w:p>
    <w:p w:rsidR="005B279D" w:rsidRPr="002844B1" w:rsidRDefault="00000000" w:rsidP="008E2C01">
      <w:pPr>
        <w:pStyle w:val="FirstParagraph"/>
        <w:jc w:val="both"/>
        <w:rPr>
          <w:sz w:val="21"/>
          <w:szCs w:val="21"/>
        </w:rPr>
      </w:pPr>
      <w:r w:rsidRPr="002844B1">
        <w:rPr>
          <w:sz w:val="21"/>
          <w:szCs w:val="21"/>
        </w:rPr>
        <w:t>L’échelle de notation à retenir correspond à la notation financière la plus récente délivrée, durant les dix-huit (18) derniers mois, par l’une des agences de notation citées ci-dessous et ce, conformément au tableau de correspondance suivant :</w:t>
      </w:r>
    </w:p>
    <w:tbl>
      <w:tblPr>
        <w:tblStyle w:val="GridTable1Light-Accent1"/>
        <w:tblW w:w="0" w:type="auto"/>
        <w:tblLook w:val="0020" w:firstRow="1" w:lastRow="0" w:firstColumn="0" w:lastColumn="0" w:noHBand="0" w:noVBand="0"/>
      </w:tblPr>
      <w:tblGrid>
        <w:gridCol w:w="1494"/>
        <w:gridCol w:w="2626"/>
        <w:gridCol w:w="2626"/>
        <w:gridCol w:w="2604"/>
      </w:tblGrid>
      <w:tr w:rsidR="005B279D" w:rsidRPr="002844B1" w:rsidTr="008E2C01">
        <w:trPr>
          <w:cnfStyle w:val="100000000000" w:firstRow="1" w:lastRow="0" w:firstColumn="0" w:lastColumn="0" w:oddVBand="0" w:evenVBand="0" w:oddHBand="0" w:evenHBand="0" w:firstRowFirstColumn="0" w:firstRowLastColumn="0" w:lastRowFirstColumn="0" w:lastRowLastColumn="0"/>
        </w:trPr>
        <w:tc>
          <w:tcPr>
            <w:tcW w:w="0" w:type="auto"/>
          </w:tcPr>
          <w:p w:rsidR="005B279D" w:rsidRPr="002844B1" w:rsidRDefault="007633AB">
            <w:pPr>
              <w:pStyle w:val="Compact"/>
            </w:pPr>
            <w:r w:rsidRPr="002844B1">
              <w:t>Échelle</w:t>
            </w:r>
            <w:r w:rsidR="00000000" w:rsidRPr="002844B1">
              <w:t xml:space="preserve"> de notation</w:t>
            </w:r>
          </w:p>
        </w:tc>
        <w:tc>
          <w:tcPr>
            <w:tcW w:w="0" w:type="auto"/>
          </w:tcPr>
          <w:p w:rsidR="005B279D" w:rsidRPr="002844B1" w:rsidRDefault="00000000">
            <w:pPr>
              <w:pStyle w:val="Compact"/>
            </w:pPr>
            <w:r w:rsidRPr="002844B1">
              <w:t>S&amp;P</w:t>
            </w:r>
          </w:p>
        </w:tc>
        <w:tc>
          <w:tcPr>
            <w:tcW w:w="0" w:type="auto"/>
          </w:tcPr>
          <w:p w:rsidR="005B279D" w:rsidRPr="002844B1" w:rsidRDefault="00000000">
            <w:pPr>
              <w:pStyle w:val="Compact"/>
            </w:pPr>
            <w:r w:rsidRPr="002844B1">
              <w:t>FITCH RATINGS</w:t>
            </w:r>
          </w:p>
        </w:tc>
        <w:tc>
          <w:tcPr>
            <w:tcW w:w="0" w:type="auto"/>
          </w:tcPr>
          <w:p w:rsidR="005B279D" w:rsidRPr="002844B1" w:rsidRDefault="00000000">
            <w:pPr>
              <w:pStyle w:val="Compact"/>
            </w:pPr>
            <w:r w:rsidRPr="002844B1">
              <w:t>MOODY'S</w:t>
            </w:r>
          </w:p>
        </w:tc>
      </w:tr>
      <w:tr w:rsidR="005B279D" w:rsidRPr="002844B1" w:rsidTr="008E2C01">
        <w:tc>
          <w:tcPr>
            <w:tcW w:w="0" w:type="auto"/>
          </w:tcPr>
          <w:p w:rsidR="005B279D" w:rsidRPr="002844B1" w:rsidRDefault="00000000">
            <w:pPr>
              <w:pStyle w:val="Compact"/>
            </w:pPr>
            <w:r w:rsidRPr="002844B1">
              <w:lastRenderedPageBreak/>
              <w:t>1</w:t>
            </w:r>
          </w:p>
        </w:tc>
        <w:tc>
          <w:tcPr>
            <w:tcW w:w="0" w:type="auto"/>
          </w:tcPr>
          <w:p w:rsidR="005B279D" w:rsidRPr="002844B1" w:rsidRDefault="00000000">
            <w:pPr>
              <w:pStyle w:val="Compact"/>
            </w:pPr>
            <w:r w:rsidRPr="002844B1">
              <w:t>Supérieure ou égale à AA</w:t>
            </w:r>
          </w:p>
        </w:tc>
        <w:tc>
          <w:tcPr>
            <w:tcW w:w="0" w:type="auto"/>
          </w:tcPr>
          <w:p w:rsidR="005B279D" w:rsidRPr="002844B1" w:rsidRDefault="00000000">
            <w:pPr>
              <w:pStyle w:val="Compact"/>
            </w:pPr>
            <w:r w:rsidRPr="002844B1">
              <w:t>Supérieure ou égale à AA</w:t>
            </w:r>
          </w:p>
        </w:tc>
        <w:tc>
          <w:tcPr>
            <w:tcW w:w="0" w:type="auto"/>
          </w:tcPr>
          <w:p w:rsidR="005B279D" w:rsidRPr="002844B1" w:rsidRDefault="00000000">
            <w:pPr>
              <w:pStyle w:val="Compact"/>
            </w:pPr>
            <w:r w:rsidRPr="002844B1">
              <w:t>Supérieure ou égale à Aa</w:t>
            </w:r>
          </w:p>
        </w:tc>
      </w:tr>
      <w:tr w:rsidR="005B279D" w:rsidRPr="002844B1" w:rsidTr="008E2C01">
        <w:tc>
          <w:tcPr>
            <w:tcW w:w="0" w:type="auto"/>
          </w:tcPr>
          <w:p w:rsidR="005B279D" w:rsidRPr="002844B1" w:rsidRDefault="00000000">
            <w:pPr>
              <w:pStyle w:val="Compact"/>
            </w:pPr>
            <w:r w:rsidRPr="002844B1">
              <w:t>2</w:t>
            </w:r>
          </w:p>
        </w:tc>
        <w:tc>
          <w:tcPr>
            <w:tcW w:w="0" w:type="auto"/>
          </w:tcPr>
          <w:p w:rsidR="005B279D" w:rsidRPr="002844B1" w:rsidRDefault="00000000">
            <w:pPr>
              <w:pStyle w:val="Compact"/>
            </w:pPr>
            <w:r w:rsidRPr="002844B1">
              <w:t>Inférieure à AA et supérieure ou égale à A</w:t>
            </w:r>
          </w:p>
        </w:tc>
        <w:tc>
          <w:tcPr>
            <w:tcW w:w="0" w:type="auto"/>
          </w:tcPr>
          <w:p w:rsidR="005B279D" w:rsidRPr="002844B1" w:rsidRDefault="00000000">
            <w:pPr>
              <w:pStyle w:val="Compact"/>
            </w:pPr>
            <w:r w:rsidRPr="002844B1">
              <w:t>Inférieure à AA et supérieure ou égale à A</w:t>
            </w:r>
          </w:p>
        </w:tc>
        <w:tc>
          <w:tcPr>
            <w:tcW w:w="0" w:type="auto"/>
          </w:tcPr>
          <w:p w:rsidR="005B279D" w:rsidRPr="002844B1" w:rsidRDefault="00000000">
            <w:pPr>
              <w:pStyle w:val="Compact"/>
            </w:pPr>
            <w:r w:rsidRPr="002844B1">
              <w:t>Inférieure à Aa et supérieure ou égale à A</w:t>
            </w:r>
          </w:p>
        </w:tc>
      </w:tr>
      <w:tr w:rsidR="005B279D" w:rsidRPr="002844B1" w:rsidTr="008E2C01">
        <w:tc>
          <w:tcPr>
            <w:tcW w:w="0" w:type="auto"/>
          </w:tcPr>
          <w:p w:rsidR="005B279D" w:rsidRPr="002844B1" w:rsidRDefault="00000000">
            <w:pPr>
              <w:pStyle w:val="Compact"/>
            </w:pPr>
            <w:r w:rsidRPr="002844B1">
              <w:t>3</w:t>
            </w:r>
          </w:p>
        </w:tc>
        <w:tc>
          <w:tcPr>
            <w:tcW w:w="0" w:type="auto"/>
          </w:tcPr>
          <w:p w:rsidR="005B279D" w:rsidRPr="002844B1" w:rsidRDefault="00000000">
            <w:pPr>
              <w:pStyle w:val="Compact"/>
            </w:pPr>
            <w:r w:rsidRPr="002844B1">
              <w:t>Inférieure A et supérieure ou égale à BBB</w:t>
            </w:r>
          </w:p>
        </w:tc>
        <w:tc>
          <w:tcPr>
            <w:tcW w:w="0" w:type="auto"/>
          </w:tcPr>
          <w:p w:rsidR="005B279D" w:rsidRPr="002844B1" w:rsidRDefault="00000000">
            <w:pPr>
              <w:pStyle w:val="Compact"/>
            </w:pPr>
            <w:r w:rsidRPr="002844B1">
              <w:t>Inférieure A et supérieure ou égale à BBB</w:t>
            </w:r>
          </w:p>
        </w:tc>
        <w:tc>
          <w:tcPr>
            <w:tcW w:w="0" w:type="auto"/>
          </w:tcPr>
          <w:p w:rsidR="005B279D" w:rsidRPr="002844B1" w:rsidRDefault="00000000">
            <w:pPr>
              <w:pStyle w:val="Compact"/>
            </w:pPr>
            <w:r w:rsidRPr="002844B1">
              <w:t>Inférieure A et supérieure ou égale à Baa</w:t>
            </w:r>
          </w:p>
        </w:tc>
      </w:tr>
      <w:tr w:rsidR="005B279D" w:rsidRPr="002844B1" w:rsidTr="008E2C01">
        <w:tc>
          <w:tcPr>
            <w:tcW w:w="0" w:type="auto"/>
          </w:tcPr>
          <w:p w:rsidR="005B279D" w:rsidRPr="002844B1" w:rsidRDefault="00000000">
            <w:pPr>
              <w:pStyle w:val="Compact"/>
            </w:pPr>
            <w:r w:rsidRPr="002844B1">
              <w:t>4</w:t>
            </w:r>
          </w:p>
        </w:tc>
        <w:tc>
          <w:tcPr>
            <w:tcW w:w="0" w:type="auto"/>
          </w:tcPr>
          <w:p w:rsidR="005B279D" w:rsidRPr="002844B1" w:rsidRDefault="00000000">
            <w:pPr>
              <w:pStyle w:val="Compact"/>
            </w:pPr>
            <w:r w:rsidRPr="002844B1">
              <w:t>Inférieure à BBB et supérieure ou égale à BB</w:t>
            </w:r>
          </w:p>
        </w:tc>
        <w:tc>
          <w:tcPr>
            <w:tcW w:w="0" w:type="auto"/>
          </w:tcPr>
          <w:p w:rsidR="005B279D" w:rsidRPr="002844B1" w:rsidRDefault="00000000">
            <w:pPr>
              <w:pStyle w:val="Compact"/>
            </w:pPr>
            <w:r w:rsidRPr="002844B1">
              <w:t>Inférieure à BBB et supérieure ou égale à BB</w:t>
            </w:r>
          </w:p>
        </w:tc>
        <w:tc>
          <w:tcPr>
            <w:tcW w:w="0" w:type="auto"/>
          </w:tcPr>
          <w:p w:rsidR="005B279D" w:rsidRPr="002844B1" w:rsidRDefault="00000000">
            <w:pPr>
              <w:pStyle w:val="Compact"/>
            </w:pPr>
            <w:r w:rsidRPr="002844B1">
              <w:t>Inférieure à Baa et supérieure ou égale à Ba</w:t>
            </w:r>
          </w:p>
        </w:tc>
      </w:tr>
      <w:tr w:rsidR="005B279D" w:rsidRPr="002844B1" w:rsidTr="008E2C01">
        <w:tc>
          <w:tcPr>
            <w:tcW w:w="0" w:type="auto"/>
          </w:tcPr>
          <w:p w:rsidR="005B279D" w:rsidRPr="002844B1" w:rsidRDefault="00000000">
            <w:pPr>
              <w:pStyle w:val="Compact"/>
            </w:pPr>
            <w:r w:rsidRPr="002844B1">
              <w:t>5</w:t>
            </w:r>
          </w:p>
        </w:tc>
        <w:tc>
          <w:tcPr>
            <w:tcW w:w="0" w:type="auto"/>
          </w:tcPr>
          <w:p w:rsidR="005B279D" w:rsidRPr="002844B1" w:rsidRDefault="00000000">
            <w:pPr>
              <w:pStyle w:val="Compact"/>
            </w:pPr>
            <w:r w:rsidRPr="002844B1">
              <w:t>Inférieure à BB</w:t>
            </w:r>
          </w:p>
        </w:tc>
        <w:tc>
          <w:tcPr>
            <w:tcW w:w="0" w:type="auto"/>
          </w:tcPr>
          <w:p w:rsidR="005B279D" w:rsidRPr="002844B1" w:rsidRDefault="00000000">
            <w:pPr>
              <w:pStyle w:val="Compact"/>
            </w:pPr>
            <w:r w:rsidRPr="002844B1">
              <w:t>Inférieure à BB</w:t>
            </w:r>
          </w:p>
        </w:tc>
        <w:tc>
          <w:tcPr>
            <w:tcW w:w="0" w:type="auto"/>
          </w:tcPr>
          <w:p w:rsidR="005B279D" w:rsidRPr="002844B1" w:rsidRDefault="00000000">
            <w:pPr>
              <w:pStyle w:val="Compact"/>
            </w:pPr>
            <w:r w:rsidRPr="002844B1">
              <w:t>Inférieure à Ba</w:t>
            </w:r>
          </w:p>
        </w:tc>
      </w:tr>
    </w:tbl>
    <w:p w:rsidR="005B279D" w:rsidRPr="002844B1" w:rsidRDefault="00000000" w:rsidP="008E2C01">
      <w:pPr>
        <w:pStyle w:val="BodyText"/>
        <w:jc w:val="both"/>
        <w:rPr>
          <w:sz w:val="21"/>
          <w:szCs w:val="21"/>
        </w:rPr>
      </w:pPr>
      <w:r w:rsidRPr="002844B1">
        <w:rPr>
          <w:sz w:val="21"/>
          <w:szCs w:val="21"/>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de l’organisme dépositaire concerné et ce, conformément au tableau de correspondance suivant :</w:t>
      </w:r>
    </w:p>
    <w:tbl>
      <w:tblPr>
        <w:tblStyle w:val="PlainTable2"/>
        <w:tblW w:w="0" w:type="auto"/>
        <w:jc w:val="center"/>
        <w:tblLook w:val="0020" w:firstRow="1" w:lastRow="0" w:firstColumn="0" w:lastColumn="0" w:noHBand="0" w:noVBand="0"/>
      </w:tblPr>
      <w:tblGrid>
        <w:gridCol w:w="1925"/>
        <w:gridCol w:w="2166"/>
      </w:tblGrid>
      <w:tr w:rsidR="005B279D" w:rsidRPr="002844B1"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7633AB">
            <w:pPr>
              <w:pStyle w:val="Compact"/>
            </w:pPr>
            <w:r w:rsidRPr="002844B1">
              <w:t>Échelle</w:t>
            </w:r>
            <w:r w:rsidR="00000000" w:rsidRPr="002844B1">
              <w:t xml:space="preserve"> de notation</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pPr>
            <w:r w:rsidRPr="002844B1">
              <w:t>Ratio de solvabilité</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1</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pPr>
            <w:r w:rsidRPr="002844B1">
              <w:t>Supérieur à 21%</w:t>
            </w:r>
          </w:p>
        </w:tc>
      </w:tr>
      <w:tr w:rsidR="005B279D" w:rsidRPr="002844B1" w:rsidTr="008E2C01">
        <w:trPr>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2</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pPr>
            <w:r w:rsidRPr="002844B1">
              <w:t>]14,6% ; 21%]</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3</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pPr>
            <w:r w:rsidRPr="002844B1">
              <w:t>]11,4% ; 14,6%]</w:t>
            </w:r>
          </w:p>
        </w:tc>
      </w:tr>
      <w:tr w:rsidR="005B279D" w:rsidRPr="002844B1" w:rsidTr="008E2C01">
        <w:trPr>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4</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pPr>
            <w:r w:rsidRPr="002844B1">
              <w:t>]9% ; 11,4%]</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5</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pPr>
            <w:r w:rsidRPr="002844B1">
              <w:t>Inférieur ou égale à 9%</w:t>
            </w:r>
          </w:p>
        </w:tc>
      </w:tr>
    </w:tbl>
    <w:p w:rsidR="005B279D" w:rsidRPr="002844B1" w:rsidRDefault="00000000">
      <w:pPr>
        <w:pStyle w:val="BodyText"/>
      </w:pPr>
      <w:r w:rsidRPr="002844B1">
        <w:t>Dans les autres cas, l’échelle de notation la plus faible est retenue.</w:t>
      </w:r>
    </w:p>
    <w:p w:rsidR="005B279D" w:rsidRPr="002844B1" w:rsidRDefault="00000000">
      <w:pPr>
        <w:pStyle w:val="Heading2"/>
      </w:pPr>
      <w:bookmarkStart w:id="186" w:name="_Toc137651050"/>
      <w:bookmarkEnd w:id="185"/>
      <w:r w:rsidRPr="002844B1">
        <w:t>Probabilités de défaut :</w:t>
      </w:r>
      <w:bookmarkStart w:id="187" w:name="X19201d892d1ecf03d622680eb90ba507529139d"/>
      <w:bookmarkStart w:id="188" w:name="probabilités-de-défaut"/>
      <w:bookmarkEnd w:id="186"/>
    </w:p>
    <w:p w:rsidR="005B279D" w:rsidRPr="002844B1" w:rsidRDefault="00000000">
      <w:pPr>
        <w:pStyle w:val="FirstParagraph"/>
      </w:pPr>
      <w:r w:rsidRPr="002844B1">
        <w:t xml:space="preserve">La probabilité de défaut annuelle est établie en fonction de l’échelle de notation retenue en application des dispositions du 1) ci-dessus et ce, conformément au tableau de correspondance </w:t>
      </w:r>
      <w:r w:rsidR="007633AB" w:rsidRPr="002844B1">
        <w:t>ci-après</w:t>
      </w:r>
      <w:r w:rsidRPr="002844B1">
        <w:t xml:space="preserve"> :</w:t>
      </w:r>
    </w:p>
    <w:tbl>
      <w:tblPr>
        <w:tblStyle w:val="PlainTable2"/>
        <w:tblW w:w="0" w:type="auto"/>
        <w:jc w:val="center"/>
        <w:tblLook w:val="0020" w:firstRow="1" w:lastRow="0" w:firstColumn="0" w:lastColumn="0" w:noHBand="0" w:noVBand="0"/>
      </w:tblPr>
      <w:tblGrid>
        <w:gridCol w:w="1925"/>
        <w:gridCol w:w="2939"/>
      </w:tblGrid>
      <w:tr w:rsidR="005B279D" w:rsidRPr="002844B1"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7633AB">
            <w:pPr>
              <w:pStyle w:val="Compact"/>
            </w:pPr>
            <w:r w:rsidRPr="002844B1">
              <w:t>Échelle</w:t>
            </w:r>
            <w:r w:rsidR="00000000" w:rsidRPr="002844B1">
              <w:t xml:space="preserve"> de notation</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pPr>
            <w:r w:rsidRPr="002844B1">
              <w:t>Probabilité de défaut annuelle</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1</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pPr>
            <w:r w:rsidRPr="002844B1">
              <w:t>0,010%</w:t>
            </w:r>
          </w:p>
        </w:tc>
      </w:tr>
      <w:tr w:rsidR="005B279D" w:rsidRPr="002844B1" w:rsidTr="008E2C01">
        <w:trPr>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2</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pPr>
            <w:r w:rsidRPr="002844B1">
              <w:t>0,050%</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3</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pPr>
            <w:r w:rsidRPr="002844B1">
              <w:t>0,240%</w:t>
            </w:r>
          </w:p>
        </w:tc>
      </w:tr>
      <w:tr w:rsidR="005B279D" w:rsidRPr="002844B1" w:rsidTr="008E2C01">
        <w:trPr>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4</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pPr>
            <w:r w:rsidRPr="002844B1">
              <w:t>1,200%</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pPr>
            <w:r w:rsidRPr="002844B1">
              <w:t>5</w:t>
            </w:r>
          </w:p>
        </w:tc>
        <w:tc>
          <w:tcPr>
            <w:cnfStyle w:val="000001000000" w:firstRow="0" w:lastRow="0" w:firstColumn="0" w:lastColumn="0" w:oddVBand="0" w:evenVBand="1" w:oddHBand="0" w:evenHBand="0" w:firstRowFirstColumn="0" w:firstRowLastColumn="0" w:lastRowFirstColumn="0" w:lastRowLastColumn="0"/>
            <w:tcW w:w="0" w:type="auto"/>
          </w:tcPr>
          <w:p w:rsidR="005B279D" w:rsidRPr="002844B1" w:rsidRDefault="00000000">
            <w:pPr>
              <w:pStyle w:val="Compact"/>
            </w:pPr>
            <w:r w:rsidRPr="002844B1">
              <w:t>4,200%</w:t>
            </w:r>
          </w:p>
        </w:tc>
      </w:tr>
    </w:tbl>
    <w:p w:rsidR="008E2C01" w:rsidRPr="002844B1" w:rsidRDefault="008E2C01">
      <w:pPr>
        <w:rPr>
          <w:rFonts w:eastAsiaTheme="majorEastAsia" w:cstheme="majorBidi"/>
          <w:b/>
          <w:bCs/>
          <w:color w:val="224E76" w:themeColor="accent2" w:themeShade="7F"/>
          <w:sz w:val="36"/>
          <w:szCs w:val="22"/>
        </w:rPr>
      </w:pPr>
      <w:bookmarkStart w:id="189" w:name="_Toc137651051"/>
      <w:bookmarkEnd w:id="187"/>
      <w:bookmarkEnd w:id="188"/>
      <w:r w:rsidRPr="002844B1">
        <w:br w:type="page"/>
      </w:r>
    </w:p>
    <w:p w:rsidR="005B279D" w:rsidRPr="002844B1" w:rsidRDefault="00000000" w:rsidP="00AA7351">
      <w:pPr>
        <w:pStyle w:val="headAOD"/>
      </w:pPr>
      <w:r w:rsidRPr="002844B1">
        <w:lastRenderedPageBreak/>
        <w:t>ANNEXE N°3 : TABLES DE MORTALITE TD 88-90</w:t>
      </w:r>
      <w:bookmarkStart w:id="190" w:name="annexe-n3-tables-de-mortalite-td-88-90"/>
      <w:bookmarkEnd w:id="189"/>
    </w:p>
    <w:p w:rsidR="005B279D" w:rsidRPr="002844B1" w:rsidRDefault="00000000" w:rsidP="008E2C01">
      <w:pPr>
        <w:pStyle w:val="TableCaption"/>
        <w:jc w:val="center"/>
      </w:pPr>
      <w:r w:rsidRPr="002844B1">
        <w:t>TABLE DE MORTALITE TD 88-90</w:t>
      </w:r>
    </w:p>
    <w:tbl>
      <w:tblPr>
        <w:tblStyle w:val="PlainTable1"/>
        <w:tblW w:w="4917" w:type="dxa"/>
        <w:jc w:val="center"/>
        <w:tblLook w:val="0020" w:firstRow="1" w:lastRow="0" w:firstColumn="0" w:lastColumn="0" w:noHBand="0" w:noVBand="0"/>
      </w:tblPr>
      <w:tblGrid>
        <w:gridCol w:w="1936"/>
        <w:gridCol w:w="2981"/>
      </w:tblGrid>
      <w:tr w:rsidR="005B279D" w:rsidRPr="002844B1" w:rsidTr="008E2C01">
        <w:trPr>
          <w:cnfStyle w:val="100000000000" w:firstRow="1" w:lastRow="0" w:firstColumn="0" w:lastColumn="0" w:oddVBand="0" w:evenVBand="0" w:oddHBand="0"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x</w:t>
            </w:r>
          </w:p>
        </w:tc>
        <w:tc>
          <w:tcPr>
            <w:tcW w:w="0" w:type="auto"/>
          </w:tcPr>
          <w:p w:rsidR="005B279D" w:rsidRPr="002844B1" w:rsidRDefault="00000000">
            <w:pPr>
              <w:pStyle w:val="Compact"/>
              <w:jc w:val="right"/>
              <w:cnfStyle w:val="100000000000" w:firstRow="1" w:lastRow="0" w:firstColumn="0" w:lastColumn="0" w:oddVBand="0" w:evenVBand="0" w:oddHBand="0" w:evenHBand="0" w:firstRowFirstColumn="0" w:firstRowLastColumn="0" w:lastRowFirstColumn="0" w:lastRowLastColumn="0"/>
              <w:rPr>
                <w:sz w:val="16"/>
                <w:szCs w:val="16"/>
              </w:rPr>
            </w:pPr>
            <w:r w:rsidRPr="002844B1">
              <w:rPr>
                <w:sz w:val="16"/>
                <w:szCs w:val="16"/>
              </w:rPr>
              <w:t>Lx</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0</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100000</w:t>
            </w:r>
          </w:p>
        </w:tc>
      </w:tr>
      <w:tr w:rsidR="005B279D" w:rsidRPr="002844B1"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1</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99129</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2</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99057</w:t>
            </w:r>
          </w:p>
        </w:tc>
      </w:tr>
      <w:tr w:rsidR="005B279D" w:rsidRPr="002844B1"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3</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99010</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4</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98977</w:t>
            </w:r>
          </w:p>
        </w:tc>
      </w:tr>
      <w:tr w:rsidR="005B279D" w:rsidRPr="002844B1"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5</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98948</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6</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98921</w:t>
            </w:r>
          </w:p>
        </w:tc>
      </w:tr>
      <w:tr w:rsidR="005B279D" w:rsidRPr="002844B1"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7</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98897</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8</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98876</w:t>
            </w:r>
          </w:p>
        </w:tc>
      </w:tr>
      <w:tr w:rsidR="005B279D" w:rsidRPr="002844B1"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9</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98855</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10</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98835</w:t>
            </w:r>
          </w:p>
        </w:tc>
      </w:tr>
      <w:tr w:rsidR="005B279D" w:rsidRPr="002844B1"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11</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98814</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12</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98793</w:t>
            </w:r>
          </w:p>
        </w:tc>
      </w:tr>
      <w:tr w:rsidR="005B279D" w:rsidRPr="002844B1"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13</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98771</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14</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98745</w:t>
            </w:r>
          </w:p>
        </w:tc>
      </w:tr>
      <w:tr w:rsidR="005B279D" w:rsidRPr="002844B1"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15</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98712</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16</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98667</w:t>
            </w:r>
          </w:p>
        </w:tc>
      </w:tr>
      <w:tr w:rsidR="005B279D" w:rsidRPr="002844B1"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17</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98606</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18</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98520</w:t>
            </w:r>
          </w:p>
        </w:tc>
      </w:tr>
      <w:tr w:rsidR="005B279D" w:rsidRPr="002844B1"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19</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98406</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20</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98277</w:t>
            </w:r>
          </w:p>
        </w:tc>
      </w:tr>
      <w:tr w:rsidR="005B279D" w:rsidRPr="002844B1"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21</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98137</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22</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97987</w:t>
            </w:r>
          </w:p>
        </w:tc>
      </w:tr>
      <w:tr w:rsidR="005B279D" w:rsidRPr="002844B1"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23</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97830</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24</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97677</w:t>
            </w:r>
          </w:p>
        </w:tc>
      </w:tr>
      <w:tr w:rsidR="005B279D" w:rsidRPr="002844B1"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25</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97524</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26</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97373</w:t>
            </w:r>
          </w:p>
        </w:tc>
      </w:tr>
      <w:tr w:rsidR="005B279D" w:rsidRPr="002844B1"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27</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97222</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28</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97070</w:t>
            </w:r>
          </w:p>
        </w:tc>
      </w:tr>
      <w:tr w:rsidR="005B279D" w:rsidRPr="002844B1"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29</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96916</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30</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96759</w:t>
            </w:r>
          </w:p>
        </w:tc>
      </w:tr>
      <w:tr w:rsidR="005B279D" w:rsidRPr="002844B1"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31</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96597</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32</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96429</w:t>
            </w:r>
          </w:p>
        </w:tc>
      </w:tr>
      <w:tr w:rsidR="005B279D" w:rsidRPr="002844B1"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33</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96255</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34</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96071</w:t>
            </w:r>
          </w:p>
        </w:tc>
      </w:tr>
      <w:tr w:rsidR="005B279D" w:rsidRPr="002844B1"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35</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95878</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36</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95676</w:t>
            </w:r>
          </w:p>
        </w:tc>
      </w:tr>
      <w:tr w:rsidR="005B279D" w:rsidRPr="002844B1"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37</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95463</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38</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95237</w:t>
            </w:r>
          </w:p>
        </w:tc>
      </w:tr>
      <w:tr w:rsidR="005B279D" w:rsidRPr="002844B1"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39</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94997</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40</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94746</w:t>
            </w:r>
          </w:p>
        </w:tc>
      </w:tr>
      <w:tr w:rsidR="005B279D" w:rsidRPr="002844B1"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41</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94476</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42</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94182</w:t>
            </w:r>
          </w:p>
        </w:tc>
      </w:tr>
      <w:tr w:rsidR="005B279D" w:rsidRPr="002844B1"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lastRenderedPageBreak/>
              <w:t>43</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93868</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44</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93515</w:t>
            </w:r>
          </w:p>
        </w:tc>
      </w:tr>
      <w:tr w:rsidR="005B279D" w:rsidRPr="002844B1"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45</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93133</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46</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92727</w:t>
            </w:r>
          </w:p>
        </w:tc>
      </w:tr>
      <w:tr w:rsidR="005B279D" w:rsidRPr="002844B1"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47</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92295</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48</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91833</w:t>
            </w:r>
          </w:p>
        </w:tc>
      </w:tr>
      <w:tr w:rsidR="005B279D" w:rsidRPr="002844B1"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49</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91332</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50</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90778</w:t>
            </w:r>
          </w:p>
        </w:tc>
      </w:tr>
      <w:tr w:rsidR="005B279D" w:rsidRPr="002844B1"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51</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90171</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52</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89511</w:t>
            </w:r>
          </w:p>
        </w:tc>
      </w:tr>
      <w:tr w:rsidR="005B279D" w:rsidRPr="002844B1"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53</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88791</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54</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88011</w:t>
            </w:r>
          </w:p>
        </w:tc>
      </w:tr>
      <w:tr w:rsidR="005B279D" w:rsidRPr="002844B1"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55</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87165</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56</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86241</w:t>
            </w:r>
          </w:p>
        </w:tc>
      </w:tr>
      <w:tr w:rsidR="005B279D" w:rsidRPr="002844B1"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57</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85256</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58</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84211</w:t>
            </w:r>
          </w:p>
        </w:tc>
      </w:tr>
      <w:tr w:rsidR="005B279D" w:rsidRPr="002844B1"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59</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83083</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60</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81884</w:t>
            </w:r>
          </w:p>
        </w:tc>
      </w:tr>
      <w:tr w:rsidR="005B279D" w:rsidRPr="002844B1"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61</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80602</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62</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79243</w:t>
            </w:r>
          </w:p>
        </w:tc>
      </w:tr>
      <w:tr w:rsidR="005B279D" w:rsidRPr="002844B1"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63</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77807</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64</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76295</w:t>
            </w:r>
          </w:p>
        </w:tc>
      </w:tr>
      <w:tr w:rsidR="005B279D" w:rsidRPr="002844B1"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65</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74720</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66</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73075</w:t>
            </w:r>
          </w:p>
        </w:tc>
      </w:tr>
      <w:tr w:rsidR="005B279D" w:rsidRPr="002844B1"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67</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71366</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68</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69559</w:t>
            </w:r>
          </w:p>
        </w:tc>
      </w:tr>
      <w:tr w:rsidR="005B279D" w:rsidRPr="002844B1"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69</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67655</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70</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65649</w:t>
            </w:r>
          </w:p>
        </w:tc>
      </w:tr>
      <w:tr w:rsidR="005B279D" w:rsidRPr="002844B1"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71</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63543</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72</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61285</w:t>
            </w:r>
          </w:p>
        </w:tc>
      </w:tr>
      <w:tr w:rsidR="005B279D" w:rsidRPr="002844B1"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73</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58911</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74</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56416</w:t>
            </w:r>
          </w:p>
        </w:tc>
      </w:tr>
      <w:tr w:rsidR="005B279D" w:rsidRPr="002844B1"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75</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53818</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76</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51086</w:t>
            </w:r>
          </w:p>
        </w:tc>
      </w:tr>
      <w:tr w:rsidR="005B279D" w:rsidRPr="002844B1"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77</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48251</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78</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45284</w:t>
            </w:r>
          </w:p>
        </w:tc>
      </w:tr>
      <w:tr w:rsidR="005B279D" w:rsidRPr="002844B1"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79</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42203</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80</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39041</w:t>
            </w:r>
          </w:p>
        </w:tc>
      </w:tr>
      <w:tr w:rsidR="005B279D" w:rsidRPr="002844B1"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81</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35824</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82</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32518</w:t>
            </w:r>
          </w:p>
        </w:tc>
      </w:tr>
      <w:tr w:rsidR="005B279D" w:rsidRPr="002844B1"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83</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29220</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84</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25962</w:t>
            </w:r>
          </w:p>
        </w:tc>
      </w:tr>
      <w:tr w:rsidR="005B279D" w:rsidRPr="002844B1"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85</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22780</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86</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19725</w:t>
            </w:r>
          </w:p>
        </w:tc>
      </w:tr>
      <w:tr w:rsidR="005B279D" w:rsidRPr="002844B1"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87</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16843</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88</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14133</w:t>
            </w:r>
          </w:p>
        </w:tc>
      </w:tr>
      <w:tr w:rsidR="005B279D" w:rsidRPr="002844B1"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89</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11625</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90</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9389</w:t>
            </w:r>
          </w:p>
        </w:tc>
      </w:tr>
      <w:tr w:rsidR="005B279D" w:rsidRPr="002844B1"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lastRenderedPageBreak/>
              <w:t>91</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7438</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92</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5763</w:t>
            </w:r>
          </w:p>
        </w:tc>
      </w:tr>
      <w:tr w:rsidR="005B279D" w:rsidRPr="002844B1"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93</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4350</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94</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3211</w:t>
            </w:r>
          </w:p>
        </w:tc>
      </w:tr>
      <w:tr w:rsidR="005B279D" w:rsidRPr="002844B1"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95</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2315</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96</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1635</w:t>
            </w:r>
          </w:p>
        </w:tc>
      </w:tr>
      <w:tr w:rsidR="005B279D" w:rsidRPr="002844B1"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97</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1115</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98</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740</w:t>
            </w:r>
          </w:p>
        </w:tc>
      </w:tr>
      <w:tr w:rsidR="005B279D" w:rsidRPr="002844B1"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99</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453</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100</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263</w:t>
            </w:r>
          </w:p>
        </w:tc>
      </w:tr>
      <w:tr w:rsidR="005B279D" w:rsidRPr="002844B1"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101</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145</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102</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76</w:t>
            </w:r>
          </w:p>
        </w:tc>
      </w:tr>
      <w:tr w:rsidR="005B279D" w:rsidRPr="002844B1"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103</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37</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104</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17</w:t>
            </w:r>
          </w:p>
        </w:tc>
      </w:tr>
      <w:tr w:rsidR="005B279D" w:rsidRPr="002844B1" w:rsidTr="008E2C01">
        <w:trPr>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105</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7</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106</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2</w:t>
            </w:r>
          </w:p>
        </w:tc>
      </w:tr>
      <w:tr w:rsidR="005B279D" w:rsidRPr="002844B1"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107</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0</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108</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0</w:t>
            </w:r>
          </w:p>
        </w:tc>
      </w:tr>
      <w:tr w:rsidR="005B279D" w:rsidRPr="002844B1"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109</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0</w:t>
            </w:r>
          </w:p>
        </w:tc>
      </w:tr>
      <w:tr w:rsidR="005B279D" w:rsidRPr="002844B1" w:rsidTr="008E2C01">
        <w:trPr>
          <w:cnfStyle w:val="000000100000" w:firstRow="0" w:lastRow="0" w:firstColumn="0" w:lastColumn="0" w:oddVBand="0" w:evenVBand="0" w:oddHBand="1" w:evenHBand="0" w:firstRowFirstColumn="0" w:firstRowLastColumn="0" w:lastRowFirstColumn="0" w:lastRowLastColumn="0"/>
          <w:trHeight w:val="224"/>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110</w:t>
            </w:r>
          </w:p>
        </w:tc>
        <w:tc>
          <w:tcPr>
            <w:tcW w:w="0" w:type="auto"/>
          </w:tcPr>
          <w:p w:rsidR="005B279D" w:rsidRPr="002844B1" w:rsidRDefault="00000000">
            <w:pPr>
              <w:pStyle w:val="Compact"/>
              <w:jc w:val="right"/>
              <w:cnfStyle w:val="000000100000" w:firstRow="0" w:lastRow="0" w:firstColumn="0" w:lastColumn="0" w:oddVBand="0" w:evenVBand="0" w:oddHBand="1" w:evenHBand="0" w:firstRowFirstColumn="0" w:firstRowLastColumn="0" w:lastRowFirstColumn="0" w:lastRowLastColumn="0"/>
              <w:rPr>
                <w:sz w:val="16"/>
                <w:szCs w:val="16"/>
              </w:rPr>
            </w:pPr>
            <w:r w:rsidRPr="002844B1">
              <w:rPr>
                <w:sz w:val="16"/>
                <w:szCs w:val="16"/>
              </w:rPr>
              <w:t>0</w:t>
            </w:r>
          </w:p>
        </w:tc>
      </w:tr>
      <w:tr w:rsidR="005B279D" w:rsidRPr="002844B1" w:rsidTr="008E2C01">
        <w:trPr>
          <w:trHeight w:val="212"/>
          <w:jc w:val="center"/>
        </w:trPr>
        <w:tc>
          <w:tcPr>
            <w:cnfStyle w:val="000010000000" w:firstRow="0" w:lastRow="0" w:firstColumn="0" w:lastColumn="0" w:oddVBand="1" w:evenVBand="0" w:oddHBand="0" w:evenHBand="0" w:firstRowFirstColumn="0" w:firstRowLastColumn="0" w:lastRowFirstColumn="0" w:lastRowLastColumn="0"/>
            <w:tcW w:w="0" w:type="auto"/>
          </w:tcPr>
          <w:p w:rsidR="005B279D" w:rsidRPr="002844B1" w:rsidRDefault="00000000">
            <w:pPr>
              <w:pStyle w:val="Compact"/>
              <w:jc w:val="right"/>
              <w:rPr>
                <w:sz w:val="16"/>
                <w:szCs w:val="16"/>
              </w:rPr>
            </w:pPr>
            <w:r w:rsidRPr="002844B1">
              <w:rPr>
                <w:sz w:val="16"/>
                <w:szCs w:val="16"/>
              </w:rPr>
              <w:t>111</w:t>
            </w:r>
          </w:p>
        </w:tc>
        <w:tc>
          <w:tcPr>
            <w:tcW w:w="0" w:type="auto"/>
          </w:tcPr>
          <w:p w:rsidR="005B279D" w:rsidRPr="002844B1" w:rsidRDefault="00000000">
            <w:pPr>
              <w:pStyle w:val="Compact"/>
              <w:jc w:val="right"/>
              <w:cnfStyle w:val="000000000000" w:firstRow="0" w:lastRow="0" w:firstColumn="0" w:lastColumn="0" w:oddVBand="0" w:evenVBand="0" w:oddHBand="0" w:evenHBand="0" w:firstRowFirstColumn="0" w:firstRowLastColumn="0" w:lastRowFirstColumn="0" w:lastRowLastColumn="0"/>
              <w:rPr>
                <w:sz w:val="16"/>
                <w:szCs w:val="16"/>
              </w:rPr>
            </w:pPr>
            <w:r w:rsidRPr="002844B1">
              <w:rPr>
                <w:sz w:val="16"/>
                <w:szCs w:val="16"/>
              </w:rPr>
              <w:t>0</w:t>
            </w:r>
          </w:p>
        </w:tc>
      </w:tr>
    </w:tbl>
    <w:p w:rsidR="008E2C01" w:rsidRPr="002844B1" w:rsidRDefault="008E2C01">
      <w:pPr>
        <w:rPr>
          <w:rFonts w:eastAsiaTheme="majorEastAsia" w:cstheme="majorBidi"/>
          <w:b/>
          <w:bCs/>
          <w:color w:val="224E76" w:themeColor="accent2" w:themeShade="7F"/>
          <w:sz w:val="36"/>
          <w:szCs w:val="22"/>
        </w:rPr>
      </w:pPr>
      <w:bookmarkStart w:id="191" w:name="_Toc137651052"/>
      <w:bookmarkEnd w:id="190"/>
      <w:r w:rsidRPr="002844B1">
        <w:br w:type="page"/>
      </w:r>
    </w:p>
    <w:p w:rsidR="005B279D" w:rsidRPr="002844B1" w:rsidRDefault="00000000" w:rsidP="00AA7351">
      <w:pPr>
        <w:pStyle w:val="headAOD"/>
      </w:pPr>
      <w:r w:rsidRPr="002844B1">
        <w:lastRenderedPageBreak/>
        <w:t>ANNEXE N°4 : Vérification des hypothèses de Chain Ladder</w:t>
      </w:r>
      <w:bookmarkStart w:id="192" w:name="Xc692bbae865006956caeac992ec269981dfef21"/>
      <w:bookmarkEnd w:id="191"/>
    </w:p>
    <w:p w:rsidR="005B279D" w:rsidRPr="002844B1" w:rsidRDefault="00000000">
      <w:pPr>
        <w:pStyle w:val="FirstParagraph"/>
      </w:pPr>
      <w:r w:rsidRPr="002844B1">
        <w:rPr>
          <w:b/>
          <w:bCs/>
        </w:rPr>
        <w:t>Hypothèse N°1 :</w:t>
      </w:r>
    </w:p>
    <w:p w:rsidR="005B279D" w:rsidRPr="002844B1" w:rsidRDefault="00000000" w:rsidP="008E2C01">
      <w:pPr>
        <w:pStyle w:val="BodyText"/>
        <w:jc w:val="both"/>
        <w:rPr>
          <w:sz w:val="21"/>
          <w:szCs w:val="21"/>
        </w:rPr>
      </w:pPr>
      <w:r w:rsidRPr="002844B1">
        <w:rPr>
          <w:sz w:val="21"/>
          <w:szCs w:val="21"/>
        </w:rPr>
        <w:t>L’hypothèse d’indépendance, suppose que les paiements de sinistres sont indépendants les uns des autres, ce qui signifie que le montant d’un sinistre ne dépend pas des montants des autres sinistres.</w:t>
      </w:r>
    </w:p>
    <w:p w:rsidR="005B279D" w:rsidRPr="002844B1" w:rsidRDefault="00000000" w:rsidP="008E2C01">
      <w:pPr>
        <w:pStyle w:val="BodyText"/>
        <w:jc w:val="both"/>
        <w:rPr>
          <w:sz w:val="21"/>
          <w:szCs w:val="21"/>
        </w:rPr>
      </w:pPr>
      <w:r w:rsidRPr="002844B1">
        <w:rPr>
          <w:sz w:val="21"/>
          <w:szCs w:val="21"/>
        </w:rPr>
        <w:t xml:space="preserve">Pour la vérification de cette hypothèse, Nous avons tracé les facteurs de développement </w:t>
      </w:r>
      <m:oMath>
        <m:sSub>
          <m:sSubPr>
            <m:ctrlPr>
              <w:rPr>
                <w:rFonts w:ascii="Cambria Math" w:hAnsi="Cambria Math"/>
                <w:sz w:val="21"/>
                <w:szCs w:val="21"/>
              </w:rPr>
            </m:ctrlPr>
          </m:sSubPr>
          <m:e>
            <m:r>
              <w:rPr>
                <w:rFonts w:ascii="Cambria Math" w:hAnsi="Cambria Math"/>
                <w:sz w:val="21"/>
                <w:szCs w:val="21"/>
              </w:rPr>
              <m:t>f</m:t>
            </m:r>
          </m:e>
          <m:sub>
            <m:r>
              <w:rPr>
                <w:rFonts w:ascii="Cambria Math" w:hAnsi="Cambria Math"/>
                <w:sz w:val="21"/>
                <w:szCs w:val="21"/>
              </w:rPr>
              <m:t>i,j</m:t>
            </m:r>
          </m:sub>
        </m:sSub>
      </m:oMath>
      <w:r w:rsidRPr="002844B1">
        <w:rPr>
          <w:sz w:val="21"/>
          <w:szCs w:val="21"/>
        </w:rPr>
        <w:t xml:space="preserve"> individuel pour chaque année de développement </w:t>
      </w:r>
      <m:oMath>
        <m:r>
          <w:rPr>
            <w:rFonts w:ascii="Cambria Math" w:hAnsi="Cambria Math"/>
            <w:sz w:val="21"/>
            <w:szCs w:val="21"/>
          </w:rPr>
          <m:t>j</m:t>
        </m:r>
      </m:oMath>
      <w:r w:rsidRPr="002844B1">
        <w:rPr>
          <w:sz w:val="21"/>
          <w:szCs w:val="21"/>
        </w:rPr>
        <w:t xml:space="preserve"> en fonction de toutes les années de survenance </w:t>
      </w:r>
      <m:oMath>
        <m:r>
          <w:rPr>
            <w:rFonts w:ascii="Cambria Math" w:hAnsi="Cambria Math"/>
            <w:sz w:val="21"/>
            <w:szCs w:val="21"/>
          </w:rPr>
          <m:t>i</m:t>
        </m:r>
      </m:oMath>
      <w:r w:rsidRPr="002844B1">
        <w:rPr>
          <w:sz w:val="21"/>
          <w:szCs w:val="21"/>
        </w:rPr>
        <w:t>, et on a comparé la moyenne de facteur de développement individuel.</w:t>
      </w:r>
    </w:p>
    <w:p w:rsidR="005B279D" w:rsidRPr="002844B1" w:rsidRDefault="00000000" w:rsidP="008E2C01">
      <w:pPr>
        <w:pStyle w:val="BodyText"/>
        <w:jc w:val="both"/>
        <w:rPr>
          <w:sz w:val="21"/>
          <w:szCs w:val="21"/>
        </w:rPr>
      </w:pPr>
      <w:r w:rsidRPr="002844B1">
        <w:rPr>
          <w:sz w:val="21"/>
          <w:szCs w:val="21"/>
        </w:rPr>
        <w:t xml:space="preserve">Les facteurs de développement individuels relatif à une année de développement </w:t>
      </w:r>
      <m:oMath>
        <m:r>
          <w:rPr>
            <w:rFonts w:ascii="Cambria Math" w:hAnsi="Cambria Math"/>
            <w:sz w:val="21"/>
            <w:szCs w:val="21"/>
          </w:rPr>
          <m:t>j</m:t>
        </m:r>
      </m:oMath>
      <w:r w:rsidRPr="002844B1">
        <w:rPr>
          <w:sz w:val="21"/>
          <w:szCs w:val="21"/>
        </w:rPr>
        <w:t xml:space="preserve"> doivent être significativement proche de la moyenne des facteurs de développement individuels sur ladite année pour que la première hypothèse soit vérifiée.</w:t>
      </w:r>
    </w:p>
    <w:p w:rsidR="008E2C01" w:rsidRPr="002844B1" w:rsidRDefault="008E2C01" w:rsidP="008E2C01">
      <w:pPr>
        <w:pStyle w:val="Caption"/>
        <w:keepNext/>
      </w:pPr>
      <w:r w:rsidRPr="002844B1">
        <w:t xml:space="preserve">Figure </w:t>
      </w:r>
      <w:r w:rsidRPr="002844B1">
        <w:fldChar w:fldCharType="begin"/>
      </w:r>
      <w:r w:rsidRPr="002844B1">
        <w:instrText xml:space="preserve"> SEQ Figure \* ARABIC </w:instrText>
      </w:r>
      <w:r w:rsidRPr="002844B1">
        <w:fldChar w:fldCharType="separate"/>
      </w:r>
      <w:r w:rsidRPr="002844B1">
        <w:rPr>
          <w:noProof/>
        </w:rPr>
        <w:t>21</w:t>
      </w:r>
      <w:r w:rsidRPr="002844B1">
        <w:fldChar w:fldCharType="end"/>
      </w:r>
      <w:r w:rsidRPr="002844B1">
        <w:t xml:space="preserve">: Vérification de l’hypothèse N°1 </w:t>
      </w:r>
      <w:r w:rsidR="002844B1" w:rsidRPr="002844B1">
        <w:t>sur les</w:t>
      </w:r>
      <w:r w:rsidRPr="002844B1">
        <w:t xml:space="preserve"> années de développement</w:t>
      </w:r>
    </w:p>
    <w:tbl>
      <w:tblPr>
        <w:tblStyle w:val="Table"/>
        <w:tblW w:w="5000" w:type="pct"/>
        <w:tblLook w:val="0000" w:firstRow="0" w:lastRow="0" w:firstColumn="0" w:lastColumn="0" w:noHBand="0" w:noVBand="0"/>
      </w:tblPr>
      <w:tblGrid>
        <w:gridCol w:w="9360"/>
      </w:tblGrid>
      <w:tr w:rsidR="005B279D" w:rsidRPr="002844B1">
        <w:tc>
          <w:tcPr>
            <w:tcW w:w="0" w:type="auto"/>
          </w:tcPr>
          <w:p w:rsidR="005B279D" w:rsidRPr="002844B1" w:rsidRDefault="00000000">
            <w:pPr>
              <w:jc w:val="center"/>
            </w:pPr>
            <w:r w:rsidRPr="002844B1">
              <w:rPr>
                <w:noProof/>
              </w:rPr>
              <w:drawing>
                <wp:inline distT="0" distB="0" distL="0" distR="0">
                  <wp:extent cx="5334000" cy="3422092"/>
                  <wp:effectExtent l="0" t="0" r="0" b="0"/>
                  <wp:docPr id="339" name="Picture"/>
                  <wp:cNvGraphicFramePr/>
                  <a:graphic xmlns:a="http://schemas.openxmlformats.org/drawingml/2006/main">
                    <a:graphicData uri="http://schemas.openxmlformats.org/drawingml/2006/picture">
                      <pic:pic xmlns:pic="http://schemas.openxmlformats.org/drawingml/2006/picture">
                        <pic:nvPicPr>
                          <pic:cNvPr id="340" name="Picture" descr="Rapport-PFE_files/figure-html/H1_1.png"/>
                          <pic:cNvPicPr>
                            <a:picLocks noChangeAspect="1" noChangeArrowheads="1"/>
                          </pic:cNvPicPr>
                        </pic:nvPicPr>
                        <pic:blipFill>
                          <a:blip r:embed="rId36"/>
                          <a:stretch>
                            <a:fillRect/>
                          </a:stretch>
                        </pic:blipFill>
                        <pic:spPr bwMode="auto">
                          <a:xfrm>
                            <a:off x="0" y="0"/>
                            <a:ext cx="5334000" cy="3422092"/>
                          </a:xfrm>
                          <a:prstGeom prst="rect">
                            <a:avLst/>
                          </a:prstGeom>
                          <a:noFill/>
                          <a:ln w="9525">
                            <a:noFill/>
                            <a:headEnd/>
                            <a:tailEnd/>
                          </a:ln>
                        </pic:spPr>
                      </pic:pic>
                    </a:graphicData>
                  </a:graphic>
                </wp:inline>
              </w:drawing>
            </w:r>
          </w:p>
          <w:p w:rsidR="005B279D" w:rsidRPr="002844B1" w:rsidRDefault="005B279D">
            <w:pPr>
              <w:pStyle w:val="ImageCaption"/>
              <w:spacing w:before="200"/>
            </w:pPr>
          </w:p>
        </w:tc>
      </w:tr>
      <w:tr w:rsidR="005B279D" w:rsidRPr="002844B1">
        <w:tc>
          <w:tcPr>
            <w:tcW w:w="0" w:type="auto"/>
          </w:tcPr>
          <w:p w:rsidR="008E2C01" w:rsidRPr="002844B1" w:rsidRDefault="008E2C01" w:rsidP="008E2C01">
            <w:pPr>
              <w:pStyle w:val="Caption"/>
              <w:keepNext/>
              <w:jc w:val="center"/>
            </w:pPr>
            <w:bookmarkStart w:id="193" w:name="fig-CL11"/>
            <w:r w:rsidRPr="002844B1">
              <w:lastRenderedPageBreak/>
              <w:t xml:space="preserve">Figure </w:t>
            </w:r>
            <w:r w:rsidRPr="002844B1">
              <w:fldChar w:fldCharType="begin"/>
            </w:r>
            <w:r w:rsidRPr="002844B1">
              <w:instrText xml:space="preserve"> SEQ Figure \* ARABIC </w:instrText>
            </w:r>
            <w:r w:rsidRPr="002844B1">
              <w:fldChar w:fldCharType="separate"/>
            </w:r>
            <w:r w:rsidRPr="002844B1">
              <w:rPr>
                <w:noProof/>
              </w:rPr>
              <w:t>22</w:t>
            </w:r>
            <w:r w:rsidRPr="002844B1">
              <w:fldChar w:fldCharType="end"/>
            </w:r>
            <w:r w:rsidRPr="002844B1">
              <w:t xml:space="preserve">: Vérification de l’hypothèse N°1 </w:t>
            </w:r>
            <w:r w:rsidR="002844B1" w:rsidRPr="002844B1">
              <w:t>sur les</w:t>
            </w:r>
            <w:r w:rsidRPr="002844B1">
              <w:t xml:space="preserve"> années de développement</w:t>
            </w:r>
          </w:p>
          <w:p w:rsidR="005B279D" w:rsidRPr="002844B1" w:rsidRDefault="00000000">
            <w:pPr>
              <w:jc w:val="center"/>
            </w:pPr>
            <w:r w:rsidRPr="002844B1">
              <w:rPr>
                <w:noProof/>
              </w:rPr>
              <w:drawing>
                <wp:inline distT="0" distB="0" distL="0" distR="0">
                  <wp:extent cx="5334000" cy="3427410"/>
                  <wp:effectExtent l="0" t="0" r="0" b="0"/>
                  <wp:docPr id="343" name="Picture"/>
                  <wp:cNvGraphicFramePr/>
                  <a:graphic xmlns:a="http://schemas.openxmlformats.org/drawingml/2006/main">
                    <a:graphicData uri="http://schemas.openxmlformats.org/drawingml/2006/picture">
                      <pic:pic xmlns:pic="http://schemas.openxmlformats.org/drawingml/2006/picture">
                        <pic:nvPicPr>
                          <pic:cNvPr id="344" name="Picture" descr="Rapport-PFE_files/figure-html/H1_2.png"/>
                          <pic:cNvPicPr>
                            <a:picLocks noChangeAspect="1" noChangeArrowheads="1"/>
                          </pic:cNvPicPr>
                        </pic:nvPicPr>
                        <pic:blipFill>
                          <a:blip r:embed="rId37"/>
                          <a:stretch>
                            <a:fillRect/>
                          </a:stretch>
                        </pic:blipFill>
                        <pic:spPr bwMode="auto">
                          <a:xfrm>
                            <a:off x="0" y="0"/>
                            <a:ext cx="5334000" cy="3427410"/>
                          </a:xfrm>
                          <a:prstGeom prst="rect">
                            <a:avLst/>
                          </a:prstGeom>
                          <a:noFill/>
                          <a:ln w="9525">
                            <a:noFill/>
                            <a:headEnd/>
                            <a:tailEnd/>
                          </a:ln>
                        </pic:spPr>
                      </pic:pic>
                    </a:graphicData>
                  </a:graphic>
                </wp:inline>
              </w:drawing>
            </w:r>
          </w:p>
          <w:p w:rsidR="005B279D" w:rsidRPr="002844B1" w:rsidRDefault="005B279D">
            <w:pPr>
              <w:pStyle w:val="ImageCaption"/>
              <w:spacing w:before="200"/>
            </w:pPr>
          </w:p>
        </w:tc>
        <w:bookmarkEnd w:id="193"/>
      </w:tr>
    </w:tbl>
    <w:p w:rsidR="005B279D" w:rsidRPr="002844B1" w:rsidRDefault="00000000" w:rsidP="008E2C01">
      <w:pPr>
        <w:pStyle w:val="BodyText"/>
        <w:jc w:val="both"/>
        <w:rPr>
          <w:sz w:val="21"/>
          <w:szCs w:val="21"/>
        </w:rPr>
      </w:pPr>
      <w:r w:rsidRPr="002844B1">
        <w:rPr>
          <w:sz w:val="21"/>
          <w:szCs w:val="21"/>
        </w:rPr>
        <w:t xml:space="preserve">On peut constater que les </w:t>
      </w:r>
      <m:oMath>
        <m:sSub>
          <m:sSubPr>
            <m:ctrlPr>
              <w:rPr>
                <w:rFonts w:ascii="Cambria Math" w:hAnsi="Cambria Math"/>
                <w:sz w:val="21"/>
                <w:szCs w:val="21"/>
              </w:rPr>
            </m:ctrlPr>
          </m:sSubPr>
          <m:e>
            <m:r>
              <w:rPr>
                <w:rFonts w:ascii="Cambria Math" w:hAnsi="Cambria Math"/>
                <w:sz w:val="21"/>
                <w:szCs w:val="21"/>
              </w:rPr>
              <m:t>f</m:t>
            </m:r>
          </m:e>
          <m:sub>
            <m:r>
              <w:rPr>
                <w:rFonts w:ascii="Cambria Math" w:hAnsi="Cambria Math"/>
                <w:sz w:val="21"/>
                <w:szCs w:val="21"/>
              </w:rPr>
              <m:t>i,j</m:t>
            </m:r>
          </m:sub>
        </m:sSub>
      </m:oMath>
      <w:r w:rsidRPr="002844B1">
        <w:rPr>
          <w:sz w:val="21"/>
          <w:szCs w:val="21"/>
        </w:rPr>
        <w:t xml:space="preserve"> sont à peu près alignés autour des {f_j} ce qui nous pousse a validé la première hypothèse de Chian Ladder.</w:t>
      </w:r>
    </w:p>
    <w:p w:rsidR="005B279D" w:rsidRPr="002844B1" w:rsidRDefault="00000000">
      <w:pPr>
        <w:pStyle w:val="BodyText"/>
      </w:pPr>
      <w:r w:rsidRPr="002844B1">
        <w:rPr>
          <w:b/>
          <w:bCs/>
        </w:rPr>
        <w:t>Hypothèse N°2 :</w:t>
      </w:r>
    </w:p>
    <w:p w:rsidR="005B279D" w:rsidRPr="002844B1" w:rsidRDefault="00000000" w:rsidP="008E2C01">
      <w:pPr>
        <w:pStyle w:val="BodyText"/>
        <w:jc w:val="both"/>
        <w:rPr>
          <w:sz w:val="21"/>
          <w:szCs w:val="21"/>
        </w:rPr>
      </w:pPr>
      <w:r w:rsidRPr="002844B1">
        <w:rPr>
          <w:sz w:val="21"/>
          <w:szCs w:val="21"/>
        </w:rPr>
        <w:t>L’hypothèse de linéarité dans la méthode de Chain-Ladder suppose que les sinistres évoluent de manière constante et prévisible au fil du temps. Cela signifie que la tendance observée dans les paiements de sinistres passés se poursuivra sans changement significatif à l’avenir.</w:t>
      </w:r>
    </w:p>
    <w:p w:rsidR="005B279D" w:rsidRPr="002844B1" w:rsidRDefault="00000000" w:rsidP="008E2C01">
      <w:pPr>
        <w:pStyle w:val="BodyText"/>
        <w:jc w:val="both"/>
        <w:rPr>
          <w:sz w:val="21"/>
          <w:szCs w:val="21"/>
        </w:rPr>
      </w:pPr>
      <w:r w:rsidRPr="002844B1">
        <w:rPr>
          <w:sz w:val="21"/>
          <w:szCs w:val="21"/>
        </w:rPr>
        <w:t xml:space="preserve">Pour vérifier cette hypothèse, on a tracé les montants des règlements cumulés de chaque année de développement en fonction de l’année de développement précédant, et on a contrôlé s’il y a une linéarité entre ces deux années. </w:t>
      </w:r>
      <w:r w:rsidR="002844B1" w:rsidRPr="002844B1">
        <w:rPr>
          <w:sz w:val="21"/>
          <w:szCs w:val="21"/>
        </w:rPr>
        <w:t>Le</w:t>
      </w:r>
      <w:r w:rsidRPr="002844B1">
        <w:rPr>
          <w:sz w:val="21"/>
          <w:szCs w:val="21"/>
        </w:rPr>
        <w:t xml:space="preserve"> nuage de points représentant les règlements cumulés d’une année </w:t>
      </w:r>
      <m:oMath>
        <m:r>
          <w:rPr>
            <w:rFonts w:ascii="Cambria Math" w:hAnsi="Cambria Math"/>
            <w:sz w:val="21"/>
            <w:szCs w:val="21"/>
          </w:rPr>
          <m:t>j</m:t>
        </m:r>
      </m:oMath>
      <w:r w:rsidRPr="002844B1">
        <w:rPr>
          <w:sz w:val="21"/>
          <w:szCs w:val="21"/>
        </w:rPr>
        <w:t xml:space="preserve"> par rapport aux règlements cumulés de l’année </w:t>
      </w:r>
      <m:oMath>
        <m:r>
          <w:rPr>
            <w:rFonts w:ascii="Cambria Math" w:hAnsi="Cambria Math"/>
            <w:sz w:val="21"/>
            <w:szCs w:val="21"/>
          </w:rPr>
          <m:t>j-1</m:t>
        </m:r>
      </m:oMath>
      <w:r w:rsidRPr="002844B1">
        <w:rPr>
          <w:sz w:val="21"/>
          <w:szCs w:val="21"/>
        </w:rPr>
        <w:t xml:space="preserve"> doit être approché significativement par une droite.</w:t>
      </w:r>
    </w:p>
    <w:tbl>
      <w:tblPr>
        <w:tblStyle w:val="Table"/>
        <w:tblW w:w="5000" w:type="pct"/>
        <w:tblLook w:val="0000" w:firstRow="0" w:lastRow="0" w:firstColumn="0" w:lastColumn="0" w:noHBand="0" w:noVBand="0"/>
      </w:tblPr>
      <w:tblGrid>
        <w:gridCol w:w="9360"/>
      </w:tblGrid>
      <w:tr w:rsidR="005B279D" w:rsidRPr="002844B1">
        <w:tc>
          <w:tcPr>
            <w:tcW w:w="0" w:type="auto"/>
          </w:tcPr>
          <w:p w:rsidR="005B279D" w:rsidRPr="002844B1" w:rsidRDefault="00000000">
            <w:pPr>
              <w:jc w:val="center"/>
            </w:pPr>
            <w:bookmarkStart w:id="194" w:name="fig-CL21"/>
            <w:r w:rsidRPr="002844B1">
              <w:rPr>
                <w:noProof/>
              </w:rPr>
              <w:lastRenderedPageBreak/>
              <w:drawing>
                <wp:inline distT="0" distB="0" distL="0" distR="0">
                  <wp:extent cx="5334000" cy="3932829"/>
                  <wp:effectExtent l="0" t="0" r="0" b="0"/>
                  <wp:docPr id="347" name="Picture"/>
                  <wp:cNvGraphicFramePr/>
                  <a:graphic xmlns:a="http://schemas.openxmlformats.org/drawingml/2006/main">
                    <a:graphicData uri="http://schemas.openxmlformats.org/drawingml/2006/picture">
                      <pic:pic xmlns:pic="http://schemas.openxmlformats.org/drawingml/2006/picture">
                        <pic:nvPicPr>
                          <pic:cNvPr id="348" name="Picture" descr="Rapport-PFE_files/figure-html/H2-1.png"/>
                          <pic:cNvPicPr>
                            <a:picLocks noChangeAspect="1" noChangeArrowheads="1"/>
                          </pic:cNvPicPr>
                        </pic:nvPicPr>
                        <pic:blipFill>
                          <a:blip r:embed="rId38"/>
                          <a:stretch>
                            <a:fillRect/>
                          </a:stretch>
                        </pic:blipFill>
                        <pic:spPr bwMode="auto">
                          <a:xfrm>
                            <a:off x="0" y="0"/>
                            <a:ext cx="5334000" cy="3932829"/>
                          </a:xfrm>
                          <a:prstGeom prst="rect">
                            <a:avLst/>
                          </a:prstGeom>
                          <a:noFill/>
                          <a:ln w="9525">
                            <a:noFill/>
                            <a:headEnd/>
                            <a:tailEnd/>
                          </a:ln>
                        </pic:spPr>
                      </pic:pic>
                    </a:graphicData>
                  </a:graphic>
                </wp:inline>
              </w:drawing>
            </w:r>
          </w:p>
          <w:p w:rsidR="005B279D" w:rsidRPr="002844B1" w:rsidRDefault="00000000">
            <w:pPr>
              <w:pStyle w:val="ImageCaption"/>
              <w:spacing w:before="200"/>
            </w:pPr>
            <w:r w:rsidRPr="002844B1">
              <w:t xml:space="preserve">Figure 23: Vérification de l’hypothèse N°1 </w:t>
            </w:r>
            <w:r w:rsidR="002844B1" w:rsidRPr="002844B1">
              <w:t>sur les</w:t>
            </w:r>
            <w:r w:rsidRPr="002844B1">
              <w:t xml:space="preserve"> années de développement</w:t>
            </w:r>
          </w:p>
        </w:tc>
        <w:bookmarkEnd w:id="194"/>
      </w:tr>
      <w:tr w:rsidR="005B279D" w:rsidRPr="002844B1">
        <w:tc>
          <w:tcPr>
            <w:tcW w:w="0" w:type="auto"/>
          </w:tcPr>
          <w:p w:rsidR="005B279D" w:rsidRPr="002844B1" w:rsidRDefault="00000000">
            <w:pPr>
              <w:jc w:val="center"/>
            </w:pPr>
            <w:bookmarkStart w:id="195" w:name="fig-CL22"/>
            <w:r w:rsidRPr="002844B1">
              <w:rPr>
                <w:noProof/>
              </w:rPr>
              <w:lastRenderedPageBreak/>
              <w:drawing>
                <wp:inline distT="0" distB="0" distL="0" distR="0">
                  <wp:extent cx="5334000" cy="3772635"/>
                  <wp:effectExtent l="0" t="0" r="0" b="0"/>
                  <wp:docPr id="351" name="Picture"/>
                  <wp:cNvGraphicFramePr/>
                  <a:graphic xmlns:a="http://schemas.openxmlformats.org/drawingml/2006/main">
                    <a:graphicData uri="http://schemas.openxmlformats.org/drawingml/2006/picture">
                      <pic:pic xmlns:pic="http://schemas.openxmlformats.org/drawingml/2006/picture">
                        <pic:nvPicPr>
                          <pic:cNvPr id="352" name="Picture" descr="Rapport-PFE_files/figure-html/H2-2.png"/>
                          <pic:cNvPicPr>
                            <a:picLocks noChangeAspect="1" noChangeArrowheads="1"/>
                          </pic:cNvPicPr>
                        </pic:nvPicPr>
                        <pic:blipFill>
                          <a:blip r:embed="rId39"/>
                          <a:stretch>
                            <a:fillRect/>
                          </a:stretch>
                        </pic:blipFill>
                        <pic:spPr bwMode="auto">
                          <a:xfrm>
                            <a:off x="0" y="0"/>
                            <a:ext cx="5334000" cy="3772635"/>
                          </a:xfrm>
                          <a:prstGeom prst="rect">
                            <a:avLst/>
                          </a:prstGeom>
                          <a:noFill/>
                          <a:ln w="9525">
                            <a:noFill/>
                            <a:headEnd/>
                            <a:tailEnd/>
                          </a:ln>
                        </pic:spPr>
                      </pic:pic>
                    </a:graphicData>
                  </a:graphic>
                </wp:inline>
              </w:drawing>
            </w:r>
          </w:p>
          <w:p w:rsidR="005B279D" w:rsidRPr="002844B1" w:rsidRDefault="00000000">
            <w:pPr>
              <w:pStyle w:val="ImageCaption"/>
              <w:spacing w:before="200"/>
            </w:pPr>
            <w:r w:rsidRPr="002844B1">
              <w:t>Figure 24: Vérification de l’hypothèse N°2 pour les années de développement</w:t>
            </w:r>
          </w:p>
        </w:tc>
        <w:bookmarkEnd w:id="195"/>
      </w:tr>
    </w:tbl>
    <w:p w:rsidR="005B279D" w:rsidRPr="002844B1" w:rsidRDefault="00000000" w:rsidP="008E2C01">
      <w:pPr>
        <w:pStyle w:val="BodyText"/>
        <w:jc w:val="both"/>
        <w:rPr>
          <w:sz w:val="21"/>
          <w:szCs w:val="21"/>
        </w:rPr>
      </w:pPr>
      <w:r w:rsidRPr="002844B1">
        <w:rPr>
          <w:sz w:val="21"/>
          <w:szCs w:val="21"/>
        </w:rPr>
        <w:t>On remarque bien, que pour toutes les années de développement, il y a une sorte de linéarité entre les années de développements. Ce qui prouve la deuxième hypothèse.</w:t>
      </w:r>
      <w:bookmarkEnd w:id="192"/>
    </w:p>
    <w:sectPr w:rsidR="005B279D" w:rsidRPr="002844B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F32B8" w:rsidRDefault="00EF32B8">
      <w:pPr>
        <w:spacing w:after="0" w:line="240" w:lineRule="auto"/>
      </w:pPr>
      <w:r>
        <w:separator/>
      </w:r>
    </w:p>
  </w:endnote>
  <w:endnote w:type="continuationSeparator" w:id="0">
    <w:p w:rsidR="00EF32B8" w:rsidRDefault="00EF3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F32B8" w:rsidRDefault="00EF32B8">
      <w:r>
        <w:separator/>
      </w:r>
    </w:p>
  </w:footnote>
  <w:footnote w:type="continuationSeparator" w:id="0">
    <w:p w:rsidR="00EF32B8" w:rsidRDefault="00EF32B8">
      <w:r>
        <w:continuationSeparator/>
      </w:r>
    </w:p>
  </w:footnote>
  <w:footnote w:id="1">
    <w:p w:rsidR="005B279D" w:rsidRDefault="00000000">
      <w:pPr>
        <w:pStyle w:val="FootnoteText"/>
      </w:pPr>
      <w:r>
        <w:rPr>
          <w:rStyle w:val="FootnoteReference"/>
        </w:rPr>
        <w:footnoteRef/>
      </w:r>
      <w:r>
        <w:t xml:space="preserve"> https://www.acaps.ma/fr/l-acaps/missions</w:t>
      </w:r>
    </w:p>
  </w:footnote>
  <w:footnote w:id="2">
    <w:p w:rsidR="005B279D" w:rsidRDefault="00000000">
      <w:pPr>
        <w:pStyle w:val="FootnoteText"/>
      </w:pPr>
      <w:r>
        <w:rPr>
          <w:rStyle w:val="FootnoteReference"/>
        </w:rPr>
        <w:footnoteRef/>
      </w:r>
      <w:r>
        <w:t xml:space="preserve"> https://www.atlas-mag.net/article/marche-africain-de-l-assurance-en-2019-chiffre-d-affaires-des-principaux-pays</w:t>
      </w:r>
    </w:p>
  </w:footnote>
  <w:footnote w:id="3">
    <w:p w:rsidR="005B279D" w:rsidRDefault="00000000">
      <w:pPr>
        <w:pStyle w:val="FootnoteText"/>
      </w:pPr>
      <w:r>
        <w:rPr>
          <w:rStyle w:val="FootnoteReference"/>
        </w:rPr>
        <w:footnoteRef/>
      </w:r>
      <w:r>
        <w:t xml:space="preserve"> solvabilité basée sur les risques assurances Maroc , ACAPS</w:t>
      </w:r>
    </w:p>
  </w:footnote>
  <w:footnote w:id="4">
    <w:p w:rsidR="005B279D" w:rsidRDefault="00000000">
      <w:pPr>
        <w:pStyle w:val="FootnoteText"/>
      </w:pPr>
      <w:r>
        <w:rPr>
          <w:rStyle w:val="FootnoteReference"/>
        </w:rPr>
        <w:footnoteRef/>
      </w:r>
      <w:r>
        <w:t xml:space="preserve"> https://fnh.ma/article/actualite-financiere-maroc/assurances-solvabilite-basee-sur-les-risques-les-seuils-minimums-fixes-en-janvier-2019</w:t>
      </w:r>
    </w:p>
  </w:footnote>
  <w:footnote w:id="5">
    <w:p w:rsidR="005B279D" w:rsidRPr="006C037D" w:rsidRDefault="00000000">
      <w:pPr>
        <w:pStyle w:val="FootnoteText"/>
        <w:rPr>
          <w:lang w:val="en-US"/>
        </w:rPr>
      </w:pPr>
      <w:r>
        <w:rPr>
          <w:rStyle w:val="FootnoteReference"/>
        </w:rPr>
        <w:footnoteRef/>
      </w:r>
      <w:r w:rsidRPr="006C037D">
        <w:rPr>
          <w:lang w:val="en-US"/>
        </w:rPr>
        <w:t xml:space="preserve"> ORSA : Own Risk and Solvency Assessment</w:t>
      </w:r>
    </w:p>
  </w:footnote>
  <w:footnote w:id="6">
    <w:p w:rsidR="005B279D" w:rsidRDefault="00000000">
      <w:pPr>
        <w:pStyle w:val="FootnoteText"/>
      </w:pPr>
      <w:r>
        <w:rPr>
          <w:rStyle w:val="FootnoteReference"/>
        </w:rPr>
        <w:footnoteRef/>
      </w:r>
      <w:r>
        <w:t xml:space="preserve"> </w:t>
      </w:r>
      <w:hyperlink r:id="rId1">
        <w:r w:rsidR="007633AB">
          <w:rPr>
            <w:rStyle w:val="Hyperlink"/>
          </w:rPr>
          <w:t>Circulaire</w:t>
        </w:r>
        <w:r>
          <w:rPr>
            <w:rStyle w:val="Hyperlink"/>
          </w:rPr>
          <w:t xml:space="preserve"> en préparation concernant le second pilier relatif à la gouvernance</w:t>
        </w:r>
      </w:hyperlink>
    </w:p>
  </w:footnote>
  <w:footnote w:id="7">
    <w:p w:rsidR="005B279D" w:rsidRPr="00AA7351" w:rsidRDefault="00000000">
      <w:pPr>
        <w:pStyle w:val="FootnoteText"/>
        <w:rPr>
          <w:lang w:val="fr-FR"/>
        </w:rPr>
      </w:pPr>
      <w:r>
        <w:rPr>
          <w:rStyle w:val="FootnoteReference"/>
        </w:rPr>
        <w:footnoteRef/>
      </w:r>
      <w:r w:rsidRPr="00AA7351">
        <w:rPr>
          <w:lang w:val="fr-FR"/>
        </w:rPr>
        <w:t xml:space="preserve"> La métrique de risque n’est pas encore </w:t>
      </w:r>
      <w:r w:rsidR="007633AB" w:rsidRPr="00AA7351">
        <w:rPr>
          <w:lang w:val="fr-FR"/>
        </w:rPr>
        <w:t>définie</w:t>
      </w:r>
      <w:r w:rsidRPr="00AA7351">
        <w:rPr>
          <w:lang w:val="fr-FR"/>
        </w:rPr>
        <w:t xml:space="preserve"> dans le projet marocain </w:t>
      </w:r>
      <m:oMath>
        <m:r>
          <w:rPr>
            <w:rFonts w:ascii="Cambria Math" w:hAnsi="Cambria Math"/>
          </w:rPr>
          <m:t>SBR</m:t>
        </m:r>
      </m:oMath>
    </w:p>
  </w:footnote>
  <w:footnote w:id="8">
    <w:p w:rsidR="005B279D" w:rsidRPr="006C037D" w:rsidRDefault="00000000">
      <w:pPr>
        <w:pStyle w:val="FootnoteText"/>
        <w:rPr>
          <w:lang w:val="en-US"/>
        </w:rPr>
      </w:pPr>
      <w:r>
        <w:rPr>
          <w:rStyle w:val="FootnoteReference"/>
        </w:rPr>
        <w:footnoteRef/>
      </w:r>
      <w:r w:rsidRPr="006C037D">
        <w:rPr>
          <w:lang w:val="en-US"/>
        </w:rPr>
        <w:t xml:space="preserve"> Alonso Peña, Ph.D, C++ For Quantitative Finance</w:t>
      </w:r>
    </w:p>
  </w:footnote>
  <w:footnote w:id="9">
    <w:p w:rsidR="005B279D" w:rsidRPr="006C037D" w:rsidRDefault="00000000">
      <w:pPr>
        <w:pStyle w:val="FootnoteText"/>
        <w:rPr>
          <w:lang w:val="en-US"/>
        </w:rPr>
      </w:pPr>
      <w:r>
        <w:rPr>
          <w:rStyle w:val="FootnoteReference"/>
        </w:rPr>
        <w:footnoteRef/>
      </w:r>
      <w:r w:rsidRPr="006C037D">
        <w:rPr>
          <w:lang w:val="en-US"/>
        </w:rPr>
        <w:t xml:space="preserve"> The Actuary and IBNR publié en 1972</w:t>
      </w:r>
    </w:p>
  </w:footnote>
  <w:footnote w:id="10">
    <w:p w:rsidR="005B279D" w:rsidRDefault="00000000">
      <w:pPr>
        <w:pStyle w:val="FootnoteText"/>
      </w:pPr>
      <w:r>
        <w:rPr>
          <w:rStyle w:val="FootnoteReference"/>
        </w:rPr>
        <w:footnoteRef/>
      </w:r>
      <w:r>
        <w:t xml:space="preserve"> CNAM 2002-2003, Mathématiques actuarielles fondamentales (assurance non vie), Eléments de cours – 24 mars 2003 – liquidation des sinistres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B29DA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9947C2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62463F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0C813C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6FEDA5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9B006C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C9A435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856D7A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93818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EE85FD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B1C20C0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95DCA23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00A99411"/>
    <w:multiLevelType w:val="multilevel"/>
    <w:tmpl w:val="70F039D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00A99421"/>
    <w:multiLevelType w:val="multilevel"/>
    <w:tmpl w:val="EE56D90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4" w15:restartNumberingAfterBreak="0">
    <w:nsid w:val="52682101"/>
    <w:multiLevelType w:val="hybridMultilevel"/>
    <w:tmpl w:val="BA5AA8B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57937374"/>
    <w:multiLevelType w:val="hybridMultilevel"/>
    <w:tmpl w:val="79FE7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7D7B59"/>
    <w:multiLevelType w:val="hybridMultilevel"/>
    <w:tmpl w:val="E0800B1A"/>
    <w:lvl w:ilvl="0" w:tplc="D2F822B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16cid:durableId="1890025441">
    <w:abstractNumId w:val="10"/>
  </w:num>
  <w:num w:numId="2" w16cid:durableId="1891768736">
    <w:abstractNumId w:val="11"/>
  </w:num>
  <w:num w:numId="3" w16cid:durableId="1834175551">
    <w:abstractNumId w:val="11"/>
  </w:num>
  <w:num w:numId="4" w16cid:durableId="1575385458">
    <w:abstractNumId w:val="11"/>
  </w:num>
  <w:num w:numId="5" w16cid:durableId="873227565">
    <w:abstractNumId w:val="11"/>
  </w:num>
  <w:num w:numId="6" w16cid:durableId="771902768">
    <w:abstractNumId w:val="11"/>
  </w:num>
  <w:num w:numId="7" w16cid:durableId="178742600">
    <w:abstractNumId w:val="11"/>
  </w:num>
  <w:num w:numId="8" w16cid:durableId="1466386349">
    <w:abstractNumId w:val="11"/>
  </w:num>
  <w:num w:numId="9" w16cid:durableId="908157326">
    <w:abstractNumId w:val="11"/>
  </w:num>
  <w:num w:numId="10" w16cid:durableId="1004628652">
    <w:abstractNumId w:val="11"/>
  </w:num>
  <w:num w:numId="11" w16cid:durableId="950161267">
    <w:abstractNumId w:val="11"/>
  </w:num>
  <w:num w:numId="12" w16cid:durableId="1945531481">
    <w:abstractNumId w:val="11"/>
  </w:num>
  <w:num w:numId="13" w16cid:durableId="1435784726">
    <w:abstractNumId w:val="11"/>
  </w:num>
  <w:num w:numId="14" w16cid:durableId="365525314">
    <w:abstractNumId w:val="11"/>
  </w:num>
  <w:num w:numId="15" w16cid:durableId="998925145">
    <w:abstractNumId w:val="11"/>
  </w:num>
  <w:num w:numId="16" w16cid:durableId="1265839649">
    <w:abstractNumId w:val="11"/>
  </w:num>
  <w:num w:numId="17" w16cid:durableId="1163427489">
    <w:abstractNumId w:val="11"/>
  </w:num>
  <w:num w:numId="18" w16cid:durableId="158620445">
    <w:abstractNumId w:val="11"/>
  </w:num>
  <w:num w:numId="19" w16cid:durableId="2072387051">
    <w:abstractNumId w:val="11"/>
  </w:num>
  <w:num w:numId="20" w16cid:durableId="684526786">
    <w:abstractNumId w:val="11"/>
  </w:num>
  <w:num w:numId="21" w16cid:durableId="1642224825">
    <w:abstractNumId w:val="11"/>
  </w:num>
  <w:num w:numId="22" w16cid:durableId="1978483584">
    <w:abstractNumId w:val="11"/>
  </w:num>
  <w:num w:numId="23" w16cid:durableId="846793738">
    <w:abstractNumId w:val="11"/>
  </w:num>
  <w:num w:numId="24" w16cid:durableId="2115979436">
    <w:abstractNumId w:val="11"/>
  </w:num>
  <w:num w:numId="25" w16cid:durableId="1340623598">
    <w:abstractNumId w:val="11"/>
  </w:num>
  <w:num w:numId="26" w16cid:durableId="191185795">
    <w:abstractNumId w:val="11"/>
  </w:num>
  <w:num w:numId="27" w16cid:durableId="1380740202">
    <w:abstractNumId w:val="11"/>
  </w:num>
  <w:num w:numId="28" w16cid:durableId="788016210">
    <w:abstractNumId w:val="11"/>
  </w:num>
  <w:num w:numId="29" w16cid:durableId="1133014014">
    <w:abstractNumId w:val="11"/>
  </w:num>
  <w:num w:numId="30" w16cid:durableId="926232021">
    <w:abstractNumId w:val="11"/>
  </w:num>
  <w:num w:numId="31" w16cid:durableId="1577548506">
    <w:abstractNumId w:val="11"/>
  </w:num>
  <w:num w:numId="32" w16cid:durableId="1353723600">
    <w:abstractNumId w:val="11"/>
  </w:num>
  <w:num w:numId="33" w16cid:durableId="88359076">
    <w:abstractNumId w:val="11"/>
  </w:num>
  <w:num w:numId="34" w16cid:durableId="1825200153">
    <w:abstractNumId w:val="11"/>
  </w:num>
  <w:num w:numId="35" w16cid:durableId="821847449">
    <w:abstractNumId w:val="11"/>
  </w:num>
  <w:num w:numId="36" w16cid:durableId="766005525">
    <w:abstractNumId w:val="11"/>
  </w:num>
  <w:num w:numId="37" w16cid:durableId="1662198715">
    <w:abstractNumId w:val="11"/>
  </w:num>
  <w:num w:numId="38" w16cid:durableId="1523396077">
    <w:abstractNumId w:val="11"/>
  </w:num>
  <w:num w:numId="39" w16cid:durableId="621963274">
    <w:abstractNumId w:val="11"/>
  </w:num>
  <w:num w:numId="40" w16cid:durableId="1173296014">
    <w:abstractNumId w:val="11"/>
  </w:num>
  <w:num w:numId="41" w16cid:durableId="1406412330">
    <w:abstractNumId w:val="11"/>
  </w:num>
  <w:num w:numId="42" w16cid:durableId="866911107">
    <w:abstractNumId w:val="11"/>
  </w:num>
  <w:num w:numId="43" w16cid:durableId="587926438">
    <w:abstractNumId w:val="11"/>
  </w:num>
  <w:num w:numId="44" w16cid:durableId="958806079">
    <w:abstractNumId w:val="11"/>
  </w:num>
  <w:num w:numId="45" w16cid:durableId="376467133">
    <w:abstractNumId w:val="11"/>
  </w:num>
  <w:num w:numId="46" w16cid:durableId="298074736">
    <w:abstractNumId w:val="11"/>
  </w:num>
  <w:num w:numId="47" w16cid:durableId="1001280337">
    <w:abstractNumId w:val="11"/>
  </w:num>
  <w:num w:numId="48" w16cid:durableId="47540023">
    <w:abstractNumId w:val="11"/>
  </w:num>
  <w:num w:numId="49" w16cid:durableId="1816726856">
    <w:abstractNumId w:val="11"/>
  </w:num>
  <w:num w:numId="50" w16cid:durableId="827751780">
    <w:abstractNumId w:val="11"/>
  </w:num>
  <w:num w:numId="51" w16cid:durableId="1164012329">
    <w:abstractNumId w:val="11"/>
  </w:num>
  <w:num w:numId="52" w16cid:durableId="1915892491">
    <w:abstractNumId w:val="11"/>
  </w:num>
  <w:num w:numId="53" w16cid:durableId="670447835">
    <w:abstractNumId w:val="11"/>
  </w:num>
  <w:num w:numId="54" w16cid:durableId="69432111">
    <w:abstractNumId w:val="11"/>
  </w:num>
  <w:num w:numId="55" w16cid:durableId="685208538">
    <w:abstractNumId w:val="11"/>
  </w:num>
  <w:num w:numId="56" w16cid:durableId="1296182948">
    <w:abstractNumId w:val="11"/>
  </w:num>
  <w:num w:numId="57" w16cid:durableId="1817643439">
    <w:abstractNumId w:val="11"/>
  </w:num>
  <w:num w:numId="58" w16cid:durableId="833648261">
    <w:abstractNumId w:val="11"/>
  </w:num>
  <w:num w:numId="59" w16cid:durableId="5358919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2014065259">
    <w:abstractNumId w:val="11"/>
  </w:num>
  <w:num w:numId="61" w16cid:durableId="1621181810">
    <w:abstractNumId w:val="11"/>
  </w:num>
  <w:num w:numId="62" w16cid:durableId="653265162">
    <w:abstractNumId w:val="11"/>
  </w:num>
  <w:num w:numId="63" w16cid:durableId="39214388">
    <w:abstractNumId w:val="11"/>
  </w:num>
  <w:num w:numId="64" w16cid:durableId="1101070773">
    <w:abstractNumId w:val="11"/>
  </w:num>
  <w:num w:numId="65" w16cid:durableId="1893341660">
    <w:abstractNumId w:val="11"/>
  </w:num>
  <w:num w:numId="66" w16cid:durableId="569385096">
    <w:abstractNumId w:val="11"/>
  </w:num>
  <w:num w:numId="67" w16cid:durableId="316540473">
    <w:abstractNumId w:val="11"/>
  </w:num>
  <w:num w:numId="68" w16cid:durableId="3920458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524901145">
    <w:abstractNumId w:val="11"/>
  </w:num>
  <w:num w:numId="70" w16cid:durableId="1514801482">
    <w:abstractNumId w:val="11"/>
  </w:num>
  <w:num w:numId="71" w16cid:durableId="1892963113">
    <w:abstractNumId w:val="11"/>
  </w:num>
  <w:num w:numId="72" w16cid:durableId="2123843381">
    <w:abstractNumId w:val="11"/>
  </w:num>
  <w:num w:numId="73" w16cid:durableId="850753155">
    <w:abstractNumId w:val="11"/>
  </w:num>
  <w:num w:numId="74" w16cid:durableId="1280334795">
    <w:abstractNumId w:val="11"/>
  </w:num>
  <w:num w:numId="75" w16cid:durableId="138230766">
    <w:abstractNumId w:val="11"/>
  </w:num>
  <w:num w:numId="76" w16cid:durableId="470638667">
    <w:abstractNumId w:val="11"/>
  </w:num>
  <w:num w:numId="77" w16cid:durableId="1013797153">
    <w:abstractNumId w:val="11"/>
  </w:num>
  <w:num w:numId="78" w16cid:durableId="1693678528">
    <w:abstractNumId w:val="0"/>
  </w:num>
  <w:num w:numId="79" w16cid:durableId="1770199491">
    <w:abstractNumId w:val="1"/>
  </w:num>
  <w:num w:numId="80" w16cid:durableId="170335222">
    <w:abstractNumId w:val="2"/>
  </w:num>
  <w:num w:numId="81" w16cid:durableId="1108961364">
    <w:abstractNumId w:val="3"/>
  </w:num>
  <w:num w:numId="82" w16cid:durableId="650136405">
    <w:abstractNumId w:val="8"/>
  </w:num>
  <w:num w:numId="83" w16cid:durableId="263654354">
    <w:abstractNumId w:val="4"/>
  </w:num>
  <w:num w:numId="84" w16cid:durableId="1110049994">
    <w:abstractNumId w:val="5"/>
  </w:num>
  <w:num w:numId="85" w16cid:durableId="355935071">
    <w:abstractNumId w:val="6"/>
  </w:num>
  <w:num w:numId="86" w16cid:durableId="438066966">
    <w:abstractNumId w:val="7"/>
  </w:num>
  <w:num w:numId="87" w16cid:durableId="1220628196">
    <w:abstractNumId w:val="9"/>
  </w:num>
  <w:num w:numId="88" w16cid:durableId="2096589988">
    <w:abstractNumId w:val="0"/>
  </w:num>
  <w:num w:numId="89" w16cid:durableId="1674258561">
    <w:abstractNumId w:val="1"/>
  </w:num>
  <w:num w:numId="90" w16cid:durableId="1956711876">
    <w:abstractNumId w:val="2"/>
  </w:num>
  <w:num w:numId="91" w16cid:durableId="311445956">
    <w:abstractNumId w:val="3"/>
  </w:num>
  <w:num w:numId="92" w16cid:durableId="435827296">
    <w:abstractNumId w:val="8"/>
  </w:num>
  <w:num w:numId="93" w16cid:durableId="365183868">
    <w:abstractNumId w:val="4"/>
  </w:num>
  <w:num w:numId="94" w16cid:durableId="1496996157">
    <w:abstractNumId w:val="5"/>
  </w:num>
  <w:num w:numId="95" w16cid:durableId="1536843327">
    <w:abstractNumId w:val="6"/>
  </w:num>
  <w:num w:numId="96" w16cid:durableId="566427734">
    <w:abstractNumId w:val="7"/>
  </w:num>
  <w:num w:numId="97" w16cid:durableId="1071582004">
    <w:abstractNumId w:val="9"/>
  </w:num>
  <w:num w:numId="98" w16cid:durableId="281302324">
    <w:abstractNumId w:val="0"/>
  </w:num>
  <w:num w:numId="99" w16cid:durableId="887448014">
    <w:abstractNumId w:val="1"/>
  </w:num>
  <w:num w:numId="100" w16cid:durableId="1298413048">
    <w:abstractNumId w:val="2"/>
  </w:num>
  <w:num w:numId="101" w16cid:durableId="1129470345">
    <w:abstractNumId w:val="3"/>
  </w:num>
  <w:num w:numId="102" w16cid:durableId="86079231">
    <w:abstractNumId w:val="8"/>
  </w:num>
  <w:num w:numId="103" w16cid:durableId="1001815303">
    <w:abstractNumId w:val="4"/>
  </w:num>
  <w:num w:numId="104" w16cid:durableId="1228541154">
    <w:abstractNumId w:val="5"/>
  </w:num>
  <w:num w:numId="105" w16cid:durableId="1402365484">
    <w:abstractNumId w:val="6"/>
  </w:num>
  <w:num w:numId="106" w16cid:durableId="238902346">
    <w:abstractNumId w:val="7"/>
  </w:num>
  <w:num w:numId="107" w16cid:durableId="1524243478">
    <w:abstractNumId w:val="9"/>
  </w:num>
  <w:num w:numId="108" w16cid:durableId="1087921876">
    <w:abstractNumId w:val="15"/>
  </w:num>
  <w:num w:numId="109" w16cid:durableId="1378581147">
    <w:abstractNumId w:val="14"/>
  </w:num>
  <w:num w:numId="110" w16cid:durableId="102439936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79D"/>
    <w:rsid w:val="00263816"/>
    <w:rsid w:val="002844B1"/>
    <w:rsid w:val="005B279D"/>
    <w:rsid w:val="005C634B"/>
    <w:rsid w:val="0061492D"/>
    <w:rsid w:val="006A0BBC"/>
    <w:rsid w:val="006C037D"/>
    <w:rsid w:val="007521DB"/>
    <w:rsid w:val="007633AB"/>
    <w:rsid w:val="008440F2"/>
    <w:rsid w:val="008E2C01"/>
    <w:rsid w:val="00997111"/>
    <w:rsid w:val="00A92406"/>
    <w:rsid w:val="00A96318"/>
    <w:rsid w:val="00AA7351"/>
    <w:rsid w:val="00D70A47"/>
    <w:rsid w:val="00E53985"/>
    <w:rsid w:val="00EF32B8"/>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671B4"/>
  <w15:docId w15:val="{A445577E-3054-DE48-B8C7-E779A472C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0" w:defSemiHidden="0" w:defUnhideWhenUsed="0" w:defQFormat="0" w:count="376">
    <w:lsdException w:name="heading 7" w:qFormat="1"/>
    <w:lsdException w:name="heading 8" w:qFormat="1"/>
    <w:lsdException w:name="heading 9" w:qFormat="1"/>
    <w:lsdException w:name="toc 1" w:uiPriority="39"/>
    <w:lsdException w:name="toc 2" w:uiPriority="39"/>
    <w:lsdException w:name="toc 3" w:uiPriority="39"/>
    <w:lsdException w:name="caption" w:uiPriority="35" w:qFormat="1"/>
    <w:lsdException w:name="Title" w:uiPriority="10"/>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A7351"/>
    <w:rPr>
      <w:i/>
      <w:iCs/>
      <w:sz w:val="20"/>
      <w:szCs w:val="20"/>
      <w:lang w:val="fr-CA"/>
    </w:rPr>
  </w:style>
  <w:style w:type="paragraph" w:styleId="Heading1">
    <w:name w:val="heading 1"/>
    <w:basedOn w:val="Normal"/>
    <w:next w:val="Normal"/>
    <w:link w:val="Heading1Char"/>
    <w:uiPriority w:val="9"/>
    <w:qFormat/>
    <w:rsid w:val="00AA7351"/>
    <w:pPr>
      <w:pBdr>
        <w:top w:val="single" w:sz="8" w:space="0" w:color="629DD1" w:themeColor="accent2"/>
        <w:left w:val="single" w:sz="8" w:space="0" w:color="629DD1" w:themeColor="accent2"/>
        <w:bottom w:val="single" w:sz="8" w:space="0" w:color="629DD1" w:themeColor="accent2"/>
        <w:right w:val="single" w:sz="8" w:space="0" w:color="629DD1" w:themeColor="accent2"/>
      </w:pBdr>
      <w:shd w:val="clear" w:color="auto" w:fill="DFEBF5" w:themeFill="accent2" w:themeFillTint="33"/>
      <w:spacing w:before="480" w:after="100" w:line="269" w:lineRule="auto"/>
      <w:contextualSpacing/>
      <w:outlineLvl w:val="0"/>
    </w:pPr>
    <w:rPr>
      <w:rFonts w:asciiTheme="majorHAnsi" w:eastAsiaTheme="majorEastAsia" w:hAnsiTheme="majorHAnsi" w:cstheme="majorBidi"/>
      <w:b/>
      <w:bCs/>
      <w:color w:val="224E76" w:themeColor="accent2" w:themeShade="7F"/>
      <w:sz w:val="22"/>
      <w:szCs w:val="22"/>
    </w:rPr>
  </w:style>
  <w:style w:type="paragraph" w:styleId="Heading2">
    <w:name w:val="heading 2"/>
    <w:basedOn w:val="Normal"/>
    <w:next w:val="Normal"/>
    <w:link w:val="Heading2Char"/>
    <w:uiPriority w:val="9"/>
    <w:unhideWhenUsed/>
    <w:qFormat/>
    <w:rsid w:val="00AA7351"/>
    <w:pPr>
      <w:pBdr>
        <w:top w:val="single" w:sz="4" w:space="0" w:color="629DD1" w:themeColor="accent2"/>
        <w:left w:val="single" w:sz="48" w:space="2" w:color="629DD1" w:themeColor="accent2"/>
        <w:bottom w:val="single" w:sz="4" w:space="0" w:color="629DD1" w:themeColor="accent2"/>
        <w:right w:val="single" w:sz="4" w:space="4" w:color="629DD1" w:themeColor="accent2"/>
      </w:pBdr>
      <w:spacing w:before="200" w:after="100" w:line="269" w:lineRule="auto"/>
      <w:ind w:left="144"/>
      <w:contextualSpacing/>
      <w:outlineLvl w:val="1"/>
    </w:pPr>
    <w:rPr>
      <w:rFonts w:asciiTheme="majorHAnsi" w:eastAsiaTheme="majorEastAsia" w:hAnsiTheme="majorHAnsi" w:cstheme="majorBidi"/>
      <w:b/>
      <w:bCs/>
      <w:color w:val="3476B1" w:themeColor="accent2" w:themeShade="BF"/>
      <w:sz w:val="22"/>
      <w:szCs w:val="22"/>
    </w:rPr>
  </w:style>
  <w:style w:type="paragraph" w:styleId="Heading3">
    <w:name w:val="heading 3"/>
    <w:basedOn w:val="Normal"/>
    <w:next w:val="Normal"/>
    <w:link w:val="Heading3Char"/>
    <w:uiPriority w:val="9"/>
    <w:unhideWhenUsed/>
    <w:qFormat/>
    <w:rsid w:val="00AA7351"/>
    <w:pPr>
      <w:pBdr>
        <w:left w:val="single" w:sz="48" w:space="2" w:color="629DD1" w:themeColor="accent2"/>
        <w:bottom w:val="single" w:sz="4" w:space="0" w:color="629DD1" w:themeColor="accent2"/>
      </w:pBdr>
      <w:spacing w:before="200" w:after="100" w:line="240" w:lineRule="auto"/>
      <w:ind w:left="144"/>
      <w:contextualSpacing/>
      <w:outlineLvl w:val="2"/>
    </w:pPr>
    <w:rPr>
      <w:rFonts w:asciiTheme="majorHAnsi" w:eastAsiaTheme="majorEastAsia" w:hAnsiTheme="majorHAnsi" w:cstheme="majorBidi"/>
      <w:b/>
      <w:bCs/>
      <w:color w:val="3476B1" w:themeColor="accent2" w:themeShade="BF"/>
      <w:sz w:val="22"/>
      <w:szCs w:val="22"/>
    </w:rPr>
  </w:style>
  <w:style w:type="paragraph" w:styleId="Heading4">
    <w:name w:val="heading 4"/>
    <w:basedOn w:val="Normal"/>
    <w:next w:val="Normal"/>
    <w:link w:val="Heading4Char"/>
    <w:uiPriority w:val="9"/>
    <w:unhideWhenUsed/>
    <w:qFormat/>
    <w:rsid w:val="00AA7351"/>
    <w:pPr>
      <w:pBdr>
        <w:left w:val="single" w:sz="4" w:space="2" w:color="629DD1" w:themeColor="accent2"/>
        <w:bottom w:val="single" w:sz="4" w:space="2" w:color="629DD1" w:themeColor="accent2"/>
      </w:pBdr>
      <w:spacing w:before="200" w:after="100" w:line="240" w:lineRule="auto"/>
      <w:ind w:left="86"/>
      <w:contextualSpacing/>
      <w:outlineLvl w:val="3"/>
    </w:pPr>
    <w:rPr>
      <w:rFonts w:asciiTheme="majorHAnsi" w:eastAsiaTheme="majorEastAsia" w:hAnsiTheme="majorHAnsi" w:cstheme="majorBidi"/>
      <w:b/>
      <w:bCs/>
      <w:color w:val="3476B1" w:themeColor="accent2" w:themeShade="BF"/>
      <w:sz w:val="22"/>
      <w:szCs w:val="22"/>
    </w:rPr>
  </w:style>
  <w:style w:type="paragraph" w:styleId="Heading5">
    <w:name w:val="heading 5"/>
    <w:basedOn w:val="Normal"/>
    <w:next w:val="Normal"/>
    <w:link w:val="Heading5Char"/>
    <w:uiPriority w:val="9"/>
    <w:unhideWhenUsed/>
    <w:qFormat/>
    <w:rsid w:val="00AA7351"/>
    <w:pPr>
      <w:pBdr>
        <w:left w:val="dotted" w:sz="4" w:space="2" w:color="629DD1" w:themeColor="accent2"/>
        <w:bottom w:val="dotted" w:sz="4" w:space="2" w:color="629DD1" w:themeColor="accent2"/>
      </w:pBdr>
      <w:spacing w:before="200" w:after="100" w:line="240" w:lineRule="auto"/>
      <w:ind w:left="86"/>
      <w:contextualSpacing/>
      <w:outlineLvl w:val="4"/>
    </w:pPr>
    <w:rPr>
      <w:rFonts w:asciiTheme="majorHAnsi" w:eastAsiaTheme="majorEastAsia" w:hAnsiTheme="majorHAnsi" w:cstheme="majorBidi"/>
      <w:b/>
      <w:bCs/>
      <w:color w:val="3476B1" w:themeColor="accent2" w:themeShade="BF"/>
      <w:sz w:val="22"/>
      <w:szCs w:val="22"/>
    </w:rPr>
  </w:style>
  <w:style w:type="paragraph" w:styleId="Heading6">
    <w:name w:val="heading 6"/>
    <w:basedOn w:val="Normal"/>
    <w:next w:val="Normal"/>
    <w:link w:val="Heading6Char"/>
    <w:uiPriority w:val="9"/>
    <w:unhideWhenUsed/>
    <w:qFormat/>
    <w:rsid w:val="00AA7351"/>
    <w:pPr>
      <w:pBdr>
        <w:bottom w:val="single" w:sz="4" w:space="2" w:color="C0D7EC" w:themeColor="accent2" w:themeTint="66"/>
      </w:pBdr>
      <w:spacing w:before="200" w:after="100" w:line="240" w:lineRule="auto"/>
      <w:contextualSpacing/>
      <w:outlineLvl w:val="5"/>
    </w:pPr>
    <w:rPr>
      <w:rFonts w:asciiTheme="majorHAnsi" w:eastAsiaTheme="majorEastAsia" w:hAnsiTheme="majorHAnsi" w:cstheme="majorBidi"/>
      <w:color w:val="3476B1" w:themeColor="accent2" w:themeShade="BF"/>
      <w:sz w:val="22"/>
      <w:szCs w:val="22"/>
    </w:rPr>
  </w:style>
  <w:style w:type="paragraph" w:styleId="Heading7">
    <w:name w:val="heading 7"/>
    <w:basedOn w:val="Normal"/>
    <w:next w:val="Normal"/>
    <w:link w:val="Heading7Char"/>
    <w:uiPriority w:val="9"/>
    <w:unhideWhenUsed/>
    <w:qFormat/>
    <w:rsid w:val="00AA7351"/>
    <w:pPr>
      <w:pBdr>
        <w:bottom w:val="dotted" w:sz="4" w:space="2" w:color="A0C3E3" w:themeColor="accent2" w:themeTint="99"/>
      </w:pBdr>
      <w:spacing w:before="200" w:after="100" w:line="240" w:lineRule="auto"/>
      <w:contextualSpacing/>
      <w:outlineLvl w:val="6"/>
    </w:pPr>
    <w:rPr>
      <w:rFonts w:asciiTheme="majorHAnsi" w:eastAsiaTheme="majorEastAsia" w:hAnsiTheme="majorHAnsi" w:cstheme="majorBidi"/>
      <w:color w:val="3476B1" w:themeColor="accent2" w:themeShade="BF"/>
      <w:sz w:val="22"/>
      <w:szCs w:val="22"/>
    </w:rPr>
  </w:style>
  <w:style w:type="paragraph" w:styleId="Heading8">
    <w:name w:val="heading 8"/>
    <w:basedOn w:val="Normal"/>
    <w:next w:val="Normal"/>
    <w:link w:val="Heading8Char"/>
    <w:uiPriority w:val="9"/>
    <w:unhideWhenUsed/>
    <w:qFormat/>
    <w:rsid w:val="00AA7351"/>
    <w:pPr>
      <w:spacing w:before="200" w:after="100" w:line="240" w:lineRule="auto"/>
      <w:contextualSpacing/>
      <w:outlineLvl w:val="7"/>
    </w:pPr>
    <w:rPr>
      <w:rFonts w:asciiTheme="majorHAnsi" w:eastAsiaTheme="majorEastAsia" w:hAnsiTheme="majorHAnsi" w:cstheme="majorBidi"/>
      <w:color w:val="629DD1" w:themeColor="accent2"/>
      <w:sz w:val="22"/>
      <w:szCs w:val="22"/>
    </w:rPr>
  </w:style>
  <w:style w:type="paragraph" w:styleId="Heading9">
    <w:name w:val="heading 9"/>
    <w:basedOn w:val="Normal"/>
    <w:next w:val="Normal"/>
    <w:link w:val="Heading9Char"/>
    <w:uiPriority w:val="9"/>
    <w:unhideWhenUsed/>
    <w:qFormat/>
    <w:rsid w:val="00AA7351"/>
    <w:pPr>
      <w:spacing w:before="200" w:after="100" w:line="240" w:lineRule="auto"/>
      <w:contextualSpacing/>
      <w:outlineLvl w:val="8"/>
    </w:pPr>
    <w:rPr>
      <w:rFonts w:asciiTheme="majorHAnsi" w:eastAsiaTheme="majorEastAsia" w:hAnsiTheme="majorHAnsi" w:cstheme="majorBidi"/>
      <w:color w:val="629DD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AA7351"/>
    <w:pPr>
      <w:pBdr>
        <w:top w:val="single" w:sz="48" w:space="0" w:color="629DD1" w:themeColor="accent2"/>
        <w:bottom w:val="single" w:sz="48" w:space="0" w:color="629DD1" w:themeColor="accent2"/>
      </w:pBdr>
      <w:shd w:val="clear" w:color="auto" w:fill="629DD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paragraph" w:styleId="Subtitle">
    <w:name w:val="Subtitle"/>
    <w:basedOn w:val="Normal"/>
    <w:next w:val="Normal"/>
    <w:link w:val="SubtitleChar"/>
    <w:uiPriority w:val="11"/>
    <w:qFormat/>
    <w:rsid w:val="00AA7351"/>
    <w:pPr>
      <w:pBdr>
        <w:bottom w:val="dotted" w:sz="8" w:space="10" w:color="629DD1" w:themeColor="accent2"/>
      </w:pBdr>
      <w:spacing w:before="200" w:after="900" w:line="240" w:lineRule="auto"/>
      <w:jc w:val="center"/>
    </w:pPr>
    <w:rPr>
      <w:rFonts w:asciiTheme="majorHAnsi" w:eastAsiaTheme="majorEastAsia" w:hAnsiTheme="majorHAnsi" w:cstheme="majorBidi"/>
      <w:color w:val="224E76" w:themeColor="accent2" w:themeShade="7F"/>
      <w:sz w:val="24"/>
      <w:szCs w:val="24"/>
    </w:rPr>
  </w:style>
  <w:style w:type="paragraph" w:customStyle="1" w:styleId="Author">
    <w:name w:val="Author"/>
    <w:next w:val="BodyText"/>
    <w:qForma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style>
  <w:style w:type="paragraph" w:styleId="Bibliography">
    <w:name w:val="Bibliography"/>
    <w:basedOn w:val="Normal"/>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AA7351"/>
    <w:rPr>
      <w:b/>
      <w:bCs/>
      <w:color w:val="3476B1" w:themeColor="accent2" w:themeShade="BF"/>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i/>
      <w:iCs/>
      <w:color w:val="3476B1" w:themeColor="accent2" w:themeShade="BF"/>
      <w:sz w:val="18"/>
      <w:szCs w:val="18"/>
    </w:rPr>
  </w:style>
  <w:style w:type="character" w:customStyle="1" w:styleId="VerbatimChar">
    <w:name w:val="Verbatim Char"/>
    <w:basedOn w:val="CaptionChar"/>
    <w:link w:val="SourceCode"/>
    <w:rPr>
      <w:rFonts w:ascii="Consolas" w:hAnsi="Consolas"/>
      <w:b/>
      <w:bCs/>
      <w:i/>
      <w:iCs/>
      <w:color w:val="3476B1" w:themeColor="accent2" w:themeShade="BF"/>
      <w:sz w:val="22"/>
      <w:szCs w:val="18"/>
    </w:rPr>
  </w:style>
  <w:style w:type="character" w:customStyle="1" w:styleId="SectionNumber">
    <w:name w:val="Section Number"/>
    <w:basedOn w:val="CaptionChar"/>
    <w:rPr>
      <w:b/>
      <w:bCs/>
      <w:i/>
      <w:iCs/>
      <w:color w:val="3476B1" w:themeColor="accent2" w:themeShade="BF"/>
      <w:sz w:val="18"/>
      <w:szCs w:val="18"/>
    </w:rPr>
  </w:style>
  <w:style w:type="character" w:styleId="FootnoteReference">
    <w:name w:val="footnote reference"/>
    <w:basedOn w:val="CaptionChar"/>
    <w:rPr>
      <w:b/>
      <w:bCs/>
      <w:i/>
      <w:iCs/>
      <w:color w:val="3476B1" w:themeColor="accent2" w:themeShade="BF"/>
      <w:sz w:val="18"/>
      <w:szCs w:val="18"/>
      <w:vertAlign w:val="superscript"/>
    </w:rPr>
  </w:style>
  <w:style w:type="character" w:styleId="Hyperlink">
    <w:name w:val="Hyperlink"/>
    <w:basedOn w:val="CaptionChar"/>
    <w:uiPriority w:val="99"/>
    <w:rPr>
      <w:b/>
      <w:bCs/>
      <w:i/>
      <w:iCs/>
      <w:color w:val="4A66AC" w:themeColor="accent1"/>
      <w:sz w:val="18"/>
      <w:szCs w:val="18"/>
    </w:rPr>
  </w:style>
  <w:style w:type="paragraph" w:styleId="TOCHeading">
    <w:name w:val="TOC Heading"/>
    <w:basedOn w:val="Heading1"/>
    <w:next w:val="Normal"/>
    <w:uiPriority w:val="39"/>
    <w:unhideWhenUsed/>
    <w:qFormat/>
    <w:rsid w:val="00AA7351"/>
    <w:pPr>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i/>
      <w:iCs/>
      <w:color w:val="003B4F"/>
      <w:sz w:val="22"/>
      <w:szCs w:val="18"/>
      <w:shd w:val="clear" w:color="auto" w:fill="F1F3F5"/>
    </w:rPr>
  </w:style>
  <w:style w:type="character" w:customStyle="1" w:styleId="DataTypeTok">
    <w:name w:val="DataTypeTok"/>
    <w:basedOn w:val="VerbatimChar"/>
    <w:rPr>
      <w:rFonts w:ascii="Consolas" w:hAnsi="Consolas"/>
      <w:b/>
      <w:bCs/>
      <w:i/>
      <w:iCs/>
      <w:color w:val="AD0000"/>
      <w:sz w:val="22"/>
      <w:szCs w:val="18"/>
      <w:shd w:val="clear" w:color="auto" w:fill="F1F3F5"/>
    </w:rPr>
  </w:style>
  <w:style w:type="character" w:customStyle="1" w:styleId="DecValTok">
    <w:name w:val="DecValTok"/>
    <w:basedOn w:val="VerbatimChar"/>
    <w:rPr>
      <w:rFonts w:ascii="Consolas" w:hAnsi="Consolas"/>
      <w:b/>
      <w:bCs/>
      <w:i/>
      <w:iCs/>
      <w:color w:val="AD0000"/>
      <w:sz w:val="22"/>
      <w:szCs w:val="18"/>
      <w:shd w:val="clear" w:color="auto" w:fill="F1F3F5"/>
    </w:rPr>
  </w:style>
  <w:style w:type="character" w:customStyle="1" w:styleId="BaseNTok">
    <w:name w:val="BaseNTok"/>
    <w:basedOn w:val="VerbatimChar"/>
    <w:rPr>
      <w:rFonts w:ascii="Consolas" w:hAnsi="Consolas"/>
      <w:b/>
      <w:bCs/>
      <w:i/>
      <w:iCs/>
      <w:color w:val="AD0000"/>
      <w:sz w:val="22"/>
      <w:szCs w:val="18"/>
      <w:shd w:val="clear" w:color="auto" w:fill="F1F3F5"/>
    </w:rPr>
  </w:style>
  <w:style w:type="character" w:customStyle="1" w:styleId="FloatTok">
    <w:name w:val="FloatTok"/>
    <w:basedOn w:val="VerbatimChar"/>
    <w:rPr>
      <w:rFonts w:ascii="Consolas" w:hAnsi="Consolas"/>
      <w:b/>
      <w:bCs/>
      <w:i/>
      <w:iCs/>
      <w:color w:val="AD0000"/>
      <w:sz w:val="22"/>
      <w:szCs w:val="18"/>
      <w:shd w:val="clear" w:color="auto" w:fill="F1F3F5"/>
    </w:rPr>
  </w:style>
  <w:style w:type="character" w:customStyle="1" w:styleId="ConstantTok">
    <w:name w:val="ConstantTok"/>
    <w:basedOn w:val="VerbatimChar"/>
    <w:rPr>
      <w:rFonts w:ascii="Consolas" w:hAnsi="Consolas"/>
      <w:b/>
      <w:bCs/>
      <w:i/>
      <w:iCs/>
      <w:color w:val="8F5902"/>
      <w:sz w:val="22"/>
      <w:szCs w:val="18"/>
      <w:shd w:val="clear" w:color="auto" w:fill="F1F3F5"/>
    </w:rPr>
  </w:style>
  <w:style w:type="character" w:customStyle="1" w:styleId="CharTok">
    <w:name w:val="CharTok"/>
    <w:basedOn w:val="VerbatimChar"/>
    <w:rPr>
      <w:rFonts w:ascii="Consolas" w:hAnsi="Consolas"/>
      <w:b/>
      <w:bCs/>
      <w:i/>
      <w:iCs/>
      <w:color w:val="20794D"/>
      <w:sz w:val="22"/>
      <w:szCs w:val="18"/>
      <w:shd w:val="clear" w:color="auto" w:fill="F1F3F5"/>
    </w:rPr>
  </w:style>
  <w:style w:type="character" w:customStyle="1" w:styleId="SpecialCharTok">
    <w:name w:val="SpecialCharTok"/>
    <w:basedOn w:val="VerbatimChar"/>
    <w:rPr>
      <w:rFonts w:ascii="Consolas" w:hAnsi="Consolas"/>
      <w:b/>
      <w:bCs/>
      <w:i/>
      <w:iCs/>
      <w:color w:val="5E5E5E"/>
      <w:sz w:val="22"/>
      <w:szCs w:val="18"/>
      <w:shd w:val="clear" w:color="auto" w:fill="F1F3F5"/>
    </w:rPr>
  </w:style>
  <w:style w:type="character" w:customStyle="1" w:styleId="StringTok">
    <w:name w:val="StringTok"/>
    <w:basedOn w:val="VerbatimChar"/>
    <w:rPr>
      <w:rFonts w:ascii="Consolas" w:hAnsi="Consolas"/>
      <w:b/>
      <w:bCs/>
      <w:i/>
      <w:iCs/>
      <w:color w:val="20794D"/>
      <w:sz w:val="22"/>
      <w:szCs w:val="18"/>
      <w:shd w:val="clear" w:color="auto" w:fill="F1F3F5"/>
    </w:rPr>
  </w:style>
  <w:style w:type="character" w:customStyle="1" w:styleId="VerbatimStringTok">
    <w:name w:val="VerbatimStringTok"/>
    <w:basedOn w:val="VerbatimChar"/>
    <w:rPr>
      <w:rFonts w:ascii="Consolas" w:hAnsi="Consolas"/>
      <w:b/>
      <w:bCs/>
      <w:i/>
      <w:iCs/>
      <w:color w:val="20794D"/>
      <w:sz w:val="22"/>
      <w:szCs w:val="18"/>
      <w:shd w:val="clear" w:color="auto" w:fill="F1F3F5"/>
    </w:rPr>
  </w:style>
  <w:style w:type="character" w:customStyle="1" w:styleId="SpecialStringTok">
    <w:name w:val="SpecialStringTok"/>
    <w:basedOn w:val="VerbatimChar"/>
    <w:rPr>
      <w:rFonts w:ascii="Consolas" w:hAnsi="Consolas"/>
      <w:b/>
      <w:bCs/>
      <w:i/>
      <w:iCs/>
      <w:color w:val="20794D"/>
      <w:sz w:val="22"/>
      <w:szCs w:val="18"/>
      <w:shd w:val="clear" w:color="auto" w:fill="F1F3F5"/>
    </w:rPr>
  </w:style>
  <w:style w:type="character" w:customStyle="1" w:styleId="ImportTok">
    <w:name w:val="ImportTok"/>
    <w:basedOn w:val="VerbatimChar"/>
    <w:rPr>
      <w:rFonts w:ascii="Consolas" w:hAnsi="Consolas"/>
      <w:b/>
      <w:bCs/>
      <w:i/>
      <w:iCs/>
      <w:color w:val="00769E"/>
      <w:sz w:val="22"/>
      <w:szCs w:val="18"/>
      <w:shd w:val="clear" w:color="auto" w:fill="F1F3F5"/>
    </w:rPr>
  </w:style>
  <w:style w:type="character" w:customStyle="1" w:styleId="CommentTok">
    <w:name w:val="CommentTok"/>
    <w:basedOn w:val="VerbatimChar"/>
    <w:rPr>
      <w:rFonts w:ascii="Consolas" w:hAnsi="Consolas"/>
      <w:b/>
      <w:bCs/>
      <w:i/>
      <w:iCs/>
      <w:color w:val="5E5E5E"/>
      <w:sz w:val="22"/>
      <w:szCs w:val="18"/>
      <w:shd w:val="clear" w:color="auto" w:fill="F1F3F5"/>
    </w:rPr>
  </w:style>
  <w:style w:type="character" w:customStyle="1" w:styleId="DocumentationTok">
    <w:name w:val="DocumentationTok"/>
    <w:basedOn w:val="VerbatimChar"/>
    <w:rPr>
      <w:rFonts w:ascii="Consolas" w:hAnsi="Consolas"/>
      <w:b/>
      <w:bCs/>
      <w:i w:val="0"/>
      <w:iCs/>
      <w:color w:val="5E5E5E"/>
      <w:sz w:val="22"/>
      <w:szCs w:val="18"/>
      <w:shd w:val="clear" w:color="auto" w:fill="F1F3F5"/>
    </w:rPr>
  </w:style>
  <w:style w:type="character" w:customStyle="1" w:styleId="AnnotationTok">
    <w:name w:val="AnnotationTok"/>
    <w:basedOn w:val="VerbatimChar"/>
    <w:rPr>
      <w:rFonts w:ascii="Consolas" w:hAnsi="Consolas"/>
      <w:b/>
      <w:bCs/>
      <w:i/>
      <w:iCs/>
      <w:color w:val="5E5E5E"/>
      <w:sz w:val="22"/>
      <w:szCs w:val="18"/>
      <w:shd w:val="clear" w:color="auto" w:fill="F1F3F5"/>
    </w:rPr>
  </w:style>
  <w:style w:type="character" w:customStyle="1" w:styleId="CommentVarTok">
    <w:name w:val="CommentVarTok"/>
    <w:basedOn w:val="VerbatimChar"/>
    <w:rPr>
      <w:rFonts w:ascii="Consolas" w:hAnsi="Consolas"/>
      <w:b/>
      <w:bCs/>
      <w:i w:val="0"/>
      <w:iCs/>
      <w:color w:val="5E5E5E"/>
      <w:sz w:val="22"/>
      <w:szCs w:val="18"/>
      <w:shd w:val="clear" w:color="auto" w:fill="F1F3F5"/>
    </w:rPr>
  </w:style>
  <w:style w:type="character" w:customStyle="1" w:styleId="OtherTok">
    <w:name w:val="OtherTok"/>
    <w:basedOn w:val="VerbatimChar"/>
    <w:rPr>
      <w:rFonts w:ascii="Consolas" w:hAnsi="Consolas"/>
      <w:b/>
      <w:bCs/>
      <w:i/>
      <w:iCs/>
      <w:color w:val="003B4F"/>
      <w:sz w:val="22"/>
      <w:szCs w:val="18"/>
      <w:shd w:val="clear" w:color="auto" w:fill="F1F3F5"/>
    </w:rPr>
  </w:style>
  <w:style w:type="character" w:customStyle="1" w:styleId="FunctionTok">
    <w:name w:val="FunctionTok"/>
    <w:basedOn w:val="VerbatimChar"/>
    <w:rPr>
      <w:rFonts w:ascii="Consolas" w:hAnsi="Consolas"/>
      <w:b/>
      <w:bCs/>
      <w:i/>
      <w:iCs/>
      <w:color w:val="4758AB"/>
      <w:sz w:val="22"/>
      <w:szCs w:val="18"/>
      <w:shd w:val="clear" w:color="auto" w:fill="F1F3F5"/>
    </w:rPr>
  </w:style>
  <w:style w:type="character" w:customStyle="1" w:styleId="VariableTok">
    <w:name w:val="VariableTok"/>
    <w:basedOn w:val="VerbatimChar"/>
    <w:rPr>
      <w:rFonts w:ascii="Consolas" w:hAnsi="Consolas"/>
      <w:b/>
      <w:bCs/>
      <w:i/>
      <w:iCs/>
      <w:color w:val="111111"/>
      <w:sz w:val="22"/>
      <w:szCs w:val="18"/>
      <w:shd w:val="clear" w:color="auto" w:fill="F1F3F5"/>
    </w:rPr>
  </w:style>
  <w:style w:type="character" w:customStyle="1" w:styleId="ControlFlowTok">
    <w:name w:val="ControlFlowTok"/>
    <w:basedOn w:val="VerbatimChar"/>
    <w:rPr>
      <w:rFonts w:ascii="Consolas" w:hAnsi="Consolas"/>
      <w:b/>
      <w:bCs/>
      <w:i/>
      <w:iCs/>
      <w:color w:val="003B4F"/>
      <w:sz w:val="22"/>
      <w:szCs w:val="18"/>
      <w:shd w:val="clear" w:color="auto" w:fill="F1F3F5"/>
    </w:rPr>
  </w:style>
  <w:style w:type="character" w:customStyle="1" w:styleId="OperatorTok">
    <w:name w:val="OperatorTok"/>
    <w:basedOn w:val="VerbatimChar"/>
    <w:rPr>
      <w:rFonts w:ascii="Consolas" w:hAnsi="Consolas"/>
      <w:b/>
      <w:bCs/>
      <w:i/>
      <w:iCs/>
      <w:color w:val="5E5E5E"/>
      <w:sz w:val="22"/>
      <w:szCs w:val="18"/>
      <w:shd w:val="clear" w:color="auto" w:fill="F1F3F5"/>
    </w:rPr>
  </w:style>
  <w:style w:type="character" w:customStyle="1" w:styleId="BuiltInTok">
    <w:name w:val="BuiltInTok"/>
    <w:basedOn w:val="VerbatimChar"/>
    <w:rPr>
      <w:rFonts w:ascii="Consolas" w:hAnsi="Consolas"/>
      <w:b/>
      <w:bCs/>
      <w:i/>
      <w:iCs/>
      <w:color w:val="003B4F"/>
      <w:sz w:val="22"/>
      <w:szCs w:val="18"/>
      <w:shd w:val="clear" w:color="auto" w:fill="F1F3F5"/>
    </w:rPr>
  </w:style>
  <w:style w:type="character" w:customStyle="1" w:styleId="ExtensionTok">
    <w:name w:val="ExtensionTok"/>
    <w:basedOn w:val="VerbatimChar"/>
    <w:rPr>
      <w:rFonts w:ascii="Consolas" w:hAnsi="Consolas"/>
      <w:b/>
      <w:bCs/>
      <w:i/>
      <w:iCs/>
      <w:color w:val="003B4F"/>
      <w:sz w:val="22"/>
      <w:szCs w:val="18"/>
      <w:shd w:val="clear" w:color="auto" w:fill="F1F3F5"/>
    </w:rPr>
  </w:style>
  <w:style w:type="character" w:customStyle="1" w:styleId="PreprocessorTok">
    <w:name w:val="PreprocessorTok"/>
    <w:basedOn w:val="VerbatimChar"/>
    <w:rPr>
      <w:rFonts w:ascii="Consolas" w:hAnsi="Consolas"/>
      <w:b/>
      <w:bCs/>
      <w:i/>
      <w:iCs/>
      <w:color w:val="AD0000"/>
      <w:sz w:val="22"/>
      <w:szCs w:val="18"/>
      <w:shd w:val="clear" w:color="auto" w:fill="F1F3F5"/>
    </w:rPr>
  </w:style>
  <w:style w:type="character" w:customStyle="1" w:styleId="AttributeTok">
    <w:name w:val="AttributeTok"/>
    <w:basedOn w:val="VerbatimChar"/>
    <w:rPr>
      <w:rFonts w:ascii="Consolas" w:hAnsi="Consolas"/>
      <w:b/>
      <w:bCs/>
      <w:i/>
      <w:iCs/>
      <w:color w:val="657422"/>
      <w:sz w:val="22"/>
      <w:szCs w:val="18"/>
      <w:shd w:val="clear" w:color="auto" w:fill="F1F3F5"/>
    </w:rPr>
  </w:style>
  <w:style w:type="character" w:customStyle="1" w:styleId="RegionMarkerTok">
    <w:name w:val="RegionMarkerTok"/>
    <w:basedOn w:val="VerbatimChar"/>
    <w:rPr>
      <w:rFonts w:ascii="Consolas" w:hAnsi="Consolas"/>
      <w:b/>
      <w:bCs/>
      <w:i/>
      <w:iCs/>
      <w:color w:val="003B4F"/>
      <w:sz w:val="22"/>
      <w:szCs w:val="18"/>
      <w:shd w:val="clear" w:color="auto" w:fill="F1F3F5"/>
    </w:rPr>
  </w:style>
  <w:style w:type="character" w:customStyle="1" w:styleId="InformationTok">
    <w:name w:val="InformationTok"/>
    <w:basedOn w:val="VerbatimChar"/>
    <w:rPr>
      <w:rFonts w:ascii="Consolas" w:hAnsi="Consolas"/>
      <w:b/>
      <w:bCs/>
      <w:i/>
      <w:iCs/>
      <w:color w:val="5E5E5E"/>
      <w:sz w:val="22"/>
      <w:szCs w:val="18"/>
      <w:shd w:val="clear" w:color="auto" w:fill="F1F3F5"/>
    </w:rPr>
  </w:style>
  <w:style w:type="character" w:customStyle="1" w:styleId="WarningTok">
    <w:name w:val="WarningTok"/>
    <w:basedOn w:val="VerbatimChar"/>
    <w:rPr>
      <w:rFonts w:ascii="Consolas" w:hAnsi="Consolas"/>
      <w:b/>
      <w:bCs/>
      <w:i w:val="0"/>
      <w:iCs/>
      <w:color w:val="5E5E5E"/>
      <w:sz w:val="22"/>
      <w:szCs w:val="18"/>
      <w:shd w:val="clear" w:color="auto" w:fill="F1F3F5"/>
    </w:rPr>
  </w:style>
  <w:style w:type="character" w:customStyle="1" w:styleId="AlertTok">
    <w:name w:val="AlertTok"/>
    <w:basedOn w:val="VerbatimChar"/>
    <w:rPr>
      <w:rFonts w:ascii="Consolas" w:hAnsi="Consolas"/>
      <w:b/>
      <w:bCs/>
      <w:i/>
      <w:iCs/>
      <w:color w:val="AD0000"/>
      <w:sz w:val="22"/>
      <w:szCs w:val="18"/>
      <w:shd w:val="clear" w:color="auto" w:fill="F1F3F5"/>
    </w:rPr>
  </w:style>
  <w:style w:type="character" w:customStyle="1" w:styleId="ErrorTok">
    <w:name w:val="ErrorTok"/>
    <w:basedOn w:val="VerbatimChar"/>
    <w:rPr>
      <w:rFonts w:ascii="Consolas" w:hAnsi="Consolas"/>
      <w:b/>
      <w:bCs/>
      <w:i/>
      <w:iCs/>
      <w:color w:val="AD0000"/>
      <w:sz w:val="22"/>
      <w:szCs w:val="18"/>
      <w:shd w:val="clear" w:color="auto" w:fill="F1F3F5"/>
    </w:rPr>
  </w:style>
  <w:style w:type="character" w:customStyle="1" w:styleId="NormalTok">
    <w:name w:val="NormalTok"/>
    <w:basedOn w:val="VerbatimChar"/>
    <w:rPr>
      <w:rFonts w:ascii="Consolas" w:hAnsi="Consolas"/>
      <w:b/>
      <w:bCs/>
      <w:i/>
      <w:iCs/>
      <w:color w:val="003B4F"/>
      <w:sz w:val="22"/>
      <w:szCs w:val="18"/>
      <w:shd w:val="clear" w:color="auto" w:fill="F1F3F5"/>
    </w:rPr>
  </w:style>
  <w:style w:type="paragraph" w:styleId="TOC1">
    <w:name w:val="toc 1"/>
    <w:basedOn w:val="Normal"/>
    <w:next w:val="Normal"/>
    <w:autoRedefine/>
    <w:uiPriority w:val="39"/>
    <w:rsid w:val="006C037D"/>
    <w:pPr>
      <w:spacing w:before="120" w:after="0"/>
    </w:pPr>
    <w:rPr>
      <w:rFonts w:cs="Times New Roman"/>
      <w:b/>
      <w:bCs/>
      <w:sz w:val="24"/>
      <w:szCs w:val="28"/>
    </w:rPr>
  </w:style>
  <w:style w:type="paragraph" w:styleId="TOC2">
    <w:name w:val="toc 2"/>
    <w:basedOn w:val="Normal"/>
    <w:next w:val="Normal"/>
    <w:autoRedefine/>
    <w:uiPriority w:val="39"/>
    <w:rsid w:val="006C037D"/>
    <w:pPr>
      <w:spacing w:before="120" w:after="0"/>
      <w:ind w:left="200"/>
    </w:pPr>
    <w:rPr>
      <w:rFonts w:cs="Times New Roman"/>
      <w:b/>
      <w:bCs/>
      <w:i w:val="0"/>
      <w:iCs w:val="0"/>
      <w:sz w:val="22"/>
      <w:szCs w:val="26"/>
    </w:rPr>
  </w:style>
  <w:style w:type="character" w:customStyle="1" w:styleId="Heading1Char">
    <w:name w:val="Heading 1 Char"/>
    <w:basedOn w:val="DefaultParagraphFont"/>
    <w:link w:val="Heading1"/>
    <w:uiPriority w:val="9"/>
    <w:rsid w:val="00AA7351"/>
    <w:rPr>
      <w:rFonts w:asciiTheme="majorHAnsi" w:eastAsiaTheme="majorEastAsia" w:hAnsiTheme="majorHAnsi" w:cstheme="majorBidi"/>
      <w:b/>
      <w:bCs/>
      <w:i/>
      <w:iCs/>
      <w:color w:val="224E76" w:themeColor="accent2" w:themeShade="7F"/>
      <w:shd w:val="clear" w:color="auto" w:fill="DFEBF5" w:themeFill="accent2" w:themeFillTint="33"/>
    </w:rPr>
  </w:style>
  <w:style w:type="character" w:customStyle="1" w:styleId="BodyTextChar">
    <w:name w:val="Body Text Char"/>
    <w:basedOn w:val="DefaultParagraphFont"/>
    <w:link w:val="BodyText"/>
    <w:rsid w:val="006C037D"/>
    <w:rPr>
      <w:lang w:val="fr-CA"/>
    </w:rPr>
  </w:style>
  <w:style w:type="character" w:customStyle="1" w:styleId="Heading2Char">
    <w:name w:val="Heading 2 Char"/>
    <w:basedOn w:val="DefaultParagraphFont"/>
    <w:link w:val="Heading2"/>
    <w:uiPriority w:val="9"/>
    <w:rsid w:val="00AA7351"/>
    <w:rPr>
      <w:rFonts w:asciiTheme="majorHAnsi" w:eastAsiaTheme="majorEastAsia" w:hAnsiTheme="majorHAnsi" w:cstheme="majorBidi"/>
      <w:b/>
      <w:bCs/>
      <w:i/>
      <w:iCs/>
      <w:color w:val="3476B1" w:themeColor="accent2" w:themeShade="BF"/>
    </w:rPr>
  </w:style>
  <w:style w:type="character" w:customStyle="1" w:styleId="Heading3Char">
    <w:name w:val="Heading 3 Char"/>
    <w:basedOn w:val="DefaultParagraphFont"/>
    <w:link w:val="Heading3"/>
    <w:uiPriority w:val="9"/>
    <w:rsid w:val="00AA7351"/>
    <w:rPr>
      <w:rFonts w:asciiTheme="majorHAnsi" w:eastAsiaTheme="majorEastAsia" w:hAnsiTheme="majorHAnsi" w:cstheme="majorBidi"/>
      <w:b/>
      <w:bCs/>
      <w:i/>
      <w:iCs/>
      <w:color w:val="3476B1" w:themeColor="accent2" w:themeShade="BF"/>
    </w:rPr>
  </w:style>
  <w:style w:type="character" w:customStyle="1" w:styleId="Heading4Char">
    <w:name w:val="Heading 4 Char"/>
    <w:basedOn w:val="DefaultParagraphFont"/>
    <w:link w:val="Heading4"/>
    <w:uiPriority w:val="9"/>
    <w:rsid w:val="00AA7351"/>
    <w:rPr>
      <w:rFonts w:asciiTheme="majorHAnsi" w:eastAsiaTheme="majorEastAsia" w:hAnsiTheme="majorHAnsi" w:cstheme="majorBidi"/>
      <w:b/>
      <w:bCs/>
      <w:i/>
      <w:iCs/>
      <w:color w:val="3476B1" w:themeColor="accent2" w:themeShade="BF"/>
    </w:rPr>
  </w:style>
  <w:style w:type="character" w:customStyle="1" w:styleId="Heading5Char">
    <w:name w:val="Heading 5 Char"/>
    <w:basedOn w:val="DefaultParagraphFont"/>
    <w:link w:val="Heading5"/>
    <w:uiPriority w:val="9"/>
    <w:rsid w:val="00AA7351"/>
    <w:rPr>
      <w:rFonts w:asciiTheme="majorHAnsi" w:eastAsiaTheme="majorEastAsia" w:hAnsiTheme="majorHAnsi" w:cstheme="majorBidi"/>
      <w:b/>
      <w:bCs/>
      <w:i/>
      <w:iCs/>
      <w:color w:val="3476B1" w:themeColor="accent2" w:themeShade="BF"/>
    </w:rPr>
  </w:style>
  <w:style w:type="character" w:customStyle="1" w:styleId="Heading6Char">
    <w:name w:val="Heading 6 Char"/>
    <w:basedOn w:val="DefaultParagraphFont"/>
    <w:link w:val="Heading6"/>
    <w:uiPriority w:val="9"/>
    <w:rsid w:val="00AA7351"/>
    <w:rPr>
      <w:rFonts w:asciiTheme="majorHAnsi" w:eastAsiaTheme="majorEastAsia" w:hAnsiTheme="majorHAnsi" w:cstheme="majorBidi"/>
      <w:i/>
      <w:iCs/>
      <w:color w:val="3476B1" w:themeColor="accent2" w:themeShade="BF"/>
    </w:rPr>
  </w:style>
  <w:style w:type="character" w:customStyle="1" w:styleId="Heading7Char">
    <w:name w:val="Heading 7 Char"/>
    <w:basedOn w:val="DefaultParagraphFont"/>
    <w:link w:val="Heading7"/>
    <w:uiPriority w:val="9"/>
    <w:rsid w:val="00AA7351"/>
    <w:rPr>
      <w:rFonts w:asciiTheme="majorHAnsi" w:eastAsiaTheme="majorEastAsia" w:hAnsiTheme="majorHAnsi" w:cstheme="majorBidi"/>
      <w:i/>
      <w:iCs/>
      <w:color w:val="3476B1" w:themeColor="accent2" w:themeShade="BF"/>
    </w:rPr>
  </w:style>
  <w:style w:type="character" w:customStyle="1" w:styleId="Heading8Char">
    <w:name w:val="Heading 8 Char"/>
    <w:basedOn w:val="DefaultParagraphFont"/>
    <w:link w:val="Heading8"/>
    <w:uiPriority w:val="9"/>
    <w:rsid w:val="00AA7351"/>
    <w:rPr>
      <w:rFonts w:asciiTheme="majorHAnsi" w:eastAsiaTheme="majorEastAsia" w:hAnsiTheme="majorHAnsi" w:cstheme="majorBidi"/>
      <w:i/>
      <w:iCs/>
      <w:color w:val="629DD1" w:themeColor="accent2"/>
    </w:rPr>
  </w:style>
  <w:style w:type="character" w:customStyle="1" w:styleId="Heading9Char">
    <w:name w:val="Heading 9 Char"/>
    <w:basedOn w:val="DefaultParagraphFont"/>
    <w:link w:val="Heading9"/>
    <w:uiPriority w:val="9"/>
    <w:rsid w:val="00AA7351"/>
    <w:rPr>
      <w:rFonts w:asciiTheme="majorHAnsi" w:eastAsiaTheme="majorEastAsia" w:hAnsiTheme="majorHAnsi" w:cstheme="majorBidi"/>
      <w:i/>
      <w:iCs/>
      <w:color w:val="629DD1" w:themeColor="accent2"/>
      <w:sz w:val="20"/>
      <w:szCs w:val="20"/>
    </w:rPr>
  </w:style>
  <w:style w:type="character" w:customStyle="1" w:styleId="TitleChar">
    <w:name w:val="Title Char"/>
    <w:basedOn w:val="DefaultParagraphFont"/>
    <w:link w:val="Title"/>
    <w:uiPriority w:val="10"/>
    <w:rsid w:val="00AA7351"/>
    <w:rPr>
      <w:rFonts w:asciiTheme="majorHAnsi" w:eastAsiaTheme="majorEastAsia" w:hAnsiTheme="majorHAnsi" w:cstheme="majorBidi"/>
      <w:i/>
      <w:iCs/>
      <w:color w:val="FFFFFF" w:themeColor="background1"/>
      <w:spacing w:val="10"/>
      <w:sz w:val="48"/>
      <w:szCs w:val="48"/>
      <w:shd w:val="clear" w:color="auto" w:fill="629DD1" w:themeFill="accent2"/>
    </w:rPr>
  </w:style>
  <w:style w:type="character" w:customStyle="1" w:styleId="SubtitleChar">
    <w:name w:val="Subtitle Char"/>
    <w:basedOn w:val="DefaultParagraphFont"/>
    <w:link w:val="Subtitle"/>
    <w:uiPriority w:val="11"/>
    <w:rsid w:val="00AA7351"/>
    <w:rPr>
      <w:rFonts w:asciiTheme="majorHAnsi" w:eastAsiaTheme="majorEastAsia" w:hAnsiTheme="majorHAnsi" w:cstheme="majorBidi"/>
      <w:i/>
      <w:iCs/>
      <w:color w:val="224E76" w:themeColor="accent2" w:themeShade="7F"/>
      <w:sz w:val="24"/>
      <w:szCs w:val="24"/>
    </w:rPr>
  </w:style>
  <w:style w:type="character" w:styleId="Strong">
    <w:name w:val="Strong"/>
    <w:uiPriority w:val="22"/>
    <w:qFormat/>
    <w:rsid w:val="00AA7351"/>
    <w:rPr>
      <w:b/>
      <w:bCs/>
      <w:spacing w:val="0"/>
    </w:rPr>
  </w:style>
  <w:style w:type="character" w:styleId="Emphasis">
    <w:name w:val="Emphasis"/>
    <w:uiPriority w:val="20"/>
    <w:qFormat/>
    <w:rsid w:val="00AA7351"/>
    <w:rPr>
      <w:rFonts w:asciiTheme="majorHAnsi" w:eastAsiaTheme="majorEastAsia" w:hAnsiTheme="majorHAnsi" w:cstheme="majorBidi"/>
      <w:b/>
      <w:bCs/>
      <w:i/>
      <w:iCs/>
      <w:color w:val="629DD1" w:themeColor="accent2"/>
      <w:bdr w:val="single" w:sz="18" w:space="0" w:color="DFEBF5" w:themeColor="accent2" w:themeTint="33"/>
      <w:shd w:val="clear" w:color="auto" w:fill="DFEBF5" w:themeFill="accent2" w:themeFillTint="33"/>
    </w:rPr>
  </w:style>
  <w:style w:type="paragraph" w:styleId="NoSpacing">
    <w:name w:val="No Spacing"/>
    <w:basedOn w:val="Normal"/>
    <w:link w:val="NoSpacingChar"/>
    <w:uiPriority w:val="1"/>
    <w:qFormat/>
    <w:rsid w:val="00AA7351"/>
    <w:pPr>
      <w:spacing w:after="0" w:line="240" w:lineRule="auto"/>
    </w:pPr>
  </w:style>
  <w:style w:type="character" w:customStyle="1" w:styleId="NoSpacingChar">
    <w:name w:val="No Spacing Char"/>
    <w:basedOn w:val="DefaultParagraphFont"/>
    <w:link w:val="NoSpacing"/>
    <w:uiPriority w:val="1"/>
    <w:rsid w:val="006C037D"/>
    <w:rPr>
      <w:i/>
      <w:iCs/>
      <w:sz w:val="20"/>
      <w:szCs w:val="20"/>
    </w:rPr>
  </w:style>
  <w:style w:type="paragraph" w:styleId="ListParagraph">
    <w:name w:val="List Paragraph"/>
    <w:basedOn w:val="Normal"/>
    <w:uiPriority w:val="34"/>
    <w:qFormat/>
    <w:rsid w:val="00AA7351"/>
    <w:pPr>
      <w:ind w:left="720"/>
      <w:contextualSpacing/>
    </w:pPr>
  </w:style>
  <w:style w:type="paragraph" w:styleId="Quote">
    <w:name w:val="Quote"/>
    <w:basedOn w:val="Normal"/>
    <w:next w:val="Normal"/>
    <w:link w:val="QuoteChar"/>
    <w:uiPriority w:val="29"/>
    <w:qFormat/>
    <w:rsid w:val="00AA7351"/>
    <w:rPr>
      <w:i w:val="0"/>
      <w:iCs w:val="0"/>
      <w:color w:val="3476B1" w:themeColor="accent2" w:themeShade="BF"/>
    </w:rPr>
  </w:style>
  <w:style w:type="character" w:customStyle="1" w:styleId="QuoteChar">
    <w:name w:val="Quote Char"/>
    <w:basedOn w:val="DefaultParagraphFont"/>
    <w:link w:val="Quote"/>
    <w:uiPriority w:val="29"/>
    <w:rsid w:val="00AA7351"/>
    <w:rPr>
      <w:color w:val="3476B1" w:themeColor="accent2" w:themeShade="BF"/>
      <w:sz w:val="20"/>
      <w:szCs w:val="20"/>
    </w:rPr>
  </w:style>
  <w:style w:type="paragraph" w:styleId="IntenseQuote">
    <w:name w:val="Intense Quote"/>
    <w:basedOn w:val="Normal"/>
    <w:next w:val="Normal"/>
    <w:link w:val="IntenseQuoteChar"/>
    <w:uiPriority w:val="30"/>
    <w:qFormat/>
    <w:rsid w:val="00AA7351"/>
    <w:pPr>
      <w:pBdr>
        <w:top w:val="dotted" w:sz="8" w:space="10" w:color="629DD1" w:themeColor="accent2"/>
        <w:bottom w:val="dotted" w:sz="8" w:space="10" w:color="629DD1" w:themeColor="accent2"/>
      </w:pBdr>
      <w:spacing w:line="300" w:lineRule="auto"/>
      <w:ind w:left="2160" w:right="2160"/>
      <w:jc w:val="center"/>
    </w:pPr>
    <w:rPr>
      <w:rFonts w:asciiTheme="majorHAnsi" w:eastAsiaTheme="majorEastAsia" w:hAnsiTheme="majorHAnsi" w:cstheme="majorBidi"/>
      <w:b/>
      <w:bCs/>
      <w:color w:val="629DD1" w:themeColor="accent2"/>
    </w:rPr>
  </w:style>
  <w:style w:type="character" w:customStyle="1" w:styleId="IntenseQuoteChar">
    <w:name w:val="Intense Quote Char"/>
    <w:basedOn w:val="DefaultParagraphFont"/>
    <w:link w:val="IntenseQuote"/>
    <w:uiPriority w:val="30"/>
    <w:rsid w:val="00AA7351"/>
    <w:rPr>
      <w:rFonts w:asciiTheme="majorHAnsi" w:eastAsiaTheme="majorEastAsia" w:hAnsiTheme="majorHAnsi" w:cstheme="majorBidi"/>
      <w:b/>
      <w:bCs/>
      <w:i/>
      <w:iCs/>
      <w:color w:val="629DD1" w:themeColor="accent2"/>
      <w:sz w:val="20"/>
      <w:szCs w:val="20"/>
    </w:rPr>
  </w:style>
  <w:style w:type="character" w:styleId="SubtleEmphasis">
    <w:name w:val="Subtle Emphasis"/>
    <w:uiPriority w:val="19"/>
    <w:qFormat/>
    <w:rsid w:val="00AA7351"/>
    <w:rPr>
      <w:rFonts w:asciiTheme="majorHAnsi" w:eastAsiaTheme="majorEastAsia" w:hAnsiTheme="majorHAnsi" w:cstheme="majorBidi"/>
      <w:i/>
      <w:iCs/>
      <w:color w:val="629DD1" w:themeColor="accent2"/>
    </w:rPr>
  </w:style>
  <w:style w:type="character" w:styleId="IntenseEmphasis">
    <w:name w:val="Intense Emphasis"/>
    <w:uiPriority w:val="21"/>
    <w:qFormat/>
    <w:rsid w:val="00AA7351"/>
    <w:rPr>
      <w:rFonts w:asciiTheme="majorHAnsi" w:eastAsiaTheme="majorEastAsia" w:hAnsiTheme="majorHAnsi" w:cstheme="majorBidi"/>
      <w:b/>
      <w:bCs/>
      <w:i/>
      <w:iCs/>
      <w:dstrike w:val="0"/>
      <w:color w:val="FFFFFF" w:themeColor="background1"/>
      <w:bdr w:val="single" w:sz="18" w:space="0" w:color="629DD1" w:themeColor="accent2"/>
      <w:shd w:val="clear" w:color="auto" w:fill="629DD1" w:themeFill="accent2"/>
      <w:vertAlign w:val="baseline"/>
    </w:rPr>
  </w:style>
  <w:style w:type="character" w:styleId="SubtleReference">
    <w:name w:val="Subtle Reference"/>
    <w:uiPriority w:val="31"/>
    <w:qFormat/>
    <w:rsid w:val="00AA7351"/>
    <w:rPr>
      <w:i/>
      <w:iCs/>
      <w:smallCaps/>
      <w:color w:val="629DD1" w:themeColor="accent2"/>
      <w:u w:color="629DD1" w:themeColor="accent2"/>
    </w:rPr>
  </w:style>
  <w:style w:type="character" w:styleId="IntenseReference">
    <w:name w:val="Intense Reference"/>
    <w:uiPriority w:val="32"/>
    <w:qFormat/>
    <w:rsid w:val="00AA7351"/>
    <w:rPr>
      <w:b/>
      <w:bCs/>
      <w:i/>
      <w:iCs/>
      <w:smallCaps/>
      <w:color w:val="629DD1" w:themeColor="accent2"/>
      <w:u w:color="629DD1" w:themeColor="accent2"/>
    </w:rPr>
  </w:style>
  <w:style w:type="character" w:styleId="BookTitle">
    <w:name w:val="Book Title"/>
    <w:uiPriority w:val="33"/>
    <w:qFormat/>
    <w:rsid w:val="00AA7351"/>
    <w:rPr>
      <w:rFonts w:asciiTheme="majorHAnsi" w:eastAsiaTheme="majorEastAsia" w:hAnsiTheme="majorHAnsi" w:cstheme="majorBidi"/>
      <w:b/>
      <w:bCs/>
      <w:i/>
      <w:iCs/>
      <w:smallCaps/>
      <w:color w:val="3476B1" w:themeColor="accent2" w:themeShade="BF"/>
      <w:u w:val="single"/>
    </w:rPr>
  </w:style>
  <w:style w:type="table" w:styleId="GridTable2-Accent1">
    <w:name w:val="Grid Table 2 Accent 1"/>
    <w:basedOn w:val="TableNormal"/>
    <w:uiPriority w:val="47"/>
    <w:rsid w:val="006C037D"/>
    <w:pPr>
      <w:spacing w:after="0" w:line="240" w:lineRule="auto"/>
    </w:pPr>
    <w:tblPr>
      <w:tblStyleRowBandSize w:val="1"/>
      <w:tblStyleColBandSize w:val="1"/>
      <w:tblBorders>
        <w:top w:val="single" w:sz="2" w:space="0" w:color="90A1CF" w:themeColor="accent1" w:themeTint="99"/>
        <w:bottom w:val="single" w:sz="2" w:space="0" w:color="90A1CF" w:themeColor="accent1" w:themeTint="99"/>
        <w:insideH w:val="single" w:sz="2" w:space="0" w:color="90A1CF" w:themeColor="accent1" w:themeTint="99"/>
        <w:insideV w:val="single" w:sz="2" w:space="0" w:color="90A1CF" w:themeColor="accent1" w:themeTint="99"/>
      </w:tblBorders>
    </w:tblPr>
    <w:tblStylePr w:type="firstRow">
      <w:rPr>
        <w:b/>
        <w:bCs/>
      </w:rPr>
      <w:tblPr/>
      <w:tcPr>
        <w:tcBorders>
          <w:top w:val="nil"/>
          <w:bottom w:val="single" w:sz="12" w:space="0" w:color="90A1CF" w:themeColor="accent1" w:themeTint="99"/>
          <w:insideH w:val="nil"/>
          <w:insideV w:val="nil"/>
        </w:tcBorders>
        <w:shd w:val="clear" w:color="auto" w:fill="FFFFFF" w:themeFill="background1"/>
      </w:tcPr>
    </w:tblStylePr>
    <w:tblStylePr w:type="lastRow">
      <w:rPr>
        <w:b/>
        <w:bCs/>
      </w:rPr>
      <w:tblPr/>
      <w:tcPr>
        <w:tcBorders>
          <w:top w:val="double" w:sz="2" w:space="0" w:color="90A1C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TOC3">
    <w:name w:val="toc 3"/>
    <w:basedOn w:val="Normal"/>
    <w:next w:val="Normal"/>
    <w:autoRedefine/>
    <w:uiPriority w:val="39"/>
    <w:rsid w:val="00AA7351"/>
    <w:pPr>
      <w:spacing w:after="0"/>
      <w:ind w:left="400"/>
    </w:pPr>
    <w:rPr>
      <w:rFonts w:cs="Times New Roman"/>
      <w:i w:val="0"/>
      <w:iCs w:val="0"/>
      <w:szCs w:val="24"/>
    </w:rPr>
  </w:style>
  <w:style w:type="paragraph" w:styleId="TOC4">
    <w:name w:val="toc 4"/>
    <w:basedOn w:val="Normal"/>
    <w:next w:val="Normal"/>
    <w:autoRedefine/>
    <w:rsid w:val="00AA7351"/>
    <w:pPr>
      <w:spacing w:after="0"/>
      <w:ind w:left="600"/>
    </w:pPr>
    <w:rPr>
      <w:rFonts w:cs="Times New Roman"/>
      <w:i w:val="0"/>
      <w:iCs w:val="0"/>
      <w:szCs w:val="24"/>
    </w:rPr>
  </w:style>
  <w:style w:type="paragraph" w:styleId="TOC5">
    <w:name w:val="toc 5"/>
    <w:basedOn w:val="Normal"/>
    <w:next w:val="Normal"/>
    <w:autoRedefine/>
    <w:rsid w:val="00AA7351"/>
    <w:pPr>
      <w:spacing w:after="0"/>
      <w:ind w:left="800"/>
    </w:pPr>
    <w:rPr>
      <w:rFonts w:cs="Times New Roman"/>
      <w:i w:val="0"/>
      <w:iCs w:val="0"/>
      <w:szCs w:val="24"/>
    </w:rPr>
  </w:style>
  <w:style w:type="paragraph" w:styleId="TOC6">
    <w:name w:val="toc 6"/>
    <w:basedOn w:val="Normal"/>
    <w:next w:val="Normal"/>
    <w:autoRedefine/>
    <w:rsid w:val="00AA7351"/>
    <w:pPr>
      <w:spacing w:after="0"/>
      <w:ind w:left="1000"/>
    </w:pPr>
    <w:rPr>
      <w:rFonts w:cs="Times New Roman"/>
      <w:i w:val="0"/>
      <w:iCs w:val="0"/>
      <w:szCs w:val="24"/>
    </w:rPr>
  </w:style>
  <w:style w:type="paragraph" w:styleId="TOC7">
    <w:name w:val="toc 7"/>
    <w:basedOn w:val="Normal"/>
    <w:next w:val="Normal"/>
    <w:autoRedefine/>
    <w:rsid w:val="00AA7351"/>
    <w:pPr>
      <w:spacing w:after="0"/>
      <w:ind w:left="1200"/>
    </w:pPr>
    <w:rPr>
      <w:rFonts w:cs="Times New Roman"/>
      <w:i w:val="0"/>
      <w:iCs w:val="0"/>
      <w:szCs w:val="24"/>
    </w:rPr>
  </w:style>
  <w:style w:type="paragraph" w:styleId="TOC8">
    <w:name w:val="toc 8"/>
    <w:basedOn w:val="Normal"/>
    <w:next w:val="Normal"/>
    <w:autoRedefine/>
    <w:rsid w:val="00AA7351"/>
    <w:pPr>
      <w:spacing w:after="0"/>
      <w:ind w:left="1400"/>
    </w:pPr>
    <w:rPr>
      <w:rFonts w:cs="Times New Roman"/>
      <w:i w:val="0"/>
      <w:iCs w:val="0"/>
      <w:szCs w:val="24"/>
    </w:rPr>
  </w:style>
  <w:style w:type="paragraph" w:styleId="TOC9">
    <w:name w:val="toc 9"/>
    <w:basedOn w:val="Normal"/>
    <w:next w:val="Normal"/>
    <w:autoRedefine/>
    <w:rsid w:val="00AA7351"/>
    <w:pPr>
      <w:spacing w:after="0"/>
      <w:ind w:left="1600"/>
    </w:pPr>
    <w:rPr>
      <w:rFonts w:cs="Times New Roman"/>
      <w:i w:val="0"/>
      <w:iCs w:val="0"/>
      <w:szCs w:val="24"/>
    </w:rPr>
  </w:style>
  <w:style w:type="paragraph" w:customStyle="1" w:styleId="headAOD">
    <w:name w:val="head AOD"/>
    <w:basedOn w:val="Heading1"/>
    <w:qFormat/>
    <w:rsid w:val="00AA7351"/>
    <w:rPr>
      <w:rFonts w:asciiTheme="minorHAnsi" w:hAnsiTheme="minorHAnsi"/>
      <w:sz w:val="36"/>
    </w:rPr>
  </w:style>
  <w:style w:type="table" w:styleId="PlainTable1">
    <w:name w:val="Plain Table 1"/>
    <w:basedOn w:val="TableNormal"/>
    <w:rsid w:val="00AA73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8440F2"/>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4-Accent1">
    <w:name w:val="Grid Table 4 Accent 1"/>
    <w:basedOn w:val="TableNormal"/>
    <w:uiPriority w:val="49"/>
    <w:rsid w:val="00A92406"/>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4-Accent2">
    <w:name w:val="Grid Table 4 Accent 2"/>
    <w:basedOn w:val="TableNormal"/>
    <w:uiPriority w:val="49"/>
    <w:rsid w:val="00A92406"/>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GridTable3-Accent3">
    <w:name w:val="Grid Table 3 Accent 3"/>
    <w:basedOn w:val="TableNormal"/>
    <w:uiPriority w:val="48"/>
    <w:rsid w:val="00A92406"/>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PlainTable2">
    <w:name w:val="Plain Table 2"/>
    <w:basedOn w:val="TableNormal"/>
    <w:rsid w:val="007521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rsid w:val="0061492D"/>
    <w:rPr>
      <w:color w:val="808080"/>
    </w:rPr>
  </w:style>
  <w:style w:type="table" w:styleId="TableGridLight">
    <w:name w:val="Grid Table Light"/>
    <w:basedOn w:val="TableNormal"/>
    <w:rsid w:val="0061492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rsid w:val="006149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E53985"/>
    <w:rPr>
      <w:color w:val="3EBBF0" w:themeColor="followedHyperlink"/>
      <w:u w:val="single"/>
    </w:rPr>
  </w:style>
  <w:style w:type="table" w:styleId="GridTable2">
    <w:name w:val="Grid Table 2"/>
    <w:basedOn w:val="TableNormal"/>
    <w:rsid w:val="008E2C0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5">
    <w:name w:val="Plain Table 5"/>
    <w:basedOn w:val="TableNormal"/>
    <w:rsid w:val="008E2C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rsid w:val="008E2C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
    <w:name w:val="Grid Table 3"/>
    <w:basedOn w:val="TableNormal"/>
    <w:rsid w:val="008E2C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Accent4">
    <w:name w:val="Grid Table 1 Light Accent 4"/>
    <w:basedOn w:val="TableNormal"/>
    <w:uiPriority w:val="46"/>
    <w:rsid w:val="008E2C01"/>
    <w:pPr>
      <w:spacing w:after="0" w:line="240" w:lineRule="auto"/>
    </w:pPr>
    <w:tblPr>
      <w:tblStyleRowBandSize w:val="1"/>
      <w:tblStyleColBandSize w:val="1"/>
      <w:tblBorders>
        <w:top w:val="single" w:sz="4" w:space="0" w:color="CBD2DC" w:themeColor="accent4" w:themeTint="66"/>
        <w:left w:val="single" w:sz="4" w:space="0" w:color="CBD2DC" w:themeColor="accent4" w:themeTint="66"/>
        <w:bottom w:val="single" w:sz="4" w:space="0" w:color="CBD2DC" w:themeColor="accent4" w:themeTint="66"/>
        <w:right w:val="single" w:sz="4" w:space="0" w:color="CBD2DC" w:themeColor="accent4" w:themeTint="66"/>
        <w:insideH w:val="single" w:sz="4" w:space="0" w:color="CBD2DC" w:themeColor="accent4" w:themeTint="66"/>
        <w:insideV w:val="single" w:sz="4" w:space="0" w:color="CBD2DC" w:themeColor="accent4" w:themeTint="66"/>
      </w:tblBorders>
    </w:tblPr>
    <w:tblStylePr w:type="firstRow">
      <w:rPr>
        <w:b/>
        <w:bCs/>
      </w:rPr>
      <w:tblPr/>
      <w:tcPr>
        <w:tcBorders>
          <w:bottom w:val="single" w:sz="12" w:space="0" w:color="B2BBCB" w:themeColor="accent4" w:themeTint="99"/>
        </w:tcBorders>
      </w:tcPr>
    </w:tblStylePr>
    <w:tblStylePr w:type="lastRow">
      <w:rPr>
        <w:b/>
        <w:bCs/>
      </w:rPr>
      <w:tblPr/>
      <w:tcPr>
        <w:tcBorders>
          <w:top w:val="double" w:sz="2" w:space="0" w:color="B2BBCB" w:themeColor="accent4"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8E2C01"/>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95466">
      <w:bodyDiv w:val="1"/>
      <w:marLeft w:val="0"/>
      <w:marRight w:val="0"/>
      <w:marTop w:val="0"/>
      <w:marBottom w:val="0"/>
      <w:divBdr>
        <w:top w:val="none" w:sz="0" w:space="0" w:color="auto"/>
        <w:left w:val="none" w:sz="0" w:space="0" w:color="auto"/>
        <w:bottom w:val="none" w:sz="0" w:space="0" w:color="auto"/>
        <w:right w:val="none" w:sz="0" w:space="0" w:color="auto"/>
      </w:divBdr>
    </w:div>
    <w:div w:id="513303984">
      <w:bodyDiv w:val="1"/>
      <w:marLeft w:val="0"/>
      <w:marRight w:val="0"/>
      <w:marTop w:val="0"/>
      <w:marBottom w:val="0"/>
      <w:divBdr>
        <w:top w:val="none" w:sz="0" w:space="0" w:color="auto"/>
        <w:left w:val="none" w:sz="0" w:space="0" w:color="auto"/>
        <w:bottom w:val="none" w:sz="0" w:space="0" w:color="auto"/>
        <w:right w:val="none" w:sz="0" w:space="0" w:color="auto"/>
      </w:divBdr>
      <w:divsChild>
        <w:div w:id="216859759">
          <w:marLeft w:val="0"/>
          <w:marRight w:val="0"/>
          <w:marTop w:val="0"/>
          <w:marBottom w:val="0"/>
          <w:divBdr>
            <w:top w:val="none" w:sz="0" w:space="0" w:color="auto"/>
            <w:left w:val="none" w:sz="0" w:space="0" w:color="auto"/>
            <w:bottom w:val="none" w:sz="0" w:space="0" w:color="auto"/>
            <w:right w:val="none" w:sz="0" w:space="0" w:color="auto"/>
          </w:divBdr>
          <w:divsChild>
            <w:div w:id="1125927635">
              <w:marLeft w:val="0"/>
              <w:marRight w:val="0"/>
              <w:marTop w:val="0"/>
              <w:marBottom w:val="0"/>
              <w:divBdr>
                <w:top w:val="none" w:sz="0" w:space="0" w:color="auto"/>
                <w:left w:val="none" w:sz="0" w:space="0" w:color="auto"/>
                <w:bottom w:val="none" w:sz="0" w:space="0" w:color="auto"/>
                <w:right w:val="none" w:sz="0" w:space="0" w:color="auto"/>
              </w:divBdr>
              <w:divsChild>
                <w:div w:id="8750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18645">
      <w:bodyDiv w:val="1"/>
      <w:marLeft w:val="0"/>
      <w:marRight w:val="0"/>
      <w:marTop w:val="0"/>
      <w:marBottom w:val="0"/>
      <w:divBdr>
        <w:top w:val="none" w:sz="0" w:space="0" w:color="auto"/>
        <w:left w:val="none" w:sz="0" w:space="0" w:color="auto"/>
        <w:bottom w:val="none" w:sz="0" w:space="0" w:color="auto"/>
        <w:right w:val="none" w:sz="0" w:space="0" w:color="auto"/>
      </w:divBdr>
    </w:div>
    <w:div w:id="19372066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https://shiny.posit.co/" TargetMode="External"/><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rinterface.github.io/bs4Dash/index.html"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https://www.atlas-mag.net/article/marche-africain-de-l-assurance-en-2019-chiffre-d-affaires-des-principaux-pays" TargetMode="External"/><Relationship Id="rId3" Type="http://schemas.openxmlformats.org/officeDocument/2006/relationships/styles" Target="styles.xml"/><Relationship Id="rId12" Type="http://schemas.openxmlformats.org/officeDocument/2006/relationships/hyperlink" Target="https://www.bkam.ma/Marches/Principaux-indicateurs/Marche-obligataire/Marche-des-bons-de-tresor/Marche-secondaire/Taux-de-reference-des-bons-du-tresor?date=23%2F03%2F2023&amp;block=e1d6b9bbf87f86f8ba53e8518e882982"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footnotes.xml.rels><?xml version="1.0" encoding="UTF-8" standalone="yes"?>
<Relationships xmlns="http://schemas.openxmlformats.org/package/2006/relationships"><Relationship Id="rId1" Type="http://schemas.openxmlformats.org/officeDocument/2006/relationships/hyperlink" Target="https://fnh.ma/article/actualite-financiere-maroc/assurances-sbr-un-projet-de-circulaire-en-preparation"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CBAF7515-7C51-4E42-A1D9-D73C28651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91</Pages>
  <Words>20713</Words>
  <Characters>118067</Characters>
  <Application>Microsoft Office Word</Application>
  <DocSecurity>0</DocSecurity>
  <Lines>983</Lines>
  <Paragraphs>277</Paragraphs>
  <ScaleCrop>false</ScaleCrop>
  <HeadingPairs>
    <vt:vector size="2" baseType="variant">
      <vt:variant>
        <vt:lpstr>Title</vt:lpstr>
      </vt:variant>
      <vt:variant>
        <vt:i4>1</vt:i4>
      </vt:variant>
    </vt:vector>
  </HeadingPairs>
  <TitlesOfParts>
    <vt:vector size="1" baseType="lpstr">
      <vt:lpstr>Solvabilité Basée sur les Risques (SBR), Application de calcul des Provisions Prudentielles et du Capital de Solvabilité Requis en assurance vie et non-vie</vt:lpstr>
    </vt:vector>
  </TitlesOfParts>
  <Company/>
  <LinksUpToDate>false</LinksUpToDate>
  <CharactersWithSpaces>138503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Solvabilité Basée sur les Risques (SBR), Application de calcul des Provisions Prudentielles et du Capital de Solvabilité Requis en assurance vie et non-vie</dc:title>
  <dc:creator>DIAKITE Abdoul Oudouss, ETTADLAOUI Othmane</dc:creator>
  <cp:keywords/>
  <cp:lastModifiedBy>Abdoul Oudouss Diakité</cp:lastModifiedBy>
  <cp:revision>3</cp:revision>
  <dcterms:created xsi:type="dcterms:W3CDTF">2023-06-14T14:35:00Z</dcterms:created>
  <dcterms:modified xsi:type="dcterms:W3CDTF">2023-06-14T17:33:00Z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lof">
    <vt:lpwstr>True</vt:lpwstr>
  </property>
  <property fmtid="{D5CDD505-2E9C-101B-9397-08002B2CF9AE}" pid="10" name="lot">
    <vt:lpwstr>True</vt:lpwstr>
  </property>
  <property fmtid="{D5CDD505-2E9C-101B-9397-08002B2CF9AE}" pid="11" name="number-depth">
    <vt:lpwstr>2</vt:lpwstr>
  </property>
  <property fmtid="{D5CDD505-2E9C-101B-9397-08002B2CF9AE}" pid="12" name="toc-title">
    <vt:lpwstr>Table of contents</vt:lpwstr>
  </property>
</Properties>
</file>