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C8894" w14:textId="252C04EC" w:rsidR="00B955C2" w:rsidRDefault="00B955C2" w:rsidP="00B955C2">
      <w:r>
        <w:t>CAN 控制器根据两根线上的电位差来判断总线电平。</w:t>
      </w:r>
      <w:r>
        <w:rPr>
          <w:rFonts w:hint="eastAsia"/>
        </w:rPr>
        <w:t>发送方通过使总线电平发生变化，将消息发送给接收方。</w:t>
      </w:r>
      <w:r>
        <w:t>CAN 协议具有以下特点：</w:t>
      </w:r>
    </w:p>
    <w:p w14:paraId="703B49E0" w14:textId="49CAE540" w:rsidR="00B955C2" w:rsidRDefault="00B955C2" w:rsidP="00B955C2">
      <w:r>
        <w:t>1） 。 多主控制。在总线空闲时，所有单元都可以发送消息（多主控制），而两个以上的单元</w:t>
      </w:r>
      <w:r>
        <w:rPr>
          <w:rFonts w:hint="eastAsia"/>
        </w:rPr>
        <w:t>同时开始发送消息时，根据标识符（</w:t>
      </w:r>
      <w:r>
        <w:t>Identifier 以下称为 ID）决定优先级。ID 并不是</w:t>
      </w:r>
      <w:r>
        <w:rPr>
          <w:rFonts w:hint="eastAsia"/>
        </w:rPr>
        <w:t>表示发送的目的地址，而是表示访问总线的消息的优先级。两个以上的单元同时开始发送消息时，对各消息</w:t>
      </w:r>
      <w:r>
        <w:t xml:space="preserve"> ID 的每个位进行逐个仲裁比较。</w:t>
      </w:r>
      <w:r w:rsidRPr="00652DAD">
        <w:rPr>
          <w:color w:val="FF0000"/>
        </w:rPr>
        <w:t>仲裁获胜（被判定为优先级</w:t>
      </w:r>
      <w:r w:rsidRPr="00652DAD">
        <w:rPr>
          <w:rFonts w:hint="eastAsia"/>
          <w:color w:val="FF0000"/>
        </w:rPr>
        <w:t>最高）的单元可继续发送消息，仲裁失利的单元则立刻停止发送而进行接收工作</w:t>
      </w:r>
      <w:r>
        <w:rPr>
          <w:rFonts w:hint="eastAsia"/>
        </w:rPr>
        <w:t>。</w:t>
      </w:r>
    </w:p>
    <w:p w14:paraId="2D8E10CF" w14:textId="236717BC" w:rsidR="00B955C2" w:rsidRPr="00652DAD" w:rsidRDefault="00B955C2" w:rsidP="00B955C2">
      <w:pPr>
        <w:rPr>
          <w:color w:val="FF0000"/>
        </w:rPr>
      </w:pPr>
      <w:r>
        <w:t>2）  系统的柔软性。与总线相连的单元没有类似于“地址”的信息。</w:t>
      </w:r>
      <w:r w:rsidRPr="00652DAD">
        <w:rPr>
          <w:color w:val="FF0000"/>
        </w:rPr>
        <w:t>因此在总线上增加单</w:t>
      </w:r>
    </w:p>
    <w:p w14:paraId="3E27A78C" w14:textId="77777777" w:rsidR="00B955C2" w:rsidRDefault="00B955C2" w:rsidP="00B955C2">
      <w:r w:rsidRPr="00652DAD">
        <w:rPr>
          <w:rFonts w:hint="eastAsia"/>
          <w:color w:val="FF0000"/>
        </w:rPr>
        <w:t>元时，连接在总线上的其它单元的软硬件及应用层都不需要改变</w:t>
      </w:r>
      <w:r>
        <w:rPr>
          <w:rFonts w:hint="eastAsia"/>
        </w:rPr>
        <w:t>。</w:t>
      </w:r>
    </w:p>
    <w:p w14:paraId="262C00A9" w14:textId="121B01A4" w:rsidR="00B955C2" w:rsidRDefault="00B955C2" w:rsidP="00B955C2">
      <w:r>
        <w:t>3）  通信速度较快，通信距离远。</w:t>
      </w:r>
      <w:r w:rsidRPr="00652DAD">
        <w:rPr>
          <w:color w:val="FF0000"/>
        </w:rPr>
        <w:t>最高 1Mbps（距离小于 40M），最远可达 10KM（速率低</w:t>
      </w:r>
      <w:r w:rsidRPr="00652DAD">
        <w:rPr>
          <w:rFonts w:hint="eastAsia"/>
          <w:color w:val="FF0000"/>
        </w:rPr>
        <w:t>于</w:t>
      </w:r>
      <w:r w:rsidRPr="00652DAD">
        <w:rPr>
          <w:color w:val="FF0000"/>
        </w:rPr>
        <w:t xml:space="preserve"> 5Kbps）</w:t>
      </w:r>
      <w:r>
        <w:t>。</w:t>
      </w:r>
    </w:p>
    <w:p w14:paraId="50023C47" w14:textId="22867F5C" w:rsidR="00B955C2" w:rsidRDefault="00B955C2" w:rsidP="00B955C2">
      <w:r>
        <w:t>4）具有错误检测、错误通知和错误恢复功能。所有单元都可以检测错误（错误检测功能），</w:t>
      </w:r>
      <w:r>
        <w:rPr>
          <w:rFonts w:hint="eastAsia"/>
        </w:rPr>
        <w:t>检测出错误的单元会立即同时通知其他所有单元（错误通知功能），正在发送消息的单元一旦检测出错误，会强制结束当前的发送。强制结束发送的单元会不断反复地重新发送此消息直到成功发送为止（错误恢复功能）。</w:t>
      </w:r>
    </w:p>
    <w:p w14:paraId="0DE42918" w14:textId="0A90A01F" w:rsidR="00B955C2" w:rsidRDefault="00B955C2" w:rsidP="00B955C2">
      <w:r>
        <w:t>5） 。 故障封闭功能。CAN 可以判断出错误的类型是总线上暂时的数据错误（如外部噪声等）</w:t>
      </w:r>
      <w:r>
        <w:rPr>
          <w:rFonts w:hint="eastAsia"/>
        </w:rPr>
        <w:t>还是持续的数据错误（如单元内部故障、驱动器故障、断线等）。由此功能，当总线上发生持续数据错误时，可将引起此故障的单元从总线上隔离出去。</w:t>
      </w:r>
    </w:p>
    <w:p w14:paraId="06951829" w14:textId="668553A9" w:rsidR="00B955C2" w:rsidRDefault="00B955C2" w:rsidP="00B955C2">
      <w:r>
        <w:t>6）  连接节点多。CAN 总线是可同时连接多个单元的总线。可连接的单元总数理论上是没</w:t>
      </w:r>
      <w:r>
        <w:rPr>
          <w:rFonts w:hint="eastAsia"/>
        </w:rPr>
        <w:t>有限制的。但实际上可连接的单元数受总线上的时间延迟及电气负载的限制。</w:t>
      </w:r>
      <w:r w:rsidRPr="00652DAD">
        <w:rPr>
          <w:rFonts w:hint="eastAsia"/>
          <w:color w:val="FF0000"/>
        </w:rPr>
        <w:t>降低通信速度，可连接的单元数增加</w:t>
      </w:r>
      <w:r>
        <w:rPr>
          <w:rFonts w:hint="eastAsia"/>
        </w:rPr>
        <w:t>；提高通信速度，则可连接的单元数减少。正是因为</w:t>
      </w:r>
      <w:r>
        <w:t xml:space="preserve"> CAN 协议的这些特点，使得 CAN 特别适合工业过程监控设备的互连，因此，越</w:t>
      </w:r>
      <w:r>
        <w:rPr>
          <w:rFonts w:hint="eastAsia"/>
        </w:rPr>
        <w:t>来越受到工业界的重视，并已公认为最有前途的现场总线之一。</w:t>
      </w:r>
    </w:p>
    <w:p w14:paraId="20CC9DA3" w14:textId="10317520" w:rsidR="00B955C2" w:rsidRDefault="00B955C2" w:rsidP="00B955C2">
      <w:r>
        <w:t>CAN协议经过ISO标准化后有两个标准：ISO11898标准和ISO11519-2标准。其中ISO11898</w:t>
      </w:r>
    </w:p>
    <w:p w14:paraId="7B82D34E" w14:textId="343AE009" w:rsidR="005844CA" w:rsidRDefault="00B955C2" w:rsidP="00B955C2">
      <w:r>
        <w:rPr>
          <w:rFonts w:hint="eastAsia"/>
        </w:rPr>
        <w:t>是针对通信速率为</w:t>
      </w:r>
      <w:r>
        <w:t>125Kbps~1Mbps 的高速通信标准，而 ISO11519-2是针对通信速率为 125Kbps</w:t>
      </w:r>
      <w:r>
        <w:rPr>
          <w:rFonts w:hint="eastAsia"/>
        </w:rPr>
        <w:t>以下的低速通信标准。</w:t>
      </w:r>
    </w:p>
    <w:p w14:paraId="2CDCB2B5" w14:textId="1129C7CB" w:rsidR="00727495" w:rsidRDefault="00727495" w:rsidP="00B955C2"/>
    <w:p w14:paraId="5C6B05BF" w14:textId="78FE3812" w:rsidR="00727495" w:rsidRDefault="00D92C6C" w:rsidP="00B955C2">
      <w:r>
        <w:rPr>
          <w:noProof/>
        </w:rPr>
        <w:drawing>
          <wp:anchor distT="0" distB="0" distL="114300" distR="114300" simplePos="0" relativeHeight="251658240" behindDoc="0" locked="0" layoutInCell="1" allowOverlap="1" wp14:anchorId="05ED82F9" wp14:editId="0C1C5E94">
            <wp:simplePos x="0" y="0"/>
            <wp:positionH relativeFrom="margin">
              <wp:posOffset>451688</wp:posOffset>
            </wp:positionH>
            <wp:positionV relativeFrom="paragraph">
              <wp:posOffset>260630</wp:posOffset>
            </wp:positionV>
            <wp:extent cx="4628515" cy="301371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28515" cy="3013710"/>
                    </a:xfrm>
                    <a:prstGeom prst="rect">
                      <a:avLst/>
                    </a:prstGeom>
                  </pic:spPr>
                </pic:pic>
              </a:graphicData>
            </a:graphic>
            <wp14:sizeRelH relativeFrom="margin">
              <wp14:pctWidth>0</wp14:pctWidth>
            </wp14:sizeRelH>
            <wp14:sizeRelV relativeFrom="margin">
              <wp14:pctHeight>0</wp14:pctHeight>
            </wp14:sizeRelV>
          </wp:anchor>
        </w:drawing>
      </w:r>
      <w:r w:rsidRPr="00D92C6C">
        <w:t>ISO11898 物理层特性</w:t>
      </w:r>
      <w:r>
        <w:rPr>
          <w:rFonts w:hint="eastAsia"/>
        </w:rPr>
        <w:t>：</w:t>
      </w:r>
    </w:p>
    <w:p w14:paraId="4BB9F0F7" w14:textId="2BE18487" w:rsidR="006B7F3F" w:rsidRDefault="00D51AF2" w:rsidP="00D51AF2">
      <w:pPr>
        <w:rPr>
          <w:rFonts w:hint="eastAsia"/>
        </w:rPr>
      </w:pPr>
      <w:r>
        <w:rPr>
          <w:rFonts w:hint="eastAsia"/>
        </w:rPr>
        <w:t>从该特性可以看出，</w:t>
      </w:r>
      <w:r>
        <w:t>CAN_H 和 CAN_L 之差为 2.5V 左右</w:t>
      </w:r>
      <w:r>
        <w:rPr>
          <w:rFonts w:hint="eastAsia"/>
        </w:rPr>
        <w:t>时：</w:t>
      </w:r>
      <w:r w:rsidR="00F47C5D">
        <w:rPr>
          <w:rFonts w:hint="eastAsia"/>
        </w:rPr>
        <w:t>为</w:t>
      </w:r>
      <w:r>
        <w:rPr>
          <w:rFonts w:hint="eastAsia"/>
        </w:rPr>
        <w:t>显性电平</w:t>
      </w:r>
      <w:r w:rsidR="00F47C5D">
        <w:rPr>
          <w:rFonts w:hint="eastAsia"/>
        </w:rPr>
        <w:t>，</w:t>
      </w:r>
      <w:r>
        <w:rPr>
          <w:rFonts w:hint="eastAsia"/>
        </w:rPr>
        <w:t>对应逻辑</w:t>
      </w:r>
      <w:r>
        <w:t xml:space="preserve"> 0，。</w:t>
      </w:r>
      <w:r>
        <w:lastRenderedPageBreak/>
        <w:t>而隐性</w:t>
      </w:r>
      <w:r>
        <w:rPr>
          <w:rFonts w:hint="eastAsia"/>
        </w:rPr>
        <w:t>电平</w:t>
      </w:r>
      <w:r>
        <w:rPr>
          <w:rFonts w:hint="eastAsia"/>
        </w:rPr>
        <w:t>是</w:t>
      </w:r>
      <w:r>
        <w:t>CAN_H 和 CAN_L 之差为 0V</w:t>
      </w:r>
      <w:r>
        <w:rPr>
          <w:rFonts w:hint="eastAsia"/>
        </w:rPr>
        <w:t>，</w:t>
      </w:r>
      <w:r>
        <w:rPr>
          <w:rFonts w:hint="eastAsia"/>
        </w:rPr>
        <w:t>对应逻辑</w:t>
      </w:r>
      <w:r>
        <w:t xml:space="preserve"> 1。在总线上显性电平具有优先权，只要有一个</w:t>
      </w:r>
      <w:r>
        <w:rPr>
          <w:rFonts w:hint="eastAsia"/>
        </w:rPr>
        <w:t>单元输出显性电平，总线上即为显性电平。而隐形电平则具有包容的意味，只有所有的单元都输出隐性电平，总线上才为隐性电平（显性电平比隐性电平更强）。另外，在</w:t>
      </w:r>
      <w:r>
        <w:t xml:space="preserve"> CAN 总线的起止</w:t>
      </w:r>
      <w:r>
        <w:rPr>
          <w:rFonts w:hint="eastAsia"/>
        </w:rPr>
        <w:t>端都有一个</w:t>
      </w:r>
      <w:r>
        <w:t xml:space="preserve"> 120Ω的终端电阻，来做阻抗匹配，以减少回波反射。</w:t>
      </w:r>
    </w:p>
    <w:p w14:paraId="58AF106F" w14:textId="3A551BDF" w:rsidR="00D92C6C" w:rsidRDefault="00D92C6C" w:rsidP="00B955C2"/>
    <w:p w14:paraId="6E1AFD12" w14:textId="2CB28662" w:rsidR="00381DF7" w:rsidRDefault="00381DF7" w:rsidP="00B955C2">
      <w:pPr>
        <w:rPr>
          <w:rFonts w:hint="eastAsia"/>
        </w:rPr>
      </w:pPr>
      <w:r w:rsidRPr="00381DF7">
        <w:t>CAN 协议各种帧及其用途</w:t>
      </w:r>
      <w:r w:rsidR="00D20933">
        <w:rPr>
          <w:rFonts w:hint="eastAsia"/>
        </w:rPr>
        <w:t>：</w:t>
      </w:r>
    </w:p>
    <w:tbl>
      <w:tblPr>
        <w:tblStyle w:val="a3"/>
        <w:tblW w:w="8642" w:type="dxa"/>
        <w:jc w:val="center"/>
        <w:tblLook w:val="04A0" w:firstRow="1" w:lastRow="0" w:firstColumn="1" w:lastColumn="0" w:noHBand="0" w:noVBand="1"/>
      </w:tblPr>
      <w:tblGrid>
        <w:gridCol w:w="1129"/>
        <w:gridCol w:w="7513"/>
      </w:tblGrid>
      <w:tr w:rsidR="00D3720F" w:rsidRPr="00D3720F" w14:paraId="07458EF1" w14:textId="77777777" w:rsidTr="003A5010">
        <w:trPr>
          <w:jc w:val="center"/>
        </w:trPr>
        <w:tc>
          <w:tcPr>
            <w:tcW w:w="1129" w:type="dxa"/>
            <w:vAlign w:val="center"/>
          </w:tcPr>
          <w:p w14:paraId="7D47BDAB" w14:textId="77777777" w:rsidR="00D3720F" w:rsidRPr="00D3720F" w:rsidRDefault="00D3720F" w:rsidP="00D43342">
            <w:r w:rsidRPr="00D3720F">
              <w:rPr>
                <w:rFonts w:hint="eastAsia"/>
              </w:rPr>
              <w:t>帧类型</w:t>
            </w:r>
          </w:p>
        </w:tc>
        <w:tc>
          <w:tcPr>
            <w:tcW w:w="7513" w:type="dxa"/>
            <w:vAlign w:val="center"/>
          </w:tcPr>
          <w:p w14:paraId="4444322C" w14:textId="77777777" w:rsidR="00D3720F" w:rsidRPr="00D3720F" w:rsidRDefault="00D3720F" w:rsidP="00D43342">
            <w:r w:rsidRPr="00D3720F">
              <w:t>帧用途</w:t>
            </w:r>
          </w:p>
        </w:tc>
      </w:tr>
      <w:tr w:rsidR="00D3720F" w:rsidRPr="00D3720F" w14:paraId="77E93BD8" w14:textId="77777777" w:rsidTr="003A5010">
        <w:trPr>
          <w:jc w:val="center"/>
        </w:trPr>
        <w:tc>
          <w:tcPr>
            <w:tcW w:w="1129" w:type="dxa"/>
            <w:vAlign w:val="center"/>
          </w:tcPr>
          <w:p w14:paraId="12895592" w14:textId="77777777" w:rsidR="00D3720F" w:rsidRPr="00D3720F" w:rsidRDefault="00D3720F" w:rsidP="00D43342">
            <w:r w:rsidRPr="00D3720F">
              <w:rPr>
                <w:rFonts w:hint="eastAsia"/>
              </w:rPr>
              <w:t>数据帧</w:t>
            </w:r>
          </w:p>
        </w:tc>
        <w:tc>
          <w:tcPr>
            <w:tcW w:w="7513" w:type="dxa"/>
            <w:vAlign w:val="center"/>
          </w:tcPr>
          <w:p w14:paraId="39A48759" w14:textId="77777777" w:rsidR="00D3720F" w:rsidRPr="00D3720F" w:rsidRDefault="00D3720F" w:rsidP="00D43342">
            <w:r w:rsidRPr="00D3720F">
              <w:t>用于发送单元向接收单元传送数据的帧</w:t>
            </w:r>
            <w:r w:rsidRPr="00D3720F">
              <w:rPr>
                <w:rFonts w:hint="eastAsia"/>
              </w:rPr>
              <w:t>（</w:t>
            </w:r>
            <w:r w:rsidRPr="00D3720F">
              <w:rPr>
                <w:rFonts w:hint="eastAsia"/>
              </w:rPr>
              <w:t>有标准格式和扩展格式</w:t>
            </w:r>
            <w:r w:rsidRPr="00D3720F">
              <w:rPr>
                <w:rFonts w:hint="eastAsia"/>
              </w:rPr>
              <w:t>）</w:t>
            </w:r>
          </w:p>
        </w:tc>
      </w:tr>
      <w:tr w:rsidR="00D3720F" w:rsidRPr="00D3720F" w14:paraId="56EB7527" w14:textId="77777777" w:rsidTr="003A5010">
        <w:trPr>
          <w:jc w:val="center"/>
        </w:trPr>
        <w:tc>
          <w:tcPr>
            <w:tcW w:w="1129" w:type="dxa"/>
            <w:vAlign w:val="center"/>
          </w:tcPr>
          <w:p w14:paraId="49A9B77E" w14:textId="77777777" w:rsidR="00D3720F" w:rsidRPr="00D3720F" w:rsidRDefault="00D3720F" w:rsidP="00D43342">
            <w:r w:rsidRPr="00D3720F">
              <w:rPr>
                <w:rFonts w:hint="eastAsia"/>
              </w:rPr>
              <w:t>遥控帧</w:t>
            </w:r>
          </w:p>
        </w:tc>
        <w:tc>
          <w:tcPr>
            <w:tcW w:w="7513" w:type="dxa"/>
            <w:vAlign w:val="center"/>
          </w:tcPr>
          <w:p w14:paraId="0EF13784" w14:textId="77777777" w:rsidR="00D3720F" w:rsidRPr="00D3720F" w:rsidRDefault="00D3720F" w:rsidP="00D43342">
            <w:r w:rsidRPr="00D3720F">
              <w:t>用于接收单元向具有相同ID的发送单元请求数据的帧</w:t>
            </w:r>
            <w:r w:rsidRPr="00D3720F">
              <w:rPr>
                <w:rFonts w:hint="eastAsia"/>
              </w:rPr>
              <w:t>（</w:t>
            </w:r>
            <w:r w:rsidRPr="00D3720F">
              <w:rPr>
                <w:rFonts w:hint="eastAsia"/>
              </w:rPr>
              <w:t>有标准格式和扩展格式</w:t>
            </w:r>
            <w:r w:rsidRPr="00D3720F">
              <w:rPr>
                <w:rFonts w:hint="eastAsia"/>
              </w:rPr>
              <w:t>）</w:t>
            </w:r>
          </w:p>
        </w:tc>
      </w:tr>
      <w:tr w:rsidR="00D3720F" w:rsidRPr="00D3720F" w14:paraId="09E5284E" w14:textId="77777777" w:rsidTr="003A5010">
        <w:trPr>
          <w:jc w:val="center"/>
        </w:trPr>
        <w:tc>
          <w:tcPr>
            <w:tcW w:w="1129" w:type="dxa"/>
            <w:vAlign w:val="center"/>
          </w:tcPr>
          <w:p w14:paraId="21FA4DD5" w14:textId="77777777" w:rsidR="00D3720F" w:rsidRPr="00D3720F" w:rsidRDefault="00D3720F" w:rsidP="00D43342">
            <w:r w:rsidRPr="00D3720F">
              <w:rPr>
                <w:rFonts w:hint="eastAsia"/>
              </w:rPr>
              <w:t>错误帧</w:t>
            </w:r>
          </w:p>
        </w:tc>
        <w:tc>
          <w:tcPr>
            <w:tcW w:w="7513" w:type="dxa"/>
            <w:vAlign w:val="center"/>
          </w:tcPr>
          <w:p w14:paraId="1A88B71A" w14:textId="77777777" w:rsidR="00D3720F" w:rsidRPr="00D3720F" w:rsidRDefault="00D3720F" w:rsidP="00D43342">
            <w:r w:rsidRPr="00D3720F">
              <w:t>用于当检测出错误时向其它单元通知错误的帧</w:t>
            </w:r>
          </w:p>
        </w:tc>
      </w:tr>
      <w:tr w:rsidR="00D3720F" w:rsidRPr="00D3720F" w14:paraId="7BD0365C" w14:textId="77777777" w:rsidTr="003A5010">
        <w:trPr>
          <w:jc w:val="center"/>
        </w:trPr>
        <w:tc>
          <w:tcPr>
            <w:tcW w:w="1129" w:type="dxa"/>
            <w:vAlign w:val="center"/>
          </w:tcPr>
          <w:p w14:paraId="3747F33B" w14:textId="77777777" w:rsidR="00D3720F" w:rsidRPr="00D3720F" w:rsidRDefault="00D3720F" w:rsidP="00D43342">
            <w:r w:rsidRPr="00D3720F">
              <w:rPr>
                <w:rFonts w:hint="eastAsia"/>
              </w:rPr>
              <w:t>过载帧</w:t>
            </w:r>
          </w:p>
        </w:tc>
        <w:tc>
          <w:tcPr>
            <w:tcW w:w="7513" w:type="dxa"/>
            <w:vAlign w:val="center"/>
          </w:tcPr>
          <w:p w14:paraId="5E4AEF6E" w14:textId="77777777" w:rsidR="00D3720F" w:rsidRPr="00D3720F" w:rsidRDefault="00D3720F" w:rsidP="00D43342">
            <w:r w:rsidRPr="00D3720F">
              <w:t>用于接收单元通知其尚未做好接收准备的帧</w:t>
            </w:r>
          </w:p>
        </w:tc>
      </w:tr>
      <w:tr w:rsidR="00D3720F" w14:paraId="730CC43F" w14:textId="77777777" w:rsidTr="003A5010">
        <w:trPr>
          <w:jc w:val="center"/>
        </w:trPr>
        <w:tc>
          <w:tcPr>
            <w:tcW w:w="1129" w:type="dxa"/>
            <w:vAlign w:val="center"/>
          </w:tcPr>
          <w:p w14:paraId="7DC25ABC" w14:textId="77777777" w:rsidR="00D3720F" w:rsidRPr="00D3720F" w:rsidRDefault="00D3720F" w:rsidP="00D43342">
            <w:r w:rsidRPr="00D3720F">
              <w:rPr>
                <w:rFonts w:hint="eastAsia"/>
              </w:rPr>
              <w:t>间隔帧</w:t>
            </w:r>
          </w:p>
        </w:tc>
        <w:tc>
          <w:tcPr>
            <w:tcW w:w="7513" w:type="dxa"/>
            <w:vAlign w:val="center"/>
          </w:tcPr>
          <w:p w14:paraId="241FCD1E" w14:textId="77777777" w:rsidR="00D3720F" w:rsidRDefault="00D3720F" w:rsidP="00D43342">
            <w:pPr>
              <w:rPr>
                <w:rFonts w:hint="eastAsia"/>
              </w:rPr>
            </w:pPr>
            <w:r w:rsidRPr="00D3720F">
              <w:t>用于将数据帧及遥控帧与前面的帧分离开来的帧</w:t>
            </w:r>
          </w:p>
        </w:tc>
      </w:tr>
    </w:tbl>
    <w:p w14:paraId="3962EA48" w14:textId="0A1F3F46" w:rsidR="009D594A" w:rsidRDefault="009D594A" w:rsidP="00D3720F">
      <w:pPr>
        <w:rPr>
          <w:rFonts w:hint="eastAsia"/>
        </w:rPr>
      </w:pPr>
    </w:p>
    <w:p w14:paraId="3BD54B76" w14:textId="052A4912" w:rsidR="009D594A" w:rsidRDefault="009D594A" w:rsidP="009D594A">
      <w:r>
        <w:rPr>
          <w:rFonts w:hint="eastAsia"/>
        </w:rPr>
        <w:t>由于篇幅所限，我们这里仅对</w:t>
      </w:r>
      <w:r w:rsidRPr="00D5645E">
        <w:rPr>
          <w:rFonts w:hint="eastAsia"/>
          <w:color w:val="FF0000"/>
        </w:rPr>
        <w:t>数据帧</w:t>
      </w:r>
      <w:r>
        <w:rPr>
          <w:rFonts w:hint="eastAsia"/>
        </w:rPr>
        <w:t>进行详细介绍，数据帧一般由</w:t>
      </w:r>
      <w:r>
        <w:t xml:space="preserve"> 7 个段构成，即：</w:t>
      </w:r>
    </w:p>
    <w:p w14:paraId="00BCB8E0" w14:textId="0C0E1092" w:rsidR="009D594A" w:rsidRDefault="009D594A" w:rsidP="009D594A">
      <w:r>
        <w:rPr>
          <w:rFonts w:hint="eastAsia"/>
        </w:rPr>
        <w:t>（</w:t>
      </w:r>
      <w:r>
        <w:t>1） 帧起始。表示数据帧开始的段。</w:t>
      </w:r>
    </w:p>
    <w:p w14:paraId="630D1608" w14:textId="77777777" w:rsidR="009D594A" w:rsidRDefault="009D594A" w:rsidP="009D594A">
      <w:r>
        <w:rPr>
          <w:rFonts w:hint="eastAsia"/>
        </w:rPr>
        <w:t>（</w:t>
      </w:r>
      <w:r>
        <w:t>2） 仲裁段。表示该帧优先级的段。</w:t>
      </w:r>
    </w:p>
    <w:p w14:paraId="081314A4" w14:textId="676FC9E8" w:rsidR="009D594A" w:rsidRDefault="009D594A" w:rsidP="009D594A">
      <w:r>
        <w:rPr>
          <w:rFonts w:hint="eastAsia"/>
        </w:rPr>
        <w:t>（</w:t>
      </w:r>
      <w:r>
        <w:t>3） 控制段。表示数据的字节数及保留位的段。</w:t>
      </w:r>
    </w:p>
    <w:p w14:paraId="5F0B8D73" w14:textId="2E57C894" w:rsidR="009D594A" w:rsidRDefault="009D594A" w:rsidP="009D594A">
      <w:r>
        <w:rPr>
          <w:rFonts w:hint="eastAsia"/>
        </w:rPr>
        <w:t>（</w:t>
      </w:r>
      <w:r>
        <w:t>4） 数据段。数据的内容，一帧可发送 0~8 个字节的数据</w:t>
      </w:r>
      <w:r w:rsidR="00B47B3E">
        <w:rPr>
          <w:rFonts w:hint="eastAsia"/>
        </w:rPr>
        <w:t>，M</w:t>
      </w:r>
      <w:r w:rsidR="00B47B3E">
        <w:t>SB</w:t>
      </w:r>
      <w:r>
        <w:t>。</w:t>
      </w:r>
    </w:p>
    <w:p w14:paraId="593E659E" w14:textId="27934C24" w:rsidR="009D594A" w:rsidRDefault="009D594A" w:rsidP="009D594A">
      <w:r>
        <w:rPr>
          <w:rFonts w:hint="eastAsia"/>
        </w:rPr>
        <w:t>（</w:t>
      </w:r>
      <w:r>
        <w:t>5） CRC 段。检查帧的传输错误的段</w:t>
      </w:r>
      <w:r w:rsidR="00763448">
        <w:rPr>
          <w:rFonts w:hint="eastAsia"/>
        </w:rPr>
        <w:t>，计算范围包括</w:t>
      </w:r>
      <w:r w:rsidR="00763448" w:rsidRPr="00763448">
        <w:rPr>
          <w:rFonts w:hint="eastAsia"/>
        </w:rPr>
        <w:t>帧起始、仲裁段、控制段、数据段</w:t>
      </w:r>
      <w:r>
        <w:t>。</w:t>
      </w:r>
    </w:p>
    <w:p w14:paraId="20C0154D" w14:textId="13D1723E" w:rsidR="009D594A" w:rsidRDefault="009D594A" w:rsidP="009D594A">
      <w:r>
        <w:rPr>
          <w:rFonts w:hint="eastAsia"/>
        </w:rPr>
        <w:t>（</w:t>
      </w:r>
      <w:r>
        <w:t>6） ACK 段。表示确认正常接收的段。</w:t>
      </w:r>
    </w:p>
    <w:p w14:paraId="6A8E62EF" w14:textId="70BC7AB1" w:rsidR="009D594A" w:rsidRDefault="009D594A" w:rsidP="009D594A">
      <w:r w:rsidRPr="009D594A">
        <w:rPr>
          <w:rFonts w:hint="eastAsia"/>
        </w:rPr>
        <w:t>（</w:t>
      </w:r>
      <w:r w:rsidRPr="009D594A">
        <w:t>7） 帧结束。表示数据帧结束的段。</w:t>
      </w:r>
    </w:p>
    <w:p w14:paraId="64BD3550" w14:textId="3D0CD7C5" w:rsidR="00A34708" w:rsidRDefault="00A34708" w:rsidP="009D594A">
      <w:r>
        <w:rPr>
          <w:rFonts w:hint="eastAsia"/>
          <w:noProof/>
        </w:rPr>
        <w:drawing>
          <wp:anchor distT="0" distB="0" distL="114300" distR="114300" simplePos="0" relativeHeight="251659264" behindDoc="0" locked="0" layoutInCell="1" allowOverlap="1" wp14:anchorId="0E69FA14" wp14:editId="6BCB4075">
            <wp:simplePos x="0" y="0"/>
            <wp:positionH relativeFrom="margin">
              <wp:posOffset>-78105</wp:posOffset>
            </wp:positionH>
            <wp:positionV relativeFrom="paragraph">
              <wp:posOffset>210820</wp:posOffset>
            </wp:positionV>
            <wp:extent cx="5805805" cy="402336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5805"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E07CC" w14:textId="77777777" w:rsidR="00A34708" w:rsidRDefault="00A34708" w:rsidP="009D594A"/>
    <w:p w14:paraId="2FEE71CF" w14:textId="77777777" w:rsidR="00A34708" w:rsidRDefault="00A34708" w:rsidP="009D594A"/>
    <w:p w14:paraId="239612C3" w14:textId="6A6B9A56" w:rsidR="00AC3C2B" w:rsidRDefault="00AC3C2B" w:rsidP="009D594A"/>
    <w:p w14:paraId="3AAC0AF9" w14:textId="333DC52B" w:rsidR="00C73B06" w:rsidRDefault="00B16D97" w:rsidP="00C73B06">
      <w:r>
        <w:rPr>
          <w:rFonts w:hint="eastAsia"/>
        </w:rPr>
        <w:t>简单说：</w:t>
      </w:r>
      <w:r w:rsidR="00C73B06">
        <w:rPr>
          <w:rFonts w:hint="eastAsia"/>
        </w:rPr>
        <w:t>其中</w:t>
      </w:r>
      <w:r w:rsidR="00C73B06">
        <w:t xml:space="preserve"> RTR 位用于标识是否是远程帧（0，数据帧；1，远程帧），IDE 位为标识符选择位（0，</w:t>
      </w:r>
      <w:r w:rsidR="00C73B06">
        <w:rPr>
          <w:rFonts w:hint="eastAsia"/>
        </w:rPr>
        <w:t>使用标准标识符；</w:t>
      </w:r>
      <w:r w:rsidR="00C73B06">
        <w:t>1，使用扩展标识符），SRR 位为代替远程请求位，为隐性位，它代替了标准</w:t>
      </w:r>
      <w:r w:rsidR="00C73B06">
        <w:rPr>
          <w:rFonts w:hint="eastAsia"/>
        </w:rPr>
        <w:t>帧中的</w:t>
      </w:r>
      <w:r w:rsidR="00C73B06">
        <w:t xml:space="preserve"> RTR 位。</w:t>
      </w:r>
    </w:p>
    <w:p w14:paraId="63C1CE5F" w14:textId="0E69D3CA" w:rsidR="006918DB" w:rsidRDefault="006918DB" w:rsidP="00C73B06"/>
    <w:p w14:paraId="0CEE9BAA" w14:textId="38D693D6" w:rsidR="006918DB" w:rsidRDefault="006918DB" w:rsidP="00C73B06"/>
    <w:p w14:paraId="2857B862" w14:textId="77777777" w:rsidR="006918DB" w:rsidRDefault="006918DB" w:rsidP="006918DB">
      <w:r>
        <w:t xml:space="preserve">STM32F1 的 </w:t>
      </w:r>
      <w:proofErr w:type="spellStart"/>
      <w:r>
        <w:t>bxCAN</w:t>
      </w:r>
      <w:proofErr w:type="spellEnd"/>
      <w:r>
        <w:t xml:space="preserve"> 的主要特点有：</w:t>
      </w:r>
    </w:p>
    <w:p w14:paraId="48494AF6" w14:textId="77777777" w:rsidR="006918DB" w:rsidRDefault="006918DB" w:rsidP="006918DB">
      <w:r>
        <w:rPr>
          <w:rFonts w:ascii="Segoe UI Emoji" w:hAnsi="Segoe UI Emoji" w:cs="Segoe UI Emoji"/>
        </w:rPr>
        <w:t>⚫</w:t>
      </w:r>
      <w:r>
        <w:t xml:space="preserve">  支持 CAN 协议 2.0A 和 2.0B 主动模式</w:t>
      </w:r>
    </w:p>
    <w:p w14:paraId="3ECDA485" w14:textId="77777777" w:rsidR="006918DB" w:rsidRDefault="006918DB" w:rsidP="006918DB">
      <w:r>
        <w:rPr>
          <w:rFonts w:ascii="Segoe UI Emoji" w:hAnsi="Segoe UI Emoji" w:cs="Segoe UI Emoji"/>
        </w:rPr>
        <w:t>⚫</w:t>
      </w:r>
      <w:r>
        <w:t xml:space="preserve">  波特率最高达 1Mbps</w:t>
      </w:r>
    </w:p>
    <w:p w14:paraId="722D6465" w14:textId="77777777" w:rsidR="006918DB" w:rsidRDefault="006918DB" w:rsidP="006918DB">
      <w:r>
        <w:rPr>
          <w:rFonts w:ascii="Segoe UI Emoji" w:hAnsi="Segoe UI Emoji" w:cs="Segoe UI Emoji"/>
        </w:rPr>
        <w:t>⚫</w:t>
      </w:r>
      <w:r>
        <w:t xml:space="preserve">  支持时间触发通信</w:t>
      </w:r>
    </w:p>
    <w:p w14:paraId="52716DFA" w14:textId="77777777" w:rsidR="006918DB" w:rsidRDefault="006918DB" w:rsidP="006918DB">
      <w:r>
        <w:rPr>
          <w:rFonts w:ascii="Segoe UI Emoji" w:hAnsi="Segoe UI Emoji" w:cs="Segoe UI Emoji"/>
        </w:rPr>
        <w:t>⚫</w:t>
      </w:r>
      <w:r>
        <w:t xml:space="preserve">  具有 3 个发送邮箱</w:t>
      </w:r>
    </w:p>
    <w:p w14:paraId="6494F040" w14:textId="77777777" w:rsidR="006918DB" w:rsidRDefault="006918DB" w:rsidP="006918DB">
      <w:r>
        <w:rPr>
          <w:rFonts w:ascii="Segoe UI Emoji" w:hAnsi="Segoe UI Emoji" w:cs="Segoe UI Emoji"/>
        </w:rPr>
        <w:t>⚫</w:t>
      </w:r>
      <w:r>
        <w:t xml:space="preserve">  具有 3 级深度的 2 个接收 FIFO</w:t>
      </w:r>
    </w:p>
    <w:p w14:paraId="1AF252BC" w14:textId="40D1BEB0" w:rsidR="006918DB" w:rsidRDefault="006918DB" w:rsidP="006918DB">
      <w:pPr>
        <w:rPr>
          <w:rFonts w:hint="eastAsia"/>
        </w:rPr>
      </w:pPr>
      <w:r>
        <w:rPr>
          <w:rFonts w:ascii="Segoe UI Emoji" w:hAnsi="Segoe UI Emoji" w:cs="Segoe UI Emoji"/>
        </w:rPr>
        <w:t>⚫</w:t>
      </w:r>
      <w:r>
        <w:t xml:space="preserve">  可变的过滤器组（最多 28 个）</w:t>
      </w:r>
    </w:p>
    <w:sectPr w:rsidR="00691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86"/>
    <w:rsid w:val="00381DF7"/>
    <w:rsid w:val="003A5010"/>
    <w:rsid w:val="004C14E2"/>
    <w:rsid w:val="005844CA"/>
    <w:rsid w:val="005E368D"/>
    <w:rsid w:val="00652DAD"/>
    <w:rsid w:val="006918DB"/>
    <w:rsid w:val="006B7F3F"/>
    <w:rsid w:val="006D37C3"/>
    <w:rsid w:val="00727495"/>
    <w:rsid w:val="00763448"/>
    <w:rsid w:val="00770278"/>
    <w:rsid w:val="00935F20"/>
    <w:rsid w:val="009D594A"/>
    <w:rsid w:val="009E6AB6"/>
    <w:rsid w:val="00A34708"/>
    <w:rsid w:val="00AC3C2B"/>
    <w:rsid w:val="00B16D97"/>
    <w:rsid w:val="00B44D7F"/>
    <w:rsid w:val="00B47B3E"/>
    <w:rsid w:val="00B955C2"/>
    <w:rsid w:val="00C73B06"/>
    <w:rsid w:val="00CE0813"/>
    <w:rsid w:val="00CE5476"/>
    <w:rsid w:val="00D20933"/>
    <w:rsid w:val="00D3720F"/>
    <w:rsid w:val="00D51AF2"/>
    <w:rsid w:val="00D5645E"/>
    <w:rsid w:val="00D92C6C"/>
    <w:rsid w:val="00E43AAD"/>
    <w:rsid w:val="00F01A86"/>
    <w:rsid w:val="00F47C5D"/>
    <w:rsid w:val="00FB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B959"/>
  <w15:chartTrackingRefBased/>
  <w15:docId w15:val="{0538DABC-DDE1-4515-91BD-7998A669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7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30</cp:revision>
  <dcterms:created xsi:type="dcterms:W3CDTF">2020-10-07T05:40:00Z</dcterms:created>
  <dcterms:modified xsi:type="dcterms:W3CDTF">2020-10-07T07:07:00Z</dcterms:modified>
</cp:coreProperties>
</file>