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AA" w:rsidRPr="00A70A0D" w:rsidRDefault="00A70A0D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  <w:r w:rsidRPr="00A70A0D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John Woods</w:t>
      </w:r>
    </w:p>
    <w:p w:rsidR="00BB0EAA" w:rsidRPr="00A70A0D" w:rsidRDefault="00A70A0D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 w:rsidRPr="00A70A0D">
        <w:rPr>
          <w:rFonts w:ascii="Times New Roman" w:hAnsi="Times New Roman" w:cs="Times New Roman"/>
          <w:b/>
          <w:caps/>
          <w:sz w:val="26"/>
          <w:szCs w:val="26"/>
          <w:lang w:val="en-US"/>
        </w:rPr>
        <w:t>How Globalization Makes Inconsistency Unrecognizable</w:t>
      </w:r>
    </w:p>
    <w:p w:rsidR="00BB0EAA" w:rsidRPr="00A70A0D" w:rsidRDefault="00A70A0D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 w:rsidRPr="00A70A0D">
        <w:rPr>
          <w:rFonts w:ascii="Times New Roman" w:hAnsi="Times New Roman" w:cs="Times New Roman"/>
          <w:lang w:val="en-US"/>
        </w:rPr>
        <w:t>Dept. of Philosophy, University of British Columbia, Canada</w:t>
      </w:r>
    </w:p>
    <w:p w:rsidR="00BB0EAA" w:rsidRPr="00A70A0D" w:rsidRDefault="00A70A0D" w:rsidP="00A70A0D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A70A0D">
        <w:rPr>
          <w:rFonts w:ascii="Times New Roman" w:hAnsi="Times New Roman" w:cs="Times New Roman"/>
          <w:i/>
          <w:lang w:val="en-US"/>
        </w:rPr>
        <w:t>john.woods@ubc.ca</w:t>
      </w:r>
    </w:p>
    <w:p w:rsidR="00A70A0D" w:rsidRPr="00A70A0D" w:rsidRDefault="00A70A0D" w:rsidP="00A70A0D">
      <w:pPr>
        <w:spacing w:after="0" w:line="290" w:lineRule="exact"/>
        <w:jc w:val="both"/>
        <w:rPr>
          <w:rFonts w:ascii="Times New Roman" w:hAnsi="Times New Roman" w:cs="Times New Roman"/>
          <w:lang w:val="en-US"/>
        </w:rPr>
      </w:pPr>
      <w:r w:rsidRPr="00A70A0D">
        <w:rPr>
          <w:rFonts w:ascii="Times New Roman" w:hAnsi="Times New Roman" w:cs="Times New Roman"/>
          <w:lang w:val="en-US"/>
        </w:rPr>
        <w:t>Properties, certainly many of the ones that interest logicians, come with what might be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called ranges of application, whose members are those things to which the property in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question could be intelligibly ascribed. (Provability can be intelligibly ascribed to statements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but not,</w:t>
      </w:r>
      <w:r w:rsidR="00F6086B">
        <w:rPr>
          <w:rFonts w:ascii="Times New Roman" w:hAnsi="Times New Roman" w:cs="Times New Roman"/>
          <w:lang w:val="en-US"/>
        </w:rPr>
        <w:t xml:space="preserve"> we may presume, to cabbages.) I</w:t>
      </w:r>
      <w:r w:rsidRPr="00A70A0D">
        <w:rPr>
          <w:rFonts w:ascii="Times New Roman" w:hAnsi="Times New Roman" w:cs="Times New Roman"/>
          <w:lang w:val="en-US"/>
        </w:rPr>
        <w:t>t is clear that some properties are valuable to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theorists and others not. In large ranges of cases, the value a property has is lost if the set of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its true instantiations exhausts its range of application. Provability and deducibility are such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properties, as are sentence-validity and entailment</w:t>
      </w:r>
      <w:r w:rsidR="00F6086B">
        <w:rPr>
          <w:rFonts w:ascii="Times New Roman" w:hAnsi="Times New Roman" w:cs="Times New Roman"/>
          <w:lang w:val="en-US"/>
        </w:rPr>
        <w:t xml:space="preserve"> </w:t>
      </w:r>
      <w:commentRangeStart w:id="0"/>
      <w:r w:rsidR="00F6086B">
        <w:rPr>
          <w:rFonts w:ascii="Times New Roman" w:hAnsi="Times New Roman" w:cs="Times New Roman"/>
          <w:lang w:val="en-US"/>
        </w:rPr>
        <w:t>(Lewis and Langford, 1932)</w:t>
      </w:r>
      <w:r w:rsidRPr="00A70A0D">
        <w:rPr>
          <w:rFonts w:ascii="Times New Roman" w:hAnsi="Times New Roman" w:cs="Times New Roman"/>
          <w:lang w:val="en-US"/>
        </w:rPr>
        <w:t xml:space="preserve">. </w:t>
      </w:r>
      <w:commentRangeEnd w:id="0"/>
      <w:r w:rsidR="00F6086B">
        <w:rPr>
          <w:rStyle w:val="Refdecomentrio"/>
        </w:rPr>
        <w:commentReference w:id="0"/>
      </w:r>
      <w:r w:rsidRPr="00A70A0D">
        <w:rPr>
          <w:rFonts w:ascii="Times New Roman" w:hAnsi="Times New Roman" w:cs="Times New Roman"/>
          <w:lang w:val="en-US"/>
        </w:rPr>
        <w:t>These are properties that partition their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ranges in telling ways, hence, as we may say, are P-properties. They are also valuable for the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conduct of any knowledge-seeking theory.</w:t>
      </w:r>
    </w:p>
    <w:p w:rsidR="00A70A0D" w:rsidRPr="00A70A0D" w:rsidRDefault="00A70A0D" w:rsidP="00A70A0D">
      <w:pPr>
        <w:spacing w:after="0" w:line="290" w:lineRule="exact"/>
        <w:ind w:firstLine="709"/>
        <w:jc w:val="both"/>
        <w:rPr>
          <w:rFonts w:ascii="Times New Roman" w:hAnsi="Times New Roman" w:cs="Times New Roman"/>
          <w:lang w:val="en-US"/>
        </w:rPr>
      </w:pPr>
      <w:r w:rsidRPr="00A70A0D">
        <w:rPr>
          <w:rFonts w:ascii="Times New Roman" w:hAnsi="Times New Roman" w:cs="Times New Roman"/>
          <w:lang w:val="en-US"/>
        </w:rPr>
        <w:t>It has long been known that in classical environments, a single instance of a system’s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negation-inconsistency collapses the partition between correct and incorrect attributions of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some of its P-properties, depriving them of their value, disabling them for gainful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employment, drowning them in pathological over-instantiation, and dooming them to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epistemic futility</w:t>
      </w:r>
      <w:r w:rsidR="00F6086B">
        <w:rPr>
          <w:rFonts w:ascii="Times New Roman" w:hAnsi="Times New Roman" w:cs="Times New Roman"/>
          <w:lang w:val="en-US"/>
        </w:rPr>
        <w:t xml:space="preserve"> (Priest, 1999)</w:t>
      </w:r>
      <w:r w:rsidRPr="00A70A0D">
        <w:rPr>
          <w:rFonts w:ascii="Times New Roman" w:hAnsi="Times New Roman" w:cs="Times New Roman"/>
          <w:lang w:val="en-US"/>
        </w:rPr>
        <w:t>. The cause of the collapse is the classical equivalence between negation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and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 xml:space="preserve">absolute inconsistency, under the provisions of the ex </w:t>
      </w:r>
      <w:proofErr w:type="spellStart"/>
      <w:r w:rsidRPr="00A70A0D">
        <w:rPr>
          <w:rFonts w:ascii="Times New Roman" w:hAnsi="Times New Roman" w:cs="Times New Roman"/>
          <w:lang w:val="en-US"/>
        </w:rPr>
        <w:t>falso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A0D">
        <w:rPr>
          <w:rFonts w:ascii="Times New Roman" w:hAnsi="Times New Roman" w:cs="Times New Roman"/>
          <w:lang w:val="en-US"/>
        </w:rPr>
        <w:t>quodlibet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theorem, provable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 xml:space="preserve">in turn by the Lewis-Langford proof. Ex </w:t>
      </w:r>
      <w:proofErr w:type="spellStart"/>
      <w:r w:rsidRPr="00A70A0D">
        <w:rPr>
          <w:rFonts w:ascii="Times New Roman" w:hAnsi="Times New Roman" w:cs="Times New Roman"/>
          <w:lang w:val="en-US"/>
        </w:rPr>
        <w:t>falso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provides that a local inconsistency in a system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globalizes it there. It also globalizes the cream of its P-properties, notably the four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mentioned above.</w:t>
      </w:r>
    </w:p>
    <w:p w:rsidR="00C269D4" w:rsidRPr="00A70A0D" w:rsidRDefault="00A70A0D" w:rsidP="00A70A0D">
      <w:pPr>
        <w:spacing w:after="0" w:line="290" w:lineRule="exact"/>
        <w:ind w:firstLine="709"/>
        <w:jc w:val="both"/>
        <w:rPr>
          <w:rFonts w:ascii="Times New Roman" w:hAnsi="Times New Roman" w:cs="Times New Roman"/>
          <w:lang w:val="en-US"/>
        </w:rPr>
      </w:pPr>
      <w:r w:rsidRPr="00A70A0D">
        <w:rPr>
          <w:rFonts w:ascii="Times New Roman" w:hAnsi="Times New Roman" w:cs="Times New Roman"/>
          <w:lang w:val="en-US"/>
        </w:rPr>
        <w:t>Many attempts have been made to annul the globalization effect by discrediting the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Lewis-Langford proof. Unsuccessful would be a charitable word for them, some a good deal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 xml:space="preserve">more so than others. The strongest of these failed efforts arises from </w:t>
      </w:r>
      <w:proofErr w:type="spellStart"/>
      <w:r w:rsidRPr="00A70A0D">
        <w:rPr>
          <w:rFonts w:ascii="Times New Roman" w:hAnsi="Times New Roman" w:cs="Times New Roman"/>
          <w:lang w:val="en-US"/>
        </w:rPr>
        <w:t>dialethic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logic. The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 xml:space="preserve">purpose of this paper is to demonstrate the failure of the </w:t>
      </w:r>
      <w:proofErr w:type="spellStart"/>
      <w:r w:rsidRPr="00A70A0D">
        <w:rPr>
          <w:rFonts w:ascii="Times New Roman" w:hAnsi="Times New Roman" w:cs="Times New Roman"/>
          <w:lang w:val="en-US"/>
        </w:rPr>
        <w:t>dialethic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option. As a kind of bonus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 xml:space="preserve">we will come to see what </w:t>
      </w:r>
      <w:proofErr w:type="spellStart"/>
      <w:r w:rsidRPr="00A70A0D">
        <w:rPr>
          <w:rFonts w:ascii="Times New Roman" w:hAnsi="Times New Roman" w:cs="Times New Roman"/>
          <w:lang w:val="en-US"/>
        </w:rPr>
        <w:t>Quine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actually meant when he said that the </w:t>
      </w:r>
      <w:proofErr w:type="spellStart"/>
      <w:r w:rsidRPr="00A70A0D">
        <w:rPr>
          <w:rFonts w:ascii="Times New Roman" w:hAnsi="Times New Roman" w:cs="Times New Roman"/>
          <w:lang w:val="en-US"/>
        </w:rPr>
        <w:t>dialethism</w:t>
      </w:r>
      <w:proofErr w:type="spellEnd"/>
      <w:r w:rsidRPr="00A70A0D">
        <w:rPr>
          <w:rFonts w:ascii="Times New Roman" w:hAnsi="Times New Roman" w:cs="Times New Roman"/>
          <w:lang w:val="en-US"/>
        </w:rPr>
        <w:t xml:space="preserve"> option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A70A0D">
        <w:rPr>
          <w:rFonts w:ascii="Times New Roman" w:hAnsi="Times New Roman" w:cs="Times New Roman"/>
          <w:lang w:val="en-US"/>
        </w:rPr>
        <w:t>made the concept of negation unrecognizable</w:t>
      </w:r>
      <w:r w:rsidR="00F6086B">
        <w:rPr>
          <w:rFonts w:ascii="Times New Roman" w:hAnsi="Times New Roman" w:cs="Times New Roman"/>
          <w:lang w:val="en-US"/>
        </w:rPr>
        <w:t xml:space="preserve"> (Woods, 2005)</w:t>
      </w:r>
      <w:bookmarkStart w:id="1" w:name="_GoBack"/>
      <w:bookmarkEnd w:id="1"/>
      <w:r w:rsidRPr="00A70A0D">
        <w:rPr>
          <w:rFonts w:ascii="Times New Roman" w:hAnsi="Times New Roman" w:cs="Times New Roman"/>
          <w:lang w:val="en-US"/>
        </w:rPr>
        <w:t>.</w:t>
      </w:r>
    </w:p>
    <w:p w:rsidR="00BB0EAA" w:rsidRPr="00A70A0D" w:rsidRDefault="00CA1208" w:rsidP="00A70A0D">
      <w:pPr>
        <w:spacing w:before="360" w:after="120" w:line="290" w:lineRule="exact"/>
        <w:rPr>
          <w:rFonts w:ascii="Times New Roman" w:hAnsi="Times New Roman" w:cs="Times New Roman"/>
          <w:smallCaps/>
          <w:lang w:val="en-US"/>
        </w:rPr>
      </w:pPr>
      <w:commentRangeStart w:id="2"/>
      <w:r>
        <w:rPr>
          <w:rFonts w:ascii="Times New Roman" w:hAnsi="Times New Roman" w:cs="Times New Roman"/>
          <w:b/>
          <w:smallCaps/>
          <w:lang w:val="en-US"/>
        </w:rPr>
        <w:t>References</w:t>
      </w:r>
      <w:commentRangeEnd w:id="2"/>
      <w:r>
        <w:rPr>
          <w:rStyle w:val="Refdecomentrio"/>
        </w:rPr>
        <w:commentReference w:id="2"/>
      </w:r>
    </w:p>
    <w:p w:rsidR="00A70A0D" w:rsidRPr="00A70A0D" w:rsidRDefault="00A70A0D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42515D">
        <w:rPr>
          <w:rFonts w:ascii="Times New Roman" w:hAnsi="Times New Roman" w:cs="Times New Roman"/>
          <w:caps/>
          <w:lang w:val="en-US"/>
        </w:rPr>
        <w:t>Lewis</w:t>
      </w:r>
      <w:r w:rsidR="006543B5">
        <w:rPr>
          <w:rFonts w:ascii="Times New Roman" w:hAnsi="Times New Roman" w:cs="Times New Roman"/>
          <w:lang w:val="en-US"/>
        </w:rPr>
        <w:t xml:space="preserve">, </w:t>
      </w:r>
      <w:r w:rsidR="006543B5" w:rsidRPr="00A70A0D">
        <w:rPr>
          <w:rFonts w:ascii="Times New Roman" w:hAnsi="Times New Roman" w:cs="Times New Roman"/>
          <w:lang w:val="en-US"/>
        </w:rPr>
        <w:t>C.</w:t>
      </w:r>
      <w:r w:rsidR="006543B5">
        <w:rPr>
          <w:rFonts w:ascii="Times New Roman" w:hAnsi="Times New Roman" w:cs="Times New Roman"/>
          <w:lang w:val="en-US"/>
        </w:rPr>
        <w:t xml:space="preserve"> </w:t>
      </w:r>
      <w:r w:rsidR="006543B5" w:rsidRPr="00A70A0D">
        <w:rPr>
          <w:rFonts w:ascii="Times New Roman" w:hAnsi="Times New Roman" w:cs="Times New Roman"/>
          <w:lang w:val="en-US"/>
        </w:rPr>
        <w:t xml:space="preserve">I. </w:t>
      </w:r>
      <w:r w:rsidRPr="00A70A0D">
        <w:rPr>
          <w:rFonts w:ascii="Times New Roman" w:hAnsi="Times New Roman" w:cs="Times New Roman"/>
          <w:lang w:val="en-US"/>
        </w:rPr>
        <w:t xml:space="preserve">and </w:t>
      </w:r>
      <w:r w:rsidRPr="0042515D">
        <w:rPr>
          <w:rFonts w:ascii="Times New Roman" w:hAnsi="Times New Roman" w:cs="Times New Roman"/>
          <w:caps/>
          <w:lang w:val="en-US"/>
        </w:rPr>
        <w:t>Langford</w:t>
      </w:r>
      <w:r w:rsidRPr="00A70A0D">
        <w:rPr>
          <w:rFonts w:ascii="Times New Roman" w:hAnsi="Times New Roman" w:cs="Times New Roman"/>
          <w:lang w:val="en-US"/>
        </w:rPr>
        <w:t>,</w:t>
      </w:r>
      <w:r w:rsidR="006543B5">
        <w:rPr>
          <w:rFonts w:ascii="Times New Roman" w:hAnsi="Times New Roman" w:cs="Times New Roman"/>
          <w:lang w:val="en-US"/>
        </w:rPr>
        <w:t xml:space="preserve"> </w:t>
      </w:r>
      <w:r w:rsidR="006543B5" w:rsidRPr="00A70A0D">
        <w:rPr>
          <w:rFonts w:ascii="Times New Roman" w:hAnsi="Times New Roman" w:cs="Times New Roman"/>
          <w:lang w:val="en-US"/>
        </w:rPr>
        <w:t xml:space="preserve">C.H. </w:t>
      </w:r>
      <w:r w:rsidR="006543B5">
        <w:rPr>
          <w:rFonts w:ascii="Times New Roman" w:hAnsi="Times New Roman" w:cs="Times New Roman"/>
          <w:lang w:val="en-US"/>
        </w:rPr>
        <w:t>1932.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r w:rsidRPr="006543B5">
        <w:rPr>
          <w:rFonts w:ascii="Times New Roman" w:hAnsi="Times New Roman" w:cs="Times New Roman"/>
          <w:i/>
          <w:lang w:val="en-US"/>
        </w:rPr>
        <w:t>Symbolic Logic</w:t>
      </w:r>
      <w:r w:rsidR="006543B5">
        <w:rPr>
          <w:rFonts w:ascii="Times New Roman" w:hAnsi="Times New Roman" w:cs="Times New Roman"/>
          <w:lang w:val="en-US"/>
        </w:rPr>
        <w:t>. New York: Dover</w:t>
      </w:r>
      <w:r w:rsidRPr="00A70A0D">
        <w:rPr>
          <w:rFonts w:ascii="Times New Roman" w:hAnsi="Times New Roman" w:cs="Times New Roman"/>
          <w:lang w:val="en-US"/>
        </w:rPr>
        <w:t>.</w:t>
      </w:r>
    </w:p>
    <w:p w:rsidR="00A70A0D" w:rsidRPr="00A70A0D" w:rsidRDefault="006543B5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 w:rsidRPr="0042515D">
        <w:rPr>
          <w:rFonts w:ascii="Times New Roman" w:hAnsi="Times New Roman" w:cs="Times New Roman"/>
          <w:caps/>
          <w:lang w:val="en-US"/>
        </w:rPr>
        <w:t>Priest</w:t>
      </w:r>
      <w:r>
        <w:rPr>
          <w:rFonts w:ascii="Times New Roman" w:hAnsi="Times New Roman" w:cs="Times New Roman"/>
          <w:lang w:val="en-US"/>
        </w:rPr>
        <w:t xml:space="preserve">, </w:t>
      </w:r>
      <w:r w:rsidR="00A70A0D" w:rsidRPr="00A70A0D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. 1999.</w:t>
      </w:r>
      <w:proofErr w:type="gramEnd"/>
      <w:r w:rsidR="00A70A0D" w:rsidRPr="00A70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70A0D" w:rsidRPr="00A70A0D">
        <w:rPr>
          <w:rFonts w:ascii="Times New Roman" w:hAnsi="Times New Roman" w:cs="Times New Roman"/>
          <w:lang w:val="en-US"/>
        </w:rPr>
        <w:t>“Why not?</w:t>
      </w:r>
      <w:proofErr w:type="gramEnd"/>
      <w:r w:rsidR="00A70A0D" w:rsidRPr="00A70A0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A70A0D" w:rsidRPr="00A70A0D">
        <w:rPr>
          <w:rFonts w:ascii="Times New Roman" w:hAnsi="Times New Roman" w:cs="Times New Roman"/>
          <w:lang w:val="en-US"/>
        </w:rPr>
        <w:t>defence</w:t>
      </w:r>
      <w:proofErr w:type="spellEnd"/>
      <w:r w:rsidR="00A70A0D" w:rsidRPr="00A70A0D">
        <w:rPr>
          <w:rFonts w:ascii="Times New Roman" w:hAnsi="Times New Roman" w:cs="Times New Roman"/>
          <w:lang w:val="en-US"/>
        </w:rPr>
        <w:t xml:space="preserve"> of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dialetheic</w:t>
      </w:r>
      <w:proofErr w:type="spellEnd"/>
      <w:r>
        <w:rPr>
          <w:rFonts w:ascii="Times New Roman" w:hAnsi="Times New Roman" w:cs="Times New Roman"/>
          <w:lang w:val="en-US"/>
        </w:rPr>
        <w:t xml:space="preserve"> theory of negation.”</w:t>
      </w:r>
      <w:r w:rsidR="00A70A0D" w:rsidRPr="00A70A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A70A0D" w:rsidRPr="00A70A0D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:</w:t>
      </w:r>
      <w:r w:rsidR="00A70A0D" w:rsidRPr="00A70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0A0D" w:rsidRPr="00A70A0D">
        <w:rPr>
          <w:rFonts w:ascii="Times New Roman" w:hAnsi="Times New Roman" w:cs="Times New Roman"/>
          <w:lang w:val="en-US"/>
        </w:rPr>
        <w:t>Gabbay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A70A0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.</w:t>
      </w:r>
      <w:r w:rsidRPr="00A70A0D">
        <w:rPr>
          <w:rFonts w:ascii="Times New Roman" w:hAnsi="Times New Roman" w:cs="Times New Roman"/>
          <w:lang w:val="en-US"/>
        </w:rPr>
        <w:t xml:space="preserve"> M.</w:t>
      </w:r>
      <w:r w:rsidR="00262070">
        <w:rPr>
          <w:rFonts w:ascii="Times New Roman" w:hAnsi="Times New Roman" w:cs="Times New Roman"/>
          <w:lang w:val="en-US"/>
        </w:rPr>
        <w:t xml:space="preserve"> </w:t>
      </w:r>
      <w:r w:rsidR="00A70A0D" w:rsidRPr="00A70A0D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A70A0D" w:rsidRPr="00A70A0D">
        <w:rPr>
          <w:rFonts w:ascii="Times New Roman" w:hAnsi="Times New Roman" w:cs="Times New Roman"/>
          <w:lang w:val="en-US"/>
        </w:rPr>
        <w:t>Wansing</w:t>
      </w:r>
      <w:proofErr w:type="spellEnd"/>
      <w:r w:rsidR="00A70A0D" w:rsidRPr="00A70A0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H.</w:t>
      </w:r>
      <w:r w:rsidR="00A70A0D" w:rsidRPr="00A70A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="00A70A0D" w:rsidRPr="00A70A0D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>s.)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 w:rsidR="00A70A0D" w:rsidRPr="006543B5">
        <w:rPr>
          <w:rFonts w:ascii="Times New Roman" w:hAnsi="Times New Roman" w:cs="Times New Roman"/>
          <w:i/>
          <w:lang w:val="en-US"/>
        </w:rPr>
        <w:t>What is Negation</w:t>
      </w:r>
      <w:proofErr w:type="gramStart"/>
      <w:r w:rsidR="00A70A0D" w:rsidRPr="006543B5">
        <w:rPr>
          <w:rFonts w:ascii="Times New Roman" w:hAnsi="Times New Roman" w:cs="Times New Roman"/>
          <w:i/>
          <w:lang w:val="en-US"/>
        </w:rPr>
        <w:t>?</w:t>
      </w:r>
      <w:r w:rsidR="00A70A0D" w:rsidRPr="00A70A0D">
        <w:rPr>
          <w:rFonts w:ascii="Times New Roman" w:hAnsi="Times New Roman" w:cs="Times New Roman"/>
          <w:lang w:val="en-US"/>
        </w:rPr>
        <w:t>,</w:t>
      </w:r>
      <w:proofErr w:type="gramEnd"/>
      <w:r w:rsidR="00A70A0D" w:rsidRPr="00A70A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Dordrecht: Kluwer, </w:t>
      </w:r>
      <w:r w:rsidRPr="00A70A0D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p.</w:t>
      </w:r>
      <w:r w:rsidRPr="00A70A0D">
        <w:rPr>
          <w:rFonts w:ascii="Times New Roman" w:hAnsi="Times New Roman" w:cs="Times New Roman"/>
          <w:lang w:val="en-US"/>
        </w:rPr>
        <w:t xml:space="preserve"> 101-120</w:t>
      </w:r>
      <w:r w:rsidR="00A70A0D" w:rsidRPr="00A70A0D">
        <w:rPr>
          <w:rFonts w:ascii="Times New Roman" w:hAnsi="Times New Roman" w:cs="Times New Roman"/>
          <w:lang w:val="en-US"/>
        </w:rPr>
        <w:t>.</w:t>
      </w:r>
    </w:p>
    <w:p w:rsidR="00BB0EAA" w:rsidRPr="00A70A0D" w:rsidRDefault="00A70A0D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262070">
        <w:rPr>
          <w:rFonts w:ascii="Times New Roman" w:hAnsi="Times New Roman" w:cs="Times New Roman"/>
          <w:caps/>
          <w:lang w:val="en-US"/>
        </w:rPr>
        <w:t>Woods</w:t>
      </w:r>
      <w:r w:rsidR="00262070">
        <w:rPr>
          <w:rFonts w:ascii="Times New Roman" w:hAnsi="Times New Roman" w:cs="Times New Roman"/>
          <w:lang w:val="en-US"/>
        </w:rPr>
        <w:t>, J. 2005.</w:t>
      </w:r>
      <w:r w:rsidRPr="00A70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70A0D">
        <w:rPr>
          <w:rFonts w:ascii="Times New Roman" w:hAnsi="Times New Roman" w:cs="Times New Roman"/>
          <w:lang w:val="en-US"/>
        </w:rPr>
        <w:t>“Dialectical considerations of the logic of contradiction I</w:t>
      </w:r>
      <w:r w:rsidR="00262070">
        <w:rPr>
          <w:rFonts w:ascii="Times New Roman" w:hAnsi="Times New Roman" w:cs="Times New Roman"/>
          <w:lang w:val="en-US"/>
        </w:rPr>
        <w:t>.”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</w:t>
      </w:r>
      <w:r w:rsidRPr="00262070">
        <w:rPr>
          <w:rFonts w:ascii="Times New Roman" w:hAnsi="Times New Roman" w:cs="Times New Roman"/>
          <w:i/>
          <w:lang w:val="en-US"/>
        </w:rPr>
        <w:t>Logic Journal of</w:t>
      </w:r>
      <w:r w:rsidR="009A1C70">
        <w:rPr>
          <w:rFonts w:ascii="Times New Roman" w:hAnsi="Times New Roman" w:cs="Times New Roman"/>
          <w:i/>
          <w:lang w:val="en-US"/>
        </w:rPr>
        <w:t xml:space="preserve"> </w:t>
      </w:r>
      <w:r w:rsidRPr="00262070">
        <w:rPr>
          <w:rFonts w:ascii="Times New Roman" w:hAnsi="Times New Roman" w:cs="Times New Roman"/>
          <w:i/>
          <w:lang w:val="en-US"/>
        </w:rPr>
        <w:t>the IGPL</w:t>
      </w:r>
      <w:r w:rsidRPr="00A70A0D">
        <w:rPr>
          <w:rFonts w:ascii="Times New Roman" w:hAnsi="Times New Roman" w:cs="Times New Roman"/>
          <w:lang w:val="en-US"/>
        </w:rPr>
        <w:t xml:space="preserve"> 13</w:t>
      </w:r>
      <w:r w:rsidR="00262070">
        <w:rPr>
          <w:rFonts w:ascii="Times New Roman" w:hAnsi="Times New Roman" w:cs="Times New Roman"/>
          <w:lang w:val="en-US"/>
        </w:rPr>
        <w:t>: 231-26.</w:t>
      </w: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1-24T11:05:00Z" w:initials="WU">
    <w:p w:rsidR="00F6086B" w:rsidRPr="00F6086B" w:rsidRDefault="00F6086B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6086B">
        <w:rPr>
          <w:lang w:val="en-US"/>
        </w:rPr>
        <w:t xml:space="preserve">Please pay attention </w:t>
      </w:r>
      <w:r>
        <w:rPr>
          <w:lang w:val="en-US"/>
        </w:rPr>
        <w:t>to</w:t>
      </w:r>
      <w:r w:rsidRPr="00F6086B">
        <w:rPr>
          <w:lang w:val="en-US"/>
        </w:rPr>
        <w:t xml:space="preserve"> the format for </w:t>
      </w:r>
      <w:r>
        <w:rPr>
          <w:lang w:val="en-US"/>
        </w:rPr>
        <w:t xml:space="preserve">citation. </w:t>
      </w:r>
    </w:p>
  </w:comment>
  <w:comment w:id="2" w:author="Windows User" w:date="2014-11-24T11:06:00Z" w:initials="WU">
    <w:p w:rsidR="00CA1208" w:rsidRPr="00CA1208" w:rsidRDefault="00CA1208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CA1208">
        <w:rPr>
          <w:lang w:val="en-US"/>
        </w:rPr>
        <w:t xml:space="preserve">Please pay attention to the bibliographic </w:t>
      </w:r>
      <w:r>
        <w:rPr>
          <w:lang w:val="en-US"/>
        </w:rPr>
        <w:t>format for references.</w:t>
      </w:r>
      <w:r w:rsidR="00F6086B">
        <w:rPr>
          <w:lang w:val="en-US"/>
        </w:rPr>
        <w:t xml:space="preserve"> Only works cited in the text should appear in the references.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262070"/>
    <w:rsid w:val="002D6B3A"/>
    <w:rsid w:val="003E036E"/>
    <w:rsid w:val="0042515D"/>
    <w:rsid w:val="006543B5"/>
    <w:rsid w:val="006803BB"/>
    <w:rsid w:val="00812007"/>
    <w:rsid w:val="009A1C70"/>
    <w:rsid w:val="00A70A0D"/>
    <w:rsid w:val="00AA6D47"/>
    <w:rsid w:val="00BB0EAA"/>
    <w:rsid w:val="00CA1208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A12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12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12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12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A12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12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12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12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401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2014-11-24T13:40:00Z</dcterms:created>
  <dcterms:modified xsi:type="dcterms:W3CDTF">2014-11-24T14:07:00Z</dcterms:modified>
</cp:coreProperties>
</file>