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Christoph Benzmüller</w:t>
      </w:r>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79B8BDCB"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 xml:space="preserve">communicating to the wider public what actually had 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4D28AC54"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In autumn 2013 headlines such as “Computer Scientist ‘Prove’ God Exists”, “God’s Existence Theorem Is Correct”, “God Is Alive”, etc.,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actually had been achieved and what not. </w:t>
      </w:r>
    </w:p>
    <w:p w14:paraId="17760233" w14:textId="4CFCDEBE"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actual research 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77777777" w:rsidR="0096421A" w:rsidRPr="00FD50CE" w:rsidRDefault="0096421A" w:rsidP="0096421A">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Pr>
                <w:sz w:val="20"/>
                <w:szCs w:val="20"/>
              </w:rPr>
              <w:t xml:space="preserve">Gödel’s ontological argument for the existence of God </w:t>
            </w:r>
            <w:r w:rsidRPr="006B1DD0">
              <w:rPr>
                <w:sz w:val="20"/>
                <w:szCs w:val="20"/>
              </w:rPr>
              <w:t>[Gödel]</w:t>
            </w:r>
            <w:r>
              <w:rPr>
                <w:sz w:val="20"/>
                <w:szCs w:val="20"/>
              </w:rPr>
              <w:t>; here the variant by Scott [Scott] is presented.</w:t>
            </w:r>
          </w:p>
        </w:tc>
      </w:tr>
    </w:tbl>
    <w:p w14:paraId="23CF4513" w14:textId="77777777" w:rsidR="0096421A" w:rsidRPr="006B1DD0" w:rsidRDefault="0096421A" w:rsidP="0096421A">
      <w:pPr>
        <w:rPr>
          <w:rFonts w:ascii="Arial" w:hAnsi="Arial" w:cs="Arial"/>
          <w:sz w:val="20"/>
          <w:szCs w:val="20"/>
        </w:rPr>
      </w:pPr>
    </w:p>
    <w:p w14:paraId="5D2064F1" w14:textId="1FB6BC62"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r w:rsidR="006B1DD0" w:rsidRPr="006B1DD0">
        <w:rPr>
          <w:rFonts w:ascii="Arial" w:hAnsi="Arial" w:cs="Arial"/>
          <w:sz w:val="20"/>
          <w:szCs w:val="20"/>
        </w:rPr>
        <w:t xml:space="preserve">Benzmüller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[24.]</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A32C2E">
        <w:rPr>
          <w:rFonts w:ascii="Arial" w:hAnsi="Arial" w:cs="Arial"/>
          <w:sz w:val="20"/>
          <w:szCs w:val="20"/>
        </w:rPr>
        <w:t>[17.]</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[9.]</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[1.]</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[4.]</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[10.]</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f his talk, Benzmüller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[19.]</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0E6BC5">
        <w:rPr>
          <w:rFonts w:ascii="Arial" w:hAnsi="Arial" w:cs="Arial"/>
          <w:sz w:val="20"/>
          <w:szCs w:val="20"/>
        </w:rPr>
        <w:t xml:space="preserve"> </w:t>
      </w:r>
      <w:r w:rsidR="002C28CC" w:rsidRPr="006B1DD0">
        <w:rPr>
          <w:rFonts w:ascii="Arial" w:hAnsi="Arial" w:cs="Arial"/>
          <w:sz w:val="20"/>
          <w:szCs w:val="20"/>
        </w:rPr>
        <w:t>(which is formulated in a higher-order QML</w:t>
      </w:r>
      <w:r w:rsidR="0096421A">
        <w:rPr>
          <w:rFonts w:ascii="Arial" w:hAnsi="Arial" w:cs="Arial"/>
          <w:sz w:val="20"/>
          <w:szCs w:val="20"/>
        </w:rPr>
        <w:t>; cf. Fig. 1</w:t>
      </w:r>
      <w:r w:rsidR="002C28CC" w:rsidRPr="006B1DD0">
        <w:rPr>
          <w:rFonts w:ascii="Arial" w:hAnsi="Arial" w:cs="Arial"/>
          <w:sz w:val="20"/>
          <w:szCs w:val="20"/>
        </w:rPr>
        <w:t>) with theorem provers for HOL. Benzmüller’s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[16.]</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55601C">
        <w:rPr>
          <w:rFonts w:ascii="Arial" w:hAnsi="Arial" w:cs="Arial"/>
          <w:sz w:val="20"/>
          <w:szCs w:val="20"/>
        </w:rPr>
        <w:t xml:space="preserve">sufficient insistence and </w:t>
      </w:r>
      <w:r w:rsidR="002C28CC" w:rsidRPr="006B1DD0">
        <w:rPr>
          <w:rFonts w:ascii="Arial" w:hAnsi="Arial" w:cs="Arial"/>
          <w:sz w:val="20"/>
          <w:szCs w:val="20"/>
        </w:rPr>
        <w:t>success.</w:t>
      </w:r>
    </w:p>
    <w:p w14:paraId="1BF9F245" w14:textId="77777777" w:rsidR="00A958C1" w:rsidRDefault="00A958C1" w:rsidP="002C28CC">
      <w:pPr>
        <w:spacing w:line="280" w:lineRule="exact"/>
        <w:jc w:val="both"/>
        <w:rPr>
          <w:rFonts w:ascii="Arial" w:hAnsi="Arial" w:cs="Arial"/>
          <w:sz w:val="20"/>
          <w:szCs w:val="20"/>
        </w:rPr>
      </w:pPr>
    </w:p>
    <w:p w14:paraId="055F5DA8" w14:textId="6AF09123"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C703C3">
        <w:rPr>
          <w:rFonts w:ascii="Arial" w:hAnsi="Arial" w:cs="Arial"/>
          <w:sz w:val="20"/>
          <w:szCs w:val="20"/>
        </w:rPr>
        <w:t>and incapacitating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635B9180"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 (</w:t>
      </w:r>
      <w:r w:rsidR="00325510">
        <w:rPr>
          <w:rFonts w:ascii="Arial" w:hAnsi="Arial" w:cs="Arial"/>
          <w:sz w:val="20"/>
          <w:szCs w:val="20"/>
        </w:rPr>
        <w:t xml:space="preserve">a philosopher </w:t>
      </w:r>
      <w:r w:rsidR="00E11115">
        <w:rPr>
          <w:rFonts w:ascii="Arial" w:hAnsi="Arial" w:cs="Arial"/>
          <w:sz w:val="20"/>
          <w:szCs w:val="20"/>
        </w:rPr>
        <w:t xml:space="preserve">who contributed through the </w:t>
      </w:r>
      <w:r w:rsidR="00325510">
        <w:rPr>
          <w:rFonts w:ascii="Arial" w:hAnsi="Arial" w:cs="Arial"/>
          <w:sz w:val="20"/>
          <w:szCs w:val="20"/>
        </w:rPr>
        <w:t>open online</w:t>
      </w:r>
      <w:r w:rsidR="00E11115">
        <w:rPr>
          <w:rFonts w:ascii="Arial" w:hAnsi="Arial" w:cs="Arial"/>
          <w:sz w:val="20"/>
          <w:szCs w:val="20"/>
        </w:rPr>
        <w:t xml:space="preserve"> repository); and </w:t>
      </w:r>
      <w:r w:rsidRPr="006B1DD0">
        <w:rPr>
          <w:rFonts w:ascii="Arial" w:hAnsi="Arial" w:cs="Arial"/>
          <w:sz w:val="20"/>
          <w:szCs w:val="20"/>
        </w:rPr>
        <w:t>Be</w:t>
      </w:r>
      <w:r w:rsidR="00E11115">
        <w:rPr>
          <w:rFonts w:ascii="Arial" w:hAnsi="Arial" w:cs="Arial"/>
          <w:sz w:val="20"/>
          <w:szCs w:val="20"/>
        </w:rPr>
        <w:t>nzmüller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325510">
        <w:rPr>
          <w:rFonts w:ascii="Arial" w:hAnsi="Arial" w:cs="Arial"/>
          <w:sz w:val="20"/>
          <w:szCs w:val="20"/>
        </w:rPr>
        <w:t xml:space="preserve"> and hence unreliable</w:t>
      </w:r>
      <w:r w:rsidR="0098512E">
        <w:rPr>
          <w:rFonts w:ascii="Arial" w:hAnsi="Arial" w:cs="Arial"/>
          <w:sz w:val="20"/>
          <w:szCs w:val="20"/>
        </w:rPr>
        <w:t>; the automatic proofs were quickly machine-checkable</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was</w:t>
      </w:r>
      <w:r w:rsidR="0098512E">
        <w:rPr>
          <w:rFonts w:ascii="Arial" w:hAnsi="Arial" w:cs="Arial"/>
          <w:sz w:val="20"/>
          <w:szCs w:val="20"/>
        </w:rPr>
        <w:t>,</w:t>
      </w:r>
      <w:r w:rsidR="0055601C">
        <w:rPr>
          <w:rFonts w:ascii="Arial" w:hAnsi="Arial" w:cs="Arial"/>
          <w:sz w:val="20"/>
          <w:szCs w:val="20"/>
        </w:rPr>
        <w:t xml:space="preserve"> for the time being</w:t>
      </w:r>
      <w:r w:rsidR="0098512E">
        <w:rPr>
          <w:rFonts w:ascii="Arial" w:hAnsi="Arial" w:cs="Arial"/>
          <w:sz w:val="20"/>
          <w:szCs w:val="20"/>
        </w:rPr>
        <w:t>,</w:t>
      </w:r>
      <w:r w:rsidR="0055601C">
        <w:rPr>
          <w:rFonts w:ascii="Arial" w:hAnsi="Arial" w:cs="Arial"/>
          <w:sz w:val="20"/>
          <w:szCs w:val="20"/>
        </w:rPr>
        <w:t xml:space="preserve"> on the embedding approach. </w:t>
      </w:r>
      <w:r w:rsidR="00325510">
        <w:rPr>
          <w:rFonts w:ascii="Arial" w:hAnsi="Arial" w:cs="Arial"/>
          <w:sz w:val="20"/>
          <w:szCs w:val="20"/>
        </w:rPr>
        <w:t>Further work on the other</w:t>
      </w:r>
      <w:r w:rsidRPr="006B1DD0">
        <w:rPr>
          <w:rFonts w:ascii="Arial" w:hAnsi="Arial" w:cs="Arial"/>
          <w:sz w:val="20"/>
          <w:szCs w:val="20"/>
        </w:rPr>
        <w:t xml:space="preserve"> approa</w:t>
      </w:r>
      <w:r w:rsidR="0055601C">
        <w:rPr>
          <w:rFonts w:ascii="Arial" w:hAnsi="Arial" w:cs="Arial"/>
          <w:sz w:val="20"/>
          <w:szCs w:val="20"/>
        </w:rPr>
        <w:t>ch</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career break of </w:t>
      </w:r>
      <w:r w:rsidR="00325510">
        <w:rPr>
          <w:rFonts w:ascii="Arial" w:hAnsi="Arial" w:cs="Arial"/>
          <w:sz w:val="20"/>
          <w:szCs w:val="20"/>
        </w:rPr>
        <w:t>Siders. Nevertheless,</w:t>
      </w:r>
      <w:r w:rsidRPr="006B1DD0">
        <w:rPr>
          <w:rFonts w:ascii="Arial" w:hAnsi="Arial" w:cs="Arial"/>
          <w:sz w:val="20"/>
          <w:szCs w:val="20"/>
        </w:rPr>
        <w:t xml:space="preserve"> the two quasi 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even 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p>
    <w:p w14:paraId="31ECDED2" w14:textId="77777777" w:rsidR="0098512E" w:rsidRDefault="0098512E" w:rsidP="002C28CC">
      <w:pPr>
        <w:spacing w:line="280" w:lineRule="exact"/>
        <w:jc w:val="both"/>
        <w:rPr>
          <w:rFonts w:ascii="Arial" w:hAnsi="Arial" w:cs="Arial"/>
          <w:sz w:val="20"/>
          <w:szCs w:val="20"/>
        </w:rPr>
      </w:pPr>
    </w:p>
    <w:p w14:paraId="44052293" w14:textId="03759629" w:rsidR="002C28CC" w:rsidRDefault="00844A44" w:rsidP="002C28CC">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1218FD">
        <w:rPr>
          <w:rFonts w:ascii="Arial" w:hAnsi="Arial" w:cs="Arial"/>
          <w:sz w:val="20"/>
          <w:szCs w:val="20"/>
        </w:rPr>
        <w:t>[6.]</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provers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w:t>
      </w:r>
      <w:r w:rsidR="0055601C">
        <w:rPr>
          <w:rFonts w:ascii="Arial" w:hAnsi="Arial" w:cs="Arial"/>
          <w:sz w:val="20"/>
          <w:szCs w:val="20"/>
        </w:rPr>
        <w:fldChar w:fldCharType="end"/>
      </w:r>
      <w:r w:rsidR="0055601C">
        <w:rPr>
          <w:rFonts w:ascii="Arial" w:hAnsi="Arial" w:cs="Arial"/>
          <w:sz w:val="20"/>
          <w:szCs w:val="20"/>
        </w:rPr>
        <w:t xml:space="preserve"> and Satallax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[15.]</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[14.]</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[31.]</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96421A">
        <w:rPr>
          <w:rFonts w:ascii="Arial" w:hAnsi="Arial" w:cs="Arial"/>
          <w:sz w:val="20"/>
          <w:szCs w:val="20"/>
        </w:rPr>
        <w:t xml:space="preserve">(see Fig. 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xml:space="preserve">. </w:t>
      </w:r>
    </w:p>
    <w:p w14:paraId="140C2AD6" w14:textId="79F9CCBE"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77777777"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The axioms (and definitions) are consistent. This was confirmed by Nitpick, which presented simple model within a few seconds.</w:t>
      </w:r>
      <w:bookmarkEnd w:id="2"/>
      <w:r w:rsidRPr="006B1DD0">
        <w:rPr>
          <w:rFonts w:ascii="Arial" w:hAnsi="Arial" w:cs="Arial"/>
          <w:sz w:val="20"/>
          <w:szCs w:val="20"/>
        </w:rPr>
        <w:t xml:space="preserve"> </w:t>
      </w:r>
    </w:p>
    <w:p w14:paraId="32843768"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(which is entailed in stronger modal logics such as KB, S4 and S5, so that result also holds for these logics). This was proved by LEO-II and Satallax in a few milliseconds. In fact, the left to right direction of the equivalence 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Satallax within milliseconds and LEO-II within 20s. </w:t>
      </w:r>
    </w:p>
    <w:p w14:paraId="759CCF79" w14:textId="07B3985B"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proved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In  modal logic K theorem T2 does not  follow from the axioms and definitions. This was confirmed by Nitpick, which reported a countermodel.</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5FDB90AD"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already been conjectured by Anderson (1990) and acknowledged by Sobel (2004), but no formal proof had ever been presented. Soon after the automatic proof using only KB was found, Annika Siders submitted an improvement of the hand-made natural deduction proof which used only KB as well.</w:t>
      </w:r>
    </w:p>
    <w:p w14:paraId="09D7F64A" w14:textId="77777777" w:rsidR="00F31EED" w:rsidRDefault="00F31EED" w:rsidP="00094A9E">
      <w:pPr>
        <w:spacing w:line="280" w:lineRule="exact"/>
        <w:jc w:val="both"/>
        <w:rPr>
          <w:rFonts w:ascii="Arial" w:hAnsi="Arial" w:cs="Arial"/>
          <w:sz w:val="20"/>
          <w:szCs w:val="20"/>
        </w:rPr>
      </w:pPr>
    </w:p>
    <w:p w14:paraId="3146844F" w14:textId="679678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D913BB">
        <w:rPr>
          <w:rFonts w:ascii="Arial" w:hAnsi="Arial" w:cs="Arial"/>
          <w:sz w:val="20"/>
          <w:szCs w:val="20"/>
        </w:rPr>
        <w:t xml:space="preserve"> of November 2013 in FU-Berlin, in the first joint talk of Benzmüller and Woltzenlogel Paleo.</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Satallax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1CA55738" w14:textId="216B9254" w:rsidR="002C28CC" w:rsidRDefault="0055601C" w:rsidP="00C644E2">
      <w:pPr>
        <w:spacing w:line="280" w:lineRule="exact"/>
        <w:jc w:val="both"/>
        <w:rPr>
          <w:rFonts w:ascii="Arial" w:hAnsi="Arial" w:cs="Arial"/>
          <w:sz w:val="20"/>
          <w:szCs w:val="20"/>
        </w:rPr>
      </w:pPr>
      <w:r>
        <w:rPr>
          <w:rFonts w:ascii="Arial" w:hAnsi="Arial" w:cs="Arial"/>
          <w:sz w:val="20"/>
          <w:szCs w:val="20"/>
        </w:rPr>
        <w:t>In pen and paper proofs in philosophy</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Pr>
          <w:rFonts w:ascii="Arial" w:hAnsi="Arial" w:cs="Arial"/>
          <w:sz w:val="20"/>
          <w:szCs w:val="20"/>
        </w:rPr>
        <w:t xml:space="preserve"> </w:t>
      </w:r>
      <w:r w:rsidR="002C28CC" w:rsidRPr="002C28CC">
        <w:rPr>
          <w:rFonts w:ascii="Arial" w:hAnsi="Arial" w:cs="Arial"/>
          <w:sz w:val="20"/>
          <w:szCs w:val="20"/>
        </w:rPr>
        <w:t>logic)</w:t>
      </w:r>
      <w:r>
        <w:rPr>
          <w:rFonts w:ascii="Arial" w:hAnsi="Arial" w:cs="Arial"/>
          <w:sz w:val="20"/>
          <w:szCs w:val="20"/>
        </w:rPr>
        <w:t>, rigid terms</w:t>
      </w:r>
      <w:r w:rsidR="002C28CC" w:rsidRPr="002C28CC">
        <w:rPr>
          <w:rFonts w:ascii="Arial" w:hAnsi="Arial" w:cs="Arial"/>
          <w:sz w:val="20"/>
          <w:szCs w:val="20"/>
        </w:rPr>
        <w:t xml:space="preserve"> and a possibilist</w:t>
      </w:r>
      <w:r w:rsidR="00F31EED">
        <w:rPr>
          <w:rFonts w:ascii="Arial" w:hAnsi="Arial" w:cs="Arial"/>
          <w:sz w:val="20"/>
          <w:szCs w:val="20"/>
        </w:rPr>
        <w:t>ic</w:t>
      </w:r>
      <w:r w:rsidR="002C28CC" w:rsidRPr="002C28CC">
        <w:rPr>
          <w:rFonts w:ascii="Arial" w:hAnsi="Arial" w:cs="Arial"/>
          <w:sz w:val="20"/>
          <w:szCs w:val="20"/>
        </w:rPr>
        <w:t xml:space="preserve"> (constant domain) notion of quantification over individuals.</w:t>
      </w:r>
    </w:p>
    <w:p w14:paraId="1D97C075" w14:textId="77777777" w:rsidR="00F31EED" w:rsidRPr="002C28CC" w:rsidRDefault="00F31EED" w:rsidP="00C644E2">
      <w:pPr>
        <w:spacing w:line="280" w:lineRule="exact"/>
        <w:jc w:val="both"/>
        <w:rPr>
          <w:rFonts w:ascii="Arial" w:hAnsi="Arial" w:cs="Arial"/>
          <w:sz w:val="20"/>
          <w:szCs w:val="20"/>
        </w:rPr>
      </w:pPr>
    </w:p>
    <w:p w14:paraId="0E0FCBC6" w14:textId="0438EBEC" w:rsidR="006B1DD0" w:rsidRDefault="002C28CC" w:rsidP="00C644E2">
      <w:pPr>
        <w:spacing w:line="280" w:lineRule="exact"/>
        <w:jc w:val="both"/>
        <w:rPr>
          <w:rFonts w:ascii="Arial" w:hAnsi="Arial" w:cs="Arial"/>
          <w:sz w:val="20"/>
          <w:szCs w:val="20"/>
        </w:rPr>
      </w:pPr>
      <w:r w:rsidRPr="006B1DD0">
        <w:rPr>
          <w:rFonts w:ascii="Arial" w:hAnsi="Arial" w:cs="Arial"/>
          <w:sz w:val="20"/>
          <w:szCs w:val="20"/>
        </w:rPr>
        <w:t xml:space="preserve">In a second series of experiments, the encoding of the quantifiers for individuals </w:t>
      </w:r>
      <w:r w:rsidR="00F33EF8">
        <w:rPr>
          <w:rFonts w:ascii="Arial" w:hAnsi="Arial" w:cs="Arial"/>
          <w:sz w:val="20"/>
          <w:szCs w:val="20"/>
        </w:rPr>
        <w:t xml:space="preserve">has been varied </w:t>
      </w:r>
      <w:r w:rsidRPr="006B1DD0">
        <w:rPr>
          <w:rFonts w:ascii="Arial" w:hAnsi="Arial" w:cs="Arial"/>
          <w:sz w:val="20"/>
          <w:szCs w:val="20"/>
        </w:rPr>
        <w:t xml:space="preserve">to capture </w:t>
      </w:r>
      <w:r w:rsidR="0055601C">
        <w:rPr>
          <w:rFonts w:ascii="Arial" w:hAnsi="Arial" w:cs="Arial"/>
          <w:sz w:val="20"/>
          <w:szCs w:val="20"/>
        </w:rPr>
        <w:t xml:space="preserve">also </w:t>
      </w:r>
      <w:r w:rsidRPr="006B1DD0">
        <w:rPr>
          <w:rFonts w:ascii="Arial" w:hAnsi="Arial" w:cs="Arial"/>
          <w:sz w:val="20"/>
          <w:szCs w:val="20"/>
        </w:rPr>
        <w:t>actualist</w:t>
      </w:r>
      <w:r w:rsidR="0098512E">
        <w:rPr>
          <w:rFonts w:ascii="Arial" w:hAnsi="Arial" w:cs="Arial"/>
          <w:sz w:val="20"/>
          <w:szCs w:val="20"/>
        </w:rPr>
        <w:t>ic</w:t>
      </w:r>
      <w:r w:rsidRPr="006B1DD0">
        <w:rPr>
          <w:rFonts w:ascii="Arial" w:hAnsi="Arial" w:cs="Arial"/>
          <w:sz w:val="20"/>
          <w:szCs w:val="20"/>
        </w:rPr>
        <w:t xml:space="preserve"> </w:t>
      </w:r>
      <w:r w:rsidR="0055601C">
        <w:rPr>
          <w:rFonts w:ascii="Arial" w:hAnsi="Arial" w:cs="Arial"/>
          <w:sz w:val="20"/>
          <w:szCs w:val="20"/>
        </w:rPr>
        <w:t xml:space="preserve">quantification </w:t>
      </w:r>
      <w:r w:rsidRPr="006B1DD0">
        <w:rPr>
          <w:rFonts w:ascii="Arial" w:hAnsi="Arial" w:cs="Arial"/>
          <w:sz w:val="20"/>
          <w:szCs w:val="20"/>
        </w:rPr>
        <w:t xml:space="preserve">(varying domain). </w:t>
      </w:r>
      <w:r w:rsidR="00F31EED">
        <w:rPr>
          <w:rFonts w:ascii="Arial" w:hAnsi="Arial" w:cs="Arial"/>
          <w:sz w:val="20"/>
          <w:szCs w:val="20"/>
        </w:rPr>
        <w:t>All</w:t>
      </w:r>
      <w:r w:rsidRPr="006B1DD0">
        <w:rPr>
          <w:rFonts w:ascii="Arial" w:hAnsi="Arial" w:cs="Arial"/>
          <w:sz w:val="20"/>
          <w:szCs w:val="20"/>
        </w:rPr>
        <w:t xml:space="preserve"> our previous results </w:t>
      </w:r>
      <w:r w:rsidR="00F31EED">
        <w:rPr>
          <w:rFonts w:ascii="Arial" w:hAnsi="Arial" w:cs="Arial"/>
          <w:sz w:val="20"/>
          <w:szCs w:val="20"/>
        </w:rPr>
        <w:t>remained valid with</w:t>
      </w:r>
      <w:r w:rsidRPr="006B1DD0">
        <w:rPr>
          <w:rFonts w:ascii="Arial" w:hAnsi="Arial" w:cs="Arial"/>
          <w:sz w:val="20"/>
          <w:szCs w:val="20"/>
        </w:rPr>
        <w:t xml:space="preserve"> this</w:t>
      </w:r>
      <w:r w:rsidR="0055601C">
        <w:rPr>
          <w:rFonts w:ascii="Arial" w:hAnsi="Arial" w:cs="Arial"/>
          <w:sz w:val="20"/>
          <w:szCs w:val="20"/>
        </w:rPr>
        <w:t xml:space="preserve"> modification</w:t>
      </w:r>
      <w:r w:rsidR="00F31EED">
        <w:rPr>
          <w:rFonts w:ascii="Arial" w:hAnsi="Arial" w:cs="Arial"/>
          <w:sz w:val="20"/>
          <w:szCs w:val="20"/>
        </w:rPr>
        <w:t xml:space="preserve"> as well</w:t>
      </w:r>
      <w:r w:rsidRPr="006B1DD0">
        <w:rPr>
          <w:rFonts w:ascii="Arial" w:hAnsi="Arial" w:cs="Arial"/>
          <w:sz w:val="20"/>
          <w:szCs w:val="20"/>
        </w:rPr>
        <w:t>.</w:t>
      </w:r>
      <w:r w:rsidR="002A246D">
        <w:rPr>
          <w:rFonts w:ascii="Arial" w:hAnsi="Arial" w:cs="Arial"/>
          <w:sz w:val="20"/>
          <w:szCs w:val="20"/>
        </w:rPr>
        <w:t xml:space="preserve"> Together, the embedding approach and all experimental results mentioned up to this point were published in detail in [ECAI paper].</w:t>
      </w:r>
    </w:p>
    <w:p w14:paraId="728E9F4B" w14:textId="77777777" w:rsidR="00F31EED" w:rsidRDefault="00F31EED" w:rsidP="00C644E2">
      <w:pPr>
        <w:spacing w:line="280" w:lineRule="exact"/>
        <w:jc w:val="both"/>
        <w:rPr>
          <w:rFonts w:ascii="Arial" w:hAnsi="Arial" w:cs="Arial"/>
          <w:sz w:val="20"/>
          <w:szCs w:val="20"/>
        </w:rPr>
      </w:pPr>
    </w:p>
    <w:p w14:paraId="6D72BB58" w14:textId="7766A9A4"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 xml:space="preserve">Automated theorem provers often find proofs that differ from human </w:t>
      </w:r>
      <w:r w:rsidR="0055601C">
        <w:rPr>
          <w:rFonts w:ascii="Arial" w:hAnsi="Arial" w:cs="Arial"/>
          <w:sz w:val="20"/>
          <w:szCs w:val="20"/>
        </w:rPr>
        <w:t xml:space="preserve">generated </w:t>
      </w:r>
      <w:r>
        <w:rPr>
          <w:rFonts w:ascii="Arial" w:hAnsi="Arial" w:cs="Arial"/>
          <w:sz w:val="20"/>
          <w:szCs w:val="20"/>
        </w:rPr>
        <w:t xml:space="preserve">proofs.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 in the proof.</w:t>
      </w:r>
      <w:r w:rsidR="004A08C2">
        <w:rPr>
          <w:rFonts w:ascii="Arial" w:hAnsi="Arial" w:cs="Arial"/>
          <w:sz w:val="20"/>
          <w:szCs w:val="20"/>
        </w:rPr>
        <w:t xml:space="preserve"> In fact, there is no reason why a</w:t>
      </w:r>
      <w:r w:rsidR="00AB755E">
        <w:rPr>
          <w:rFonts w:ascii="Arial" w:hAnsi="Arial" w:cs="Arial"/>
          <w:sz w:val="20"/>
          <w:szCs w:val="20"/>
        </w:rPr>
        <w:t>nyone following a</w:t>
      </w:r>
      <w:r w:rsidR="004A08C2">
        <w:rPr>
          <w:rFonts w:ascii="Arial" w:hAnsi="Arial" w:cs="Arial"/>
          <w:sz w:val="20"/>
          <w:szCs w:val="20"/>
        </w:rPr>
        <w:t xml:space="preserve"> systematic </w:t>
      </w:r>
      <w:r w:rsidR="00AB755E">
        <w:rPr>
          <w:rFonts w:ascii="Arial" w:hAnsi="Arial" w:cs="Arial"/>
          <w:sz w:val="20"/>
          <w:szCs w:val="20"/>
        </w:rPr>
        <w:t>proof search procedure would need to refer to a property (e.g. self-identity) that is not originally contained in the problem. It is surprising that Gödel did so, and one may wonder whether he had philosophical motivations for that.</w:t>
      </w:r>
      <w:r w:rsidR="0055601C">
        <w:rPr>
          <w:rFonts w:ascii="Arial" w:hAnsi="Arial" w:cs="Arial"/>
          <w:sz w:val="20"/>
          <w:szCs w:val="20"/>
        </w:rPr>
        <w:t xml:space="preserve"> </w:t>
      </w:r>
      <w:r w:rsidR="00AB755E">
        <w:rPr>
          <w:rFonts w:ascii="Arial" w:hAnsi="Arial" w:cs="Arial"/>
          <w:sz w:val="20"/>
          <w:szCs w:val="20"/>
        </w:rPr>
        <w:t>T</w:t>
      </w:r>
      <w:r w:rsidR="004A08C2">
        <w:rPr>
          <w:rFonts w:ascii="Arial" w:hAnsi="Arial" w:cs="Arial"/>
          <w:sz w:val="20"/>
          <w:szCs w:val="20"/>
        </w:rPr>
        <w:t>he natural deduction proof of Theorem 1 constructed independently by Woltzenlogel Paleo also did not use self-identit</w:t>
      </w:r>
      <w:r w:rsidR="00AB755E">
        <w:rPr>
          <w:rFonts w:ascii="Arial" w:hAnsi="Arial" w:cs="Arial"/>
          <w:sz w:val="20"/>
          <w:szCs w:val="20"/>
        </w:rPr>
        <w:t>y, and 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 (1990). Therefore, even though the proof of Theorem 1 found by the automated provers in this case was certainly different from Göde</w:t>
      </w:r>
      <w:r w:rsidR="00C07508">
        <w:rPr>
          <w:rFonts w:ascii="Arial" w:hAnsi="Arial" w:cs="Arial"/>
          <w:sz w:val="20"/>
          <w:szCs w:val="20"/>
        </w:rPr>
        <w:t>l’s, it is not entirely unlike</w:t>
      </w:r>
      <w:r w:rsidR="00AB755E">
        <w:rPr>
          <w:rFonts w:ascii="Arial" w:hAnsi="Arial" w:cs="Arial"/>
          <w:sz w:val="20"/>
          <w:szCs w:val="20"/>
        </w:rPr>
        <w:t xml:space="preserve"> the way of thinking of more recent logicians.</w:t>
      </w:r>
    </w:p>
    <w:p w14:paraId="4C77CFE5" w14:textId="77777777" w:rsidR="0055601C" w:rsidRDefault="0055601C"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53A780F7"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Gödel </w:t>
      </w:r>
      <w:r w:rsidR="000A0750">
        <w:rPr>
          <w:rFonts w:ascii="Arial" w:hAnsi="Arial" w:cs="Arial"/>
          <w:sz w:val="20"/>
          <w:szCs w:val="20"/>
        </w:rPr>
        <w:t>in contrast formalized</w:t>
      </w:r>
      <w:r>
        <w:rPr>
          <w:rFonts w:ascii="Arial" w:hAnsi="Arial" w:cs="Arial"/>
          <w:sz w:val="20"/>
          <w:szCs w:val="20"/>
        </w:rPr>
        <w:t xml:space="preserve"> his proof in </w:t>
      </w:r>
      <w:r w:rsidR="00E61747">
        <w:rPr>
          <w:rFonts w:ascii="Arial" w:hAnsi="Arial" w:cs="Arial"/>
          <w:sz w:val="20"/>
          <w:szCs w:val="20"/>
        </w:rPr>
        <w:t xml:space="preserve">a second-order modal 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DA639A">
        <w:rPr>
          <w:rFonts w:ascii="Arial" w:hAnsi="Arial" w:cs="Arial"/>
          <w:sz w:val="20"/>
          <w:szCs w:val="20"/>
        </w:rPr>
        <w:t xml:space="preserve"> corollary C (see Fig. 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0A0750">
        <w:rPr>
          <w:rFonts w:ascii="Arial" w:hAnsi="Arial" w:cs="Arial"/>
          <w:sz w:val="20"/>
          <w:szCs w:val="20"/>
        </w:rPr>
        <w:t xml:space="preserve">God to exists.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6E6B">
        <w:rPr>
          <w:rFonts w:ascii="Arial" w:hAnsi="Arial" w:cs="Arial"/>
          <w:sz w:val="20"/>
          <w:szCs w:val="20"/>
        </w:rPr>
        <w:t>had presupposed</w:t>
      </w:r>
      <w:r w:rsidR="00EA15CE">
        <w:rPr>
          <w:rFonts w:ascii="Arial" w:hAnsi="Arial" w:cs="Arial"/>
          <w:sz w:val="20"/>
          <w:szCs w:val="20"/>
        </w:rPr>
        <w:t xml:space="preserve">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EA15CE">
        <w:rPr>
          <w:rFonts w:ascii="Arial" w:hAnsi="Arial" w:cs="Arial"/>
          <w:sz w:val="20"/>
          <w:szCs w:val="20"/>
        </w:rPr>
        <w:t>.</w:t>
      </w:r>
      <w:r w:rsidR="00042340">
        <w:rPr>
          <w:rFonts w:ascii="Arial" w:hAnsi="Arial" w:cs="Arial"/>
          <w:sz w:val="20"/>
          <w:szCs w:val="20"/>
        </w:rPr>
        <w:t xml:space="preserve"> 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Sobel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[28.]</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[29.]</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ssary truth, in formal notation</w:t>
      </w:r>
      <w:r w:rsidR="00767834">
        <w:rPr>
          <w:rFonts w:ascii="Arial" w:hAnsi="Arial" w:cs="Arial"/>
          <w:sz w:val="20"/>
          <w:szCs w:val="20"/>
        </w:rPr>
        <w:t xml:space="preserve"> P </w:t>
      </w:r>
      <w:r w:rsidR="00767834" w:rsidRPr="00767834">
        <w:rPr>
          <w:rFonts w:ascii="Arial" w:hAnsi="Arial" w:cs="Arial"/>
          <w:sz w:val="20"/>
          <w:szCs w:val="20"/>
        </w:rPr>
        <w:sym w:font="Wingdings" w:char="F0E0"/>
      </w:r>
      <w:r w:rsidR="00E61747">
        <w:rPr>
          <w:rFonts w:ascii="Arial" w:hAnsi="Arial" w:cs="Arial"/>
          <w:sz w:val="20"/>
          <w:szCs w:val="20"/>
        </w:rPr>
        <w:t xml:space="preserve"> []</w:t>
      </w:r>
      <w:r w:rsidR="00767834">
        <w:rPr>
          <w:rFonts w:ascii="Arial" w:hAnsi="Arial" w:cs="Arial"/>
          <w:sz w:val="20"/>
          <w:szCs w:val="20"/>
        </w:rPr>
        <w:t xml:space="preserve">P.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r w:rsidR="00E530F7">
        <w:rPr>
          <w:rFonts w:ascii="Arial" w:hAnsi="Arial" w:cs="Arial"/>
          <w:sz w:val="20"/>
          <w:szCs w:val="20"/>
        </w:rPr>
        <w:t xml:space="preserve"> </w:t>
      </w:r>
    </w:p>
    <w:p w14:paraId="14047C15" w14:textId="34F46A86" w:rsidR="00DA4DC6" w:rsidRDefault="00DA4DC6" w:rsidP="00C644E2">
      <w:pPr>
        <w:spacing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w:t>
      </w:r>
      <w:r w:rsidR="00C07508">
        <w:rPr>
          <w:rFonts w:ascii="Arial" w:hAnsi="Arial" w:cs="Arial"/>
          <w:sz w:val="20"/>
          <w:szCs w:val="20"/>
        </w:rPr>
        <w:t>ic</w:t>
      </w:r>
      <w:r w:rsidR="00D16E6B">
        <w:rPr>
          <w:rFonts w:ascii="Arial" w:hAnsi="Arial" w:cs="Arial"/>
          <w:sz w:val="20"/>
          <w:szCs w:val="20"/>
        </w:rPr>
        <w:t xml:space="preserve"> or actualist</w:t>
      </w:r>
      <w:r w:rsidR="00C07508">
        <w:rPr>
          <w:rFonts w:ascii="Arial" w:hAnsi="Arial" w:cs="Arial"/>
          <w:sz w:val="20"/>
          <w:szCs w:val="20"/>
        </w:rPr>
        <w:t>ic</w:t>
      </w:r>
      <w:r w:rsidR="00D16E6B">
        <w:rPr>
          <w:rFonts w:ascii="Arial" w:hAnsi="Arial" w:cs="Arial"/>
          <w:sz w:val="20"/>
          <w:szCs w:val="20"/>
        </w:rPr>
        <w:t xml:space="preserve"> quantif</w:t>
      </w:r>
      <w:r w:rsidR="00DC4286">
        <w:rPr>
          <w:rFonts w:ascii="Arial" w:hAnsi="Arial" w:cs="Arial"/>
          <w:sz w:val="20"/>
          <w:szCs w:val="20"/>
        </w:rPr>
        <w:t>iers (for individuals).</w:t>
      </w:r>
    </w:p>
    <w:p w14:paraId="0B18E64F" w14:textId="5B7BEAE5" w:rsidR="00E94CC8" w:rsidRDefault="00D16E6B" w:rsidP="00A45A9E">
      <w:pPr>
        <w:spacing w:line="280" w:lineRule="exact"/>
        <w:jc w:val="both"/>
        <w:rPr>
          <w:rFonts w:ascii="Arial" w:hAnsi="Arial" w:cs="Arial"/>
          <w:sz w:val="20"/>
          <w:szCs w:val="20"/>
        </w:rPr>
      </w:pPr>
      <w:r>
        <w:rPr>
          <w:rFonts w:ascii="Arial" w:hAnsi="Arial" w:cs="Arial"/>
          <w:sz w:val="20"/>
          <w:szCs w:val="20"/>
        </w:rPr>
        <w:t xml:space="preserve">What does this now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sidR="00B41FA1">
        <w:rPr>
          <w:rFonts w:ascii="Arial" w:hAnsi="Arial" w:cs="Arial"/>
          <w:sz w:val="20"/>
          <w:szCs w:val="20"/>
        </w:rPr>
        <w:t xml:space="preserve">t </w:t>
      </w:r>
      <w:r>
        <w:rPr>
          <w:rFonts w:ascii="Arial" w:hAnsi="Arial" w:cs="Arial"/>
          <w:sz w:val="20"/>
          <w:szCs w:val="20"/>
        </w:rPr>
        <w:t xml:space="preserve">thus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sidR="00A45A9E">
        <w:rPr>
          <w:rFonts w:ascii="Arial" w:hAnsi="Arial" w:cs="Arial"/>
          <w:sz w:val="20"/>
          <w:szCs w:val="20"/>
        </w:rPr>
        <w:t xml:space="preserve"> note that</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Pr>
          <w:rFonts w:ascii="Arial" w:hAnsi="Arial" w:cs="Arial"/>
          <w:sz w:val="20"/>
          <w:szCs w:val="20"/>
        </w:rPr>
        <w:t>well which</w:t>
      </w:r>
      <w:r w:rsidR="00770FAE">
        <w:rPr>
          <w:rFonts w:ascii="Arial" w:hAnsi="Arial" w:cs="Arial"/>
          <w:sz w:val="20"/>
          <w:szCs w:val="20"/>
        </w:rPr>
        <w:t xml:space="preserve"> support</w:t>
      </w:r>
      <w:r>
        <w:rPr>
          <w:rFonts w:ascii="Arial" w:hAnsi="Arial" w:cs="Arial"/>
          <w:sz w:val="20"/>
          <w:szCs w:val="20"/>
        </w:rPr>
        <w:t xml:space="preserve"> forms of determinism. Kovac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[23.]</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sidR="00A210B4">
        <w:rPr>
          <w:rFonts w:ascii="Arial" w:hAnsi="Arial" w:cs="Arial"/>
          <w:sz w:val="20"/>
          <w:szCs w:val="20"/>
        </w:rPr>
        <w:t xml:space="preserve">eventually </w:t>
      </w:r>
      <w:r w:rsidR="00EB0FDD">
        <w:rPr>
          <w:rFonts w:ascii="Arial" w:hAnsi="Arial" w:cs="Arial"/>
          <w:sz w:val="20"/>
          <w:szCs w:val="20"/>
        </w:rPr>
        <w:t xml:space="preserve">be </w:t>
      </w:r>
      <w:r w:rsidR="00CC520E">
        <w:rPr>
          <w:rFonts w:ascii="Arial" w:hAnsi="Arial" w:cs="Arial"/>
          <w:sz w:val="20"/>
          <w:szCs w:val="20"/>
        </w:rPr>
        <w:t xml:space="preserve">in-line </w:t>
      </w:r>
      <w:r w:rsidR="00EB0FDD">
        <w:rPr>
          <w:rFonts w:ascii="Arial" w:hAnsi="Arial" w:cs="Arial"/>
          <w:sz w:val="20"/>
          <w:szCs w:val="20"/>
        </w:rPr>
        <w:t xml:space="preserve">with Gödel‘s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[11.]</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1B983596" w14:textId="77777777" w:rsidR="0040569D" w:rsidRDefault="0040569D" w:rsidP="00A45A9E">
      <w:pPr>
        <w:spacing w:line="280" w:lineRule="exact"/>
        <w:jc w:val="both"/>
        <w:rPr>
          <w:rFonts w:ascii="Arial" w:hAnsi="Arial" w:cs="Arial"/>
          <w:sz w:val="20"/>
          <w:szCs w:val="20"/>
        </w:rPr>
      </w:pPr>
    </w:p>
    <w:p w14:paraId="4EACD05F" w14:textId="77777777" w:rsidR="00F91779" w:rsidRDefault="00F91779" w:rsidP="00C644E2">
      <w:pPr>
        <w:spacing w:line="280" w:lineRule="exact"/>
        <w:jc w:val="both"/>
        <w:rPr>
          <w:rFonts w:ascii="Arial" w:hAnsi="Arial" w:cs="Arial"/>
          <w:sz w:val="20"/>
          <w:szCs w:val="20"/>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7B1D9030"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_Ref305705369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[19.]</w:t>
      </w:r>
      <w:r w:rsidR="00A210B4">
        <w:rPr>
          <w:rFonts w:ascii="Arial" w:hAnsi="Arial" w:cs="Arial"/>
          <w:sz w:val="20"/>
          <w:szCs w:val="20"/>
        </w:rPr>
        <w:fldChar w:fldCharType="end"/>
      </w:r>
      <w:r w:rsidR="00700BFF">
        <w:rPr>
          <w:rFonts w:ascii="Arial" w:hAnsi="Arial" w:cs="Arial"/>
          <w:sz w:val="20"/>
          <w:szCs w:val="20"/>
        </w:rPr>
        <w:t xml:space="preserve"> </w:t>
      </w:r>
      <w:r w:rsidR="00A210B4">
        <w:rPr>
          <w:rFonts w:ascii="Arial" w:hAnsi="Arial" w:cs="Arial"/>
          <w:sz w:val="20"/>
          <w:szCs w:val="20"/>
        </w:rPr>
        <w:t xml:space="preserve">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r w:rsidR="00700BFF">
        <w:rPr>
          <w:rFonts w:ascii="Arial" w:hAnsi="Arial" w:cs="Arial"/>
          <w:sz w:val="20"/>
          <w:szCs w:val="20"/>
        </w:rPr>
        <w:t>Nachlass</w:t>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700BFF">
        <w:rPr>
          <w:rFonts w:ascii="Arial" w:hAnsi="Arial" w:cs="Arial"/>
          <w:color w:val="000000"/>
          <w:sz w:val="20"/>
          <w:szCs w:val="20"/>
        </w:rPr>
        <w:t>”, that is, he is omitting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A210B4">
        <w:rPr>
          <w:rFonts w:ascii="Arial" w:hAnsi="Arial" w:cs="Arial"/>
          <w:color w:val="000000"/>
          <w:sz w:val="20"/>
          <w:szCs w:val="20"/>
        </w:rPr>
        <w:t xml:space="preserve">(see </w:t>
      </w:r>
      <w:r w:rsidR="00700BFF">
        <w:rPr>
          <w:rFonts w:ascii="Arial" w:hAnsi="Arial" w:cs="Arial"/>
          <w:color w:val="000000"/>
          <w:sz w:val="20"/>
          <w:szCs w:val="20"/>
        </w:rPr>
        <w:t>in Fig. 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5759F13B"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the authors 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in step (1</w:t>
      </w:r>
      <w:r w:rsidR="001828DB">
        <w:rPr>
          <w:rFonts w:ascii="Arial" w:hAnsi="Arial" w:cs="Arial"/>
          <w:color w:val="000000"/>
          <w:sz w:val="20"/>
          <w:szCs w:val="20"/>
        </w:rPr>
        <w:t>)</w:t>
      </w:r>
      <w:r>
        <w:rPr>
          <w:rFonts w:ascii="Arial" w:hAnsi="Arial" w:cs="Arial"/>
          <w:color w:val="000000"/>
          <w:sz w:val="20"/>
          <w:szCs w:val="20"/>
        </w:rPr>
        <w:t>,</w:t>
      </w:r>
      <w:r w:rsidR="001828DB">
        <w:rPr>
          <w:rFonts w:ascii="Arial" w:hAnsi="Arial" w:cs="Arial"/>
          <w:color w:val="000000"/>
          <w:sz w:val="20"/>
          <w:szCs w:val="20"/>
        </w:rPr>
        <w:t xml:space="preserve"> 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the authors 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D61EAF">
        <w:rPr>
          <w:rFonts w:ascii="Arial" w:hAnsi="Arial" w:cs="Arial"/>
          <w:color w:val="000000"/>
          <w:sz w:val="20"/>
          <w:szCs w:val="20"/>
        </w:rPr>
        <w:t>axioms and definitions. To their</w:t>
      </w:r>
      <w:r w:rsidR="00A210B4">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Pr>
          <w:rFonts w:ascii="Arial" w:hAnsi="Arial" w:cs="Arial"/>
          <w:color w:val="000000"/>
          <w:sz w:val="20"/>
          <w:szCs w:val="20"/>
        </w:rPr>
        <w:t xml:space="preserve">. Both authors have </w:t>
      </w:r>
      <w:r w:rsidR="0024747E">
        <w:rPr>
          <w:rFonts w:ascii="Arial" w:hAnsi="Arial" w:cs="Arial"/>
          <w:color w:val="000000"/>
          <w:sz w:val="20"/>
          <w:szCs w:val="20"/>
        </w:rPr>
        <w:t xml:space="preserve">previously </w:t>
      </w:r>
      <w:r>
        <w:rPr>
          <w:rFonts w:ascii="Arial" w:hAnsi="Arial" w:cs="Arial"/>
          <w:color w:val="000000"/>
          <w:sz w:val="20"/>
          <w:szCs w:val="20"/>
        </w:rPr>
        <w:t>not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BE4E8A">
        <w:rPr>
          <w:rFonts w:ascii="Arial" w:hAnsi="Arial" w:cs="Arial"/>
          <w:color w:val="000000"/>
          <w:sz w:val="20"/>
          <w:szCs w:val="20"/>
        </w:rPr>
        <w:t>call</w:t>
      </w:r>
      <w:r w:rsidR="00A210B4">
        <w:rPr>
          <w:rFonts w:ascii="Arial" w:hAnsi="Arial" w:cs="Arial"/>
          <w:color w:val="000000"/>
          <w:sz w:val="20"/>
          <w:szCs w:val="20"/>
        </w:rPr>
        <w:t>ed</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30883C2D"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3C63B6">
        <w:rPr>
          <w:rFonts w:ascii="Arial" w:hAnsi="Arial" w:cs="Arial"/>
          <w:sz w:val="20"/>
          <w:szCs w:val="20"/>
        </w:rPr>
        <w:t xml:space="preserve">to </w:t>
      </w:r>
      <w:r>
        <w:rPr>
          <w:rFonts w:ascii="Arial" w:hAnsi="Arial" w:cs="Arial"/>
          <w:sz w:val="20"/>
          <w:szCs w:val="20"/>
        </w:rPr>
        <w:t>represent</w:t>
      </w:r>
      <w:r w:rsidR="003C63B6">
        <w:rPr>
          <w:rFonts w:ascii="Arial" w:hAnsi="Arial" w:cs="Arial"/>
          <w:sz w:val="20"/>
          <w:szCs w:val="20"/>
        </w:rPr>
        <w:t xml:space="preserve"> their proofs in and 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52C8A162"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A32C2E">
        <w:rPr>
          <w:rFonts w:ascii="Arial" w:hAnsi="Arial" w:cs="Arial"/>
          <w:sz w:val="20"/>
          <w:szCs w:val="20"/>
        </w:rPr>
        <w:t>[25.]</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[12.]</w:t>
      </w:r>
      <w:r w:rsidR="00585E1F">
        <w:rPr>
          <w:rFonts w:ascii="Arial" w:hAnsi="Arial" w:cs="Arial"/>
          <w:sz w:val="20"/>
          <w:szCs w:val="20"/>
        </w:rPr>
        <w:fldChar w:fldCharType="end"/>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0A3ED0D3" w:rsidR="0024747E" w:rsidRDefault="00DD3153" w:rsidP="0040569D">
      <w:pPr>
        <w:spacing w:line="280" w:lineRule="exact"/>
        <w:jc w:val="both"/>
        <w:rPr>
          <w:rFonts w:ascii="Arial" w:hAnsi="Arial" w:cs="Arial"/>
          <w:sz w:val="20"/>
          <w:szCs w:val="20"/>
        </w:rPr>
      </w:pPr>
      <w:r>
        <w:rPr>
          <w:rFonts w:ascii="Arial" w:hAnsi="Arial" w:cs="Arial"/>
          <w:sz w:val="20"/>
          <w:szCs w:val="20"/>
        </w:rPr>
        <w:t xml:space="preserve">Isabelle/HOL </w:t>
      </w:r>
      <w:r w:rsidR="00EF20CC">
        <w:rPr>
          <w:rFonts w:ascii="Arial" w:hAnsi="Arial" w:cs="Arial"/>
          <w:sz w:val="20"/>
          <w:szCs w:val="20"/>
        </w:rPr>
        <w:t>in particular</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provers, including LEO-II and Satallax.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[13.]</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[30.]</w:t>
      </w:r>
      <w:r w:rsidR="008D0C0A">
        <w:rPr>
          <w:rFonts w:ascii="Arial" w:hAnsi="Arial" w:cs="Arial"/>
          <w:sz w:val="20"/>
          <w:szCs w:val="20"/>
        </w:rPr>
        <w:fldChar w:fldCharType="end"/>
      </w:r>
      <w:r w:rsidR="00EF20CC">
        <w:rPr>
          <w:rFonts w:ascii="Arial" w:hAnsi="Arial" w:cs="Arial"/>
          <w:sz w:val="20"/>
          <w:szCs w:val="20"/>
        </w:rPr>
        <w:t xml:space="preserve">. By using these facilities the authors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AB5923">
        <w:rPr>
          <w:rFonts w:ascii="Arial" w:hAnsi="Arial" w:cs="Arial"/>
          <w:sz w:val="20"/>
          <w:szCs w:val="20"/>
        </w:rPr>
        <w:t>which reassured the</w:t>
      </w:r>
      <w:r w:rsidR="008D0C0A">
        <w:rPr>
          <w:rFonts w:ascii="Arial" w:hAnsi="Arial" w:cs="Arial"/>
          <w:sz w:val="20"/>
          <w:szCs w:val="20"/>
        </w:rPr>
        <w:t>ir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A32C2E">
        <w:rPr>
          <w:rFonts w:ascii="Arial" w:hAnsi="Arial" w:cs="Arial"/>
          <w:sz w:val="20"/>
          <w:szCs w:val="20"/>
        </w:rPr>
        <w:t>[6.]</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Pr>
          <w:rFonts w:ascii="Arial" w:hAnsi="Arial" w:cs="Arial"/>
          <w:sz w:val="20"/>
          <w:szCs w:val="20"/>
        </w:rPr>
        <w:t xml:space="preserve">LEO-II’s inconsistency result </w:t>
      </w:r>
      <w:r w:rsidR="0024747E">
        <w:rPr>
          <w:rFonts w:ascii="Arial" w:hAnsi="Arial" w:cs="Arial"/>
          <w:sz w:val="20"/>
          <w:szCs w:val="20"/>
        </w:rPr>
        <w:t xml:space="preserve">as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233BD8B5" w:rsidR="00AB5923" w:rsidRDefault="00AB5923" w:rsidP="0040569D">
      <w:pPr>
        <w:spacing w:line="280" w:lineRule="exact"/>
        <w:jc w:val="both"/>
        <w:rPr>
          <w:rFonts w:ascii="Arial" w:hAnsi="Arial" w:cs="Arial"/>
          <w:sz w:val="20"/>
          <w:szCs w:val="20"/>
        </w:rPr>
      </w:pPr>
      <w:r>
        <w:rPr>
          <w:rFonts w:ascii="Arial" w:hAnsi="Arial" w:cs="Arial"/>
          <w:sz w:val="20"/>
          <w:szCs w:val="20"/>
        </w:rPr>
        <w:t>In addition to Isabelle/HOL, the authors 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rt of this work the authors 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[27.]</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 This offers interesting perspectives for future work to integrate proof search in the direct and the embedding approach.</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72C62F91"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538F8B03" w14:textId="6AEE0FD2" w:rsidR="007D5BC4" w:rsidRDefault="001E7730" w:rsidP="00C644E2">
      <w:pPr>
        <w:spacing w:line="280" w:lineRule="exact"/>
        <w:jc w:val="both"/>
        <w:rPr>
          <w:rFonts w:ascii="Arial" w:hAnsi="Arial" w:cs="Arial"/>
          <w:sz w:val="20"/>
          <w:szCs w:val="20"/>
        </w:rPr>
      </w:pPr>
      <w:r w:rsidRPr="001E7730">
        <w:rPr>
          <w:rFonts w:ascii="Arial" w:hAnsi="Arial" w:cs="Arial"/>
          <w:sz w:val="20"/>
          <w:szCs w:val="20"/>
        </w:rPr>
        <w:t xml:space="preserve">Hajek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[20.]</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[21.]</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[16.]</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C.A.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Hajek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[22.]</w:t>
      </w:r>
      <w:r w:rsidR="00A32C2E">
        <w:rPr>
          <w:rFonts w:ascii="Arial" w:hAnsi="Arial" w:cs="Arial"/>
          <w:sz w:val="20"/>
          <w:szCs w:val="20"/>
        </w:rPr>
        <w:fldChar w:fldCharType="end"/>
      </w:r>
      <w:r w:rsidRPr="001E7730">
        <w:rPr>
          <w:rFonts w:ascii="Arial" w:hAnsi="Arial" w:cs="Arial"/>
          <w:sz w:val="20"/>
          <w:szCs w:val="20"/>
        </w:rPr>
        <w:t xml:space="preserve"> and Bjordal</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[13.]</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Pr>
          <w:rFonts w:ascii="Arial" w:hAnsi="Arial" w:cs="Arial"/>
          <w:sz w:val="20"/>
          <w:szCs w:val="20"/>
        </w:rPr>
        <w:t xml:space="preserve"> </w:t>
      </w:r>
      <w:r w:rsidRPr="001E7730">
        <w:rPr>
          <w:rFonts w:ascii="Arial" w:hAnsi="Arial" w:cs="Arial"/>
          <w:sz w:val="20"/>
          <w:szCs w:val="20"/>
        </w:rPr>
        <w:t xml:space="preserve">The authors  have formalized those using Isabelle/HOL together with the automated </w:t>
      </w:r>
      <w:r>
        <w:rPr>
          <w:rFonts w:ascii="Arial" w:hAnsi="Arial" w:cs="Arial"/>
          <w:sz w:val="20"/>
          <w:szCs w:val="20"/>
        </w:rPr>
        <w:t>HOL reasoners. T</w:t>
      </w:r>
      <w:r w:rsidR="001C33F4">
        <w:rPr>
          <w:rFonts w:ascii="Arial" w:hAnsi="Arial" w:cs="Arial"/>
          <w:sz w:val="20"/>
          <w:szCs w:val="20"/>
        </w:rPr>
        <w:t xml:space="preserve">he approach again performed very well. Like in the previous experiments, the HOL reasoners quickly responded to the formalized argumentation steps, either by automatically confirming them as theorems, or by refuting them, in which case counter </w:t>
      </w:r>
      <w:r w:rsidR="00240BD7">
        <w:rPr>
          <w:rFonts w:ascii="Arial" w:hAnsi="Arial" w:cs="Arial"/>
          <w:sz w:val="20"/>
          <w:szCs w:val="20"/>
        </w:rPr>
        <w:t>models were presented</w:t>
      </w:r>
      <w:r w:rsidR="001C33F4">
        <w:rPr>
          <w:rFonts w:ascii="Arial" w:hAnsi="Arial" w:cs="Arial"/>
          <w:sz w:val="20"/>
          <w:szCs w:val="20"/>
        </w:rPr>
        <w:t xml:space="preserve">. </w:t>
      </w:r>
    </w:p>
    <w:p w14:paraId="45450354" w14:textId="6D1101C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1E7730">
        <w:rPr>
          <w:rFonts w:ascii="Arial" w:hAnsi="Arial" w:cs="Arial"/>
          <w:sz w:val="20"/>
          <w:szCs w:val="20"/>
        </w:rPr>
        <w:t xml:space="preserve"> In particular, the </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Magari, Anderson and Hajek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[11.]</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5B23916B"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w:t>
      </w:r>
      <w:r w:rsidR="001F5731">
        <w:rPr>
          <w:rFonts w:ascii="Arial" w:hAnsi="Arial" w:cs="Arial"/>
          <w:sz w:val="20"/>
          <w:szCs w:val="20"/>
        </w:rPr>
        <w:t>ed</w:t>
      </w:r>
      <w:r>
        <w:rPr>
          <w:rFonts w:ascii="Arial" w:hAnsi="Arial" w:cs="Arial"/>
          <w:sz w:val="20"/>
          <w:szCs w:val="20"/>
        </w:rPr>
        <w:t xml:space="preserve"> forces in order to settle philosophical disputes. As the authors believe, this is pretty much in </w:t>
      </w:r>
      <w:r w:rsidR="00A32C2E">
        <w:rPr>
          <w:rFonts w:ascii="Arial" w:hAnsi="Arial" w:cs="Arial"/>
          <w:sz w:val="20"/>
          <w:szCs w:val="20"/>
        </w:rPr>
        <w:t xml:space="preserve">line with Leibniz vision </w:t>
      </w:r>
      <w:r>
        <w:rPr>
          <w:rFonts w:ascii="Arial" w:hAnsi="Arial" w:cs="Arial"/>
          <w:sz w:val="20"/>
          <w:szCs w:val="20"/>
        </w:rPr>
        <w:t>known as “Calculemus!”.</w:t>
      </w:r>
    </w:p>
    <w:p w14:paraId="3BD4F486" w14:textId="77777777" w:rsidR="00240BD7" w:rsidRDefault="00240BD7" w:rsidP="00C644E2">
      <w:pPr>
        <w:spacing w:line="280" w:lineRule="exact"/>
        <w:jc w:val="both"/>
        <w:rPr>
          <w:rFonts w:ascii="Arial" w:hAnsi="Arial" w:cs="Arial"/>
          <w:b/>
          <w:sz w:val="22"/>
        </w:rPr>
      </w:pPr>
    </w:p>
    <w:p w14:paraId="50FBAA3D" w14:textId="77777777" w:rsidR="00A32C2E" w:rsidRDefault="00A32C2E" w:rsidP="00C644E2">
      <w:pPr>
        <w:spacing w:line="280" w:lineRule="exact"/>
        <w:jc w:val="both"/>
        <w:rPr>
          <w:rFonts w:ascii="Arial" w:hAnsi="Arial" w:cs="Arial"/>
          <w:b/>
          <w:sz w:val="22"/>
        </w:rPr>
      </w:pPr>
    </w:p>
    <w:p w14:paraId="7E8E8CEF" w14:textId="77777777" w:rsidR="00A32C2E" w:rsidRDefault="00A32C2E"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4E46E1E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Benzmüller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 simple:</w:t>
      </w:r>
    </w:p>
    <w:p w14:paraId="2F89755D" w14:textId="77777777" w:rsidR="00E723BE" w:rsidRDefault="00E723BE" w:rsidP="00E723BE">
      <w:pPr>
        <w:spacing w:line="280" w:lineRule="exact"/>
        <w:jc w:val="both"/>
        <w:rPr>
          <w:rFonts w:ascii="Arial" w:hAnsi="Arial" w:cs="Arial"/>
          <w:sz w:val="20"/>
          <w:szCs w:val="20"/>
        </w:rPr>
      </w:pPr>
    </w:p>
    <w:p w14:paraId="4E1F4124" w14:textId="3236A52B"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Pr="00801FD2">
        <w:rPr>
          <w:rFonts w:ascii="Arial" w:hAnsi="Arial" w:cs="Arial"/>
          <w:sz w:val="20"/>
          <w:szCs w:val="20"/>
        </w:rPr>
        <w:t>. These two assumptions imply theorem T1 “</w:t>
      </w:r>
      <w:r w:rsidRPr="00801FD2">
        <w:rPr>
          <w:rFonts w:ascii="Arial" w:hAnsi="Arial" w:cs="Arial"/>
          <w:i/>
          <w:sz w:val="20"/>
          <w:szCs w:val="20"/>
        </w:rPr>
        <w:t>Positive properties are possibly exemplified</w:t>
      </w:r>
      <w:r w:rsidRPr="00801FD2">
        <w:rPr>
          <w:rFonts w:ascii="Arial" w:hAnsi="Arial" w:cs="Arial"/>
          <w:sz w:val="20"/>
          <w:szCs w:val="20"/>
        </w:rPr>
        <w:t>”, as we already know.</w:t>
      </w:r>
    </w:p>
    <w:p w14:paraId="5570A574" w14:textId="5DE03D5F"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 and consider the empty property (or alternatively, the property of being not self-identical)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09C04740"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Pr="00801FD2">
        <w:rPr>
          <w:rFonts w:ascii="Arial" w:hAnsi="Arial" w:cs="Arial"/>
          <w:sz w:val="20"/>
        </w:rPr>
        <w:t>, modal axiom B and Lemma 1 follows Lemma 2: “</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“Necessary existence is a positive property”,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080A6268"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 xml:space="preserve">LEO-II’s proof object actually contains the </w:t>
      </w:r>
      <w:r w:rsidR="00A32C2E">
        <w:rPr>
          <w:rFonts w:ascii="Arial" w:hAnsi="Arial" w:cs="Arial"/>
          <w:sz w:val="20"/>
          <w:szCs w:val="20"/>
        </w:rPr>
        <w:t xml:space="preserve">most </w:t>
      </w:r>
      <w:r w:rsidRPr="00801FD2">
        <w:rPr>
          <w:rFonts w:ascii="Arial" w:hAnsi="Arial" w:cs="Arial"/>
          <w:sz w:val="20"/>
          <w:szCs w:val="20"/>
        </w:rPr>
        <w:t>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B374FE">
        <w:rPr>
          <w:rFonts w:ascii="Arial" w:hAnsi="Arial" w:cs="Arial"/>
          <w:sz w:val="20"/>
          <w:szCs w:val="20"/>
        </w:rPr>
        <w:t>p 2, however,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remark, that this instantiation has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A32C2E">
        <w:rPr>
          <w:rFonts w:ascii="Arial" w:hAnsi="Arial" w:cs="Arial"/>
          <w:color w:val="2E2E2E"/>
          <w:sz w:val="20"/>
          <w:szCs w:val="20"/>
        </w:rPr>
        <w:t xml:space="preserve">been </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ng primitive substitution rule. As experts know, this rule can unfortunately 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Henkin-completeness)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A32C2E">
        <w:rPr>
          <w:rFonts w:ascii="Arial" w:hAnsi="Arial" w:cs="Arial"/>
          <w:color w:val="2E2E2E"/>
          <w:sz w:val="20"/>
          <w:szCs w:val="20"/>
        </w:rPr>
        <w:t>[3.]</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This points to an interesting aspect: attempts to repeat this successful inconsistency proof of LEO-II with first-order theorem provers will likely be doomed to fail, since the only source to come up with this crucial instantiation of the empty property appears to be the comprehension schemes of set theory.</w:t>
      </w:r>
    </w:p>
    <w:p w14:paraId="5FE355D4" w14:textId="77777777" w:rsidR="001F5731" w:rsidRDefault="001F5731" w:rsidP="001F5731">
      <w:pPr>
        <w:spacing w:line="280" w:lineRule="exact"/>
        <w:jc w:val="both"/>
        <w:rPr>
          <w:rFonts w:ascii="Arial" w:hAnsi="Arial" w:cs="Arial"/>
          <w:sz w:val="20"/>
        </w:rPr>
      </w:pPr>
    </w:p>
    <w:p w14:paraId="116DEBCD" w14:textId="77777777" w:rsidR="00A32C2E" w:rsidRDefault="00A32C2E" w:rsidP="008D5A78">
      <w:pPr>
        <w:spacing w:line="280" w:lineRule="exact"/>
        <w:ind w:firstLine="461"/>
        <w:jc w:val="both"/>
        <w:rPr>
          <w:rFonts w:ascii="Arial" w:hAnsi="Arial" w:cs="Arial"/>
          <w:sz w:val="20"/>
        </w:rPr>
      </w:pPr>
    </w:p>
    <w:p w14:paraId="197CDD3B" w14:textId="77777777" w:rsidR="00A32C2E" w:rsidRDefault="00A32C2E" w:rsidP="00735A44">
      <w:pPr>
        <w:spacing w:line="280" w:lineRule="exact"/>
        <w:jc w:val="both"/>
        <w:rPr>
          <w:rFonts w:ascii="Arial" w:hAnsi="Arial" w:cs="Arial"/>
          <w:b/>
          <w:sz w:val="22"/>
        </w:rPr>
      </w:pPr>
    </w:p>
    <w:p w14:paraId="663FF301" w14:textId="77777777" w:rsidR="00A32C2E" w:rsidRDefault="00A32C2E" w:rsidP="00735A44">
      <w:pPr>
        <w:spacing w:line="280" w:lineRule="exact"/>
        <w:jc w:val="both"/>
        <w:rPr>
          <w:rFonts w:ascii="Arial" w:hAnsi="Arial" w:cs="Arial"/>
          <w:b/>
          <w:sz w:val="22"/>
        </w:rPr>
      </w:pPr>
    </w:p>
    <w:p w14:paraId="3E5A4DA6" w14:textId="77777777" w:rsidR="00A32C2E" w:rsidRDefault="00A32C2E" w:rsidP="00735A44">
      <w:pPr>
        <w:spacing w:line="280" w:lineRule="exact"/>
        <w:jc w:val="both"/>
        <w:rPr>
          <w:rFonts w:ascii="Arial" w:hAnsi="Arial" w:cs="Arial"/>
          <w:b/>
          <w:sz w:val="22"/>
        </w:rPr>
      </w:pPr>
    </w:p>
    <w:p w14:paraId="218C6E8D" w14:textId="1D084D69" w:rsidR="00735A44" w:rsidRDefault="00C34C40" w:rsidP="00735A44">
      <w:pPr>
        <w:spacing w:line="280" w:lineRule="exact"/>
        <w:jc w:val="both"/>
        <w:rPr>
          <w:rFonts w:ascii="Arial" w:hAnsi="Arial" w:cs="Arial"/>
          <w:b/>
          <w:sz w:val="22"/>
        </w:rPr>
      </w:pPr>
      <w:r>
        <w:rPr>
          <w:rFonts w:ascii="Arial" w:hAnsi="Arial" w:cs="Arial"/>
          <w:b/>
          <w:sz w:val="22"/>
        </w:rPr>
        <w:t xml:space="preserve">6.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451B1E7E" w:rsidR="00B374FE" w:rsidRDefault="00735A44" w:rsidP="00740D5B">
      <w:pPr>
        <w:spacing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w:t>
      </w:r>
      <w:r>
        <w:rPr>
          <w:rFonts w:ascii="Arial" w:hAnsi="Arial" w:cs="Arial"/>
          <w:sz w:val="20"/>
          <w:szCs w:val="20"/>
          <w:lang w:val="de-DE"/>
        </w:rPr>
        <w:t xml:space="preserve"> </w:t>
      </w:r>
      <w:r w:rsidR="00A81421">
        <w:rPr>
          <w:rFonts w:ascii="Arial" w:hAnsi="Arial" w:cs="Arial"/>
          <w:sz w:val="20"/>
          <w:szCs w:val="20"/>
          <w:lang w:val="de-DE"/>
        </w:rPr>
        <w:t>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617C4D">
        <w:rPr>
          <w:rFonts w:ascii="Arial" w:hAnsi="Arial" w:cs="Arial"/>
          <w:sz w:val="20"/>
          <w:szCs w:val="20"/>
          <w:lang w:val="de-DE"/>
        </w:rPr>
        <w:t xml:space="preserve">ususally trigger strong reactions, against or in favor of them. In </w:t>
      </w:r>
      <w:r w:rsidR="008D6AB4">
        <w:rPr>
          <w:rFonts w:ascii="Arial" w:hAnsi="Arial" w:cs="Arial"/>
          <w:sz w:val="20"/>
          <w:szCs w:val="20"/>
          <w:lang w:val="de-DE"/>
        </w:rPr>
        <w:t xml:space="preserve">philosophical circles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Pr>
          <w:rFonts w:ascii="Arial" w:hAnsi="Arial" w:cs="Arial"/>
          <w:sz w:val="20"/>
          <w:szCs w:val="20"/>
          <w:lang w:val="de-DE"/>
        </w:rPr>
        <w:t xml:space="preserve">Readers of the public </w:t>
      </w:r>
      <w:r w:rsidR="00A81421">
        <w:rPr>
          <w:rFonts w:ascii="Arial" w:hAnsi="Arial" w:cs="Arial"/>
          <w:sz w:val="20"/>
          <w:szCs w:val="20"/>
          <w:lang w:val="de-DE"/>
        </w:rPr>
        <w:t>media reports</w:t>
      </w:r>
      <w:r w:rsidR="00617C4D">
        <w:rPr>
          <w:rFonts w:ascii="Arial" w:hAnsi="Arial" w:cs="Arial"/>
          <w:sz w:val="20"/>
          <w:szCs w:val="20"/>
          <w:lang w:val="de-DE"/>
        </w:rPr>
        <w:t xml:space="preserve"> </w:t>
      </w:r>
      <w:r w:rsidR="00141B2E">
        <w:rPr>
          <w:rFonts w:ascii="Arial" w:hAnsi="Arial" w:cs="Arial"/>
          <w:sz w:val="20"/>
          <w:szCs w:val="20"/>
          <w:lang w:val="de-DE"/>
        </w:rPr>
        <w:t>that were triggered by the authors recent work</w:t>
      </w:r>
      <w:r w:rsidR="002B78F9">
        <w:rPr>
          <w:rFonts w:ascii="Arial" w:hAnsi="Arial" w:cs="Arial"/>
          <w:sz w:val="20"/>
          <w:szCs w:val="20"/>
          <w:lang w:val="de-DE"/>
        </w:rPr>
        <w:t xml:space="preserve">, however, </w:t>
      </w:r>
      <w:r w:rsidR="00141B2E">
        <w:rPr>
          <w:rFonts w:ascii="Arial" w:hAnsi="Arial" w:cs="Arial"/>
          <w:sz w:val="20"/>
          <w:szCs w:val="20"/>
          <w:lang w:val="de-DE"/>
        </w:rPr>
        <w:t xml:space="preserve">overwhelmingly seem to </w:t>
      </w:r>
      <w:r w:rsidR="00617C4D">
        <w:rPr>
          <w:rFonts w:ascii="Arial" w:hAnsi="Arial" w:cs="Arial"/>
          <w:sz w:val="20"/>
          <w:szCs w:val="20"/>
          <w:lang w:val="de-DE"/>
        </w:rPr>
        <w:t xml:space="preserve">reject them.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 xml:space="preserve">blog entries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 have recently been </w:t>
      </w:r>
      <w:r w:rsidR="00141B2E">
        <w:rPr>
          <w:rFonts w:ascii="Arial" w:hAnsi="Arial" w:cs="Arial"/>
          <w:sz w:val="20"/>
          <w:szCs w:val="20"/>
          <w:lang w:val="de-DE"/>
        </w:rPr>
        <w:t xml:space="preserve">further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152E80">
        <w:rPr>
          <w:rFonts w:ascii="Arial" w:hAnsi="Arial" w:cs="Arial"/>
          <w:sz w:val="20"/>
          <w:szCs w:val="20"/>
          <w:lang w:val="de-DE"/>
        </w:rPr>
        <w:t>[20.]</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Clearly, without a certain level of education in metapyhics,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0AC1B586" w:rsidR="00A43FD2" w:rsidRDefault="00B20E13" w:rsidP="00740D5B">
      <w:pPr>
        <w:spacing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 xml:space="preserve">he media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a good writer could have fur</w:t>
      </w:r>
      <w:r w:rsidR="00740D5B">
        <w:rPr>
          <w:rFonts w:ascii="Arial" w:hAnsi="Arial" w:cs="Arial"/>
          <w:sz w:val="20"/>
          <w:szCs w:val="20"/>
          <w:lang w:val="de-DE"/>
        </w:rPr>
        <w:t>ther clarified the independence of the exepriment results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 xml:space="preserve">(and very </w:t>
      </w:r>
      <w:r w:rsidR="00765E70">
        <w:rPr>
          <w:rFonts w:ascii="Arial" w:hAnsi="Arial" w:cs="Arial"/>
          <w:sz w:val="20"/>
          <w:szCs w:val="20"/>
          <w:lang w:val="de-DE"/>
        </w:rPr>
        <w:t>stupidly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Such headline stories were contributed even from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any of the authors directly. One may argue that these articles therefore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A43FD2">
        <w:rPr>
          <w:rFonts w:ascii="Arial" w:hAnsi="Arial" w:cs="Arial"/>
          <w:sz w:val="20"/>
          <w:szCs w:val="20"/>
          <w:lang w:val="de-DE"/>
        </w:rPr>
        <w:t xml:space="preserve"> addressed.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des of bloggers towards the ontological argument</w:t>
      </w:r>
      <w:r w:rsidR="00BD52CE">
        <w:rPr>
          <w:rFonts w:ascii="Arial" w:hAnsi="Arial" w:cs="Arial"/>
          <w:sz w:val="20"/>
          <w:szCs w:val="20"/>
          <w:lang w:val="de-DE"/>
        </w:rPr>
        <w:t xml:space="preserve">. </w:t>
      </w:r>
    </w:p>
    <w:p w14:paraId="33DD580D" w14:textId="4E05295F" w:rsidR="002B78F9" w:rsidRDefault="00BD52CE" w:rsidP="00740D5B">
      <w:pPr>
        <w:spacing w:line="280" w:lineRule="exact"/>
        <w:jc w:val="both"/>
        <w:rPr>
          <w:rFonts w:ascii="Arial" w:hAnsi="Arial" w:cs="Arial"/>
          <w:sz w:val="20"/>
          <w:szCs w:val="20"/>
          <w:lang w:val="de-DE"/>
        </w:rPr>
      </w:pPr>
      <w:r>
        <w:rPr>
          <w:rFonts w:ascii="Arial" w:hAnsi="Arial" w:cs="Arial"/>
          <w:sz w:val="20"/>
          <w:szCs w:val="20"/>
          <w:lang w:val="de-DE"/>
        </w:rPr>
        <w:t>Finally, the</w:t>
      </w:r>
      <w:r w:rsidR="00A43FD2">
        <w:rPr>
          <w:rFonts w:ascii="Arial" w:hAnsi="Arial" w:cs="Arial"/>
          <w:sz w:val="20"/>
          <w:szCs w:val="20"/>
          <w:lang w:val="de-DE"/>
        </w:rPr>
        <w:t xml:space="preserve"> authors 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3060F9">
        <w:rPr>
          <w:rFonts w:ascii="Arial" w:hAnsi="Arial" w:cs="Arial"/>
          <w:sz w:val="20"/>
          <w:szCs w:val="20"/>
          <w:lang w:val="de-DE"/>
        </w:rPr>
        <w:t xml:space="preserve">since </w:t>
      </w:r>
      <w:r w:rsidR="009E40D1">
        <w:rPr>
          <w:rFonts w:ascii="Arial" w:hAnsi="Arial" w:cs="Arial"/>
          <w:sz w:val="20"/>
          <w:szCs w:val="20"/>
          <w:lang w:val="de-DE"/>
        </w:rPr>
        <w:t>comparably</w:t>
      </w:r>
      <w:r w:rsidR="002A7941">
        <w:rPr>
          <w:rFonts w:ascii="Arial" w:hAnsi="Arial" w:cs="Arial"/>
          <w:sz w:val="20"/>
          <w:szCs w:val="20"/>
          <w:lang w:val="de-DE"/>
        </w:rPr>
        <w:t xml:space="preserve"> </w:t>
      </w:r>
      <w:r>
        <w:rPr>
          <w:rFonts w:ascii="Arial" w:hAnsi="Arial" w:cs="Arial"/>
          <w:sz w:val="20"/>
          <w:szCs w:val="20"/>
          <w:lang w:val="de-DE"/>
        </w:rPr>
        <w:t xml:space="preserve">few texts </w:t>
      </w:r>
      <w:r w:rsidR="003060F9">
        <w:rPr>
          <w:rFonts w:ascii="Arial" w:hAnsi="Arial" w:cs="Arial"/>
          <w:sz w:val="20"/>
          <w:szCs w:val="20"/>
          <w:lang w:val="de-DE"/>
        </w:rPr>
        <w:t xml:space="preserve">seem to be </w:t>
      </w:r>
      <w:r>
        <w:rPr>
          <w:rFonts w:ascii="Arial" w:hAnsi="Arial" w:cs="Arial"/>
          <w:sz w:val="20"/>
          <w:szCs w:val="20"/>
          <w:lang w:val="de-DE"/>
        </w:rPr>
        <w:t xml:space="preserve">available </w:t>
      </w:r>
      <w:r w:rsidR="003060F9">
        <w:rPr>
          <w:rFonts w:ascii="Arial" w:hAnsi="Arial" w:cs="Arial"/>
          <w:sz w:val="20"/>
          <w:szCs w:val="20"/>
          <w:lang w:val="de-DE"/>
        </w:rPr>
        <w:t xml:space="preserve">which are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 The authors themselves, who</w:t>
      </w:r>
      <w:r w:rsidR="002A7941">
        <w:rPr>
          <w:rFonts w:ascii="Arial" w:hAnsi="Arial" w:cs="Arial"/>
          <w:sz w:val="20"/>
          <w:szCs w:val="20"/>
          <w:lang w:val="de-DE"/>
        </w:rPr>
        <w:t xml:space="preserve"> have </w:t>
      </w:r>
      <w:r w:rsidR="003060F9">
        <w:rPr>
          <w:rFonts w:ascii="Arial" w:hAnsi="Arial" w:cs="Arial"/>
          <w:sz w:val="20"/>
          <w:szCs w:val="20"/>
          <w:lang w:val="de-DE"/>
        </w:rPr>
        <w:t xml:space="preserve">began their 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2A7941">
        <w:rPr>
          <w:rFonts w:ascii="Arial" w:hAnsi="Arial" w:cs="Arial"/>
          <w:sz w:val="20"/>
          <w:szCs w:val="20"/>
          <w:lang w:val="de-DE"/>
        </w:rPr>
        <w:t xml:space="preserve">, have experienced that a large proportion of the existing </w:t>
      </w:r>
      <w:r w:rsidR="00A43FD2">
        <w:rPr>
          <w:rFonts w:ascii="Arial" w:hAnsi="Arial" w:cs="Arial"/>
          <w:sz w:val="20"/>
          <w:szCs w:val="20"/>
          <w:lang w:val="de-DE"/>
        </w:rPr>
        <w:t>texts are</w:t>
      </w:r>
      <w:r w:rsidR="002A7941">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40D5B">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740D5B">
        <w:rPr>
          <w:rFonts w:ascii="Arial" w:hAnsi="Arial" w:cs="Arial"/>
          <w:sz w:val="20"/>
          <w:szCs w:val="20"/>
          <w:lang w:val="de-DE"/>
        </w:rPr>
        <w:t xml:space="preserve"> in turn excludes </w:t>
      </w:r>
      <w:r w:rsidR="007D2E99">
        <w:rPr>
          <w:rFonts w:ascii="Arial" w:hAnsi="Arial" w:cs="Arial"/>
          <w:sz w:val="20"/>
          <w:szCs w:val="20"/>
          <w:lang w:val="de-DE"/>
        </w:rPr>
        <w:t xml:space="preserve">(and presumably negatively affects)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CA1A55">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(But maybe this is not really a worthwile option for philosophy).</w:t>
      </w:r>
    </w:p>
    <w:p w14:paraId="17E86CA0" w14:textId="77777777" w:rsidR="001C6B0D" w:rsidRDefault="007D2E99" w:rsidP="00C34C40">
      <w:pPr>
        <w:spacing w:line="280" w:lineRule="exact"/>
        <w:jc w:val="both"/>
        <w:rPr>
          <w:rFonts w:ascii="Arial" w:hAnsi="Arial" w:cs="Arial"/>
          <w:sz w:val="20"/>
          <w:szCs w:val="20"/>
          <w:lang w:val="de-DE"/>
        </w:rPr>
      </w:pPr>
      <w:r>
        <w:rPr>
          <w:rFonts w:ascii="Arial" w:hAnsi="Arial" w:cs="Arial"/>
          <w:sz w:val="20"/>
          <w:szCs w:val="20"/>
          <w:lang w:val="de-DE"/>
        </w:rPr>
        <w:t>But what is now the authors position on the ontol</w:t>
      </w:r>
      <w:r w:rsidR="00762612">
        <w:rPr>
          <w:rFonts w:ascii="Arial" w:hAnsi="Arial" w:cs="Arial"/>
          <w:sz w:val="20"/>
          <w:szCs w:val="20"/>
          <w:lang w:val="de-DE"/>
        </w:rPr>
        <w:t xml:space="preserve">ogical argument? </w:t>
      </w:r>
    </w:p>
    <w:p w14:paraId="4D87AB29" w14:textId="0F52D7F3" w:rsidR="00C34C40" w:rsidRDefault="00B816D3" w:rsidP="00C34C40">
      <w:pPr>
        <w:spacing w:line="280" w:lineRule="exact"/>
        <w:jc w:val="both"/>
        <w:rPr>
          <w:rFonts w:ascii="Arial" w:hAnsi="Arial" w:cs="Arial"/>
          <w:sz w:val="20"/>
          <w:szCs w:val="20"/>
          <w:lang w:val="de-DE"/>
        </w:rPr>
      </w:pPr>
      <w:r>
        <w:rPr>
          <w:rFonts w:ascii="Arial" w:hAnsi="Arial" w:cs="Arial"/>
          <w:sz w:val="20"/>
          <w:szCs w:val="20"/>
          <w:lang w:val="de-DE"/>
        </w:rPr>
        <w:t>Well, 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sidR="007D2E99">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sidR="007D2E99">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9E40D1">
        <w:rPr>
          <w:rFonts w:ascii="Arial" w:hAnsi="Arial" w:cs="Arial"/>
          <w:sz w:val="20"/>
          <w:szCs w:val="20"/>
          <w:lang w:val="de-DE"/>
        </w:rPr>
        <w:t xml:space="preserve"> </w:t>
      </w:r>
      <w:r w:rsidR="00106BC7">
        <w:rPr>
          <w:rFonts w:ascii="Arial" w:hAnsi="Arial" w:cs="Arial"/>
          <w:sz w:val="20"/>
          <w:szCs w:val="20"/>
          <w:lang w:val="de-DE"/>
        </w:rPr>
        <w:t>on a par with Gödel’s work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 our technology, remains an exciting direction for future work</w:t>
      </w:r>
      <w:r w:rsidR="00106BC7">
        <w:rPr>
          <w:rFonts w:ascii="Arial" w:hAnsi="Arial" w:cs="Arial"/>
          <w:sz w:val="20"/>
          <w:szCs w:val="20"/>
          <w:lang w:val="de-DE"/>
        </w:rPr>
        <w:t>.</w:t>
      </w:r>
    </w:p>
    <w:p w14:paraId="40B0BED3" w14:textId="3CAA991A" w:rsidR="00B01C59" w:rsidRDefault="008B77AE" w:rsidP="00CA593B">
      <w:pPr>
        <w:spacing w:line="280" w:lineRule="exact"/>
        <w:jc w:val="both"/>
        <w:rPr>
          <w:rFonts w:ascii="Arial" w:hAnsi="Arial" w:cs="Arial"/>
          <w:sz w:val="20"/>
          <w:szCs w:val="20"/>
          <w:lang w:val="de-DE"/>
        </w:rPr>
      </w:pPr>
      <w:r>
        <w:rPr>
          <w:rFonts w:ascii="Arial" w:hAnsi="Arial" w:cs="Arial"/>
          <w:sz w:val="20"/>
          <w:szCs w:val="20"/>
          <w:lang w:val="de-DE"/>
        </w:rPr>
        <w:t xml:space="preserve">On the other </w:t>
      </w:r>
      <w:r w:rsidR="00CA593B">
        <w:rPr>
          <w:rFonts w:ascii="Arial" w:hAnsi="Arial" w:cs="Arial"/>
          <w:sz w:val="20"/>
          <w:szCs w:val="20"/>
          <w:lang w:val="de-DE"/>
        </w:rPr>
        <w:t>hand, 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Since several </w:t>
      </w:r>
      <w:r w:rsidR="00CA593B">
        <w:rPr>
          <w:rFonts w:ascii="Arial" w:hAnsi="Arial" w:cs="Arial"/>
          <w:sz w:val="20"/>
          <w:szCs w:val="20"/>
          <w:lang w:val="de-DE"/>
        </w:rPr>
        <w:t>of these ob</w:t>
      </w:r>
      <w:r w:rsidR="00D7581F">
        <w:rPr>
          <w:rFonts w:ascii="Arial" w:hAnsi="Arial" w:cs="Arial"/>
          <w:sz w:val="20"/>
          <w:szCs w:val="20"/>
          <w:lang w:val="de-DE"/>
        </w:rPr>
        <w:t>jections are beyond the authors</w:t>
      </w:r>
      <w:r w:rsidR="000461BB">
        <w:rPr>
          <w:rFonts w:ascii="Arial" w:hAnsi="Arial" w:cs="Arial"/>
          <w:sz w:val="20"/>
          <w:szCs w:val="20"/>
          <w:lang w:val="de-DE"/>
        </w:rPr>
        <w:t>’</w:t>
      </w:r>
      <w:r w:rsidR="00D7581F">
        <w:rPr>
          <w:rFonts w:ascii="Arial" w:hAnsi="Arial" w:cs="Arial"/>
          <w:sz w:val="20"/>
          <w:szCs w:val="20"/>
          <w:lang w:val="de-DE"/>
        </w:rPr>
        <w:t xml:space="preserve"> </w:t>
      </w:r>
      <w:r w:rsidR="00CA593B">
        <w:rPr>
          <w:rFonts w:ascii="Arial" w:hAnsi="Arial" w:cs="Arial"/>
          <w:sz w:val="20"/>
          <w:szCs w:val="20"/>
          <w:lang w:val="de-DE"/>
        </w:rPr>
        <w:t>expertise</w:t>
      </w:r>
      <w:r w:rsidR="009E40D1">
        <w:rPr>
          <w:rFonts w:ascii="Arial" w:hAnsi="Arial" w:cs="Arial"/>
          <w:sz w:val="20"/>
          <w:szCs w:val="20"/>
          <w:lang w:val="de-DE"/>
        </w:rPr>
        <w:t>,</w:t>
      </w:r>
      <w:r w:rsidR="00CA593B">
        <w:rPr>
          <w:rFonts w:ascii="Arial" w:hAnsi="Arial" w:cs="Arial"/>
          <w:sz w:val="20"/>
          <w:szCs w:val="20"/>
          <w:lang w:val="de-DE"/>
        </w:rPr>
        <w:t xml:space="preserve"> it seems innapropriate for them</w:t>
      </w:r>
      <w:r w:rsidR="00C463E2">
        <w:rPr>
          <w:rFonts w:ascii="Arial" w:hAnsi="Arial" w:cs="Arial"/>
          <w:sz w:val="20"/>
          <w:szCs w:val="20"/>
          <w:lang w:val="de-DE"/>
        </w:rPr>
        <w:t xml:space="preserve">, at least at </w:t>
      </w:r>
      <w:r w:rsidR="000461BB">
        <w:rPr>
          <w:rFonts w:ascii="Arial" w:hAnsi="Arial" w:cs="Arial"/>
          <w:sz w:val="20"/>
          <w:szCs w:val="20"/>
          <w:lang w:val="de-DE"/>
        </w:rPr>
        <w:t xml:space="preserve">the </w:t>
      </w:r>
      <w:r w:rsidR="00C463E2">
        <w:rPr>
          <w:rFonts w:ascii="Arial" w:hAnsi="Arial" w:cs="Arial"/>
          <w:sz w:val="20"/>
          <w:szCs w:val="20"/>
          <w:lang w:val="de-DE"/>
        </w:rPr>
        <w:t>present</w:t>
      </w:r>
      <w:r w:rsidR="000461BB">
        <w:rPr>
          <w:rFonts w:ascii="Arial" w:hAnsi="Arial" w:cs="Arial"/>
          <w:sz w:val="20"/>
          <w:szCs w:val="20"/>
          <w:lang w:val="de-DE"/>
        </w:rPr>
        <w:t xml:space="preserve"> moment</w:t>
      </w:r>
      <w:r w:rsidR="00C463E2">
        <w:rPr>
          <w:rFonts w:ascii="Arial" w:hAnsi="Arial" w:cs="Arial"/>
          <w:sz w:val="20"/>
          <w:szCs w:val="20"/>
          <w:lang w:val="de-DE"/>
        </w:rPr>
        <w:t>,</w:t>
      </w:r>
      <w:r w:rsidR="00CA593B">
        <w:rPr>
          <w:rFonts w:ascii="Arial" w:hAnsi="Arial" w:cs="Arial"/>
          <w:sz w:val="20"/>
          <w:szCs w:val="20"/>
          <w:lang w:val="de-DE"/>
        </w:rPr>
        <w:t xml:space="preserve"> to comment on those. 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being. As for any axiomatization (and not only those with a Religious theme), it remains a matter of faith to believe in the truth of the proposed axioms in the actual universe.</w:t>
      </w:r>
    </w:p>
    <w:p w14:paraId="628E6EB0" w14:textId="1942A33C"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authors </w:t>
      </w:r>
      <w:r w:rsidR="00F9043E">
        <w:rPr>
          <w:rFonts w:ascii="Arial" w:hAnsi="Arial" w:cs="Arial"/>
          <w:sz w:val="20"/>
          <w:szCs w:val="20"/>
          <w:lang w:val="de-DE"/>
        </w:rPr>
        <w:t xml:space="preserve">actual </w:t>
      </w:r>
      <w:r>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 it </w:t>
      </w:r>
      <w:r>
        <w:rPr>
          <w:rFonts w:ascii="Arial" w:hAnsi="Arial" w:cs="Arial"/>
          <w:sz w:val="20"/>
          <w:szCs w:val="20"/>
          <w:lang w:val="de-DE"/>
        </w:rPr>
        <w:t xml:space="preserve">seems ready to be </w:t>
      </w:r>
      <w:r w:rsidR="00B816D3">
        <w:rPr>
          <w:rFonts w:ascii="Arial" w:hAnsi="Arial" w:cs="Arial"/>
          <w:sz w:val="20"/>
          <w:szCs w:val="20"/>
          <w:lang w:val="de-DE"/>
        </w:rPr>
        <w:t xml:space="preserve">used </w:t>
      </w:r>
      <w:r>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expedient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practical work </w:t>
      </w:r>
      <w:r w:rsidR="00F9043E">
        <w:rPr>
          <w:rFonts w:ascii="Arial" w:hAnsi="Arial" w:cs="Arial"/>
          <w:sz w:val="20"/>
          <w:szCs w:val="20"/>
          <w:lang w:val="de-DE"/>
        </w:rPr>
        <w:t>in metaphysics.</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77C040BA"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Jasmin Blanchette, Chad Brown, Larry Paulson, </w:t>
      </w:r>
      <w:r w:rsidR="000461BB">
        <w:rPr>
          <w:rFonts w:ascii="Arial" w:hAnsi="Arial" w:cs="Arial"/>
          <w:sz w:val="20"/>
          <w:szCs w:val="20"/>
        </w:rPr>
        <w:t xml:space="preserve">Annika Siders, </w:t>
      </w:r>
      <w:bookmarkStart w:id="3" w:name="_GoBack"/>
      <w:bookmarkEnd w:id="3"/>
      <w:r w:rsidR="007D5BC4">
        <w:rPr>
          <w:rFonts w:ascii="Arial" w:hAnsi="Arial" w:cs="Arial"/>
          <w:sz w:val="20"/>
          <w:szCs w:val="20"/>
        </w:rPr>
        <w:t>Nik Sultana and Geoff Sutcliffe.</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00ACA216" w14:textId="510E4389" w:rsidR="00A32C2E" w:rsidRDefault="00AB27E2" w:rsidP="00A32C2E">
      <w:pPr>
        <w:numPr>
          <w:ilvl w:val="0"/>
          <w:numId w:val="1"/>
        </w:numPr>
        <w:spacing w:line="280" w:lineRule="exact"/>
        <w:jc w:val="both"/>
        <w:rPr>
          <w:rFonts w:ascii="Arial" w:hAnsi="Arial" w:cs="Arial"/>
          <w:sz w:val="20"/>
          <w:szCs w:val="20"/>
        </w:rPr>
      </w:pPr>
      <w:bookmarkStart w:id="4" w:name="_Ref305717382"/>
      <w:r w:rsidRPr="00AB27E2">
        <w:rPr>
          <w:rFonts w:ascii="Arial" w:hAnsi="Arial" w:cs="Arial"/>
          <w:sz w:val="20"/>
          <w:szCs w:val="20"/>
        </w:rPr>
        <w:t>A.</w:t>
      </w:r>
      <w:r>
        <w:rPr>
          <w:rFonts w:ascii="Arial" w:hAnsi="Arial" w:cs="Arial"/>
          <w:sz w:val="20"/>
          <w:szCs w:val="20"/>
        </w:rPr>
        <w:t>C. Anderson and M. Gettings.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Pr="00AB27E2">
        <w:rPr>
          <w:rFonts w:ascii="Arial" w:hAnsi="Arial" w:cs="Arial"/>
          <w:sz w:val="20"/>
          <w:szCs w:val="20"/>
        </w:rPr>
        <w:t>pages 167–172. Springer, 1996.</w:t>
      </w:r>
      <w:bookmarkStart w:id="5" w:name="_Ref305705069"/>
      <w:bookmarkEnd w:id="4"/>
    </w:p>
    <w:p w14:paraId="443A11F6" w14:textId="79D2D725"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P.B. Andrews. Church’s type theory. In E.N. Zalta, editor, The Stanford Encyclopedia of Philosophy. Spring 2014 edition, 2014.</w:t>
      </w:r>
      <w:bookmarkEnd w:id="5"/>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6" w:name="_Ref305718565"/>
      <w:r w:rsidRPr="00A32C2E">
        <w:rPr>
          <w:rFonts w:ascii="Arial" w:hAnsi="Arial" w:cs="Arial"/>
          <w:sz w:val="20"/>
          <w:szCs w:val="20"/>
        </w:rPr>
        <w:t>C. Benzmüller and D. Miller. Automation of Higher-Order Logic. Chapter in Handbook of the History of Logic, Volume 9 --- Computational Logic. North Holland, Elsevier, pp. 215-254, 2014.</w:t>
      </w:r>
      <w:bookmarkEnd w:id="6"/>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7" w:name="_Ref305710462"/>
      <w:r>
        <w:rPr>
          <w:rFonts w:ascii="Arial" w:hAnsi="Arial" w:cs="Arial"/>
          <w:sz w:val="20"/>
          <w:szCs w:val="20"/>
        </w:rPr>
        <w:t>C. Benzmü</w:t>
      </w:r>
      <w:r w:rsidRPr="00AB27E2">
        <w:rPr>
          <w:rFonts w:ascii="Arial" w:hAnsi="Arial" w:cs="Arial"/>
          <w:sz w:val="20"/>
          <w:szCs w:val="20"/>
        </w:rPr>
        <w:t xml:space="preserve">ller,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F. Theiss</w:t>
      </w:r>
      <w:r w:rsidRPr="00AB27E2">
        <w:rPr>
          <w:rFonts w:ascii="Arial" w:hAnsi="Arial" w:cs="Arial"/>
          <w:sz w:val="20"/>
          <w:szCs w:val="20"/>
        </w:rPr>
        <w:t xml:space="preserve">. </w:t>
      </w:r>
      <w:r w:rsidRPr="0055601C">
        <w:rPr>
          <w:rFonts w:ascii="Arial" w:hAnsi="Arial" w:cs="Arial"/>
          <w:sz w:val="20"/>
          <w:szCs w:val="20"/>
        </w:rPr>
        <w:t xml:space="preserve">The Higher-Order Prover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7"/>
    </w:p>
    <w:p w14:paraId="07BD11C3" w14:textId="77777777" w:rsidR="0081501D" w:rsidRDefault="00AB27E2" w:rsidP="0081501D">
      <w:pPr>
        <w:numPr>
          <w:ilvl w:val="0"/>
          <w:numId w:val="1"/>
        </w:numPr>
        <w:spacing w:line="280" w:lineRule="exact"/>
        <w:jc w:val="both"/>
        <w:rPr>
          <w:rFonts w:ascii="Arial" w:hAnsi="Arial" w:cs="Arial"/>
          <w:sz w:val="20"/>
          <w:szCs w:val="20"/>
        </w:rPr>
      </w:pPr>
      <w:bookmarkStart w:id="8" w:name="_Ref305705308"/>
      <w:r w:rsidRPr="0081501D">
        <w:rPr>
          <w:rFonts w:ascii="Arial" w:hAnsi="Arial" w:cs="Arial"/>
          <w:sz w:val="20"/>
          <w:szCs w:val="20"/>
        </w:rPr>
        <w:t>C. Benzmüller, J. Otten, and T. Raths. Implementing and evaluating provers</w:t>
      </w:r>
      <w:r w:rsidR="0081501D">
        <w:rPr>
          <w:rFonts w:ascii="Arial" w:hAnsi="Arial" w:cs="Arial"/>
          <w:sz w:val="20"/>
          <w:szCs w:val="20"/>
        </w:rPr>
        <w:t xml:space="preserve"> </w:t>
      </w:r>
      <w:r w:rsidRPr="0081501D">
        <w:rPr>
          <w:rFonts w:ascii="Arial" w:hAnsi="Arial" w:cs="Arial"/>
          <w:sz w:val="20"/>
          <w:szCs w:val="20"/>
        </w:rPr>
        <w:t xml:space="preserve">for first-order modal logics. In 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8"/>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9" w:name="_Ref305715650"/>
      <w:r>
        <w:rPr>
          <w:rFonts w:ascii="Arial" w:hAnsi="Arial" w:cs="Arial"/>
          <w:sz w:val="20"/>
          <w:szCs w:val="20"/>
        </w:rPr>
        <w:t>C. Benzmü</w:t>
      </w:r>
      <w:r w:rsidRPr="00AB27E2">
        <w:rPr>
          <w:rFonts w:ascii="Arial" w:hAnsi="Arial" w:cs="Arial"/>
          <w:sz w:val="20"/>
          <w:szCs w:val="20"/>
        </w:rPr>
        <w:t>ller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del’s Proof of God’s Existence. ArXiv e-prints, 2013.</w:t>
      </w:r>
      <w:bookmarkEnd w:id="9"/>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0" w:name="_Ref305716986"/>
      <w:r w:rsidRPr="0081501D">
        <w:rPr>
          <w:rFonts w:ascii="Arial" w:hAnsi="Arial" w:cs="Arial"/>
          <w:sz w:val="20"/>
          <w:szCs w:val="20"/>
        </w:rPr>
        <w:t>C</w:t>
      </w:r>
      <w:r w:rsidR="0081501D">
        <w:rPr>
          <w:rFonts w:ascii="Arial" w:hAnsi="Arial" w:cs="Arial"/>
          <w:sz w:val="20"/>
          <w:szCs w:val="20"/>
        </w:rPr>
        <w:t>. Benzmüller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0"/>
    </w:p>
    <w:p w14:paraId="0CB3CF12" w14:textId="35C47B07" w:rsidR="0081501D" w:rsidRDefault="0081501D"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Benzmüller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of God’s existence with higher-order automated theorem provers. In 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77777777" w:rsidR="0081501D" w:rsidRDefault="00AB27E2" w:rsidP="0081501D">
      <w:pPr>
        <w:numPr>
          <w:ilvl w:val="0"/>
          <w:numId w:val="1"/>
        </w:numPr>
        <w:spacing w:line="280" w:lineRule="exact"/>
        <w:jc w:val="both"/>
        <w:rPr>
          <w:rFonts w:ascii="Arial" w:hAnsi="Arial" w:cs="Arial"/>
          <w:sz w:val="20"/>
          <w:szCs w:val="20"/>
        </w:rPr>
      </w:pPr>
      <w:bookmarkStart w:id="11"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Benzm</w:t>
      </w:r>
      <w:r w:rsidR="0081501D" w:rsidRPr="0081501D">
        <w:rPr>
          <w:rFonts w:ascii="Arial" w:hAnsi="Arial" w:cs="Arial"/>
          <w:sz w:val="20"/>
          <w:szCs w:val="20"/>
        </w:rPr>
        <w:t>ü</w:t>
      </w:r>
      <w:r w:rsidRPr="0081501D">
        <w:rPr>
          <w:rFonts w:ascii="Arial" w:hAnsi="Arial" w:cs="Arial"/>
          <w:sz w:val="20"/>
          <w:szCs w:val="20"/>
        </w:rPr>
        <w:t>ller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theory. Logica Universalis (Special Issue on Multimodal Logics), 7(1):7–20, 2013.</w:t>
      </w:r>
      <w:bookmarkEnd w:id="11"/>
    </w:p>
    <w:p w14:paraId="5E5DCED6" w14:textId="42D06F96" w:rsidR="00373B8B" w:rsidRPr="00023CE6" w:rsidRDefault="00AB27E2" w:rsidP="00023CE6">
      <w:pPr>
        <w:numPr>
          <w:ilvl w:val="0"/>
          <w:numId w:val="1"/>
        </w:numPr>
        <w:spacing w:line="280" w:lineRule="exact"/>
        <w:jc w:val="both"/>
        <w:rPr>
          <w:rFonts w:ascii="Arial" w:hAnsi="Arial" w:cs="Arial"/>
          <w:sz w:val="20"/>
          <w:szCs w:val="20"/>
        </w:rPr>
      </w:pPr>
      <w:bookmarkStart w:id="12"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 and T</w:t>
      </w:r>
      <w:r w:rsidR="0081501D" w:rsidRPr="00023CE6">
        <w:rPr>
          <w:rFonts w:ascii="Arial" w:hAnsi="Arial" w:cs="Arial"/>
          <w:sz w:val="20"/>
          <w:szCs w:val="20"/>
        </w:rPr>
        <w:t>.</w:t>
      </w:r>
      <w:r w:rsidRPr="00023CE6">
        <w:rPr>
          <w:rFonts w:ascii="Arial" w:hAnsi="Arial" w:cs="Arial"/>
          <w:sz w:val="20"/>
          <w:szCs w:val="20"/>
        </w:rPr>
        <w:t xml:space="preserve"> Raths. HOL based first-order modal logic provers. In</w:t>
      </w:r>
      <w:r w:rsidR="00023CE6">
        <w:rPr>
          <w:rFonts w:ascii="Arial" w:hAnsi="Arial" w:cs="Arial"/>
          <w:sz w:val="20"/>
          <w:szCs w:val="20"/>
        </w:rPr>
        <w:t xml:space="preserve"> K.L. McMillan, A. Middeldorp, and A.</w:t>
      </w:r>
      <w:r w:rsidRPr="00023CE6">
        <w:rPr>
          <w:rFonts w:ascii="Arial" w:hAnsi="Arial" w:cs="Arial"/>
          <w:sz w:val="20"/>
          <w:szCs w:val="20"/>
        </w:rPr>
        <w:t xml:space="preserve"> Voronk</w:t>
      </w:r>
      <w:r w:rsidR="00023CE6">
        <w:rPr>
          <w:rFonts w:ascii="Arial" w:hAnsi="Arial" w:cs="Arial"/>
          <w:sz w:val="20"/>
          <w:szCs w:val="20"/>
        </w:rPr>
        <w:t>ov (ed</w:t>
      </w:r>
      <w:r w:rsidR="00373B8B" w:rsidRPr="00023CE6">
        <w:rPr>
          <w:rFonts w:ascii="Arial" w:hAnsi="Arial" w:cs="Arial"/>
          <w:sz w:val="20"/>
          <w:szCs w:val="20"/>
        </w:rPr>
        <w:t>s</w:t>
      </w:r>
      <w:r w:rsidR="00023CE6">
        <w:rPr>
          <w:rFonts w:ascii="Arial" w:hAnsi="Arial" w:cs="Arial"/>
          <w:sz w:val="20"/>
          <w:szCs w:val="20"/>
        </w:rPr>
        <w:t>.)</w:t>
      </w:r>
      <w:r w:rsidR="00373B8B" w:rsidRPr="00023CE6">
        <w:rPr>
          <w:rFonts w:ascii="Arial" w:hAnsi="Arial" w:cs="Arial"/>
          <w:sz w:val="20"/>
          <w:szCs w:val="20"/>
        </w:rPr>
        <w:t>, Proceedings of the</w:t>
      </w:r>
      <w:r w:rsidR="00023CE6">
        <w:rPr>
          <w:rFonts w:ascii="Arial" w:hAnsi="Arial" w:cs="Arial"/>
          <w:sz w:val="20"/>
          <w:szCs w:val="20"/>
        </w:rPr>
        <w:t xml:space="preserve"> </w:t>
      </w:r>
      <w:r w:rsidRPr="00023CE6">
        <w:rPr>
          <w:rFonts w:ascii="Arial" w:hAnsi="Arial" w:cs="Arial"/>
          <w:sz w:val="20"/>
          <w:szCs w:val="20"/>
        </w:rPr>
        <w:t>19th International Conference on Logic for Programming, Artificial Intelligence and Reasoning</w:t>
      </w:r>
      <w:r w:rsidR="00373B8B" w:rsidRPr="00023CE6">
        <w:rPr>
          <w:rFonts w:ascii="Arial" w:hAnsi="Arial" w:cs="Arial"/>
          <w:sz w:val="20"/>
          <w:szCs w:val="20"/>
        </w:rPr>
        <w:t xml:space="preserve"> </w:t>
      </w:r>
      <w:r w:rsidRPr="00023CE6">
        <w:rPr>
          <w:rFonts w:ascii="Arial" w:hAnsi="Arial" w:cs="Arial"/>
          <w:sz w:val="20"/>
          <w:szCs w:val="20"/>
        </w:rPr>
        <w:t>(LPAR), volume 8312 of LNCS, pages 127–136, Stellenbosch, South Africa, 2013.</w:t>
      </w:r>
      <w:r w:rsidR="00373B8B" w:rsidRPr="00023CE6">
        <w:rPr>
          <w:rFonts w:ascii="Arial" w:hAnsi="Arial" w:cs="Arial"/>
          <w:sz w:val="20"/>
          <w:szCs w:val="20"/>
        </w:rPr>
        <w:t xml:space="preserve"> </w:t>
      </w:r>
      <w:r w:rsidRPr="00023CE6">
        <w:rPr>
          <w:rFonts w:ascii="Arial" w:hAnsi="Arial" w:cs="Arial"/>
          <w:sz w:val="20"/>
          <w:szCs w:val="20"/>
        </w:rPr>
        <w:t>Springer.</w:t>
      </w:r>
      <w:bookmarkEnd w:id="12"/>
    </w:p>
    <w:p w14:paraId="60FAA15B" w14:textId="77777777" w:rsidR="00AC69F2" w:rsidRDefault="00023CE6" w:rsidP="00373B8B">
      <w:pPr>
        <w:numPr>
          <w:ilvl w:val="0"/>
          <w:numId w:val="1"/>
        </w:numPr>
        <w:spacing w:line="280" w:lineRule="exact"/>
        <w:jc w:val="both"/>
        <w:rPr>
          <w:rFonts w:ascii="Arial" w:hAnsi="Arial" w:cs="Arial"/>
          <w:sz w:val="20"/>
          <w:szCs w:val="20"/>
        </w:rPr>
      </w:pPr>
      <w:bookmarkStart w:id="13" w:name="_Ref305715718"/>
      <w:r>
        <w:rPr>
          <w:rFonts w:ascii="Arial" w:hAnsi="Arial" w:cs="Arial"/>
          <w:sz w:val="20"/>
          <w:szCs w:val="20"/>
        </w:rPr>
        <w:t xml:space="preserve">C. Benzmüller,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Anderson-H</w:t>
      </w:r>
      <w:r w:rsidR="00AB27E2" w:rsidRPr="00373B8B">
        <w:rPr>
          <w:rFonts w:ascii="Arial" w:hAnsi="Arial" w:cs="Arial"/>
          <w:sz w:val="20"/>
          <w:szCs w:val="20"/>
        </w:rPr>
        <w:t>ajek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of the 1st World Congress on Logic and Religion, Joao Pessoa, Brasil, 2015.</w:t>
      </w:r>
      <w:bookmarkEnd w:id="13"/>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4" w:name="_Ref305714905"/>
      <w:r w:rsidRPr="00AC69F2">
        <w:rPr>
          <w:rFonts w:ascii="Arial" w:hAnsi="Arial" w:cs="Arial"/>
          <w:sz w:val="20"/>
          <w:szCs w:val="20"/>
        </w:rPr>
        <w:t>Y. Bertot and P. Casteran. Interactive Theorem Proving and Program Development. Springer, 2004.</w:t>
      </w:r>
      <w:bookmarkEnd w:id="14"/>
      <w:r w:rsidR="00AB27E2" w:rsidRPr="00373B8B">
        <w:rPr>
          <w:rFonts w:ascii="Arial" w:hAnsi="Arial" w:cs="Arial"/>
          <w:sz w:val="20"/>
          <w:szCs w:val="20"/>
        </w:rPr>
        <w:t xml:space="preserve"> </w:t>
      </w:r>
    </w:p>
    <w:p w14:paraId="38C86A3C" w14:textId="1C8DBBAE" w:rsidR="00A32C2E" w:rsidRPr="00A32C2E" w:rsidRDefault="00A32C2E" w:rsidP="00A32C2E">
      <w:pPr>
        <w:numPr>
          <w:ilvl w:val="0"/>
          <w:numId w:val="1"/>
        </w:numPr>
        <w:spacing w:line="280" w:lineRule="exact"/>
        <w:jc w:val="both"/>
        <w:rPr>
          <w:rFonts w:ascii="Arial" w:hAnsi="Arial" w:cs="Arial"/>
          <w:sz w:val="20"/>
          <w:szCs w:val="20"/>
        </w:rPr>
      </w:pPr>
      <w:bookmarkStart w:id="15" w:name="_Ref305718028"/>
      <w:r w:rsidRPr="00A32C2E">
        <w:rPr>
          <w:rFonts w:ascii="Arial" w:hAnsi="Arial" w:cs="Arial"/>
          <w:sz w:val="20"/>
          <w:szCs w:val="20"/>
        </w:rPr>
        <w:t>F. Bjordal. Understanding Göd</w:t>
      </w:r>
      <w:r>
        <w:rPr>
          <w:rFonts w:ascii="Arial" w:hAnsi="Arial" w:cs="Arial"/>
          <w:sz w:val="20"/>
          <w:szCs w:val="20"/>
        </w:rPr>
        <w:t xml:space="preserve">el's Ontological Argument". In </w:t>
      </w:r>
      <w:r w:rsidRPr="00A32C2E">
        <w:rPr>
          <w:rFonts w:ascii="Arial" w:hAnsi="Arial" w:cs="Arial"/>
          <w:sz w:val="20"/>
          <w:szCs w:val="20"/>
        </w:rPr>
        <w:t>The</w:t>
      </w:r>
      <w:r>
        <w:rPr>
          <w:rFonts w:ascii="Arial" w:hAnsi="Arial" w:cs="Arial"/>
          <w:sz w:val="20"/>
          <w:szCs w:val="20"/>
        </w:rPr>
        <w:t xml:space="preserve"> </w:t>
      </w:r>
      <w:r w:rsidRPr="00A32C2E">
        <w:rPr>
          <w:rFonts w:ascii="Arial" w:hAnsi="Arial" w:cs="Arial"/>
          <w:sz w:val="20"/>
          <w:szCs w:val="20"/>
        </w:rPr>
        <w:t>Logica Yearbook 1998. Ed. by T. Childers. Filosofia, 1999.</w:t>
      </w:r>
      <w:bookmarkEnd w:id="15"/>
    </w:p>
    <w:p w14:paraId="3D4B6444" w14:textId="77777777" w:rsidR="00373B8B" w:rsidRDefault="00AB27E2" w:rsidP="00373B8B">
      <w:pPr>
        <w:numPr>
          <w:ilvl w:val="0"/>
          <w:numId w:val="1"/>
        </w:numPr>
        <w:spacing w:line="280" w:lineRule="exact"/>
        <w:jc w:val="both"/>
        <w:rPr>
          <w:rFonts w:ascii="Arial" w:hAnsi="Arial" w:cs="Arial"/>
          <w:sz w:val="20"/>
          <w:szCs w:val="20"/>
        </w:rPr>
      </w:pPr>
      <w:bookmarkStart w:id="16" w:name="_Ref305715002"/>
      <w:r w:rsidRPr="00373B8B">
        <w:rPr>
          <w:rFonts w:ascii="Arial" w:hAnsi="Arial" w:cs="Arial"/>
          <w:sz w:val="20"/>
          <w:szCs w:val="20"/>
        </w:rPr>
        <w:t>J.C. Blanchette, S. B¨ohme, and L.C. Paulson. Extendin</w:t>
      </w:r>
      <w:r w:rsidR="00373B8B">
        <w:rPr>
          <w:rFonts w:ascii="Arial" w:hAnsi="Arial" w:cs="Arial"/>
          <w:sz w:val="20"/>
          <w:szCs w:val="20"/>
        </w:rPr>
        <w:t xml:space="preserve">g Sledgehammer with SMT solvers. </w:t>
      </w:r>
      <w:r w:rsidRPr="00373B8B">
        <w:rPr>
          <w:rFonts w:ascii="Arial" w:hAnsi="Arial" w:cs="Arial"/>
          <w:sz w:val="20"/>
          <w:szCs w:val="20"/>
        </w:rPr>
        <w:t>Journal of Automated Reasoning, 51(1):109–128, 2013.</w:t>
      </w:r>
      <w:bookmarkEnd w:id="16"/>
    </w:p>
    <w:p w14:paraId="10526584" w14:textId="77777777" w:rsidR="00373B8B" w:rsidRDefault="00AB27E2" w:rsidP="00373B8B">
      <w:pPr>
        <w:numPr>
          <w:ilvl w:val="0"/>
          <w:numId w:val="1"/>
        </w:numPr>
        <w:spacing w:line="280" w:lineRule="exact"/>
        <w:jc w:val="both"/>
        <w:rPr>
          <w:rFonts w:ascii="Arial" w:hAnsi="Arial" w:cs="Arial"/>
          <w:sz w:val="20"/>
          <w:szCs w:val="20"/>
        </w:rPr>
      </w:pPr>
      <w:bookmarkStart w:id="17" w:name="_Ref305710508"/>
      <w:r w:rsidRPr="00373B8B">
        <w:rPr>
          <w:rFonts w:ascii="Arial" w:hAnsi="Arial" w:cs="Arial"/>
          <w:sz w:val="20"/>
          <w:szCs w:val="20"/>
        </w:rPr>
        <w:t>J.C. Blanchette and T. Nipkow.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Pr="00373B8B">
        <w:rPr>
          <w:rFonts w:ascii="Arial" w:hAnsi="Arial" w:cs="Arial"/>
          <w:sz w:val="20"/>
          <w:szCs w:val="20"/>
        </w:rPr>
        <w:t>131–146. Springer, 2010.</w:t>
      </w:r>
      <w:bookmarkEnd w:id="17"/>
    </w:p>
    <w:p w14:paraId="440D3725" w14:textId="77777777" w:rsidR="00373B8B" w:rsidRDefault="00AB27E2" w:rsidP="00373B8B">
      <w:pPr>
        <w:numPr>
          <w:ilvl w:val="0"/>
          <w:numId w:val="1"/>
        </w:numPr>
        <w:spacing w:line="280" w:lineRule="exact"/>
        <w:jc w:val="both"/>
        <w:rPr>
          <w:rFonts w:ascii="Arial" w:hAnsi="Arial" w:cs="Arial"/>
          <w:sz w:val="20"/>
          <w:szCs w:val="20"/>
        </w:rPr>
      </w:pPr>
      <w:bookmarkStart w:id="18" w:name="_Ref305710487"/>
      <w:r w:rsidRPr="00373B8B">
        <w:rPr>
          <w:rFonts w:ascii="Arial" w:hAnsi="Arial" w:cs="Arial"/>
          <w:sz w:val="20"/>
          <w:szCs w:val="20"/>
        </w:rPr>
        <w:t>C.E. Brown. Satallax: An automated higher-order prover. In Proc. of IJCAR 2012, number</w:t>
      </w:r>
      <w:r w:rsidR="00373B8B">
        <w:rPr>
          <w:rFonts w:ascii="Arial" w:hAnsi="Arial" w:cs="Arial"/>
          <w:sz w:val="20"/>
          <w:szCs w:val="20"/>
        </w:rPr>
        <w:t xml:space="preserve"> </w:t>
      </w:r>
      <w:r w:rsidRPr="00373B8B">
        <w:rPr>
          <w:rFonts w:ascii="Arial" w:hAnsi="Arial" w:cs="Arial"/>
          <w:sz w:val="20"/>
          <w:szCs w:val="20"/>
        </w:rPr>
        <w:t>7364 in LNAI, pages 111 – 117. Springer, 2012.</w:t>
      </w:r>
      <w:bookmarkEnd w:id="18"/>
    </w:p>
    <w:p w14:paraId="02F31514" w14:textId="77777777" w:rsidR="00373B8B" w:rsidRDefault="00AB27E2" w:rsidP="00373B8B">
      <w:pPr>
        <w:numPr>
          <w:ilvl w:val="0"/>
          <w:numId w:val="1"/>
        </w:numPr>
        <w:spacing w:line="280" w:lineRule="exact"/>
        <w:jc w:val="both"/>
        <w:rPr>
          <w:rFonts w:ascii="Arial" w:hAnsi="Arial" w:cs="Arial"/>
          <w:sz w:val="20"/>
          <w:szCs w:val="20"/>
        </w:rPr>
      </w:pPr>
      <w:bookmarkStart w:id="19" w:name="_Ref305709578"/>
      <w:r w:rsidRPr="00373B8B">
        <w:rPr>
          <w:rFonts w:ascii="Arial" w:hAnsi="Arial" w:cs="Arial"/>
          <w:sz w:val="20"/>
          <w:szCs w:val="20"/>
        </w:rPr>
        <w:t>M. Fitting. Types, Tableaux and G¨odel’s God. Kluwer, 2002.</w:t>
      </w:r>
      <w:bookmarkEnd w:id="19"/>
    </w:p>
    <w:p w14:paraId="427C5C6F" w14:textId="77777777" w:rsidR="00373B8B" w:rsidRDefault="00AB27E2" w:rsidP="00373B8B">
      <w:pPr>
        <w:numPr>
          <w:ilvl w:val="0"/>
          <w:numId w:val="1"/>
        </w:numPr>
        <w:spacing w:line="280" w:lineRule="exact"/>
        <w:jc w:val="both"/>
        <w:rPr>
          <w:rFonts w:ascii="Arial" w:hAnsi="Arial" w:cs="Arial"/>
          <w:sz w:val="20"/>
          <w:szCs w:val="20"/>
        </w:rPr>
      </w:pPr>
      <w:bookmarkStart w:id="20" w:name="_Ref305705967"/>
      <w:r w:rsidRPr="00373B8B">
        <w:rPr>
          <w:rFonts w:ascii="Arial" w:hAnsi="Arial" w:cs="Arial"/>
          <w:sz w:val="20"/>
          <w:szCs w:val="20"/>
        </w:rPr>
        <w:t>M. Fitting and R.L. Mendelsohn. First-Order Modal Logic, volume 277 of Synthese Library.</w:t>
      </w:r>
      <w:r w:rsidR="00373B8B">
        <w:rPr>
          <w:rFonts w:ascii="Arial" w:hAnsi="Arial" w:cs="Arial"/>
          <w:sz w:val="20"/>
          <w:szCs w:val="20"/>
        </w:rPr>
        <w:t xml:space="preserve"> </w:t>
      </w:r>
      <w:r w:rsidRPr="00373B8B">
        <w:rPr>
          <w:rFonts w:ascii="Arial" w:hAnsi="Arial" w:cs="Arial"/>
          <w:sz w:val="20"/>
          <w:szCs w:val="20"/>
        </w:rPr>
        <w:t>Kluwer, 1998.</w:t>
      </w:r>
      <w:bookmarkEnd w:id="20"/>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1" w:name="_Ref305719017"/>
      <w:r>
        <w:rPr>
          <w:rFonts w:ascii="Arial" w:hAnsi="Arial" w:cs="Arial"/>
          <w:sz w:val="20"/>
          <w:szCs w:val="20"/>
        </w:rPr>
        <w:t>A.</w:t>
      </w:r>
      <w:r w:rsidRPr="00A32C2E">
        <w:rPr>
          <w:rFonts w:ascii="Arial" w:hAnsi="Arial" w:cs="Arial"/>
          <w:sz w:val="20"/>
          <w:szCs w:val="20"/>
        </w:rPr>
        <w:t xml:space="preserve"> Fuhrmann. Blogging Gödel: His ontological argument in the public eye. To appear.</w:t>
      </w:r>
      <w:bookmarkEnd w:id="21"/>
    </w:p>
    <w:p w14:paraId="23F6632C" w14:textId="77777777"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del. Ontological proof. In Kurt G¨odel: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54677C5B" w:rsidR="00373B8B" w:rsidRDefault="008D0C0A" w:rsidP="00373B8B">
      <w:pPr>
        <w:numPr>
          <w:ilvl w:val="0"/>
          <w:numId w:val="1"/>
        </w:numPr>
        <w:spacing w:line="280" w:lineRule="exact"/>
        <w:jc w:val="both"/>
        <w:rPr>
          <w:rFonts w:ascii="Arial" w:hAnsi="Arial" w:cs="Arial"/>
          <w:sz w:val="20"/>
          <w:szCs w:val="20"/>
        </w:rPr>
      </w:pPr>
      <w:bookmarkStart w:id="22" w:name="_Ref305705369"/>
      <w:r>
        <w:rPr>
          <w:rFonts w:ascii="Arial" w:hAnsi="Arial" w:cs="Arial"/>
          <w:sz w:val="20"/>
          <w:szCs w:val="20"/>
        </w:rPr>
        <w:t>K. Gö</w:t>
      </w:r>
      <w:r w:rsidR="00AB27E2" w:rsidRPr="00373B8B">
        <w:rPr>
          <w:rFonts w:ascii="Arial" w:hAnsi="Arial" w:cs="Arial"/>
          <w:sz w:val="20"/>
          <w:szCs w:val="20"/>
        </w:rPr>
        <w:t>del. Appx.A: Notes i</w:t>
      </w:r>
      <w:r>
        <w:rPr>
          <w:rFonts w:ascii="Arial" w:hAnsi="Arial" w:cs="Arial"/>
          <w:sz w:val="20"/>
          <w:szCs w:val="20"/>
        </w:rPr>
        <w:t>n Kurt G¨odel’s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A32C2E">
        <w:rPr>
          <w:rFonts w:ascii="Arial" w:hAnsi="Arial" w:cs="Arial"/>
          <w:sz w:val="20"/>
          <w:szCs w:val="20"/>
        </w:rPr>
        <w:t>[29.]</w:t>
      </w:r>
      <w:r>
        <w:rPr>
          <w:rFonts w:ascii="Arial" w:hAnsi="Arial" w:cs="Arial"/>
          <w:sz w:val="20"/>
          <w:szCs w:val="20"/>
        </w:rPr>
        <w:fldChar w:fldCharType="end"/>
      </w:r>
      <w:r w:rsidR="00AB27E2" w:rsidRPr="00373B8B">
        <w:rPr>
          <w:rFonts w:ascii="Arial" w:hAnsi="Arial" w:cs="Arial"/>
          <w:sz w:val="20"/>
          <w:szCs w:val="20"/>
        </w:rPr>
        <w:t>, 2004.</w:t>
      </w:r>
      <w:bookmarkEnd w:id="22"/>
    </w:p>
    <w:p w14:paraId="187DC3FB" w14:textId="77777777" w:rsidR="008D0C0A" w:rsidRDefault="008D0C0A" w:rsidP="008D0C0A">
      <w:pPr>
        <w:numPr>
          <w:ilvl w:val="0"/>
          <w:numId w:val="1"/>
        </w:numPr>
        <w:spacing w:line="280" w:lineRule="exact"/>
        <w:jc w:val="both"/>
        <w:rPr>
          <w:rFonts w:ascii="Arial" w:hAnsi="Arial" w:cs="Arial"/>
          <w:sz w:val="20"/>
          <w:szCs w:val="20"/>
        </w:rPr>
      </w:pPr>
      <w:bookmarkStart w:id="23" w:name="_Ref305717305"/>
      <w:r w:rsidRPr="008D0C0A">
        <w:rPr>
          <w:rFonts w:ascii="Arial" w:hAnsi="Arial" w:cs="Arial"/>
          <w:sz w:val="20"/>
          <w:szCs w:val="20"/>
        </w:rPr>
        <w:t>P. Hajek. Magari and others on Gödel's ontological proof. In Logic</w:t>
      </w:r>
      <w:r>
        <w:rPr>
          <w:rFonts w:ascii="Arial" w:hAnsi="Arial" w:cs="Arial"/>
          <w:sz w:val="20"/>
          <w:szCs w:val="20"/>
        </w:rPr>
        <w:t xml:space="preserve"> </w:t>
      </w:r>
      <w:r w:rsidRPr="008D0C0A">
        <w:rPr>
          <w:rFonts w:ascii="Arial" w:hAnsi="Arial" w:cs="Arial"/>
          <w:sz w:val="20"/>
          <w:szCs w:val="20"/>
        </w:rPr>
        <w:t>and algebra. A. Ursini and P. Agliano (eds.), Dekker, New York etc.,1996, pp. 125-135.</w:t>
      </w:r>
      <w:bookmarkEnd w:id="23"/>
    </w:p>
    <w:p w14:paraId="310335B4" w14:textId="0F94A3C6" w:rsidR="008D0C0A" w:rsidRDefault="008D0C0A" w:rsidP="008D0C0A">
      <w:pPr>
        <w:numPr>
          <w:ilvl w:val="0"/>
          <w:numId w:val="1"/>
        </w:numPr>
        <w:spacing w:line="280" w:lineRule="exact"/>
        <w:jc w:val="both"/>
        <w:rPr>
          <w:rFonts w:ascii="Arial" w:hAnsi="Arial" w:cs="Arial"/>
          <w:sz w:val="20"/>
          <w:szCs w:val="20"/>
        </w:rPr>
      </w:pPr>
      <w:bookmarkStart w:id="24" w:name="_Ref305717318"/>
      <w:r w:rsidRPr="008D0C0A">
        <w:rPr>
          <w:rFonts w:ascii="Arial" w:hAnsi="Arial" w:cs="Arial"/>
          <w:sz w:val="20"/>
          <w:szCs w:val="20"/>
        </w:rPr>
        <w:t>P. Hajek. Der Mathematiker und di</w:t>
      </w:r>
      <w:r>
        <w:rPr>
          <w:rFonts w:ascii="Arial" w:hAnsi="Arial" w:cs="Arial"/>
          <w:sz w:val="20"/>
          <w:szCs w:val="20"/>
        </w:rPr>
        <w:t xml:space="preserve">e Frage der Existenz Gottes. In </w:t>
      </w:r>
      <w:r w:rsidRPr="008D0C0A">
        <w:rPr>
          <w:rFonts w:ascii="Arial" w:hAnsi="Arial" w:cs="Arial"/>
          <w:sz w:val="20"/>
          <w:szCs w:val="20"/>
        </w:rPr>
        <w:t>Kurt Gödel. Wahrheit und Beweisbarkeit. B. Buldt, E. Köhler,</w:t>
      </w:r>
      <w:r>
        <w:rPr>
          <w:rFonts w:ascii="Arial" w:hAnsi="Arial" w:cs="Arial"/>
          <w:sz w:val="20"/>
          <w:szCs w:val="20"/>
        </w:rPr>
        <w:t xml:space="preserve"> </w:t>
      </w:r>
      <w:r w:rsidRPr="008D0C0A">
        <w:rPr>
          <w:rFonts w:ascii="Arial" w:hAnsi="Arial" w:cs="Arial"/>
          <w:sz w:val="20"/>
          <w:szCs w:val="20"/>
        </w:rPr>
        <w:t>M. Stöltzner, P. Weibel, C. Klein, and W. Depauli-Schimanowich-Göttig (eds.), ISBN 3-209-03835-X. öbv &amp; hpt, Wien, 2001, pp. 325-336.</w:t>
      </w:r>
      <w:bookmarkEnd w:id="24"/>
    </w:p>
    <w:p w14:paraId="289491C7" w14:textId="2F80A3CD" w:rsidR="00A32C2E" w:rsidRPr="00A32C2E" w:rsidRDefault="00A32C2E" w:rsidP="00A32C2E">
      <w:pPr>
        <w:numPr>
          <w:ilvl w:val="0"/>
          <w:numId w:val="1"/>
        </w:numPr>
        <w:spacing w:line="280" w:lineRule="exact"/>
        <w:jc w:val="both"/>
        <w:rPr>
          <w:rFonts w:ascii="Arial" w:hAnsi="Arial" w:cs="Arial"/>
          <w:sz w:val="20"/>
          <w:szCs w:val="20"/>
        </w:rPr>
      </w:pPr>
      <w:bookmarkStart w:id="25" w:name="_Ref305717616"/>
      <w:r w:rsidRPr="00B1628E">
        <w:rPr>
          <w:rFonts w:ascii="Arial" w:hAnsi="Arial" w:cs="Arial"/>
          <w:sz w:val="20"/>
          <w:szCs w:val="20"/>
        </w:rPr>
        <w:t>P. Hajek. A New Small Emendation of Gödel's Ontological Proof.</w:t>
      </w:r>
      <w:r>
        <w:rPr>
          <w:rFonts w:ascii="Arial" w:hAnsi="Arial" w:cs="Arial"/>
          <w:sz w:val="20"/>
          <w:szCs w:val="20"/>
        </w:rPr>
        <w:t xml:space="preserve"> </w:t>
      </w:r>
      <w:r w:rsidRPr="00B1628E">
        <w:rPr>
          <w:rFonts w:ascii="Arial" w:hAnsi="Arial" w:cs="Arial"/>
          <w:sz w:val="20"/>
          <w:szCs w:val="20"/>
        </w:rPr>
        <w:t>Studia Logica 71.2 (2002), pp. 149-164.</w:t>
      </w:r>
      <w:bookmarkEnd w:id="25"/>
    </w:p>
    <w:p w14:paraId="295B8605" w14:textId="40E1FF35" w:rsidR="00D16E6B" w:rsidRPr="00D16E6B" w:rsidRDefault="00D16E6B" w:rsidP="00373B8B">
      <w:pPr>
        <w:numPr>
          <w:ilvl w:val="0"/>
          <w:numId w:val="1"/>
        </w:numPr>
        <w:spacing w:line="280" w:lineRule="exact"/>
        <w:jc w:val="both"/>
        <w:rPr>
          <w:rFonts w:ascii="Arial" w:hAnsi="Arial" w:cs="Arial"/>
          <w:sz w:val="20"/>
          <w:szCs w:val="20"/>
        </w:rPr>
      </w:pPr>
      <w:bookmarkStart w:id="26" w:name="_Ref305713237"/>
      <w:r>
        <w:rPr>
          <w:rFonts w:ascii="Arial" w:hAnsi="Arial" w:cs="Arial"/>
          <w:sz w:val="20"/>
          <w:szCs w:val="20"/>
        </w:rPr>
        <w:t xml:space="preserve">Srecko Kovac. </w:t>
      </w:r>
      <w:r w:rsidRPr="00D16E6B">
        <w:rPr>
          <w:rFonts w:ascii="Arial" w:hAnsi="Arial" w:cs="Arial"/>
          <w:sz w:val="20"/>
          <w:szCs w:val="20"/>
        </w:rPr>
        <w:t>Modal collapse</w:t>
      </w:r>
      <w:r>
        <w:rPr>
          <w:rFonts w:ascii="Arial" w:hAnsi="Arial" w:cs="Arial"/>
          <w:sz w:val="20"/>
          <w:szCs w:val="20"/>
        </w:rPr>
        <w:t xml:space="preserve"> in Gödel’s ontological proof. In Ontological Proofs Today,</w:t>
      </w:r>
      <w:r w:rsidRPr="00D16E6B">
        <w:rPr>
          <w:rFonts w:ascii="Arial" w:hAnsi="Arial" w:cs="Arial"/>
          <w:i/>
          <w:iCs/>
          <w:sz w:val="20"/>
          <w:szCs w:val="20"/>
        </w:rPr>
        <w:t xml:space="preserve"> </w:t>
      </w:r>
      <w:r w:rsidRPr="00D16E6B">
        <w:rPr>
          <w:rFonts w:ascii="Arial" w:hAnsi="Arial" w:cs="Arial"/>
          <w:sz w:val="20"/>
          <w:szCs w:val="20"/>
        </w:rPr>
        <w:t>M. Szatkowski (ed.), Ontos Verlag, 2012.</w:t>
      </w:r>
      <w:bookmarkEnd w:id="26"/>
    </w:p>
    <w:p w14:paraId="1D8D5F2C" w14:textId="77777777" w:rsidR="00373B8B" w:rsidRDefault="00AB27E2" w:rsidP="00373B8B">
      <w:pPr>
        <w:numPr>
          <w:ilvl w:val="0"/>
          <w:numId w:val="1"/>
        </w:numPr>
        <w:spacing w:line="280" w:lineRule="exact"/>
        <w:jc w:val="both"/>
        <w:rPr>
          <w:rFonts w:ascii="Arial" w:hAnsi="Arial" w:cs="Arial"/>
          <w:sz w:val="20"/>
          <w:szCs w:val="20"/>
        </w:rPr>
      </w:pPr>
      <w:bookmarkStart w:id="27" w:name="_Ref305704979"/>
      <w:r w:rsidRPr="00373B8B">
        <w:rPr>
          <w:rFonts w:ascii="Arial" w:hAnsi="Arial" w:cs="Arial"/>
          <w:sz w:val="20"/>
          <w:szCs w:val="20"/>
        </w:rPr>
        <w:t>R. Muskens. Higher Order Modal Logic. In P Blackburn et al., editor, 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7"/>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28" w:name="_Ref305714507"/>
      <w:r w:rsidRPr="00373B8B">
        <w:rPr>
          <w:rFonts w:ascii="Arial" w:hAnsi="Arial" w:cs="Arial"/>
          <w:sz w:val="20"/>
          <w:szCs w:val="20"/>
        </w:rPr>
        <w:t>T. Nipkow, L.C. Paulson, and M.Wenzel.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28"/>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29" w:name="_Ref305713564"/>
      <w:r w:rsidRPr="008D0C0A">
        <w:rPr>
          <w:rFonts w:ascii="Arial" w:hAnsi="Arial" w:cs="Arial"/>
          <w:sz w:val="20"/>
          <w:szCs w:val="20"/>
        </w:rPr>
        <w:t xml:space="preserve">D. Scott. Appx.B: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[29.]</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29"/>
    </w:p>
    <w:p w14:paraId="1AD664FD" w14:textId="1E6008B7" w:rsidR="00373B8B" w:rsidRPr="00590500" w:rsidRDefault="00AB27E2" w:rsidP="00590500">
      <w:pPr>
        <w:numPr>
          <w:ilvl w:val="0"/>
          <w:numId w:val="1"/>
        </w:numPr>
        <w:spacing w:line="280" w:lineRule="exact"/>
        <w:jc w:val="both"/>
        <w:rPr>
          <w:rFonts w:ascii="Arial" w:hAnsi="Arial" w:cs="Arial"/>
          <w:sz w:val="20"/>
          <w:szCs w:val="20"/>
        </w:rPr>
      </w:pPr>
      <w:bookmarkStart w:id="30"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590500">
        <w:rPr>
          <w:rFonts w:ascii="Arial" w:hAnsi="Arial" w:cs="Arial"/>
          <w:sz w:val="20"/>
          <w:szCs w:val="20"/>
        </w:rPr>
        <w:t xml:space="preserve"> calculus. </w:t>
      </w:r>
      <w:r w:rsidRPr="00590500">
        <w:rPr>
          <w:rFonts w:ascii="Arial" w:hAnsi="Arial" w:cs="Arial"/>
          <w:sz w:val="20"/>
          <w:szCs w:val="20"/>
        </w:rPr>
        <w:t>(github.com/FormalTheology/GoedelGod/blob/master/Papers/InProgress/NaturalDeduction/GodProof-ND.pdf?raw=true).</w:t>
      </w:r>
      <w:bookmarkEnd w:id="30"/>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1" w:name="_Ref305712229"/>
      <w:r w:rsidRPr="00373B8B">
        <w:rPr>
          <w:rFonts w:ascii="Arial" w:hAnsi="Arial" w:cs="Arial"/>
          <w:sz w:val="20"/>
          <w:szCs w:val="20"/>
        </w:rPr>
        <w:t>J</w:t>
      </w:r>
      <w:r w:rsidR="008D0C0A">
        <w:rPr>
          <w:rFonts w:ascii="Arial" w:hAnsi="Arial" w:cs="Arial"/>
          <w:sz w:val="20"/>
          <w:szCs w:val="20"/>
        </w:rPr>
        <w:t>.H. Sobel.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1"/>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2" w:name="_Ref305712443"/>
      <w:r w:rsidRPr="00373B8B">
        <w:rPr>
          <w:rFonts w:ascii="Arial" w:hAnsi="Arial" w:cs="Arial"/>
          <w:sz w:val="20"/>
          <w:szCs w:val="20"/>
        </w:rPr>
        <w:t>J.H. Sobel.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2"/>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3" w:name="_Ref305715186"/>
      <w:r w:rsidRPr="00585E1F">
        <w:rPr>
          <w:rFonts w:ascii="Arial" w:hAnsi="Arial" w:cs="Arial"/>
          <w:sz w:val="20"/>
          <w:szCs w:val="20"/>
        </w:rPr>
        <w:t>N. Sultana. Higher-order proof translation. PhD thesis, Computer Laboratory,</w:t>
      </w:r>
      <w:bookmarkEnd w:id="33"/>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4E6A4770" w14:textId="0101749F" w:rsidR="00373B8B" w:rsidRDefault="00590500" w:rsidP="00373B8B">
      <w:pPr>
        <w:numPr>
          <w:ilvl w:val="0"/>
          <w:numId w:val="1"/>
        </w:numPr>
        <w:spacing w:line="280" w:lineRule="exact"/>
        <w:jc w:val="both"/>
        <w:rPr>
          <w:rFonts w:ascii="Arial" w:hAnsi="Arial" w:cs="Arial"/>
          <w:sz w:val="20"/>
          <w:szCs w:val="20"/>
        </w:rPr>
      </w:pPr>
      <w:bookmarkStart w:id="34" w:name="_Ref305710557"/>
      <w:r>
        <w:rPr>
          <w:rFonts w:ascii="Arial" w:hAnsi="Arial" w:cs="Arial"/>
          <w:sz w:val="20"/>
          <w:szCs w:val="20"/>
        </w:rPr>
        <w:t>G. Sutcliffe and C. Benzmü</w:t>
      </w:r>
      <w:r w:rsidR="00AB27E2" w:rsidRPr="00373B8B">
        <w:rPr>
          <w:rFonts w:ascii="Arial" w:hAnsi="Arial" w:cs="Arial"/>
          <w:sz w:val="20"/>
          <w:szCs w:val="20"/>
        </w:rPr>
        <w:t>ller.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4"/>
    </w:p>
    <w:p w14:paraId="38238974" w14:textId="77777777" w:rsidR="008D5A78" w:rsidRDefault="008D5A78" w:rsidP="008D5A78">
      <w:pPr>
        <w:spacing w:line="280" w:lineRule="exact"/>
        <w:ind w:firstLine="461"/>
        <w:rPr>
          <w:rFonts w:ascii="Arial" w:hAnsi="Arial" w:cs="Arial"/>
          <w:sz w:val="20"/>
          <w:szCs w:val="20"/>
        </w:rPr>
      </w:pPr>
    </w:p>
    <w:p w14:paraId="465D03D4" w14:textId="77777777" w:rsidR="00D3664F" w:rsidRPr="001D5CA8" w:rsidRDefault="00D3664F" w:rsidP="008D5A78">
      <w:pPr>
        <w:spacing w:line="280" w:lineRule="exact"/>
        <w:ind w:firstLine="461"/>
        <w:rPr>
          <w:rFonts w:ascii="Arial" w:hAnsi="Arial" w:cs="Arial"/>
          <w:sz w:val="20"/>
          <w:szCs w:val="20"/>
        </w:rPr>
      </w:pPr>
    </w:p>
    <w:p w14:paraId="7968A9F0" w14:textId="77777777" w:rsidR="008D5A78" w:rsidRPr="001D5CA8" w:rsidRDefault="008D5A78" w:rsidP="008D5A78">
      <w:pPr>
        <w:spacing w:line="280" w:lineRule="exact"/>
        <w:rPr>
          <w:rFonts w:ascii="Arial" w:hAnsi="Arial" w:cs="Arial"/>
          <w:sz w:val="20"/>
          <w:szCs w:val="20"/>
        </w:rPr>
      </w:pPr>
    </w:p>
    <w:p w14:paraId="272A9558" w14:textId="782B4B9B" w:rsidR="0040569D" w:rsidRPr="006510EE" w:rsidRDefault="008D5A78" w:rsidP="006510EE">
      <w:pPr>
        <w:spacing w:line="280" w:lineRule="exact"/>
        <w:rPr>
          <w:rFonts w:ascii="Arial" w:hAnsi="Arial" w:cs="Arial"/>
          <w:b/>
          <w:sz w:val="20"/>
          <w:szCs w:val="20"/>
        </w:rPr>
      </w:pPr>
      <w:r>
        <w:rPr>
          <w:rFonts w:ascii="Arial" w:hAnsi="Arial" w:cs="Arial"/>
          <w:b/>
          <w:sz w:val="20"/>
          <w:szCs w:val="20"/>
        </w:rPr>
        <w:t>About the Author(s)</w:t>
      </w:r>
    </w:p>
    <w:p w14:paraId="613C89DC" w14:textId="77777777" w:rsidR="0063395D" w:rsidRDefault="002F4750" w:rsidP="008D5A78">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14:anchorId="2BD9DD89" wp14:editId="6014A643">
                <wp:simplePos x="0" y="0"/>
                <wp:positionH relativeFrom="column">
                  <wp:posOffset>0</wp:posOffset>
                </wp:positionH>
                <wp:positionV relativeFrom="paragraph">
                  <wp:posOffset>139700</wp:posOffset>
                </wp:positionV>
                <wp:extent cx="1257300" cy="1714500"/>
                <wp:effectExtent l="0" t="0" r="0" b="0"/>
                <wp:wrapThrough wrapText="bothSides">
                  <wp:wrapPolygon edited="0">
                    <wp:start x="0" y="0"/>
                    <wp:lineTo x="21600" y="0"/>
                    <wp:lineTo x="21600" y="21600"/>
                    <wp:lineTo x="0" y="21600"/>
                    <wp:lineTo x="0" y="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ACB0B" w14:textId="77777777" w:rsidR="009E40D1" w:rsidRDefault="009E40D1"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1pt;width:9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" filled="f" stroked="f">
                <v:textbox inset=",7.2pt,,7.2pt">
                  <w:txbxContent>
                    <w:p w14:paraId="016ACB0B" w14:textId="77777777" w:rsidR="00152E80" w:rsidRDefault="00152E80"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6A81A692" w14:textId="77777777" w:rsidR="008575D0" w:rsidRDefault="008575D0" w:rsidP="008575D0">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he his currently affiliated with Freie Universität Berlin and with Stanford University. </w:t>
      </w:r>
    </w:p>
    <w:p w14:paraId="0AE00D3A" w14:textId="77777777" w:rsidR="008575D0" w:rsidRDefault="008575D0" w:rsidP="008D5A78">
      <w:pPr>
        <w:spacing w:line="280" w:lineRule="exact"/>
        <w:rPr>
          <w:rFonts w:ascii="Arial" w:hAnsi="Arial" w:cs="Arial"/>
          <w:sz w:val="20"/>
          <w:szCs w:val="20"/>
        </w:rPr>
      </w:pPr>
    </w:p>
    <w:p w14:paraId="506829E9" w14:textId="77777777" w:rsidR="008575D0" w:rsidRDefault="008575D0" w:rsidP="008D5A78">
      <w:pPr>
        <w:spacing w:line="280" w:lineRule="exact"/>
        <w:rPr>
          <w:rFonts w:ascii="Arial" w:hAnsi="Arial" w:cs="Arial"/>
          <w:sz w:val="20"/>
          <w:szCs w:val="20"/>
        </w:rPr>
      </w:pPr>
    </w:p>
    <w:tbl>
      <w:tblPr>
        <w:tblW w:w="5634" w:type="dxa"/>
        <w:tblLayout w:type="fixed"/>
        <w:tblLook w:val="0000" w:firstRow="0" w:lastRow="0" w:firstColumn="0" w:lastColumn="0" w:noHBand="0" w:noVBand="0"/>
      </w:tblPr>
      <w:tblGrid>
        <w:gridCol w:w="5634"/>
      </w:tblGrid>
      <w:tr w:rsidR="00D3664F" w:rsidRPr="003A5053" w14:paraId="303A5BC2" w14:textId="77777777" w:rsidTr="00D3664F">
        <w:trPr>
          <w:trHeight w:val="314"/>
        </w:trPr>
        <w:tc>
          <w:tcPr>
            <w:tcW w:w="5634" w:type="dxa"/>
          </w:tcPr>
          <w:p w14:paraId="471CA031" w14:textId="77777777" w:rsidR="00D3664F" w:rsidRPr="003A5053" w:rsidRDefault="00D3664F" w:rsidP="00F33EF8">
            <w:pPr>
              <w:pStyle w:val="BodyText"/>
              <w:spacing w:line="280" w:lineRule="exact"/>
              <w:rPr>
                <w:rFonts w:ascii="CG Times" w:hAnsi="CG Times"/>
                <w:bCs w:val="0"/>
                <w:color w:val="000000"/>
              </w:rPr>
            </w:pPr>
          </w:p>
        </w:tc>
      </w:tr>
    </w:tbl>
    <w:p w14:paraId="49DEE0CA" w14:textId="77777777" w:rsidR="002D29BE" w:rsidRDefault="002D29BE" w:rsidP="008D5A78">
      <w:pPr>
        <w:spacing w:line="280" w:lineRule="exact"/>
        <w:rPr>
          <w:rFonts w:ascii="Arial" w:hAnsi="Arial" w:cs="Arial"/>
          <w:sz w:val="20"/>
          <w:szCs w:val="20"/>
        </w:rPr>
      </w:pPr>
    </w:p>
    <w:p w14:paraId="066291E2" w14:textId="77777777" w:rsidR="002D29BE" w:rsidRDefault="002D29BE" w:rsidP="008D5A78">
      <w:pPr>
        <w:spacing w:line="280" w:lineRule="exact"/>
        <w:rPr>
          <w:rFonts w:ascii="Arial" w:hAnsi="Arial" w:cs="Arial"/>
          <w:sz w:val="20"/>
          <w:szCs w:val="20"/>
        </w:rPr>
      </w:pP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9E40D1" w:rsidRDefault="009E40D1">
      <w:r>
        <w:separator/>
      </w:r>
    </w:p>
  </w:endnote>
  <w:endnote w:type="continuationSeparator" w:id="0">
    <w:p w14:paraId="64BB22A9" w14:textId="77777777" w:rsidR="009E40D1" w:rsidRDefault="009E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9E40D1" w:rsidRDefault="009E40D1">
      <w:r>
        <w:separator/>
      </w:r>
    </w:p>
  </w:footnote>
  <w:footnote w:type="continuationSeparator" w:id="0">
    <w:p w14:paraId="0B2844E4" w14:textId="77777777" w:rsidR="009E40D1" w:rsidRDefault="009E40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9E40D1" w:rsidRDefault="009E40D1" w:rsidP="00494168">
    <w:pPr>
      <w:pStyle w:val="Header"/>
      <w:jc w:val="right"/>
      <w:rPr>
        <w:rFonts w:ascii="Arial" w:hAnsi="Arial" w:cs="Arial"/>
        <w:i/>
        <w:sz w:val="16"/>
        <w:szCs w:val="16"/>
      </w:rPr>
    </w:pPr>
  </w:p>
  <w:p w14:paraId="520D2E77" w14:textId="77777777" w:rsidR="009E40D1" w:rsidRPr="00494168" w:rsidRDefault="009E40D1" w:rsidP="00494168">
    <w:pPr>
      <w:pStyle w:val="Header"/>
      <w:jc w:val="right"/>
      <w:rPr>
        <w:rFonts w:ascii="Arial" w:hAnsi="Arial" w:cs="Arial"/>
        <w:i/>
        <w:sz w:val="16"/>
        <w:szCs w:val="16"/>
      </w:rPr>
    </w:pPr>
  </w:p>
  <w:p w14:paraId="5EBC637F" w14:textId="77777777" w:rsidR="009E40D1" w:rsidRPr="00494168" w:rsidRDefault="009E40D1" w:rsidP="00494168">
    <w:pPr>
      <w:pStyle w:val="Header"/>
      <w:jc w:val="right"/>
      <w:rPr>
        <w:rFonts w:ascii="Arial" w:hAnsi="Arial" w:cs="Arial"/>
        <w:i/>
        <w:sz w:val="16"/>
        <w:szCs w:val="16"/>
      </w:rPr>
    </w:pPr>
  </w:p>
  <w:p w14:paraId="7C41D7EC" w14:textId="77777777" w:rsidR="009E40D1" w:rsidRPr="00494168" w:rsidRDefault="009E40D1" w:rsidP="00494168">
    <w:pPr>
      <w:pStyle w:val="Header"/>
      <w:jc w:val="right"/>
      <w:rPr>
        <w:rFonts w:ascii="Arial" w:hAnsi="Arial" w:cs="Arial"/>
        <w:i/>
        <w:sz w:val="16"/>
        <w:szCs w:val="16"/>
      </w:rPr>
    </w:pPr>
  </w:p>
  <w:p w14:paraId="0505824E" w14:textId="77777777" w:rsidR="009E40D1" w:rsidRPr="00494168" w:rsidRDefault="009E40D1" w:rsidP="00494168">
    <w:pPr>
      <w:pStyle w:val="Header"/>
      <w:jc w:val="right"/>
      <w:rPr>
        <w:rFonts w:ascii="Arial" w:hAnsi="Arial" w:cs="Arial"/>
        <w:i/>
        <w:sz w:val="16"/>
        <w:szCs w:val="16"/>
      </w:rPr>
    </w:pPr>
  </w:p>
  <w:p w14:paraId="3F64B0B2" w14:textId="77777777" w:rsidR="009E40D1" w:rsidRPr="00494168" w:rsidRDefault="009E40D1" w:rsidP="00494168">
    <w:pPr>
      <w:pStyle w:val="Header"/>
      <w:jc w:val="right"/>
      <w:rPr>
        <w:rFonts w:ascii="Arial" w:hAnsi="Arial" w:cs="Arial"/>
        <w:i/>
        <w:sz w:val="16"/>
        <w:szCs w:val="16"/>
      </w:rPr>
    </w:pPr>
  </w:p>
  <w:p w14:paraId="14DB65A6" w14:textId="77777777" w:rsidR="009E40D1" w:rsidRPr="00494168" w:rsidRDefault="009E40D1" w:rsidP="00494168">
    <w:pPr>
      <w:pStyle w:val="Header"/>
      <w:jc w:val="right"/>
      <w:rPr>
        <w:rFonts w:ascii="Arial" w:hAnsi="Arial" w:cs="Arial"/>
        <w:i/>
        <w:sz w:val="16"/>
        <w:szCs w:val="16"/>
      </w:rPr>
    </w:pPr>
  </w:p>
  <w:p w14:paraId="3FD741A2" w14:textId="77777777" w:rsidR="009E40D1" w:rsidRPr="00494168" w:rsidRDefault="009E40D1" w:rsidP="00494168">
    <w:pPr>
      <w:pStyle w:val="Header"/>
      <w:jc w:val="right"/>
      <w:rPr>
        <w:rFonts w:ascii="Arial" w:hAnsi="Arial" w:cs="Arial"/>
        <w:i/>
        <w:sz w:val="18"/>
        <w:szCs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9E40D1" w:rsidRDefault="009E40D1">
    <w:pPr>
      <w:pStyle w:val="Header"/>
      <w:rPr>
        <w:rFonts w:ascii="Arial" w:hAnsi="Arial" w:cs="Arial"/>
        <w:i/>
        <w:sz w:val="16"/>
      </w:rPr>
    </w:pPr>
  </w:p>
  <w:p w14:paraId="4970AAFD" w14:textId="77777777" w:rsidR="009E40D1" w:rsidRDefault="009E40D1">
    <w:pPr>
      <w:pStyle w:val="Header"/>
      <w:rPr>
        <w:rFonts w:ascii="Arial" w:hAnsi="Arial" w:cs="Arial"/>
        <w:i/>
        <w:sz w:val="16"/>
      </w:rPr>
    </w:pPr>
  </w:p>
  <w:p w14:paraId="025C987C" w14:textId="77777777" w:rsidR="009E40D1" w:rsidRDefault="009E40D1">
    <w:pPr>
      <w:pStyle w:val="Header"/>
      <w:rPr>
        <w:rFonts w:ascii="Arial" w:hAnsi="Arial" w:cs="Arial"/>
        <w:i/>
        <w:sz w:val="16"/>
      </w:rPr>
    </w:pPr>
  </w:p>
  <w:p w14:paraId="35528817" w14:textId="77777777" w:rsidR="009E40D1" w:rsidRDefault="009E40D1">
    <w:pPr>
      <w:pStyle w:val="Header"/>
      <w:rPr>
        <w:rFonts w:ascii="Arial" w:hAnsi="Arial" w:cs="Arial"/>
        <w:i/>
        <w:sz w:val="16"/>
      </w:rPr>
    </w:pPr>
  </w:p>
  <w:p w14:paraId="3A3BB94B" w14:textId="77777777" w:rsidR="009E40D1" w:rsidRDefault="009E40D1">
    <w:pPr>
      <w:pStyle w:val="Header"/>
      <w:rPr>
        <w:rFonts w:ascii="Arial" w:hAnsi="Arial" w:cs="Arial"/>
        <w:i/>
        <w:sz w:val="16"/>
      </w:rPr>
    </w:pPr>
  </w:p>
  <w:p w14:paraId="2040420C" w14:textId="77777777" w:rsidR="009E40D1" w:rsidRDefault="009E40D1">
    <w:pPr>
      <w:pStyle w:val="Header"/>
      <w:rPr>
        <w:rFonts w:ascii="Arial" w:hAnsi="Arial" w:cs="Arial"/>
        <w:i/>
        <w:sz w:val="16"/>
      </w:rPr>
    </w:pPr>
  </w:p>
  <w:p w14:paraId="5C328AFE" w14:textId="77777777" w:rsidR="009E40D1" w:rsidRDefault="009E40D1">
    <w:pPr>
      <w:pStyle w:val="Header"/>
      <w:rPr>
        <w:rFonts w:ascii="Arial" w:hAnsi="Arial" w:cs="Arial"/>
        <w:i/>
        <w:sz w:val="16"/>
      </w:rPr>
    </w:pPr>
  </w:p>
  <w:p w14:paraId="1A0B1ACD" w14:textId="77777777" w:rsidR="009E40D1" w:rsidRPr="00494168" w:rsidRDefault="009E40D1">
    <w:pPr>
      <w:pStyle w:val="Header"/>
      <w:rPr>
        <w:rFonts w:ascii="Arial" w:hAnsi="Arial" w:cs="Arial"/>
        <w:i/>
        <w:sz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9E40D1" w:rsidRDefault="009E40D1" w:rsidP="0063395D">
    <w:pPr>
      <w:pStyle w:val="Header"/>
      <w:jc w:val="right"/>
      <w:rPr>
        <w:i/>
      </w:rPr>
    </w:pPr>
  </w:p>
  <w:p w14:paraId="582F87E8" w14:textId="77777777" w:rsidR="009E40D1" w:rsidRDefault="009E40D1" w:rsidP="0063395D">
    <w:pPr>
      <w:pStyle w:val="Header"/>
      <w:jc w:val="right"/>
      <w:rPr>
        <w:i/>
      </w:rPr>
    </w:pPr>
  </w:p>
  <w:p w14:paraId="327DC1B3" w14:textId="77777777" w:rsidR="009E40D1" w:rsidRDefault="009E40D1" w:rsidP="0063395D">
    <w:pPr>
      <w:pStyle w:val="Header"/>
      <w:jc w:val="right"/>
      <w:rPr>
        <w:i/>
      </w:rPr>
    </w:pPr>
  </w:p>
  <w:p w14:paraId="1D7CB184" w14:textId="77777777" w:rsidR="009E40D1" w:rsidRPr="0063395D" w:rsidRDefault="009E40D1"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4A14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CF5"/>
    <w:rsid w:val="000175E7"/>
    <w:rsid w:val="00020F94"/>
    <w:rsid w:val="00021731"/>
    <w:rsid w:val="00023CE6"/>
    <w:rsid w:val="000248A4"/>
    <w:rsid w:val="00026D69"/>
    <w:rsid w:val="0003582E"/>
    <w:rsid w:val="000370A2"/>
    <w:rsid w:val="00042340"/>
    <w:rsid w:val="000461BB"/>
    <w:rsid w:val="00063668"/>
    <w:rsid w:val="00065644"/>
    <w:rsid w:val="00065F2E"/>
    <w:rsid w:val="00073CED"/>
    <w:rsid w:val="00074C1F"/>
    <w:rsid w:val="00091D80"/>
    <w:rsid w:val="00091EE3"/>
    <w:rsid w:val="00094A9E"/>
    <w:rsid w:val="0009543C"/>
    <w:rsid w:val="000A0750"/>
    <w:rsid w:val="000B1087"/>
    <w:rsid w:val="000B1FA2"/>
    <w:rsid w:val="000B4CB9"/>
    <w:rsid w:val="000C01F8"/>
    <w:rsid w:val="000C60E7"/>
    <w:rsid w:val="000C7525"/>
    <w:rsid w:val="000D28E1"/>
    <w:rsid w:val="000D494F"/>
    <w:rsid w:val="000E2B12"/>
    <w:rsid w:val="000E36FB"/>
    <w:rsid w:val="000E4499"/>
    <w:rsid w:val="000E6BC5"/>
    <w:rsid w:val="000F08A4"/>
    <w:rsid w:val="000F1C49"/>
    <w:rsid w:val="00106BC7"/>
    <w:rsid w:val="00120FED"/>
    <w:rsid w:val="001218B6"/>
    <w:rsid w:val="001218FD"/>
    <w:rsid w:val="001229EE"/>
    <w:rsid w:val="00127F14"/>
    <w:rsid w:val="001346C8"/>
    <w:rsid w:val="00141B2E"/>
    <w:rsid w:val="00152E80"/>
    <w:rsid w:val="00171708"/>
    <w:rsid w:val="00171FAC"/>
    <w:rsid w:val="001764FC"/>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E4188"/>
    <w:rsid w:val="001E5F1A"/>
    <w:rsid w:val="001E7730"/>
    <w:rsid w:val="001F0B2D"/>
    <w:rsid w:val="001F16E3"/>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57ED"/>
    <w:rsid w:val="004865DF"/>
    <w:rsid w:val="00494168"/>
    <w:rsid w:val="004A08C2"/>
    <w:rsid w:val="004A0C27"/>
    <w:rsid w:val="004A33CE"/>
    <w:rsid w:val="004A5E33"/>
    <w:rsid w:val="004B0A54"/>
    <w:rsid w:val="004B1010"/>
    <w:rsid w:val="004B4C3A"/>
    <w:rsid w:val="004C6DD3"/>
    <w:rsid w:val="004D6136"/>
    <w:rsid w:val="004E1B0B"/>
    <w:rsid w:val="004E5B3A"/>
    <w:rsid w:val="004F19DF"/>
    <w:rsid w:val="004F2678"/>
    <w:rsid w:val="004F4BB5"/>
    <w:rsid w:val="00500A2C"/>
    <w:rsid w:val="005249E6"/>
    <w:rsid w:val="00536241"/>
    <w:rsid w:val="00537E3D"/>
    <w:rsid w:val="005417D5"/>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76F0"/>
    <w:rsid w:val="00670C28"/>
    <w:rsid w:val="006B1DD0"/>
    <w:rsid w:val="006C25CD"/>
    <w:rsid w:val="006C3B78"/>
    <w:rsid w:val="006D6C19"/>
    <w:rsid w:val="006F744D"/>
    <w:rsid w:val="00700BFF"/>
    <w:rsid w:val="007201D6"/>
    <w:rsid w:val="00727A6A"/>
    <w:rsid w:val="00735A44"/>
    <w:rsid w:val="00740D5B"/>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A6E50"/>
    <w:rsid w:val="007C1A30"/>
    <w:rsid w:val="007C56D9"/>
    <w:rsid w:val="007D1DDA"/>
    <w:rsid w:val="007D2E99"/>
    <w:rsid w:val="007D5BC4"/>
    <w:rsid w:val="007E4D91"/>
    <w:rsid w:val="007E679F"/>
    <w:rsid w:val="007F5DFB"/>
    <w:rsid w:val="00801FD2"/>
    <w:rsid w:val="0081501D"/>
    <w:rsid w:val="00823A35"/>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8512E"/>
    <w:rsid w:val="009930ED"/>
    <w:rsid w:val="00996B41"/>
    <w:rsid w:val="009A6BCC"/>
    <w:rsid w:val="009A755E"/>
    <w:rsid w:val="009B047A"/>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3567"/>
    <w:rsid w:val="00A91892"/>
    <w:rsid w:val="00A958C1"/>
    <w:rsid w:val="00AA0034"/>
    <w:rsid w:val="00AA21DD"/>
    <w:rsid w:val="00AA6775"/>
    <w:rsid w:val="00AB27E2"/>
    <w:rsid w:val="00AB5923"/>
    <w:rsid w:val="00AB755E"/>
    <w:rsid w:val="00AC09AB"/>
    <w:rsid w:val="00AC69F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D52CE"/>
    <w:rsid w:val="00BE0B69"/>
    <w:rsid w:val="00BE4E8A"/>
    <w:rsid w:val="00BF54FD"/>
    <w:rsid w:val="00C07508"/>
    <w:rsid w:val="00C10F40"/>
    <w:rsid w:val="00C12A64"/>
    <w:rsid w:val="00C14397"/>
    <w:rsid w:val="00C21364"/>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04C5C"/>
    <w:rsid w:val="00D1057B"/>
    <w:rsid w:val="00D16E6B"/>
    <w:rsid w:val="00D2170B"/>
    <w:rsid w:val="00D34166"/>
    <w:rsid w:val="00D346AF"/>
    <w:rsid w:val="00D3664F"/>
    <w:rsid w:val="00D4083C"/>
    <w:rsid w:val="00D41848"/>
    <w:rsid w:val="00D436DE"/>
    <w:rsid w:val="00D43952"/>
    <w:rsid w:val="00D61EAF"/>
    <w:rsid w:val="00D651E5"/>
    <w:rsid w:val="00D667F6"/>
    <w:rsid w:val="00D73C86"/>
    <w:rsid w:val="00D7581F"/>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3935"/>
    <w:rsid w:val="00E93E54"/>
    <w:rsid w:val="00E94CC8"/>
    <w:rsid w:val="00EA15CE"/>
    <w:rsid w:val="00EB0FDD"/>
    <w:rsid w:val="00EC53F7"/>
    <w:rsid w:val="00ED2B14"/>
    <w:rsid w:val="00EF20CC"/>
    <w:rsid w:val="00EF21B1"/>
    <w:rsid w:val="00EF6ADD"/>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68F7E-4936-9A45-8587-5E7642B1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4994</Words>
  <Characters>28471</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33399</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Bruno Woltzenlogel Paleo</cp:lastModifiedBy>
  <cp:revision>38</cp:revision>
  <cp:lastPrinted>2009-07-06T13:53:00Z</cp:lastPrinted>
  <dcterms:created xsi:type="dcterms:W3CDTF">2015-10-05T00:15:00Z</dcterms:created>
  <dcterms:modified xsi:type="dcterms:W3CDTF">2015-10-06T07:02:00Z</dcterms:modified>
</cp:coreProperties>
</file>