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418806BF" w14:textId="77777777" w:rsidR="00783315" w:rsidRPr="00A17249" w:rsidRDefault="00783315">
      <w:pPr>
        <w:jc w:val="both"/>
        <w:rPr>
          <w:sz w:val="22"/>
          <w:szCs w:val="22"/>
        </w:rPr>
      </w:pPr>
      <w:r w:rsidRPr="00A17249">
        <w:rPr>
          <w:sz w:val="22"/>
          <w:szCs w:val="22"/>
        </w:rPr>
        <w:t>[… TODO</w:t>
      </w:r>
      <w:proofErr w:type="gramStart"/>
      <w:r w:rsidRPr="00A17249">
        <w:rPr>
          <w:sz w:val="22"/>
          <w:szCs w:val="22"/>
        </w:rPr>
        <w:t xml:space="preserve"> ..</w:t>
      </w:r>
      <w:proofErr w:type="gramEnd"/>
      <w:r w:rsidRPr="00A17249">
        <w:rPr>
          <w:sz w:val="22"/>
          <w:szCs w:val="22"/>
        </w:rPr>
        <w:t>] Talk about Leibniz’s ambitious project of the Catholic Demonstrations</w:t>
      </w:r>
    </w:p>
    <w:p w14:paraId="1A77B2D8" w14:textId="77777777" w:rsidR="00783315" w:rsidRPr="00A17249" w:rsidRDefault="00783315">
      <w:pPr>
        <w:jc w:val="both"/>
        <w:rPr>
          <w:sz w:val="22"/>
          <w:szCs w:val="22"/>
        </w:rPr>
      </w:pPr>
    </w:p>
    <w:p w14:paraId="7D14B9B1" w14:textId="77777777" w:rsidR="00783315" w:rsidRPr="00A17249" w:rsidRDefault="00783315">
      <w:pPr>
        <w:jc w:val="both"/>
        <w:rPr>
          <w:sz w:val="22"/>
          <w:szCs w:val="22"/>
        </w:rPr>
      </w:pPr>
      <w:r w:rsidRPr="00A17249">
        <w:rPr>
          <w:sz w:val="22"/>
          <w:szCs w:val="22"/>
        </w:rPr>
        <w:t>But his project was never fully realized</w:t>
      </w:r>
    </w:p>
    <w:p w14:paraId="1F24C878" w14:textId="77777777" w:rsidR="00783315" w:rsidRPr="00A17249" w:rsidRDefault="00783315">
      <w:pPr>
        <w:jc w:val="both"/>
        <w:rPr>
          <w:sz w:val="22"/>
          <w:szCs w:val="22"/>
        </w:rPr>
      </w:pPr>
    </w:p>
    <w:p w14:paraId="612B5F29" w14:textId="77777777" w:rsidR="00783315" w:rsidRPr="00A17249" w:rsidRDefault="00783315">
      <w:pPr>
        <w:jc w:val="both"/>
        <w:rPr>
          <w:sz w:val="22"/>
          <w:szCs w:val="22"/>
        </w:rPr>
      </w:pPr>
      <w:r w:rsidRPr="00A17249">
        <w:rPr>
          <w:sz w:val="22"/>
          <w:szCs w:val="22"/>
        </w:rPr>
        <w:t>And we will realize it now!</w:t>
      </w:r>
    </w:p>
    <w:p w14:paraId="57EE913E" w14:textId="77777777" w:rsidR="00783315" w:rsidRPr="00A17249" w:rsidRDefault="00783315">
      <w:pPr>
        <w:jc w:val="both"/>
        <w:rPr>
          <w:sz w:val="22"/>
          <w:szCs w:val="22"/>
        </w:rPr>
      </w:pPr>
    </w:p>
    <w:p w14:paraId="7646E032" w14:textId="77777777" w:rsidR="00783315" w:rsidRPr="00A17249" w:rsidRDefault="00783315">
      <w:pPr>
        <w:jc w:val="both"/>
        <w:rPr>
          <w:sz w:val="22"/>
          <w:szCs w:val="22"/>
        </w:rPr>
      </w:pPr>
      <w:r w:rsidRPr="00A17249">
        <w:rPr>
          <w:sz w:val="22"/>
          <w:szCs w:val="22"/>
        </w:rPr>
        <w:t>One of the main points of the paper will be to show that, within Leibniz’s algebra of concepts, there is a difference between being “necessary” and being “necessary to exist”. Leibniz wrongly equates these two notions. As we have shown, the proof fails with the former notion, but goes through with the latter.</w:t>
      </w:r>
    </w:p>
    <w:p w14:paraId="1813D4DA" w14:textId="77777777" w:rsidR="00783315" w:rsidRPr="00A17249" w:rsidRDefault="00783315">
      <w:pPr>
        <w:jc w:val="both"/>
        <w:rPr>
          <w:sz w:val="22"/>
          <w:szCs w:val="22"/>
        </w:rPr>
      </w:pPr>
    </w:p>
    <w:p w14:paraId="4BD97E3F" w14:textId="77777777" w:rsidR="00783315" w:rsidRPr="00A17249" w:rsidRDefault="00783315">
      <w:pPr>
        <w:jc w:val="both"/>
        <w:rPr>
          <w:sz w:val="22"/>
          <w:szCs w:val="22"/>
        </w:rPr>
      </w:pPr>
      <w:r w:rsidRPr="00A17249">
        <w:rPr>
          <w:sz w:val="22"/>
          <w:szCs w:val="22"/>
        </w:rPr>
        <w:t>Discuss structure of the paper</w:t>
      </w:r>
    </w:p>
    <w:p w14:paraId="71CD0290" w14:textId="77777777" w:rsidR="00783315" w:rsidRPr="00A17249" w:rsidRDefault="00783315">
      <w:pPr>
        <w:jc w:val="both"/>
        <w:rPr>
          <w:sz w:val="22"/>
          <w:szCs w:val="22"/>
        </w:rPr>
      </w:pPr>
    </w:p>
    <w:p w14:paraId="60E839AF" w14:textId="77777777" w:rsidR="00783315" w:rsidRPr="00A17249" w:rsidRDefault="00783315">
      <w:pPr>
        <w:jc w:val="both"/>
        <w:rPr>
          <w:sz w:val="22"/>
          <w:szCs w:val="22"/>
        </w:rPr>
      </w:pPr>
    </w:p>
    <w:p w14:paraId="47F9D3A7" w14:textId="77777777" w:rsidR="00783315" w:rsidRPr="00A17249" w:rsidRDefault="00783315">
      <w:pPr>
        <w:jc w:val="both"/>
        <w:rPr>
          <w:sz w:val="22"/>
          <w:szCs w:val="22"/>
        </w:rPr>
      </w:pPr>
      <w:r w:rsidRPr="00A17249">
        <w:rPr>
          <w:b/>
          <w:i/>
          <w:sz w:val="22"/>
          <w:szCs w:val="22"/>
        </w:rPr>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w:t>
      </w:r>
      <w:r w:rsidRPr="00A17249">
        <w:rPr>
          <w:sz w:val="22"/>
          <w:szCs w:val="22"/>
        </w:rPr>
        <w:lastRenderedPageBreak/>
        <w:t xml:space="preserve">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35B9EC54"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AD21FA">
        <w:rPr>
          <w:sz w:val="22"/>
          <w:szCs w:val="22"/>
        </w:rPr>
        <w:t xml:space="preserve">[page 177] </w:t>
      </w:r>
      <w:r w:rsidRPr="00A17249">
        <w:rPr>
          <w:sz w:val="22"/>
          <w:szCs w:val="22"/>
        </w:rPr>
        <w:t xml:space="preserve">and discussed, among other topics, Spinoza’s at that time still unpublished </w:t>
      </w:r>
      <w:proofErr w:type="spellStart"/>
      <w:r w:rsidRPr="00A17249">
        <w:rPr>
          <w:i/>
          <w:sz w:val="22"/>
          <w:szCs w:val="22"/>
        </w:rPr>
        <w:t>Ethica</w:t>
      </w:r>
      <w:proofErr w:type="spellEnd"/>
      <w:r w:rsidR="00AD21FA">
        <w:rPr>
          <w:i/>
          <w:sz w:val="22"/>
          <w:szCs w:val="22"/>
        </w:rPr>
        <w:t xml:space="preserve"> </w:t>
      </w:r>
      <w:sdt>
        <w:sdtPr>
          <w:rPr>
            <w:i/>
            <w:sz w:val="22"/>
            <w:szCs w:val="22"/>
          </w:rPr>
          <w:id w:val="-2108115304"/>
          <w:citation/>
        </w:sdt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“Descartes’s reasoning about the existence of a most perfect being assumed that such a being can be conceived or is possible. If</w:t>
      </w:r>
      <w:bookmarkStart w:id="0" w:name="_GoBack"/>
      <w:bookmarkEnd w:id="0"/>
      <w:r w:rsidR="005305D5" w:rsidRPr="00A17249">
        <w:rPr>
          <w:rFonts w:eastAsia="Symbol" w:cs="Symbol"/>
          <w:sz w:val="22"/>
          <w:szCs w:val="22"/>
        </w:rPr>
        <w:t xml:space="preserve">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716F6413"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w:t>
      </w:r>
      <w:r w:rsidRPr="00A17249">
        <w:rPr>
          <w:sz w:val="22"/>
          <w:szCs w:val="22"/>
        </w:rPr>
        <w:lastRenderedPageBreak/>
        <w:t xml:space="preserve">thinks to provide true demonstrations in metaphysics.” </w:t>
      </w:r>
      <w:sdt>
        <w:sdtPr>
          <w:rPr>
            <w:sz w:val="22"/>
            <w:szCs w:val="22"/>
          </w:rPr>
          <w:id w:val="-1808929752"/>
          <w:citation/>
        </w:sdt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354D2A">
        <w:rPr>
          <w:sz w:val="22"/>
          <w:szCs w:val="22"/>
        </w:rPr>
        <w:t>[page 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5685F01B" w14:textId="77777777" w:rsidR="00783315" w:rsidRPr="00A17249" w:rsidRDefault="00783315">
      <w:pPr>
        <w:jc w:val="both"/>
        <w:rPr>
          <w:sz w:val="22"/>
          <w:szCs w:val="22"/>
        </w:rPr>
      </w:pPr>
      <w:r w:rsidRPr="00A17249">
        <w:rPr>
          <w:b/>
          <w:i/>
          <w:sz w:val="22"/>
          <w:szCs w:val="22"/>
        </w:rPr>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lastRenderedPageBreak/>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0310D57" w14:textId="77777777" w:rsidR="00783315" w:rsidRPr="00A17249" w:rsidRDefault="00783315">
      <w:pPr>
        <w:jc w:val="both"/>
        <w:rPr>
          <w:sz w:val="22"/>
          <w:szCs w:val="22"/>
        </w:rPr>
      </w:pPr>
      <w:r w:rsidRPr="00A17249">
        <w:rPr>
          <w:b/>
          <w:i/>
          <w:sz w:val="22"/>
          <w:szCs w:val="22"/>
        </w:rPr>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w:t>
      </w:r>
      <w:r w:rsidRPr="00A17249">
        <w:rPr>
          <w:sz w:val="22"/>
          <w:szCs w:val="22"/>
        </w:rPr>
        <w:lastRenderedPageBreak/>
        <w:t xml:space="preserve">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3AE05305">
            <wp:extent cx="3750733" cy="4378766"/>
            <wp:effectExtent l="25400" t="25400" r="3429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53273" cy="4381732"/>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1" w:name="_Ref459908224"/>
      <w:r>
        <w:t xml:space="preserve">Figure </w:t>
      </w:r>
      <w:fldSimple w:instr=" SEQ Figure \* ARABIC ">
        <w:r w:rsidR="007C355C">
          <w:rPr>
            <w:noProof/>
          </w:rPr>
          <w:t>1</w:t>
        </w:r>
      </w:fldSimple>
      <w:bookmarkEnd w:id="1"/>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w:t>
      </w:r>
      <w:r w:rsidRPr="00A17249">
        <w:rPr>
          <w:sz w:val="22"/>
          <w:szCs w:val="22"/>
        </w:rPr>
        <w:lastRenderedPageBreak/>
        <w:t>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2" w:name="_Ref459910004"/>
      <w:r>
        <w:t xml:space="preserve">Figure </w:t>
      </w:r>
      <w:fldSimple w:instr=" SEQ Figure \* ARABIC ">
        <w:r>
          <w:rPr>
            <w:noProof/>
          </w:rPr>
          <w:t>2</w:t>
        </w:r>
      </w:fldSimple>
      <w:bookmarkEnd w:id="2"/>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3" w:name="_Ref459910150"/>
      <w:r>
        <w:t xml:space="preserve">Figure </w:t>
      </w:r>
      <w:fldSimple w:instr=" SEQ Figure \* ARABIC ">
        <w:r>
          <w:rPr>
            <w:noProof/>
          </w:rPr>
          <w:t>3</w:t>
        </w:r>
      </w:fldSimple>
      <w:bookmarkEnd w:id="3"/>
      <w:r>
        <w:t>: Useful Lemmas of Leibniz's Algebra of Concepts</w:t>
      </w:r>
    </w:p>
    <w:p w14:paraId="47DFBA04" w14:textId="77777777" w:rsidR="00783315" w:rsidRDefault="00783315">
      <w:pPr>
        <w:jc w:val="both"/>
      </w:pPr>
    </w:p>
    <w:p w14:paraId="6CF00238" w14:textId="77777777" w:rsidR="00783315" w:rsidRDefault="00783315">
      <w:pPr>
        <w:jc w:val="both"/>
      </w:pPr>
    </w:p>
    <w:p w14:paraId="4E920538" w14:textId="77777777" w:rsidR="00783315" w:rsidRPr="00A17249" w:rsidRDefault="00783315">
      <w:pPr>
        <w:jc w:val="both"/>
        <w:rPr>
          <w:sz w:val="22"/>
          <w:szCs w:val="22"/>
        </w:rPr>
      </w:pPr>
      <w:r w:rsidRPr="00A17249">
        <w:rPr>
          <w:b/>
          <w:i/>
          <w:sz w:val="22"/>
          <w:szCs w:val="22"/>
        </w:rPr>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val="en-US" w:eastAsia="en-US"/>
        </w:rPr>
        <w:t xml:space="preserve"> (1678) is the most interesting for a computer-assisted analysis based </w:t>
      </w:r>
      <w:r w:rsidRPr="00A17249">
        <w:rPr>
          <w:sz w:val="22"/>
          <w:szCs w:val="22"/>
          <w:lang w:val="en-US" w:eastAsia="en-US"/>
        </w:rPr>
        <w:lastRenderedPageBreak/>
        <w:t>on Leibniz’s own algebra of concepts. This argument is reproduced</w:t>
      </w:r>
      <w:r w:rsidRPr="00A17249">
        <w:rPr>
          <w:rStyle w:val="Funotenzeichen1"/>
          <w:sz w:val="22"/>
          <w:szCs w:val="22"/>
          <w:lang w:val="en-US" w:eastAsia="en-US"/>
        </w:rPr>
        <w:footnoteReference w:id="8"/>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53633CC5"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w:t>
      </w:r>
      <w:r w:rsidR="00762004">
        <w:rPr>
          <w:i/>
        </w:rPr>
        <w:br/>
      </w:r>
      <w:r>
        <w:rPr>
          <w:i/>
        </w:rPr>
        <w:t xml:space="preserve">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5E717235"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sdt>
        <w:sdtPr>
          <w:rPr>
            <w:sz w:val="22"/>
            <w:szCs w:val="22"/>
          </w:rPr>
          <w:id w:val="-436679166"/>
          <w:citation/>
        </w:sdtPr>
        <w:sdtContent>
          <w:r w:rsidR="0040306E">
            <w:rPr>
              <w:sz w:val="22"/>
              <w:szCs w:val="22"/>
            </w:rPr>
            <w:fldChar w:fldCharType="begin"/>
          </w:r>
          <w:r w:rsidR="0040306E">
            <w:rPr>
              <w:sz w:val="22"/>
              <w:szCs w:val="22"/>
            </w:rPr>
            <w:instrText xml:space="preserve"> CITATION Len16 \l 1033 </w:instrText>
          </w:r>
          <w:r w:rsidR="0040306E">
            <w:rPr>
              <w:sz w:val="22"/>
              <w:szCs w:val="22"/>
            </w:rPr>
            <w:fldChar w:fldCharType="separate"/>
          </w:r>
          <w:r w:rsidR="0040306E" w:rsidRPr="0040306E">
            <w:rPr>
              <w:noProof/>
              <w:sz w:val="22"/>
              <w:szCs w:val="22"/>
            </w:rPr>
            <w:t>(Lenzen,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lastRenderedPageBreak/>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 xml:space="preserve">ows that, if we </w:t>
      </w:r>
      <w:proofErr w:type="spellStart"/>
      <w:r w:rsidRPr="00A17249">
        <w:rPr>
          <w:sz w:val="22"/>
          <w:szCs w:val="22"/>
        </w:rPr>
        <w:t>axiomatize</w:t>
      </w:r>
      <w:proofErr w:type="spellEnd"/>
      <w:r w:rsidR="007D2858">
        <w:rPr>
          <w:rStyle w:val="FootnoteReference"/>
          <w:sz w:val="22"/>
          <w:szCs w:val="22"/>
        </w:rPr>
        <w:footnoteReference w:id="15"/>
      </w:r>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4" w:name="_Ref459910223"/>
      <w:r>
        <w:t xml:space="preserve">Figure </w:t>
      </w:r>
      <w:fldSimple w:instr=" SEQ Figure \* ARABIC ">
        <w:r>
          <w:rPr>
            <w:noProof/>
          </w:rPr>
          <w:t>4</w:t>
        </w:r>
      </w:fldSimple>
      <w:bookmarkEnd w:id="4"/>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5" w:name="_Ref459910260"/>
      <w:r>
        <w:t xml:space="preserve">Figure </w:t>
      </w:r>
      <w:fldSimple w:instr=" SEQ Figure \* ARABIC ">
        <w:r>
          <w:rPr>
            <w:noProof/>
          </w:rPr>
          <w:t>5</w:t>
        </w:r>
      </w:fldSimple>
      <w:bookmarkEnd w:id="5"/>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0B61A0B4" w14:textId="77777777" w:rsidR="00783315" w:rsidRDefault="00783315">
      <w:pPr>
        <w:jc w:val="both"/>
        <w:rPr>
          <w:rFonts w:eastAsia="Symbol" w:cs="Symbol"/>
        </w:rPr>
      </w:pPr>
    </w:p>
    <w:p w14:paraId="3B5EDB07" w14:textId="7777777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However, our investigations show that,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12D239A9" w:rsidR="00783315" w:rsidRPr="00A17249" w:rsidRDefault="00783315">
      <w:pPr>
        <w:jc w:val="both"/>
        <w:rPr>
          <w:sz w:val="22"/>
          <w:szCs w:val="22"/>
        </w:rPr>
      </w:pPr>
      <w:r w:rsidRPr="00A17249">
        <w:rPr>
          <w:rFonts w:eastAsia="Symbol" w:cs="Symbol"/>
          <w:sz w:val="22"/>
          <w:szCs w:val="22"/>
        </w:rPr>
        <w:t xml:space="preserve">Furthermore, in the case of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the proviso of possibility (in step 10) is not needed,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xml:space="preserve">, Leibniz’s criticism that the ontological arguments of Descartes and Anselm are incomplete because they do not establish the possibility of the concept of God </w:t>
      </w:r>
      <w:r w:rsidRPr="00A17249">
        <w:rPr>
          <w:rFonts w:eastAsia="Symbol" w:cs="Symbol"/>
          <w:sz w:val="22"/>
          <w:szCs w:val="22"/>
        </w:rPr>
        <w:lastRenderedPageBreak/>
        <w:t>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(“necessary”). In his later algebra of concepts, “necessary” is clearly the dual of “possible”. In his ontological argument, however, he says that “necessary is what cannot not exist”. That is why occurrences of “it is necessary” in the 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proofErr w:type="spellStart"/>
      <w:r w:rsidRPr="00AF2135">
        <w:rPr>
          <w:rFonts w:eastAsia="Symbol" w:cs="Symbol"/>
          <w:i/>
          <w:sz w:val="22"/>
          <w:szCs w:val="22"/>
        </w:rPr>
        <w:t>Ens</w:t>
      </w:r>
      <w:proofErr w:type="spellEnd"/>
      <w:r w:rsidRPr="00AF2135">
        <w:rPr>
          <w:rFonts w:eastAsia="Symbol" w:cs="Symbol"/>
          <w:i/>
          <w:sz w:val="22"/>
          <w:szCs w:val="22"/>
        </w:rPr>
        <w:t xml:space="preserve"> ex </w:t>
      </w:r>
      <w:proofErr w:type="spellStart"/>
      <w:r w:rsidRPr="00AF2135">
        <w:rPr>
          <w:rFonts w:eastAsia="Symbol" w:cs="Symbol"/>
          <w:i/>
          <w:sz w:val="22"/>
          <w:szCs w:val="22"/>
        </w:rPr>
        <w:t>cujus</w:t>
      </w:r>
      <w:proofErr w:type="spellEnd"/>
      <w:r w:rsidRPr="00AF2135">
        <w:rPr>
          <w:rFonts w:eastAsia="Symbol" w:cs="Symbol"/>
          <w:i/>
          <w:sz w:val="22"/>
          <w:szCs w:val="22"/>
        </w:rPr>
        <w:t xml:space="preserve"> </w:t>
      </w:r>
      <w:proofErr w:type="spellStart"/>
      <w:r w:rsidRPr="00AF2135">
        <w:rPr>
          <w:rFonts w:eastAsia="Symbol" w:cs="Symbol"/>
          <w:i/>
          <w:sz w:val="22"/>
          <w:szCs w:val="22"/>
        </w:rPr>
        <w:t>essentia</w:t>
      </w:r>
      <w:proofErr w:type="spellEnd"/>
      <w:r w:rsidRPr="00AF2135">
        <w:rPr>
          <w:rFonts w:eastAsia="Symbol" w:cs="Symbol"/>
          <w:i/>
          <w:sz w:val="22"/>
          <w:szCs w:val="22"/>
        </w:rPr>
        <w:t xml:space="preserve"> sequitur </w:t>
      </w:r>
      <w:proofErr w:type="spellStart"/>
      <w:r w:rsidRPr="00AF2135">
        <w:rPr>
          <w:rFonts w:eastAsia="Symbol" w:cs="Symbol"/>
          <w:i/>
          <w:sz w:val="22"/>
          <w:szCs w:val="22"/>
        </w:rPr>
        <w:t>existentia</w:t>
      </w:r>
      <w:proofErr w:type="spellEnd"/>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5E9E36F3">
            <wp:extent cx="3724893" cy="3126105"/>
            <wp:effectExtent l="25400" t="25400" r="349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48023" cy="3145517"/>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77777777" w:rsidR="00783315" w:rsidRPr="00A17249" w:rsidRDefault="00783315">
      <w:pPr>
        <w:jc w:val="both"/>
        <w:rPr>
          <w:sz w:val="22"/>
          <w:szCs w:val="22"/>
        </w:rPr>
      </w:pPr>
      <w:r w:rsidRPr="00A17249">
        <w:rPr>
          <w:rFonts w:eastAsia="Symbol" w:cs="Symbol"/>
          <w:b/>
          <w:i/>
          <w:sz w:val="22"/>
          <w:szCs w:val="22"/>
        </w:rPr>
        <w:t xml:space="preserve">Modal Logics: From Leibniz to </w:t>
      </w:r>
      <w:proofErr w:type="spellStart"/>
      <w:r w:rsidRPr="00A17249">
        <w:rPr>
          <w:rFonts w:eastAsia="Symbol" w:cs="Symbol"/>
          <w:b/>
          <w:i/>
          <w:sz w:val="22"/>
          <w:szCs w:val="22"/>
        </w:rPr>
        <w:t>Lenzen</w:t>
      </w:r>
      <w:proofErr w:type="spellEnd"/>
      <w:r w:rsidRPr="00A17249">
        <w:rPr>
          <w:rFonts w:eastAsia="Symbol" w:cs="Symbol"/>
          <w:b/>
          <w:i/>
          <w:sz w:val="22"/>
          <w:szCs w:val="22"/>
        </w:rPr>
        <w:t xml:space="preserve"> and Gödel</w:t>
      </w:r>
    </w:p>
    <w:p w14:paraId="73FE2A73" w14:textId="77777777" w:rsidR="00783315" w:rsidRPr="00A17249" w:rsidRDefault="00783315">
      <w:pPr>
        <w:jc w:val="both"/>
        <w:rPr>
          <w:rFonts w:eastAsia="Symbol" w:cs="Symbol"/>
          <w:b/>
          <w:i/>
          <w:sz w:val="22"/>
          <w:szCs w:val="22"/>
        </w:rPr>
      </w:pPr>
    </w:p>
    <w:p w14:paraId="78AF6134" w14:textId="77777777" w:rsidR="00783315" w:rsidRPr="00A17249" w:rsidRDefault="00783315">
      <w:pPr>
        <w:jc w:val="both"/>
        <w:rPr>
          <w:sz w:val="22"/>
          <w:szCs w:val="22"/>
        </w:rPr>
      </w:pPr>
      <w:r w:rsidRPr="00A17249">
        <w:rPr>
          <w:rFonts w:eastAsia="Symbol" w:cs="Symbol"/>
          <w:sz w:val="22"/>
          <w:szCs w:val="22"/>
        </w:rPr>
        <w:lastRenderedPageBreak/>
        <w:t xml:space="preserve">TODO: argue why </w:t>
      </w:r>
      <w:proofErr w:type="spellStart"/>
      <w:r w:rsidRPr="00A17249">
        <w:rPr>
          <w:rFonts w:eastAsia="Symbol" w:cs="Symbol"/>
          <w:sz w:val="22"/>
          <w:szCs w:val="22"/>
        </w:rPr>
        <w:t>kripke</w:t>
      </w:r>
      <w:proofErr w:type="spellEnd"/>
      <w:r w:rsidRPr="00A17249">
        <w:rPr>
          <w:rFonts w:eastAsia="Symbol" w:cs="Symbol"/>
          <w:sz w:val="22"/>
          <w:szCs w:val="22"/>
        </w:rPr>
        <w:t>-style modal logics would not be adequate for this ontological argument.</w:t>
      </w:r>
    </w:p>
    <w:p w14:paraId="7B310997" w14:textId="77777777" w:rsidR="00783315" w:rsidRDefault="00783315">
      <w:pPr>
        <w:jc w:val="both"/>
        <w:rPr>
          <w:rFonts w:eastAsia="Symbol" w:cs="Symbol"/>
        </w:rPr>
      </w:pPr>
    </w:p>
    <w:p w14:paraId="2349CFE2" w14:textId="77777777" w:rsidR="00783315" w:rsidRDefault="00783315">
      <w:pPr>
        <w:jc w:val="both"/>
        <w:rPr>
          <w:rFonts w:eastAsia="Symbol" w:cs="Symbol"/>
        </w:rPr>
      </w:pPr>
    </w:p>
    <w:p w14:paraId="61B8C57A"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There is no need of many worlds to increase the multitude of things, for there is no number which is not contained in this one world and, indeed, even in any one of its parts.”</w:t>
      </w:r>
    </w:p>
    <w:p w14:paraId="087CB1E4" w14:textId="77777777" w:rsidR="00783315" w:rsidRPr="00A17249" w:rsidRDefault="00783315">
      <w:pPr>
        <w:jc w:val="both"/>
        <w:rPr>
          <w:rFonts w:eastAsia="Symbol" w:cs="Symbol"/>
          <w:sz w:val="22"/>
          <w:szCs w:val="22"/>
        </w:rPr>
      </w:pPr>
    </w:p>
    <w:p w14:paraId="32C11FC4"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To introduce another kind of existing things, and another world, so to speak, which is also infinite, is to abuse the word ‘existence’, for we cannot say whether or not these things exist now”</w:t>
      </w:r>
    </w:p>
    <w:p w14:paraId="35EC74ED" w14:textId="77777777" w:rsidR="00783315" w:rsidRPr="00A17249" w:rsidRDefault="00783315">
      <w:pPr>
        <w:jc w:val="both"/>
        <w:rPr>
          <w:sz w:val="22"/>
          <w:szCs w:val="22"/>
        </w:rPr>
      </w:pPr>
      <w:r w:rsidRPr="00A17249">
        <w:rPr>
          <w:sz w:val="22"/>
          <w:szCs w:val="22"/>
        </w:rPr>
        <w:t xml:space="preserve"> </w:t>
      </w:r>
      <w:r w:rsidRPr="00A17249">
        <w:rPr>
          <w:rFonts w:eastAsia="Symbol" w:cs="Symbol"/>
          <w:sz w:val="22"/>
          <w:szCs w:val="22"/>
        </w:rPr>
        <w:t>(Two Notations for Discussion with Spinoza, December 1676, page 261)</w:t>
      </w:r>
    </w:p>
    <w:p w14:paraId="4B4E6FF4" w14:textId="77777777" w:rsidR="00783315" w:rsidRPr="00A17249" w:rsidRDefault="00783315">
      <w:pPr>
        <w:jc w:val="both"/>
        <w:rPr>
          <w:rFonts w:eastAsia="Symbol" w:cs="Symbol"/>
          <w:sz w:val="22"/>
          <w:szCs w:val="22"/>
        </w:rPr>
      </w:pPr>
    </w:p>
    <w:p w14:paraId="1B29C4E6"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 xml:space="preserve">If all </w:t>
      </w:r>
      <w:proofErr w:type="spellStart"/>
      <w:r w:rsidRPr="00A17249">
        <w:rPr>
          <w:rFonts w:eastAsia="Symbol" w:cs="Symbol"/>
          <w:sz w:val="22"/>
          <w:szCs w:val="22"/>
        </w:rPr>
        <w:t>possibles</w:t>
      </w:r>
      <w:proofErr w:type="spellEnd"/>
      <w:r w:rsidRPr="00A17249">
        <w:rPr>
          <w:rFonts w:eastAsia="Symbol" w:cs="Symbol"/>
          <w:sz w:val="22"/>
          <w:szCs w:val="22"/>
        </w:rPr>
        <w:t xml:space="preserve"> existed, no reason for existence would be needed, and possibility alone would suffice.” (Two Notations for Discussion with Spinoza, December 1676, page 262)</w:t>
      </w:r>
    </w:p>
    <w:p w14:paraId="2C737C8E" w14:textId="77777777" w:rsidR="00783315" w:rsidRPr="00A17249" w:rsidRDefault="00783315">
      <w:pPr>
        <w:tabs>
          <w:tab w:val="center" w:pos="5940"/>
        </w:tabs>
        <w:jc w:val="both"/>
        <w:rPr>
          <w:rFonts w:eastAsia="Symbol" w:cs="Symbol"/>
          <w:sz w:val="22"/>
          <w:szCs w:val="22"/>
        </w:rPr>
      </w:pPr>
    </w:p>
    <w:p w14:paraId="657E149F" w14:textId="77777777" w:rsidR="00783315" w:rsidRPr="00A17249" w:rsidRDefault="00783315">
      <w:pPr>
        <w:tabs>
          <w:tab w:val="center" w:pos="5940"/>
        </w:tabs>
        <w:jc w:val="both"/>
        <w:rPr>
          <w:sz w:val="22"/>
          <w:szCs w:val="22"/>
        </w:rPr>
      </w:pPr>
      <w:r w:rsidRPr="00A17249">
        <w:rPr>
          <w:rFonts w:eastAsia="Symbol" w:cs="Symbol"/>
          <w:sz w:val="22"/>
          <w:szCs w:val="22"/>
        </w:rPr>
        <w:t>TODO: discuss differences to Gödel’s proof.</w:t>
      </w:r>
    </w:p>
    <w:p w14:paraId="30EA0B14" w14:textId="77777777" w:rsidR="00783315" w:rsidRPr="00A17249" w:rsidRDefault="00783315">
      <w:pPr>
        <w:tabs>
          <w:tab w:val="center" w:pos="5940"/>
        </w:tabs>
        <w:jc w:val="both"/>
        <w:rPr>
          <w:rFonts w:eastAsia="Symbol" w:cs="Symbol"/>
          <w:sz w:val="22"/>
          <w:szCs w:val="22"/>
        </w:rPr>
      </w:pPr>
    </w:p>
    <w:p w14:paraId="1DB7C6A6" w14:textId="77777777" w:rsidR="00783315" w:rsidRPr="00A17249" w:rsidRDefault="00783315">
      <w:pPr>
        <w:tabs>
          <w:tab w:val="center" w:pos="5940"/>
        </w:tabs>
        <w:jc w:val="both"/>
        <w:rPr>
          <w:sz w:val="22"/>
          <w:szCs w:val="22"/>
        </w:rPr>
      </w:pPr>
      <w:r w:rsidRPr="00A17249">
        <w:rPr>
          <w:rFonts w:eastAsia="Symbol" w:cs="Symbol"/>
          <w:sz w:val="22"/>
          <w:szCs w:val="22"/>
        </w:rPr>
        <w:t>TODO: Relate to our previous work and cite it.</w:t>
      </w:r>
    </w:p>
    <w:p w14:paraId="2E4C939D" w14:textId="77777777" w:rsidR="00783315" w:rsidRPr="00A17249" w:rsidRDefault="00783315">
      <w:pPr>
        <w:jc w:val="both"/>
        <w:rPr>
          <w:rFonts w:eastAsia="Symbol" w:cs="Symbol"/>
          <w:sz w:val="22"/>
          <w:szCs w:val="22"/>
        </w:rPr>
      </w:pPr>
    </w:p>
    <w:p w14:paraId="4AC7C88C" w14:textId="77777777" w:rsidR="00783315" w:rsidRPr="00A17249" w:rsidRDefault="00783315">
      <w:pPr>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3686EEB6" w14:textId="77777777" w:rsidR="00783315" w:rsidRPr="00A17249" w:rsidRDefault="00783315">
      <w:pPr>
        <w:jc w:val="both"/>
        <w:rPr>
          <w:sz w:val="22"/>
          <w:szCs w:val="22"/>
        </w:rPr>
      </w:pPr>
      <w:r w:rsidRPr="00A17249">
        <w:rPr>
          <w:rFonts w:eastAsia="Symbol" w:cs="Symbol"/>
          <w:sz w:val="22"/>
          <w:szCs w:val="22"/>
        </w:rPr>
        <w:t xml:space="preserve">TODO: </w:t>
      </w: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t xml:space="preserve">wrong statement by Leibniz: “It is indeed an excellent privilege of the divine nature that it needs only its possibility or essence in order to actually exist, and this is precisely what we mean by an </w:t>
      </w:r>
      <w:proofErr w:type="spellStart"/>
      <w:r w:rsidRPr="00A17249">
        <w:rPr>
          <w:rFonts w:eastAsia="Symbol" w:cs="Symbol"/>
          <w:i/>
          <w:sz w:val="22"/>
          <w:szCs w:val="22"/>
        </w:rPr>
        <w:t>ens</w:t>
      </w:r>
      <w:proofErr w:type="spellEnd"/>
      <w:r w:rsidRPr="00A17249">
        <w:rPr>
          <w:rFonts w:eastAsia="Symbol" w:cs="Symbol"/>
          <w:i/>
          <w:sz w:val="22"/>
          <w:szCs w:val="22"/>
        </w:rPr>
        <w:t xml:space="preserve">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0F3A30AA" w14:textId="020C40E5" w:rsidR="00783315" w:rsidRPr="00A17249" w:rsidRDefault="00490C5B" w:rsidP="00A17249">
      <w:pPr>
        <w:jc w:val="both"/>
        <w:rPr>
          <w:sz w:val="22"/>
          <w:szCs w:val="22"/>
        </w:rPr>
      </w:pPr>
      <w:r w:rsidRPr="00A17249">
        <w:rPr>
          <w:rFonts w:eastAsia="Symbol" w:cs="Symbol"/>
          <w:sz w:val="22"/>
          <w:szCs w:val="22"/>
        </w:rPr>
        <w:t>By modern standards, Leibniz’s argument is written in an unnecessarily convoluted way. For instance, step 5 of his argument is just an instance of the law of excluded middle, and a detour through a case distinction on this instance just makes the argument unnecessarily longer. Figure TODO shows a direct formal proof of the theorem, without detours:</w:t>
      </w: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32B36F" w14:textId="77777777" w:rsidR="00BD444A" w:rsidRDefault="00BD444A">
      <w:r>
        <w:separator/>
      </w:r>
    </w:p>
  </w:endnote>
  <w:endnote w:type="continuationSeparator" w:id="0">
    <w:p w14:paraId="3A498966" w14:textId="77777777" w:rsidR="00BD444A" w:rsidRDefault="00BD4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E6380" w14:textId="77777777" w:rsidR="00BD444A" w:rsidRDefault="00BD444A">
      <w:r>
        <w:separator/>
      </w:r>
    </w:p>
  </w:footnote>
  <w:footnote w:type="continuationSeparator" w:id="0">
    <w:p w14:paraId="5D4AF982" w14:textId="77777777" w:rsidR="00BD444A" w:rsidRDefault="00BD444A">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0D80345E" w14:textId="064002B2" w:rsidR="009531AD" w:rsidRPr="009531AD" w:rsidRDefault="009531AD">
      <w:pPr>
        <w:pStyle w:val="FootnoteText"/>
        <w:rPr>
          <w:sz w:val="20"/>
          <w:szCs w:val="20"/>
        </w:rPr>
      </w:pPr>
      <w:r>
        <w:rPr>
          <w:rStyle w:val="FootnoteReference"/>
        </w:rPr>
        <w:footnoteRef/>
      </w:r>
      <w:r>
        <w:t xml:space="preserve"> </w:t>
      </w:r>
      <w:r>
        <w:rPr>
          <w:sz w:val="20"/>
          <w:szCs w:val="20"/>
        </w:rPr>
        <w:t>Leibniz</w:t>
      </w:r>
      <w:r w:rsidR="00354D2A">
        <w:rPr>
          <w:sz w:val="20"/>
          <w:szCs w:val="20"/>
        </w:rPr>
        <w:t>’s works</w:t>
      </w:r>
      <w:r>
        <w:rPr>
          <w:sz w:val="20"/>
          <w:szCs w:val="20"/>
        </w:rPr>
        <w:t xml:space="preserve"> cited here can be found in </w:t>
      </w:r>
      <w:r w:rsidRPr="009531AD">
        <w:rPr>
          <w:noProof/>
          <w:sz w:val="20"/>
          <w:szCs w:val="20"/>
        </w:rPr>
        <w:t>(Leibniz, 1956)</w:t>
      </w:r>
      <w:r w:rsidR="00533CB2">
        <w:rPr>
          <w:noProof/>
          <w:sz w:val="20"/>
          <w:szCs w:val="20"/>
        </w:rPr>
        <w:t xml:space="preserve">, </w:t>
      </w:r>
      <w:r w:rsidR="00EE23D7" w:rsidRPr="00EE23D7">
        <w:rPr>
          <w:noProof/>
          <w:sz w:val="20"/>
          <w:szCs w:val="20"/>
        </w:rPr>
        <w:t>(Leibniz, Sämtliche Schriften und Briefe, 1999)</w:t>
      </w:r>
      <w:r w:rsidR="00AD21FA">
        <w:rPr>
          <w:noProof/>
          <w:sz w:val="20"/>
          <w:szCs w:val="20"/>
        </w:rPr>
        <w:t xml:space="preserve"> or</w:t>
      </w:r>
      <w:r w:rsidR="00EE23D7">
        <w:rPr>
          <w:noProof/>
          <w:sz w:val="20"/>
          <w:szCs w:val="20"/>
        </w:rPr>
        <w:t xml:space="preserve"> </w:t>
      </w:r>
      <w:r w:rsidR="00EE23D7" w:rsidRPr="00EE23D7">
        <w:rPr>
          <w:noProof/>
          <w:sz w:val="20"/>
          <w:szCs w:val="20"/>
        </w:rPr>
        <w:t>(Leibniz, Sämtliche Schriften und Briefe, 2006)</w:t>
      </w:r>
      <w:r w:rsidR="00AD21FA">
        <w:rPr>
          <w:noProof/>
          <w:sz w:val="20"/>
          <w:szCs w:val="20"/>
        </w:rPr>
        <w:t>.</w:t>
      </w:r>
    </w:p>
  </w:footnote>
  <w:footnote w:id="3">
    <w:p w14:paraId="1855014C" w14:textId="595A6F28" w:rsidR="00225FCF" w:rsidRDefault="00225FCF" w:rsidP="00513006">
      <w:pPr>
        <w:pStyle w:val="FootnoteText"/>
        <w:jc w:val="both"/>
      </w:pPr>
      <w:r>
        <w:rPr>
          <w:rStyle w:val="Funotenzeichen1"/>
        </w:rPr>
        <w:footnoteRef/>
      </w:r>
      <w:r w:rsidR="00513006">
        <w:t xml:space="preserve"> </w:t>
      </w:r>
      <w:r>
        <w:rPr>
          <w:sz w:val="20"/>
          <w:szCs w:val="20"/>
        </w:rPr>
        <w:t xml:space="preserve">Our exposition of Leibniz formalism is based on (and agrees with) </w:t>
      </w:r>
      <w:proofErr w:type="spellStart"/>
      <w:r>
        <w:rPr>
          <w:sz w:val="20"/>
          <w:szCs w:val="20"/>
        </w:rPr>
        <w:t>Lenzen’s</w:t>
      </w:r>
      <w:proofErr w:type="spellEnd"/>
      <w:r>
        <w:rPr>
          <w:sz w:val="20"/>
          <w:szCs w:val="20"/>
        </w:rPr>
        <w:t xml:space="preserve"> book </w:t>
      </w:r>
      <w:r>
        <w:rPr>
          <w:i/>
          <w:sz w:val="20"/>
          <w:szCs w:val="20"/>
        </w:rPr>
        <w:t xml:space="preserve">Das System der </w:t>
      </w:r>
      <w:proofErr w:type="spellStart"/>
      <w:r>
        <w:rPr>
          <w:i/>
          <w:sz w:val="20"/>
          <w:szCs w:val="20"/>
        </w:rPr>
        <w:t>Leibniz’schen</w:t>
      </w:r>
      <w:proofErr w:type="spellEnd"/>
      <w:r>
        <w:rPr>
          <w:i/>
          <w:sz w:val="20"/>
          <w:szCs w:val="20"/>
        </w:rPr>
        <w:t xml:space="preserve"> </w:t>
      </w:r>
      <w:proofErr w:type="spellStart"/>
      <w:r>
        <w:rPr>
          <w:i/>
          <w:sz w:val="20"/>
          <w:szCs w:val="20"/>
        </w:rPr>
        <w:t>Logik</w:t>
      </w:r>
      <w:proofErr w:type="spellEnd"/>
      <w:r>
        <w:rPr>
          <w:sz w:val="20"/>
          <w:szCs w:val="20"/>
        </w:rPr>
        <w:t xml:space="preserve"> (1990), unless explicitly stated otherwise.</w:t>
      </w:r>
    </w:p>
  </w:footnote>
  <w:footnote w:id="4">
    <w:p w14:paraId="101F8193" w14:textId="7A032CAA" w:rsidR="00225FCF" w:rsidRDefault="00225FCF" w:rsidP="00513006">
      <w:pPr>
        <w:pStyle w:val="FootnoteText"/>
        <w:jc w:val="both"/>
      </w:pPr>
      <w:r>
        <w:rPr>
          <w:rStyle w:val="Funotenzeichen1"/>
        </w:rPr>
        <w:footnoteRef/>
      </w:r>
      <w:r w:rsidR="00513006">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225FCF" w:rsidRDefault="00225FCF" w:rsidP="00513006">
      <w:pPr>
        <w:pStyle w:val="FootnoteText"/>
        <w:jc w:val="both"/>
      </w:pPr>
      <w:r>
        <w:rPr>
          <w:rStyle w:val="Funotenzeichen1"/>
        </w:rPr>
        <w:footnoteRef/>
      </w:r>
      <w:r w:rsidR="00513006">
        <w:t xml:space="preserve"> </w:t>
      </w:r>
      <w:r>
        <w:rPr>
          <w:sz w:val="20"/>
          <w:szCs w:val="20"/>
        </w:rPr>
        <w:t>It is important to distinguish conjunction/negation of concepts from conjunction/negation of propositions.</w:t>
      </w:r>
    </w:p>
  </w:footnote>
  <w:footnote w:id="6">
    <w:p w14:paraId="4B276477" w14:textId="69C2F5E0" w:rsidR="00225FCF" w:rsidRDefault="00225FCF" w:rsidP="00513006">
      <w:pPr>
        <w:pStyle w:val="FootnoteText"/>
        <w:jc w:val="both"/>
      </w:pPr>
      <w:r>
        <w:rPr>
          <w:rStyle w:val="Funotenzeichen1"/>
        </w:rPr>
        <w:footnoteRef/>
      </w:r>
      <w:r w:rsidR="00513006">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7">
    <w:p w14:paraId="41461487" w14:textId="23F7FDF2" w:rsidR="00225FCF" w:rsidRDefault="00225FCF" w:rsidP="00513006">
      <w:pPr>
        <w:pStyle w:val="FootnoteText"/>
        <w:jc w:val="both"/>
      </w:pPr>
      <w:r>
        <w:rPr>
          <w:rStyle w:val="Funotenzeichen1"/>
        </w:rPr>
        <w:footnoteRef/>
      </w:r>
      <w:r w:rsidR="00513006">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225FCF" w:rsidRDefault="00225FCF" w:rsidP="00513006">
      <w:pPr>
        <w:pStyle w:val="FootnoteText"/>
        <w:jc w:val="both"/>
      </w:pPr>
      <w:r>
        <w:rPr>
          <w:rStyle w:val="Funotenzeichen1"/>
        </w:rPr>
        <w:footnoteRef/>
      </w:r>
      <w:r w:rsidR="00C912E8">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r w:rsidR="004F7D3A" w:rsidRPr="004F7D3A">
        <w:rPr>
          <w:noProof/>
          <w:sz w:val="20"/>
          <w:szCs w:val="20"/>
        </w:rPr>
        <w:t>(Lenzen, 2016)</w:t>
      </w:r>
      <w:r>
        <w:rPr>
          <w:sz w:val="20"/>
          <w:szCs w:val="20"/>
        </w:rPr>
        <w:t>.</w:t>
      </w:r>
    </w:p>
  </w:footnote>
  <w:footnote w:id="9">
    <w:p w14:paraId="4895A088" w14:textId="784C84E1" w:rsidR="00225FCF" w:rsidRDefault="00225FCF" w:rsidP="00513006">
      <w:pPr>
        <w:pStyle w:val="FootnoteText"/>
        <w:jc w:val="both"/>
      </w:pPr>
      <w:r>
        <w:rPr>
          <w:rStyle w:val="Funotenzeichen1"/>
        </w:rPr>
        <w:footnoteRef/>
      </w:r>
      <w:r w:rsidR="00513006">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225FCF" w:rsidRDefault="00225FCF" w:rsidP="00513006">
      <w:pPr>
        <w:pStyle w:val="FootnoteText"/>
        <w:jc w:val="both"/>
      </w:pPr>
      <w:r>
        <w:rPr>
          <w:rStyle w:val="Funotenzeichen1"/>
        </w:rPr>
        <w:footnoteRef/>
      </w:r>
      <w:r w:rsidR="00513006">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225FCF" w:rsidRDefault="00225FCF"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225FCF" w:rsidRDefault="00225FCF" w:rsidP="00513006">
      <w:pPr>
        <w:pStyle w:val="FootnoteText"/>
        <w:jc w:val="both"/>
      </w:pPr>
      <w:r>
        <w:rPr>
          <w:rStyle w:val="Funotenzeichen1"/>
        </w:rPr>
        <w:footnoteRef/>
      </w:r>
      <w:r>
        <w:t xml:space="preserve"> </w:t>
      </w:r>
      <w:r>
        <w:rPr>
          <w:sz w:val="20"/>
          <w:szCs w:val="20"/>
        </w:rPr>
        <w:t xml:space="preserve">In contrast to modern English, ellipsis of pronouns </w:t>
      </w:r>
      <w:proofErr w:type="gramStart"/>
      <w:r>
        <w:rPr>
          <w:sz w:val="20"/>
          <w:szCs w:val="20"/>
        </w:rPr>
        <w:t>are</w:t>
      </w:r>
      <w:proofErr w:type="gramEnd"/>
      <w:r>
        <w:rPr>
          <w:sz w:val="20"/>
          <w:szCs w:val="20"/>
        </w:rPr>
        <w:t xml:space="preserve"> common in Latin. We underline referring pronouns that have been inserted in the translation but omitted through ellipsis in the original.</w:t>
      </w:r>
    </w:p>
  </w:footnote>
  <w:footnote w:id="13">
    <w:p w14:paraId="6464D8FD" w14:textId="73A6889E" w:rsidR="00225FCF" w:rsidRDefault="00225FCF" w:rsidP="00513006">
      <w:pPr>
        <w:pStyle w:val="FootnoteText"/>
        <w:jc w:val="both"/>
      </w:pPr>
      <w:r>
        <w:rPr>
          <w:rStyle w:val="Funotenzeichen1"/>
        </w:rPr>
        <w:footnoteRef/>
      </w:r>
      <w:r>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225FCF" w:rsidRDefault="00225FCF" w:rsidP="00FC1824">
      <w:pPr>
        <w:pStyle w:val="FootnoteText"/>
        <w:jc w:val="both"/>
      </w:pPr>
      <w:r>
        <w:rPr>
          <w:rStyle w:val="Funotenzeichen1"/>
        </w:rPr>
        <w:footnoteRef/>
      </w:r>
      <w:r>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 w:id="15">
    <w:p w14:paraId="3DC67BDE" w14:textId="61CED3C3" w:rsidR="007D2858" w:rsidRPr="00FC1824" w:rsidRDefault="007D2858" w:rsidP="00FC1824">
      <w:pPr>
        <w:pStyle w:val="FootnoteText"/>
        <w:jc w:val="both"/>
        <w:rPr>
          <w:sz w:val="20"/>
          <w:szCs w:val="20"/>
        </w:rPr>
      </w:pPr>
      <w:r>
        <w:rPr>
          <w:rStyle w:val="FootnoteReference"/>
        </w:rPr>
        <w:footnoteRef/>
      </w:r>
      <w:r>
        <w:t xml:space="preserve"> </w:t>
      </w:r>
      <w:r w:rsidR="00FC1824">
        <w:rPr>
          <w:sz w:val="20"/>
          <w:szCs w:val="20"/>
        </w:rPr>
        <w:t xml:space="preserve">Our axiomatization also states that the concept G is different from E and ~E. These extra axioms are not used in the proof shown in </w:t>
      </w:r>
      <w:r w:rsidR="00FC1824">
        <w:rPr>
          <w:sz w:val="20"/>
          <w:szCs w:val="20"/>
        </w:rPr>
        <w:fldChar w:fldCharType="begin"/>
      </w:r>
      <w:r w:rsidR="00FC1824">
        <w:rPr>
          <w:sz w:val="20"/>
          <w:szCs w:val="20"/>
        </w:rPr>
        <w:instrText xml:space="preserve"> REF _Ref459910260 \h </w:instrText>
      </w:r>
      <w:r w:rsidR="00FC1824">
        <w:rPr>
          <w:sz w:val="20"/>
          <w:szCs w:val="20"/>
        </w:rPr>
      </w:r>
      <w:r w:rsidR="00FC1824">
        <w:rPr>
          <w:sz w:val="20"/>
          <w:szCs w:val="20"/>
        </w:rPr>
        <w:instrText xml:space="preserve"> \* MERGEFORMAT </w:instrText>
      </w:r>
      <w:r w:rsidR="00FC1824">
        <w:rPr>
          <w:sz w:val="20"/>
          <w:szCs w:val="20"/>
        </w:rPr>
        <w:fldChar w:fldCharType="separate"/>
      </w:r>
      <w:r w:rsidR="00FC1824">
        <w:t>F</w:t>
      </w:r>
      <w:r w:rsidR="00FC1824" w:rsidRPr="00FC1824">
        <w:rPr>
          <w:sz w:val="20"/>
          <w:szCs w:val="20"/>
        </w:rPr>
        <w:t xml:space="preserve">igure </w:t>
      </w:r>
      <w:r w:rsidR="00FC1824" w:rsidRPr="00FC1824">
        <w:rPr>
          <w:noProof/>
          <w:sz w:val="20"/>
          <w:szCs w:val="20"/>
        </w:rPr>
        <w:t>5</w:t>
      </w:r>
      <w:r w:rsidR="00FC1824">
        <w:rPr>
          <w:sz w:val="20"/>
          <w:szCs w:val="20"/>
        </w:rPr>
        <w:fldChar w:fldCharType="end"/>
      </w:r>
      <w:r w:rsidR="000830D7">
        <w:rPr>
          <w:sz w:val="20"/>
          <w:szCs w:val="20"/>
        </w:rPr>
        <w:t>. They were</w:t>
      </w:r>
      <w:r w:rsidR="00FC1824">
        <w:rPr>
          <w:sz w:val="20"/>
          <w:szCs w:val="20"/>
        </w:rPr>
        <w:t xml:space="preserve"> added </w:t>
      </w:r>
      <w:r w:rsidR="000830D7">
        <w:rPr>
          <w:sz w:val="20"/>
          <w:szCs w:val="20"/>
        </w:rPr>
        <w:t xml:space="preserve">just </w:t>
      </w:r>
      <w:r w:rsidR="00FC1824">
        <w:rPr>
          <w:sz w:val="20"/>
          <w:szCs w:val="20"/>
        </w:rPr>
        <w:t>to prevent Nitpick from generating unnatural counter-models that identified these concepts.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30D7"/>
    <w:rsid w:val="00225FCF"/>
    <w:rsid w:val="002A1020"/>
    <w:rsid w:val="002D5F19"/>
    <w:rsid w:val="00354D2A"/>
    <w:rsid w:val="003902E1"/>
    <w:rsid w:val="0040306E"/>
    <w:rsid w:val="00490C5B"/>
    <w:rsid w:val="004F7D3A"/>
    <w:rsid w:val="00513006"/>
    <w:rsid w:val="005305D5"/>
    <w:rsid w:val="00533CB2"/>
    <w:rsid w:val="0061457E"/>
    <w:rsid w:val="00762004"/>
    <w:rsid w:val="00783315"/>
    <w:rsid w:val="007C355C"/>
    <w:rsid w:val="007D2858"/>
    <w:rsid w:val="00846AC9"/>
    <w:rsid w:val="00867168"/>
    <w:rsid w:val="00911E98"/>
    <w:rsid w:val="009520BA"/>
    <w:rsid w:val="009531AD"/>
    <w:rsid w:val="00A17249"/>
    <w:rsid w:val="00AC5BC3"/>
    <w:rsid w:val="00AD21FA"/>
    <w:rsid w:val="00AF2135"/>
    <w:rsid w:val="00B51CAE"/>
    <w:rsid w:val="00B8250E"/>
    <w:rsid w:val="00BD444A"/>
    <w:rsid w:val="00C756AD"/>
    <w:rsid w:val="00C912E8"/>
    <w:rsid w:val="00D77C91"/>
    <w:rsid w:val="00D95A0B"/>
    <w:rsid w:val="00E22D81"/>
    <w:rsid w:val="00EE23D7"/>
    <w:rsid w:val="00F12C94"/>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6</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7</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Len16</b:Tag>
    <b:SourceType>ArticleInAPeriodical</b:SourceType>
    <b:Guid>{636A24B2-8F8A-1844-970A-FF8FC10F8B25}</b:Guid>
    <b:Author>
      <b:Author>
        <b:NameList>
          <b:Person>
            <b:Last>Lenzen</b:Last>
            <b:First>Wolfgang</b:First>
          </b:Person>
        </b:NameList>
      </b:Author>
    </b:Author>
    <b:Title>Leibniz's Ontological Proof of the Existence of God and the Problem of "Impossible Objects"</b:Title>
    <b:Year>2016</b:Year>
    <b:RefOrder>5</b:RefOrder>
  </b:Source>
</b:Sources>
</file>

<file path=customXml/itemProps1.xml><?xml version="1.0" encoding="utf-8"?>
<ds:datastoreItem xmlns:ds="http://schemas.openxmlformats.org/officeDocument/2006/customXml" ds:itemID="{538CF4FD-F5F1-BE46-87F6-8E6E2E1AF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17</Pages>
  <Words>2858</Words>
  <Characters>15264</Characters>
  <Application>Microsoft Macintosh Word</Application>
  <DocSecurity>0</DocSecurity>
  <Lines>436</Lines>
  <Paragraphs>104</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18018</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8</cp:revision>
  <cp:lastPrinted>1601-01-01T00:00:00Z</cp:lastPrinted>
  <dcterms:created xsi:type="dcterms:W3CDTF">2016-08-25T06:30:00Z</dcterms:created>
  <dcterms:modified xsi:type="dcterms:W3CDTF">2016-08-25T09:44:00Z</dcterms:modified>
</cp:coreProperties>
</file>