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587E7E4B"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w:t>
      </w:r>
      <w:r w:rsidR="00C60736">
        <w:rPr>
          <w:sz w:val="22"/>
          <w:szCs w:val="22"/>
        </w:rPr>
        <w:t xml:space="preserve">d to be drafted already in 1668 </w:t>
      </w:r>
      <w:r>
        <w:rPr>
          <w:sz w:val="22"/>
          <w:szCs w:val="22"/>
        </w:rPr>
        <w:t xml:space="preserve">when he was just 22 years old, to write a collection of Catholic Demonstrations organized in four parts with, respectively, demonstrations of: God’s Existence; the Immortality and Incorporeity of the Soul; the Possibility </w:t>
      </w:r>
      <w:r w:rsidR="00D7201E">
        <w:rPr>
          <w:sz w:val="22"/>
          <w:szCs w:val="22"/>
        </w:rPr>
        <w:t xml:space="preserve">of the Mysteries of the Christian Faith; </w:t>
      </w:r>
      <w:r w:rsidR="00C60736">
        <w:rPr>
          <w:sz w:val="22"/>
          <w:szCs w:val="22"/>
        </w:rPr>
        <w:t xml:space="preserve">and </w:t>
      </w:r>
      <w:r w:rsidR="00D7201E">
        <w:rPr>
          <w:sz w:val="22"/>
          <w:szCs w:val="22"/>
        </w:rPr>
        <w:t xml:space="preserve">the Authority of the Catholic Church and the Scripture </w:t>
      </w:r>
      <w:sdt>
        <w:sdtPr>
          <w:rPr>
            <w:sz w:val="22"/>
            <w:szCs w:val="22"/>
          </w:rPr>
          <w:id w:val="898551452"/>
          <w:citation/>
        </w:sdt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1922B0">
        <w:rPr>
          <w:sz w:val="22"/>
          <w:szCs w:val="22"/>
        </w:rPr>
        <w:t>[p.</w:t>
      </w:r>
      <w:r w:rsidR="00C60736">
        <w:rPr>
          <w:sz w:val="22"/>
          <w:szCs w:val="22"/>
        </w:rPr>
        <w:t xml:space="preserve"> </w:t>
      </w:r>
      <w:r w:rsidR="00D7201E">
        <w:rPr>
          <w:sz w:val="22"/>
          <w:szCs w:val="22"/>
        </w:rPr>
        <w:t>90].</w:t>
      </w:r>
    </w:p>
    <w:p w14:paraId="6E2CA52F" w14:textId="77777777" w:rsidR="00D7201E" w:rsidRDefault="00D7201E">
      <w:pPr>
        <w:jc w:val="both"/>
        <w:rPr>
          <w:sz w:val="22"/>
          <w:szCs w:val="22"/>
        </w:rPr>
      </w:pPr>
    </w:p>
    <w:p w14:paraId="7D3BFD66" w14:textId="466704EB" w:rsidR="00D7201E" w:rsidRDefault="00D7201E">
      <w:pPr>
        <w:jc w:val="both"/>
        <w:rPr>
          <w:sz w:val="22"/>
          <w:szCs w:val="22"/>
        </w:rPr>
      </w:pPr>
      <w:r>
        <w:rPr>
          <w:sz w:val="22"/>
          <w:szCs w:val="22"/>
        </w:rPr>
        <w:t>Although Leibniz pursued this goal throughout his life, and this served as a motivation for him to develop his logic (seen as one of the prolegomena to the demonstrations), he never fully</w:t>
      </w:r>
      <w:r w:rsidR="00D40B70">
        <w:rPr>
          <w:sz w:val="22"/>
          <w:szCs w:val="22"/>
        </w:rPr>
        <w:t xml:space="preserve"> accomplished it</w:t>
      </w:r>
      <w:r>
        <w:rPr>
          <w:sz w:val="22"/>
          <w:szCs w:val="22"/>
        </w:rPr>
        <w:t xml:space="preserve">. His texts about the topic remained informal and lacked the </w:t>
      </w:r>
      <w:proofErr w:type="spellStart"/>
      <w:r>
        <w:rPr>
          <w:sz w:val="22"/>
          <w:szCs w:val="22"/>
        </w:rPr>
        <w:t>rigour</w:t>
      </w:r>
      <w:proofErr w:type="spellEnd"/>
      <w:r>
        <w:rPr>
          <w:sz w:val="22"/>
          <w:szCs w:val="22"/>
        </w:rPr>
        <w:t xml:space="preserve"> that would be possible through his own logic.</w:t>
      </w:r>
    </w:p>
    <w:p w14:paraId="5513452C" w14:textId="77777777" w:rsidR="00D7201E" w:rsidRDefault="00D7201E">
      <w:pPr>
        <w:jc w:val="both"/>
        <w:rPr>
          <w:sz w:val="22"/>
          <w:szCs w:val="22"/>
        </w:rPr>
      </w:pPr>
    </w:p>
    <w:p w14:paraId="46A4F52F" w14:textId="3A65B2A7" w:rsidR="00D7201E" w:rsidRDefault="00D40B70">
      <w:pPr>
        <w:jc w:val="both"/>
        <w:rPr>
          <w:sz w:val="22"/>
          <w:szCs w:val="22"/>
        </w:rPr>
      </w:pPr>
      <w:r>
        <w:rPr>
          <w:sz w:val="22"/>
          <w:szCs w:val="22"/>
        </w:rPr>
        <w:t xml:space="preserve">Today, 300 years after Leibniz’s death, </w:t>
      </w:r>
      <w:r w:rsidR="001B2DF9">
        <w:rPr>
          <w:sz w:val="22"/>
          <w:szCs w:val="22"/>
        </w:rPr>
        <w:t>in celebration of</w:t>
      </w:r>
      <w:r w:rsidR="00C11307">
        <w:rPr>
          <w:sz w:val="22"/>
          <w:szCs w:val="22"/>
        </w:rPr>
        <w:t xml:space="preserve"> his lasting legacy</w:t>
      </w:r>
      <w:r w:rsidR="001B2DF9">
        <w:rPr>
          <w:sz w:val="22"/>
          <w:szCs w:val="22"/>
        </w:rPr>
        <w:t xml:space="preserve"> to metaphysics</w:t>
      </w:r>
      <w:r w:rsidR="00C11307">
        <w:rPr>
          <w:sz w:val="22"/>
          <w:szCs w:val="22"/>
        </w:rPr>
        <w:t>,</w:t>
      </w:r>
      <w:r>
        <w:rPr>
          <w:sz w:val="22"/>
          <w:szCs w:val="22"/>
        </w:rPr>
        <w:t xml:space="preserve"> contributions to logic</w:t>
      </w:r>
      <w:r w:rsidR="001B2DF9">
        <w:rPr>
          <w:sz w:val="22"/>
          <w:szCs w:val="22"/>
        </w:rPr>
        <w:t xml:space="preserve"> and</w:t>
      </w:r>
      <w:r>
        <w:rPr>
          <w:sz w:val="22"/>
          <w:szCs w:val="22"/>
        </w:rPr>
        <w:t xml:space="preserve"> inspiring foresight of automated reasoning</w:t>
      </w:r>
      <w:r w:rsidR="001B2DF9">
        <w:rPr>
          <w:sz w:val="22"/>
          <w:szCs w:val="22"/>
        </w:rPr>
        <w:t>, we</w:t>
      </w:r>
      <w:r>
        <w:rPr>
          <w:sz w:val="22"/>
          <w:szCs w:val="22"/>
        </w:rPr>
        <w:t xml:space="preserve"> accomplish (part of) his goal by showing how one</w:t>
      </w:r>
      <w:r w:rsidR="00694A74">
        <w:rPr>
          <w:sz w:val="22"/>
          <w:szCs w:val="22"/>
        </w:rPr>
        <w:t xml:space="preserve"> </w:t>
      </w:r>
      <w:r>
        <w:rPr>
          <w:sz w:val="22"/>
          <w:szCs w:val="22"/>
        </w:rPr>
        <w:t xml:space="preserve">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ur investigations reveal a few surprises about Leibniz’s notion</w:t>
      </w:r>
      <w:r w:rsidR="00434AA2">
        <w:rPr>
          <w:sz w:val="22"/>
          <w:szCs w:val="22"/>
        </w:rPr>
        <w:t>s</w:t>
      </w:r>
      <w:r w:rsidR="00694A74">
        <w:rPr>
          <w:sz w:val="22"/>
          <w:szCs w:val="22"/>
        </w:rPr>
        <w:t xml:space="preserve"> of </w:t>
      </w:r>
      <w:r w:rsidR="00434AA2">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65E4EE6C"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C60736">
        <w:rPr>
          <w:sz w:val="22"/>
          <w:szCs w:val="22"/>
        </w:rPr>
        <w:t>[p.</w:t>
      </w:r>
      <w:r w:rsidR="00AD21FA">
        <w:rPr>
          <w:sz w:val="22"/>
          <w:szCs w:val="22"/>
        </w:rPr>
        <w:t xml:space="preserve"> 177] </w:t>
      </w:r>
      <w:r w:rsidRPr="00A17249">
        <w:rPr>
          <w:sz w:val="22"/>
          <w:szCs w:val="22"/>
        </w:rPr>
        <w:t xml:space="preserve">and discussed, among other topics, Spinoza’s at that time still unpublished </w:t>
      </w:r>
      <w:proofErr w:type="spellStart"/>
      <w:r w:rsidRPr="00A17249">
        <w:rPr>
          <w:i/>
          <w:sz w:val="22"/>
          <w:szCs w:val="22"/>
        </w:rPr>
        <w:t>Ethica</w:t>
      </w:r>
      <w:proofErr w:type="spellEnd"/>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its essence, is a chimera.”</w:t>
      </w:r>
    </w:p>
    <w:p w14:paraId="0806C1CF" w14:textId="77777777" w:rsidR="005305D5" w:rsidRPr="00A17249" w:rsidRDefault="005305D5">
      <w:pPr>
        <w:jc w:val="both"/>
        <w:rPr>
          <w:sz w:val="22"/>
          <w:szCs w:val="22"/>
        </w:rPr>
      </w:pPr>
    </w:p>
    <w:p w14:paraId="7761C4BC" w14:textId="5CE4F0DD"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C60736">
        <w:rPr>
          <w:sz w:val="22"/>
          <w:szCs w:val="22"/>
        </w:rPr>
        <w:t>[p.</w:t>
      </w:r>
      <w:r w:rsidR="00354D2A">
        <w:rPr>
          <w:sz w:val="22"/>
          <w:szCs w:val="22"/>
        </w:rPr>
        <w:t>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41D06CCC" w14:textId="2C99686B"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r w:rsidR="0030131C">
        <w:rPr>
          <w:sz w:val="22"/>
          <w:szCs w:val="22"/>
        </w:rPr>
        <w:t xml:space="preserve"> </w:t>
      </w:r>
      <w:bookmarkStart w:id="0" w:name="_GoBack"/>
      <w:bookmarkEnd w:id="0"/>
      <w:r w:rsidRPr="00A17249">
        <w:rPr>
          <w:sz w:val="22"/>
          <w:szCs w:val="22"/>
        </w:rPr>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1" w:name="_Ref459908224"/>
      <w:r>
        <w:t xml:space="preserve">Figure </w:t>
      </w:r>
      <w:fldSimple w:instr=" SEQ Figure \* ARABIC ">
        <w:r w:rsidR="007C355C">
          <w:rPr>
            <w:noProof/>
          </w:rPr>
          <w:t>1</w:t>
        </w:r>
      </w:fldSimple>
      <w:bookmarkEnd w:id="1"/>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2" w:name="_Ref459910004"/>
      <w:r>
        <w:t xml:space="preserve">Figure </w:t>
      </w:r>
      <w:fldSimple w:instr=" SEQ Figure \* ARABIC ">
        <w:r>
          <w:rPr>
            <w:noProof/>
          </w:rPr>
          <w:t>2</w:t>
        </w:r>
      </w:fldSimple>
      <w:bookmarkEnd w:id="2"/>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3" w:name="_Ref459910150"/>
      <w:r>
        <w:t xml:space="preserve">Figure </w:t>
      </w:r>
      <w:fldSimple w:instr=" SEQ Figure \* ARABIC ">
        <w:r>
          <w:rPr>
            <w:noProof/>
          </w:rPr>
          <w:t>3</w:t>
        </w:r>
      </w:fldSimple>
      <w:bookmarkEnd w:id="3"/>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53633CC5"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w:t>
      </w:r>
      <w:r w:rsidR="00762004">
        <w:rPr>
          <w:i/>
        </w:rPr>
        <w:br/>
      </w:r>
      <w:r>
        <w:rPr>
          <w:i/>
        </w:rPr>
        <w:t xml:space="preserve">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sdt>
        <w:sdtPr>
          <w:rPr>
            <w:sz w:val="22"/>
            <w:szCs w:val="22"/>
          </w:rPr>
          <w:id w:val="-436679166"/>
          <w:citation/>
        </w:sdt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lastRenderedPageBreak/>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w:t>
      </w:r>
      <w:proofErr w:type="spellStart"/>
      <w:r w:rsidRPr="00A17249">
        <w:rPr>
          <w:sz w:val="22"/>
          <w:szCs w:val="22"/>
        </w:rPr>
        <w:t>axiomatize</w:t>
      </w:r>
      <w:proofErr w:type="spellEnd"/>
      <w:r w:rsidR="007D2858">
        <w:rPr>
          <w:rStyle w:val="FootnoteReference"/>
          <w:sz w:val="22"/>
          <w:szCs w:val="22"/>
        </w:rPr>
        <w:footnoteReference w:id="15"/>
      </w:r>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4" w:name="_Ref459910223"/>
      <w:r>
        <w:t xml:space="preserve">Figure </w:t>
      </w:r>
      <w:fldSimple w:instr=" SEQ Figure \* ARABIC ">
        <w:r>
          <w:rPr>
            <w:noProof/>
          </w:rPr>
          <w:t>4</w:t>
        </w:r>
      </w:fldSimple>
      <w:bookmarkEnd w:id="4"/>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5" w:name="_Ref459910260"/>
      <w:r>
        <w:t xml:space="preserve">Figure </w:t>
      </w:r>
      <w:fldSimple w:instr=" SEQ Figure \* ARABIC ">
        <w:r>
          <w:rPr>
            <w:noProof/>
          </w:rPr>
          <w:t>5</w:t>
        </w:r>
      </w:fldSimple>
      <w:bookmarkEnd w:id="5"/>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153D4507" w14:textId="4E67245E" w:rsidR="00CC3321" w:rsidRPr="00CC3321" w:rsidRDefault="00CC3321">
      <w:pPr>
        <w:jc w:val="both"/>
        <w:rPr>
          <w:sz w:val="22"/>
          <w:szCs w:val="22"/>
        </w:rPr>
      </w:pPr>
      <w:r w:rsidRPr="00A17249">
        <w:rPr>
          <w:rFonts w:eastAsia="Symbol" w:cs="Symbol"/>
          <w:sz w:val="22"/>
          <w:szCs w:val="22"/>
        </w:rPr>
        <w:t xml:space="preserve">Leibniz’s argument is </w:t>
      </w:r>
      <w:r>
        <w:rPr>
          <w:rFonts w:eastAsia="Symbol" w:cs="Symbol"/>
          <w:sz w:val="22"/>
          <w:szCs w:val="22"/>
        </w:rPr>
        <w:t xml:space="preserve">verbose. </w:t>
      </w:r>
      <w:r w:rsidRPr="00A17249">
        <w:rPr>
          <w:rFonts w:eastAsia="Symbol" w:cs="Symbol"/>
          <w:sz w:val="22"/>
          <w:szCs w:val="22"/>
        </w:rPr>
        <w:t xml:space="preserve">For instance, step 5 of his argument is an instance of the law of excluded middle, </w:t>
      </w:r>
      <w:r>
        <w:rPr>
          <w:rFonts w:eastAsia="Symbol" w:cs="Symbol"/>
          <w:sz w:val="22"/>
          <w:szCs w:val="22"/>
        </w:rPr>
        <w:t xml:space="preserve">and </w:t>
      </w:r>
      <w:r w:rsidRPr="00A17249">
        <w:rPr>
          <w:rFonts w:eastAsia="Symbol" w:cs="Symbol"/>
          <w:sz w:val="22"/>
          <w:szCs w:val="22"/>
        </w:rPr>
        <w:t xml:space="preserve">a case distinction on this instance </w:t>
      </w:r>
      <w:r>
        <w:rPr>
          <w:rFonts w:eastAsia="Symbol" w:cs="Symbol"/>
          <w:sz w:val="22"/>
          <w:szCs w:val="22"/>
        </w:rPr>
        <w:t>is an unnecessary detour.</w:t>
      </w:r>
    </w:p>
    <w:p w14:paraId="6A8DE15A" w14:textId="77777777" w:rsidR="00CC3321" w:rsidRDefault="00CC3321">
      <w:pPr>
        <w:jc w:val="both"/>
        <w:rPr>
          <w:rFonts w:eastAsia="Symbol" w:cs="Symbol"/>
          <w:sz w:val="22"/>
          <w:szCs w:val="22"/>
        </w:rPr>
      </w:pPr>
    </w:p>
    <w:p w14:paraId="3B5EDB07" w14:textId="65EB1AD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the proviso of possibility (in step 10) is not needed, as </w:t>
      </w:r>
      <w:r w:rsidRPr="00A17249">
        <w:rPr>
          <w:rFonts w:eastAsia="Symbol" w:cs="Symbol"/>
          <w:sz w:val="22"/>
          <w:szCs w:val="22"/>
        </w:rPr>
        <w:lastRenderedPageBreak/>
        <w:t xml:space="preserve">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by definition of possibility,</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Leibniz’s criticism that the 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xml:space="preserve">” (“necessary”). In his later algebra of concepts, “necessary” is clearly the dual of “possible”. In his ontological argument, however, he says that “necessary is what cannot not exist”. That is why occurrences of “it is necessary” in the </w:t>
      </w:r>
      <w:r w:rsidRPr="00A17249">
        <w:rPr>
          <w:rFonts w:eastAsia="Symbol" w:cs="Symbol"/>
          <w:sz w:val="22"/>
          <w:szCs w:val="22"/>
        </w:rPr>
        <w:lastRenderedPageBreak/>
        <w:t>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proofErr w:type="spellStart"/>
      <w:r w:rsidRPr="00AF2135">
        <w:rPr>
          <w:rFonts w:eastAsia="Symbol" w:cs="Symbol"/>
          <w:i/>
          <w:sz w:val="22"/>
          <w:szCs w:val="22"/>
        </w:rPr>
        <w:t>Ens</w:t>
      </w:r>
      <w:proofErr w:type="spellEnd"/>
      <w:r w:rsidRPr="00AF2135">
        <w:rPr>
          <w:rFonts w:eastAsia="Symbol" w:cs="Symbol"/>
          <w:i/>
          <w:sz w:val="22"/>
          <w:szCs w:val="22"/>
        </w:rPr>
        <w:t xml:space="preserve"> ex </w:t>
      </w:r>
      <w:proofErr w:type="spellStart"/>
      <w:r w:rsidRPr="00AF2135">
        <w:rPr>
          <w:rFonts w:eastAsia="Symbol" w:cs="Symbol"/>
          <w:i/>
          <w:sz w:val="22"/>
          <w:szCs w:val="22"/>
        </w:rPr>
        <w:t>cujus</w:t>
      </w:r>
      <w:proofErr w:type="spellEnd"/>
      <w:r w:rsidRPr="00AF2135">
        <w:rPr>
          <w:rFonts w:eastAsia="Symbol" w:cs="Symbol"/>
          <w:i/>
          <w:sz w:val="22"/>
          <w:szCs w:val="22"/>
        </w:rPr>
        <w:t xml:space="preserve"> </w:t>
      </w:r>
      <w:proofErr w:type="spellStart"/>
      <w:r w:rsidRPr="00AF2135">
        <w:rPr>
          <w:rFonts w:eastAsia="Symbol" w:cs="Symbol"/>
          <w:i/>
          <w:sz w:val="22"/>
          <w:szCs w:val="22"/>
        </w:rPr>
        <w:t>essentia</w:t>
      </w:r>
      <w:proofErr w:type="spellEnd"/>
      <w:r w:rsidRPr="00AF2135">
        <w:rPr>
          <w:rFonts w:eastAsia="Symbol" w:cs="Symbol"/>
          <w:i/>
          <w:sz w:val="22"/>
          <w:szCs w:val="22"/>
        </w:rPr>
        <w:t xml:space="preserve"> sequitur </w:t>
      </w:r>
      <w:proofErr w:type="spellStart"/>
      <w:r w:rsidRPr="00AF2135">
        <w:rPr>
          <w:rFonts w:eastAsia="Symbol" w:cs="Symbol"/>
          <w:i/>
          <w:sz w:val="22"/>
          <w:szCs w:val="22"/>
        </w:rPr>
        <w:t>existentia</w:t>
      </w:r>
      <w:proofErr w:type="spellEnd"/>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5AD97F9B" w:rsidR="00783315" w:rsidRPr="00A17249" w:rsidRDefault="004417CB">
      <w:pPr>
        <w:jc w:val="both"/>
        <w:rPr>
          <w:sz w:val="22"/>
          <w:szCs w:val="22"/>
        </w:rPr>
      </w:pPr>
      <w:r>
        <w:rPr>
          <w:rFonts w:eastAsia="Symbol" w:cs="Symbol"/>
          <w:b/>
          <w:i/>
          <w:sz w:val="22"/>
          <w:szCs w:val="22"/>
        </w:rPr>
        <w:t xml:space="preserve">Possible Worlds and Modern </w:t>
      </w:r>
      <w:r w:rsidR="00783315" w:rsidRPr="00A17249">
        <w:rPr>
          <w:rFonts w:eastAsia="Symbol" w:cs="Symbol"/>
          <w:b/>
          <w:i/>
          <w:sz w:val="22"/>
          <w:szCs w:val="22"/>
        </w:rPr>
        <w:t>Modal Logics</w:t>
      </w:r>
    </w:p>
    <w:p w14:paraId="73FE2A73" w14:textId="77777777" w:rsidR="00783315" w:rsidRPr="00A17249" w:rsidRDefault="00783315">
      <w:pPr>
        <w:jc w:val="both"/>
        <w:rPr>
          <w:rFonts w:eastAsia="Symbol" w:cs="Symbol"/>
          <w:b/>
          <w:i/>
          <w:sz w:val="22"/>
          <w:szCs w:val="22"/>
        </w:rPr>
      </w:pPr>
    </w:p>
    <w:p w14:paraId="770A8A1B" w14:textId="5A4370DB" w:rsidR="006B07D4" w:rsidRDefault="00FA713F">
      <w:pPr>
        <w:jc w:val="both"/>
        <w:rPr>
          <w:rFonts w:eastAsia="Symbol" w:cs="Symbol"/>
          <w:sz w:val="22"/>
          <w:szCs w:val="22"/>
        </w:rPr>
      </w:pPr>
      <w:r>
        <w:rPr>
          <w:rFonts w:eastAsia="Symbol" w:cs="Symbol"/>
          <w:sz w:val="22"/>
          <w:szCs w:val="22"/>
        </w:rPr>
        <w:t xml:space="preserve">Nowadays, words such as “necessity” and “possibility” naturally evoke the modern modal logics having semantics that rely on possible worlds. However, it is crucial to distinguish the </w:t>
      </w:r>
      <w:r w:rsidR="009438E6">
        <w:rPr>
          <w:rFonts w:eastAsia="Symbol" w:cs="Symbol"/>
          <w:sz w:val="22"/>
          <w:szCs w:val="22"/>
        </w:rPr>
        <w:t xml:space="preserve">current </w:t>
      </w:r>
      <w:r>
        <w:rPr>
          <w:rFonts w:eastAsia="Symbol" w:cs="Symbol"/>
          <w:sz w:val="22"/>
          <w:szCs w:val="22"/>
        </w:rPr>
        <w:t>modal logic notions of “necessity” and “possibility” from those of Leibniz’s Algebra of Concepts.</w:t>
      </w:r>
      <w:r w:rsidR="006B07D4">
        <w:rPr>
          <w:rFonts w:eastAsia="Symbol" w:cs="Symbol"/>
          <w:sz w:val="22"/>
          <w:szCs w:val="22"/>
        </w:rPr>
        <w:t xml:space="preserve"> </w:t>
      </w:r>
    </w:p>
    <w:p w14:paraId="2D96762F" w14:textId="77777777" w:rsidR="006B07D4" w:rsidRDefault="006B07D4">
      <w:pPr>
        <w:jc w:val="both"/>
        <w:rPr>
          <w:rFonts w:eastAsia="Symbol" w:cs="Symbol"/>
          <w:sz w:val="22"/>
          <w:szCs w:val="22"/>
        </w:rPr>
      </w:pPr>
    </w:p>
    <w:p w14:paraId="650148AE" w14:textId="2AE8E111" w:rsidR="00FA713F" w:rsidRDefault="006B07D4" w:rsidP="006B07D4">
      <w:pPr>
        <w:jc w:val="both"/>
        <w:rPr>
          <w:rFonts w:eastAsia="Symbol" w:cs="Symbol"/>
          <w:sz w:val="22"/>
          <w:szCs w:val="22"/>
        </w:rPr>
      </w:pPr>
      <w:r>
        <w:rPr>
          <w:rFonts w:eastAsia="Symbol" w:cs="Symbol"/>
          <w:sz w:val="22"/>
          <w:szCs w:val="22"/>
        </w:rPr>
        <w:t xml:space="preserve">From a technical perspective, the Algebra of Concepts talks about necessity and possibility of </w:t>
      </w:r>
      <w:r>
        <w:rPr>
          <w:rFonts w:eastAsia="Symbol" w:cs="Symbol"/>
          <w:i/>
          <w:sz w:val="22"/>
          <w:szCs w:val="22"/>
        </w:rPr>
        <w:t>concepts</w:t>
      </w:r>
      <w:r>
        <w:rPr>
          <w:rFonts w:eastAsia="Symbol" w:cs="Symbol"/>
          <w:sz w:val="22"/>
          <w:szCs w:val="22"/>
        </w:rPr>
        <w:t xml:space="preserve">, whereas modal logics talk about necessity and possibility of </w:t>
      </w:r>
      <w:r w:rsidRPr="006B07D4">
        <w:rPr>
          <w:rFonts w:eastAsia="Symbol" w:cs="Symbol"/>
          <w:i/>
          <w:sz w:val="22"/>
          <w:szCs w:val="22"/>
        </w:rPr>
        <w:t>propositions</w:t>
      </w:r>
      <w:r>
        <w:rPr>
          <w:rFonts w:eastAsia="Symbol" w:cs="Symbol"/>
          <w:sz w:val="22"/>
          <w:szCs w:val="22"/>
        </w:rPr>
        <w:t>. A proposition is considered possible if it is true in at least one possible world, and necessary if true in all possible worlds.</w:t>
      </w:r>
    </w:p>
    <w:p w14:paraId="2BDBD0E0" w14:textId="77777777" w:rsidR="006B07D4" w:rsidRDefault="006B07D4" w:rsidP="006B07D4">
      <w:pPr>
        <w:jc w:val="both"/>
        <w:rPr>
          <w:rFonts w:eastAsia="Symbol" w:cs="Symbol"/>
          <w:sz w:val="22"/>
          <w:szCs w:val="22"/>
        </w:rPr>
      </w:pPr>
    </w:p>
    <w:p w14:paraId="1B29C4E6" w14:textId="333B201F" w:rsidR="00783315" w:rsidRDefault="006B07D4">
      <w:pPr>
        <w:jc w:val="both"/>
        <w:rPr>
          <w:rFonts w:eastAsia="Symbol" w:cs="Symbol"/>
          <w:sz w:val="22"/>
          <w:szCs w:val="22"/>
        </w:rPr>
      </w:pPr>
      <w:r>
        <w:rPr>
          <w:rFonts w:eastAsia="Symbol" w:cs="Symbol"/>
          <w:sz w:val="22"/>
          <w:szCs w:val="22"/>
        </w:rPr>
        <w:t xml:space="preserve">Furthermore, from a historical perspective, Leibniz was against the idea of </w:t>
      </w:r>
      <w:r w:rsidR="009438E6">
        <w:rPr>
          <w:rFonts w:eastAsia="Symbol" w:cs="Symbol"/>
          <w:sz w:val="22"/>
          <w:szCs w:val="22"/>
        </w:rPr>
        <w:t>possible worlds in December 1676,</w:t>
      </w:r>
      <w:r>
        <w:rPr>
          <w:rFonts w:eastAsia="Symbol" w:cs="Symbol"/>
          <w:sz w:val="22"/>
          <w:szCs w:val="22"/>
        </w:rPr>
        <w:t xml:space="preserve"> when he discussed ontological arguments with Spinoza</w:t>
      </w:r>
      <w:r w:rsidR="009438E6">
        <w:rPr>
          <w:rFonts w:eastAsia="Symbol" w:cs="Symbol"/>
          <w:sz w:val="22"/>
          <w:szCs w:val="22"/>
        </w:rPr>
        <w:t>,</w:t>
      </w:r>
      <w:r>
        <w:rPr>
          <w:rFonts w:eastAsia="Symbol" w:cs="Symbol"/>
          <w:sz w:val="22"/>
          <w:szCs w:val="22"/>
        </w:rPr>
        <w:t xml:space="preserve"> just one</w:t>
      </w:r>
      <w:r w:rsidR="009438E6">
        <w:rPr>
          <w:rFonts w:eastAsia="Symbol" w:cs="Symbol"/>
          <w:sz w:val="22"/>
          <w:szCs w:val="22"/>
        </w:rPr>
        <w:t xml:space="preserve"> year</w:t>
      </w:r>
      <w:r>
        <w:rPr>
          <w:rFonts w:eastAsia="Symbol" w:cs="Symbol"/>
          <w:sz w:val="22"/>
          <w:szCs w:val="22"/>
        </w:rPr>
        <w:t xml:space="preserve"> before </w:t>
      </w:r>
      <w:r w:rsidR="009438E6">
        <w:rPr>
          <w:rFonts w:eastAsia="Symbol" w:cs="Symbol"/>
          <w:sz w:val="22"/>
          <w:szCs w:val="22"/>
        </w:rPr>
        <w:t xml:space="preserve">he sent to </w:t>
      </w:r>
      <w:proofErr w:type="spellStart"/>
      <w:r w:rsidR="009438E6">
        <w:rPr>
          <w:rFonts w:eastAsia="Symbol" w:cs="Symbol"/>
          <w:sz w:val="22"/>
          <w:szCs w:val="22"/>
        </w:rPr>
        <w:t>Huthmann</w:t>
      </w:r>
      <w:proofErr w:type="spellEnd"/>
      <w:r w:rsidR="009438E6">
        <w:rPr>
          <w:rFonts w:eastAsia="Symbol" w:cs="Symbol"/>
          <w:sz w:val="22"/>
          <w:szCs w:val="22"/>
        </w:rPr>
        <w:t xml:space="preserve"> the ontological argument reproduced and analyzed here. In his </w:t>
      </w:r>
      <w:r w:rsidR="009438E6">
        <w:rPr>
          <w:rFonts w:eastAsia="Symbol" w:cs="Symbol"/>
          <w:i/>
          <w:sz w:val="22"/>
          <w:szCs w:val="22"/>
        </w:rPr>
        <w:t>Two Notations for Discussion with Spinoza</w:t>
      </w:r>
      <w:r w:rsidR="009438E6">
        <w:rPr>
          <w:rFonts w:eastAsia="Symbol" w:cs="Symbol"/>
          <w:sz w:val="22"/>
          <w:szCs w:val="22"/>
        </w:rPr>
        <w:t>, he wrote</w:t>
      </w:r>
      <w:r w:rsidR="00622F66">
        <w:rPr>
          <w:rStyle w:val="FootnoteReference"/>
          <w:rFonts w:eastAsia="Symbol" w:cs="Symbol"/>
          <w:sz w:val="22"/>
          <w:szCs w:val="22"/>
        </w:rPr>
        <w:footnoteReference w:id="16"/>
      </w:r>
      <w:r w:rsidR="009438E6">
        <w:rPr>
          <w:rFonts w:eastAsia="Symbol" w:cs="Symbol"/>
          <w:sz w:val="22"/>
          <w:szCs w:val="22"/>
        </w:rPr>
        <w:t xml:space="preserve"> that </w:t>
      </w:r>
      <w:r w:rsidR="00783315" w:rsidRPr="00A17249">
        <w:rPr>
          <w:sz w:val="22"/>
          <w:szCs w:val="22"/>
        </w:rPr>
        <w:t>“</w:t>
      </w:r>
      <w:r w:rsidR="009438E6">
        <w:rPr>
          <w:rFonts w:eastAsia="Symbol" w:cs="Symbol"/>
          <w:sz w:val="22"/>
          <w:szCs w:val="22"/>
        </w:rPr>
        <w:t>t</w:t>
      </w:r>
      <w:r w:rsidR="00783315" w:rsidRPr="00A17249">
        <w:rPr>
          <w:rFonts w:eastAsia="Symbol" w:cs="Symbol"/>
          <w:sz w:val="22"/>
          <w:szCs w:val="22"/>
        </w:rPr>
        <w:t>here is no need of many worlds to increase the multitude of things, for there is no number which is not contained in this one world and, indeed</w:t>
      </w:r>
      <w:r w:rsidR="009438E6">
        <w:rPr>
          <w:rFonts w:eastAsia="Symbol" w:cs="Symbol"/>
          <w:sz w:val="22"/>
          <w:szCs w:val="22"/>
        </w:rPr>
        <w:t xml:space="preserve">, even in any one of its parts. […] </w:t>
      </w:r>
      <w:r w:rsidR="00783315" w:rsidRPr="00A17249">
        <w:rPr>
          <w:rFonts w:eastAsia="Symbol" w:cs="Symbol"/>
          <w:sz w:val="22"/>
          <w:szCs w:val="22"/>
        </w:rPr>
        <w:t>To introduce another kind of existing things, and another world, so to speak, which is also infinite, is to abuse the word ‘existence’, for we cannot say whether or not these things exist now</w:t>
      </w:r>
      <w:r w:rsidR="009438E6">
        <w:rPr>
          <w:rFonts w:eastAsia="Symbol" w:cs="Symbol"/>
          <w:sz w:val="22"/>
          <w:szCs w:val="22"/>
        </w:rPr>
        <w:t xml:space="preserve">. […] </w:t>
      </w:r>
      <w:r w:rsidR="009438E6">
        <w:rPr>
          <w:sz w:val="22"/>
          <w:szCs w:val="22"/>
        </w:rPr>
        <w:t xml:space="preserve"> </w:t>
      </w:r>
      <w:r w:rsidR="00783315" w:rsidRPr="00A17249">
        <w:rPr>
          <w:rFonts w:eastAsia="Symbol" w:cs="Symbol"/>
          <w:sz w:val="22"/>
          <w:szCs w:val="22"/>
        </w:rPr>
        <w:t xml:space="preserve">If all </w:t>
      </w:r>
      <w:proofErr w:type="spellStart"/>
      <w:r w:rsidR="00783315" w:rsidRPr="00A17249">
        <w:rPr>
          <w:rFonts w:eastAsia="Symbol" w:cs="Symbol"/>
          <w:sz w:val="22"/>
          <w:szCs w:val="22"/>
        </w:rPr>
        <w:t>possibles</w:t>
      </w:r>
      <w:proofErr w:type="spellEnd"/>
      <w:r w:rsidR="00783315" w:rsidRPr="00A17249">
        <w:rPr>
          <w:rFonts w:eastAsia="Symbol" w:cs="Symbol"/>
          <w:sz w:val="22"/>
          <w:szCs w:val="22"/>
        </w:rPr>
        <w:t xml:space="preserve"> existed, no reason for existence would be needed, and possibility alone would suffice.” </w:t>
      </w:r>
    </w:p>
    <w:p w14:paraId="2312FA6D" w14:textId="5FF8CBD3" w:rsidR="009438E6" w:rsidRDefault="009438E6">
      <w:pPr>
        <w:jc w:val="both"/>
        <w:rPr>
          <w:rFonts w:eastAsia="Symbol" w:cs="Symbol"/>
          <w:sz w:val="22"/>
          <w:szCs w:val="22"/>
        </w:rPr>
      </w:pPr>
    </w:p>
    <w:p w14:paraId="47FAD711" w14:textId="40D4C45F" w:rsidR="009438E6" w:rsidRPr="00AB23F0" w:rsidRDefault="009438E6">
      <w:pPr>
        <w:jc w:val="both"/>
        <w:rPr>
          <w:rFonts w:eastAsia="Symbol" w:cs="Symbol"/>
          <w:sz w:val="22"/>
          <w:szCs w:val="22"/>
        </w:rPr>
      </w:pPr>
      <w:r>
        <w:rPr>
          <w:rFonts w:eastAsia="Symbol" w:cs="Symbol"/>
          <w:sz w:val="22"/>
          <w:szCs w:val="22"/>
        </w:rPr>
        <w:lastRenderedPageBreak/>
        <w:t>Nevertheless</w:t>
      </w:r>
      <w:r w:rsidR="00AB23F0">
        <w:rPr>
          <w:rFonts w:eastAsia="Symbol" w:cs="Symbol"/>
          <w:sz w:val="22"/>
          <w:szCs w:val="22"/>
        </w:rPr>
        <w:t xml:space="preserve">, towards the end of his life, in his </w:t>
      </w:r>
      <w:r w:rsidR="00AB23F0" w:rsidRPr="00AB23F0">
        <w:rPr>
          <w:rFonts w:eastAsia="Symbol" w:cs="Symbol"/>
          <w:i/>
          <w:sz w:val="22"/>
          <w:szCs w:val="22"/>
        </w:rPr>
        <w:t>Theodicy</w:t>
      </w:r>
      <w:r w:rsidR="00AB23F0">
        <w:rPr>
          <w:rFonts w:eastAsia="Symbol" w:cs="Symbol"/>
          <w:sz w:val="22"/>
          <w:szCs w:val="22"/>
        </w:rPr>
        <w:t xml:space="preserve"> </w:t>
      </w:r>
      <w:sdt>
        <w:sdtPr>
          <w:rPr>
            <w:rFonts w:eastAsia="Symbol" w:cs="Symbol"/>
            <w:sz w:val="22"/>
            <w:szCs w:val="22"/>
          </w:rPr>
          <w:id w:val="-422177606"/>
          <w:citation/>
        </w:sdtPr>
        <w:sdtContent>
          <w:r w:rsidR="00AB23F0">
            <w:rPr>
              <w:rFonts w:eastAsia="Symbol" w:cs="Symbol"/>
              <w:sz w:val="22"/>
              <w:szCs w:val="22"/>
            </w:rPr>
            <w:fldChar w:fldCharType="begin"/>
          </w:r>
          <w:r w:rsidR="00AB23F0">
            <w:rPr>
              <w:rFonts w:eastAsia="Symbol" w:cs="Symbol"/>
              <w:sz w:val="22"/>
              <w:szCs w:val="22"/>
            </w:rPr>
            <w:instrText xml:space="preserve"> CITATION Lei10 \l 1033 </w:instrText>
          </w:r>
          <w:r w:rsidR="00AB23F0">
            <w:rPr>
              <w:rFonts w:eastAsia="Symbol" w:cs="Symbol"/>
              <w:sz w:val="22"/>
              <w:szCs w:val="22"/>
            </w:rPr>
            <w:fldChar w:fldCharType="separate"/>
          </w:r>
          <w:r w:rsidR="00AB23F0" w:rsidRPr="00AB23F0">
            <w:rPr>
              <w:rFonts w:eastAsia="Symbol" w:cs="Symbol"/>
              <w:noProof/>
              <w:sz w:val="22"/>
              <w:szCs w:val="22"/>
            </w:rPr>
            <w:t>(Leibniz, Theodicy, 1710)</w:t>
          </w:r>
          <w:r w:rsidR="00AB23F0">
            <w:rPr>
              <w:rFonts w:eastAsia="Symbol" w:cs="Symbol"/>
              <w:sz w:val="22"/>
              <w:szCs w:val="22"/>
            </w:rPr>
            <w:fldChar w:fldCharType="end"/>
          </w:r>
        </w:sdtContent>
      </w:sdt>
      <w:r w:rsidR="00AB23F0">
        <w:rPr>
          <w:rFonts w:eastAsia="Symbol" w:cs="Symbol"/>
          <w:sz w:val="22"/>
          <w:szCs w:val="22"/>
        </w:rPr>
        <w:t xml:space="preserve">, Leibniz clearly changed his mind and became a firm </w:t>
      </w:r>
      <w:r w:rsidR="00D22CDF">
        <w:rPr>
          <w:rFonts w:eastAsia="Symbol" w:cs="Symbol"/>
          <w:sz w:val="22"/>
          <w:szCs w:val="22"/>
        </w:rPr>
        <w:t>advocate</w:t>
      </w:r>
      <w:r w:rsidR="00AB23F0">
        <w:rPr>
          <w:rFonts w:eastAsia="Symbol" w:cs="Symbol"/>
          <w:sz w:val="22"/>
          <w:szCs w:val="22"/>
        </w:rPr>
        <w:t xml:space="preserve"> of possible worlds. What led Leibniz to conclude</w:t>
      </w:r>
      <w:r w:rsidR="00D22CDF">
        <w:rPr>
          <w:rFonts w:eastAsia="Symbol" w:cs="Symbol"/>
          <w:sz w:val="22"/>
          <w:szCs w:val="22"/>
        </w:rPr>
        <w:t xml:space="preserve"> (and not merely assume)</w:t>
      </w:r>
      <w:r w:rsidR="00AB23F0">
        <w:rPr>
          <w:rFonts w:eastAsia="Symbol" w:cs="Symbol"/>
          <w:sz w:val="22"/>
          <w:szCs w:val="22"/>
        </w:rPr>
        <w:t xml:space="preserve"> that </w:t>
      </w:r>
      <w:r w:rsidR="00D22CDF">
        <w:rPr>
          <w:rFonts w:eastAsia="Symbol" w:cs="Symbol"/>
          <w:sz w:val="22"/>
          <w:szCs w:val="22"/>
        </w:rPr>
        <w:t>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14:paraId="7D198F2C" w14:textId="77777777" w:rsidR="009438E6" w:rsidRPr="00A17249" w:rsidRDefault="009438E6">
      <w:pPr>
        <w:jc w:val="both"/>
        <w:rPr>
          <w:sz w:val="22"/>
          <w:szCs w:val="22"/>
        </w:rPr>
      </w:pPr>
    </w:p>
    <w:p w14:paraId="181FF3E1" w14:textId="64584BD9" w:rsidR="005A3AB6" w:rsidRDefault="00622F66">
      <w:pPr>
        <w:tabs>
          <w:tab w:val="center" w:pos="5940"/>
        </w:tabs>
        <w:jc w:val="both"/>
        <w:rPr>
          <w:rFonts w:eastAsia="Symbol" w:cs="Symbol"/>
          <w:sz w:val="22"/>
          <w:szCs w:val="22"/>
        </w:rPr>
      </w:pPr>
      <w:r>
        <w:rPr>
          <w:rFonts w:eastAsia="Symbol" w:cs="Symbol"/>
          <w:sz w:val="22"/>
          <w:szCs w:val="22"/>
        </w:rPr>
        <w:t>However,</w:t>
      </w:r>
      <w:r w:rsidR="005A3AB6">
        <w:rPr>
          <w:rFonts w:eastAsia="Symbol" w:cs="Symbol"/>
          <w:sz w:val="22"/>
          <w:szCs w:val="22"/>
        </w:rPr>
        <w:t xml:space="preserve"> even after the </w:t>
      </w:r>
      <w:r w:rsidR="005A3AB6" w:rsidRPr="005A3AB6">
        <w:rPr>
          <w:rFonts w:eastAsia="Symbol" w:cs="Symbol"/>
          <w:i/>
          <w:sz w:val="22"/>
          <w:szCs w:val="22"/>
        </w:rPr>
        <w:t>Theodicy</w:t>
      </w:r>
      <w:r w:rsidR="005A3AB6">
        <w:rPr>
          <w:rFonts w:eastAsia="Symbol" w:cs="Symbol"/>
          <w:sz w:val="22"/>
          <w:szCs w:val="22"/>
        </w:rPr>
        <w:t xml:space="preserve">, </w:t>
      </w:r>
      <w:r w:rsidR="005A3AB6" w:rsidRPr="005A3AB6">
        <w:rPr>
          <w:rFonts w:eastAsia="Symbol" w:cs="Symbol"/>
          <w:sz w:val="22"/>
          <w:szCs w:val="22"/>
        </w:rPr>
        <w:t>Leibniz</w:t>
      </w:r>
      <w:r w:rsidR="005A3AB6">
        <w:rPr>
          <w:rFonts w:eastAsia="Symbol" w:cs="Symbol"/>
          <w:sz w:val="22"/>
          <w:szCs w:val="22"/>
        </w:rPr>
        <w:t xml:space="preserve"> did not seem to have proposed any </w:t>
      </w:r>
      <w:r w:rsidR="00A9190E">
        <w:rPr>
          <w:rFonts w:eastAsia="Symbol" w:cs="Symbol"/>
          <w:sz w:val="22"/>
          <w:szCs w:val="22"/>
        </w:rPr>
        <w:t xml:space="preserve">alternative </w:t>
      </w:r>
      <w:r w:rsidR="005A3AB6">
        <w:rPr>
          <w:rFonts w:eastAsia="Symbol" w:cs="Symbol"/>
          <w:sz w:val="22"/>
          <w:szCs w:val="22"/>
        </w:rPr>
        <w:t xml:space="preserve">ontological argument relying on possible worlds and on notions of necessity and possibility of propositions. The argument found in paragraphs 40 to 45 of his </w:t>
      </w:r>
      <w:proofErr w:type="spellStart"/>
      <w:r w:rsidR="005A3AB6">
        <w:rPr>
          <w:rFonts w:eastAsia="Symbol" w:cs="Symbol"/>
          <w:i/>
          <w:sz w:val="22"/>
          <w:szCs w:val="22"/>
        </w:rPr>
        <w:t>Monadology</w:t>
      </w:r>
      <w:proofErr w:type="spellEnd"/>
      <w:r w:rsidR="005A3AB6">
        <w:rPr>
          <w:rFonts w:eastAsia="Symbol" w:cs="Symbol"/>
          <w:sz w:val="22"/>
          <w:szCs w:val="22"/>
        </w:rPr>
        <w:t xml:space="preserve"> (1714), for instance, is still of the same nature as the one reproduced and analyzed here, using necessity and possibility of concepts.</w:t>
      </w:r>
    </w:p>
    <w:p w14:paraId="32A1618B" w14:textId="77777777" w:rsidR="005A3AB6" w:rsidRDefault="005A3AB6">
      <w:pPr>
        <w:tabs>
          <w:tab w:val="center" w:pos="5940"/>
        </w:tabs>
        <w:jc w:val="both"/>
        <w:rPr>
          <w:rFonts w:eastAsia="Symbol" w:cs="Symbol"/>
          <w:sz w:val="22"/>
          <w:szCs w:val="22"/>
        </w:rPr>
      </w:pPr>
    </w:p>
    <w:p w14:paraId="7427D9B9" w14:textId="483ED54D" w:rsidR="005A3AB6" w:rsidRDefault="005A3AB6">
      <w:pPr>
        <w:tabs>
          <w:tab w:val="center" w:pos="5940"/>
        </w:tabs>
        <w:jc w:val="both"/>
        <w:rPr>
          <w:rFonts w:eastAsia="Symbol" w:cs="Symbol"/>
          <w:sz w:val="22"/>
          <w:szCs w:val="22"/>
        </w:rPr>
      </w:pPr>
      <w:r>
        <w:rPr>
          <w:rFonts w:eastAsia="Symbol" w:cs="Symbol"/>
          <w:sz w:val="22"/>
          <w:szCs w:val="22"/>
        </w:rPr>
        <w:t>In the 20</w:t>
      </w:r>
      <w:r w:rsidRPr="005A3AB6">
        <w:rPr>
          <w:rFonts w:eastAsia="Symbol" w:cs="Symbol"/>
          <w:sz w:val="22"/>
          <w:szCs w:val="22"/>
          <w:vertAlign w:val="superscript"/>
        </w:rPr>
        <w:t>th</w:t>
      </w:r>
      <w:r w:rsidR="00304602">
        <w:rPr>
          <w:rFonts w:eastAsia="Symbol" w:cs="Symbol"/>
          <w:sz w:val="22"/>
          <w:szCs w:val="22"/>
        </w:rPr>
        <w:t xml:space="preserve"> Century, with the revival of possible worlds semantics, there have been several ontological arguments based on modern modal logics. At least two of them are known to have been inspired by Leibniz’s ideas: Gödel’s ontological argument </w:t>
      </w:r>
      <w:sdt>
        <w:sdtPr>
          <w:rPr>
            <w:rFonts w:eastAsia="Symbol" w:cs="Symbol"/>
            <w:sz w:val="22"/>
            <w:szCs w:val="22"/>
          </w:rPr>
          <w:id w:val="86499739"/>
          <w:citation/>
        </w:sdtPr>
        <w:sdtContent>
          <w:r w:rsidR="00304602">
            <w:rPr>
              <w:rFonts w:eastAsia="Symbol" w:cs="Symbol"/>
              <w:sz w:val="22"/>
              <w:szCs w:val="22"/>
            </w:rPr>
            <w:fldChar w:fldCharType="begin"/>
          </w:r>
          <w:r w:rsidR="00304602">
            <w:rPr>
              <w:rFonts w:eastAsia="Symbol" w:cs="Symbol"/>
              <w:sz w:val="22"/>
              <w:szCs w:val="22"/>
            </w:rPr>
            <w:instrText xml:space="preserve"> CITATION Göd70 \l 1033 </w:instrText>
          </w:r>
          <w:r w:rsidR="00304602">
            <w:rPr>
              <w:rFonts w:eastAsia="Symbol" w:cs="Symbol"/>
              <w:sz w:val="22"/>
              <w:szCs w:val="22"/>
            </w:rPr>
            <w:fldChar w:fldCharType="separate"/>
          </w:r>
          <w:r w:rsidR="00304602" w:rsidRPr="00304602">
            <w:rPr>
              <w:rFonts w:eastAsia="Symbol" w:cs="Symbol"/>
              <w:noProof/>
              <w:sz w:val="22"/>
              <w:szCs w:val="22"/>
            </w:rPr>
            <w:t>(Gödel, 1970)</w:t>
          </w:r>
          <w:r w:rsidR="00304602">
            <w:rPr>
              <w:rFonts w:eastAsia="Symbol" w:cs="Symbol"/>
              <w:sz w:val="22"/>
              <w:szCs w:val="22"/>
            </w:rPr>
            <w:fldChar w:fldCharType="end"/>
          </w:r>
        </w:sdtContent>
      </w:sdt>
      <w:r w:rsidR="00304602">
        <w:rPr>
          <w:rFonts w:eastAsia="Symbol" w:cs="Symbol"/>
          <w:sz w:val="22"/>
          <w:szCs w:val="22"/>
        </w:rPr>
        <w:t xml:space="preserve"> and </w:t>
      </w:r>
      <w:proofErr w:type="spellStart"/>
      <w:r w:rsidR="00304602">
        <w:rPr>
          <w:rFonts w:eastAsia="Symbol" w:cs="Symbol"/>
          <w:sz w:val="22"/>
          <w:szCs w:val="22"/>
        </w:rPr>
        <w:t>Lenzen’s</w:t>
      </w:r>
      <w:proofErr w:type="spellEnd"/>
      <w:r w:rsidR="00304602">
        <w:rPr>
          <w:rFonts w:eastAsia="Symbol" w:cs="Symbol"/>
          <w:sz w:val="22"/>
          <w:szCs w:val="22"/>
        </w:rPr>
        <w:t xml:space="preserve"> ontological arguments </w:t>
      </w:r>
      <w:sdt>
        <w:sdtPr>
          <w:rPr>
            <w:rFonts w:eastAsia="Symbol" w:cs="Symbol"/>
            <w:sz w:val="22"/>
            <w:szCs w:val="22"/>
          </w:rPr>
          <w:id w:val="1137917487"/>
          <w:citation/>
        </w:sdtPr>
        <w:sdtContent>
          <w:r w:rsidR="00304602">
            <w:rPr>
              <w:rFonts w:eastAsia="Symbol" w:cs="Symbol"/>
              <w:sz w:val="22"/>
              <w:szCs w:val="22"/>
            </w:rPr>
            <w:fldChar w:fldCharType="begin"/>
          </w:r>
          <w:r w:rsidR="00304602">
            <w:rPr>
              <w:rFonts w:eastAsia="Symbol" w:cs="Symbol"/>
              <w:sz w:val="22"/>
              <w:szCs w:val="22"/>
            </w:rPr>
            <w:instrText xml:space="preserve"> CITATION Len90 \l 1033 </w:instrText>
          </w:r>
          <w:r w:rsidR="00304602">
            <w:rPr>
              <w:rFonts w:eastAsia="Symbol" w:cs="Symbol"/>
              <w:sz w:val="22"/>
              <w:szCs w:val="22"/>
            </w:rPr>
            <w:fldChar w:fldCharType="separate"/>
          </w:r>
          <w:r w:rsidR="00304602" w:rsidRPr="00304602">
            <w:rPr>
              <w:rFonts w:eastAsia="Symbol" w:cs="Symbol"/>
              <w:noProof/>
              <w:sz w:val="22"/>
              <w:szCs w:val="22"/>
            </w:rPr>
            <w:t>(Lenzen, Das System der Leibniz'schen Logik, 1990)</w:t>
          </w:r>
          <w:r w:rsidR="00304602">
            <w:rPr>
              <w:rFonts w:eastAsia="Symbol" w:cs="Symbol"/>
              <w:sz w:val="22"/>
              <w:szCs w:val="22"/>
            </w:rPr>
            <w:fldChar w:fldCharType="end"/>
          </w:r>
        </w:sdtContent>
      </w:sdt>
      <w:sdt>
        <w:sdtPr>
          <w:rPr>
            <w:rFonts w:eastAsia="Symbol" w:cs="Symbol"/>
            <w:sz w:val="22"/>
            <w:szCs w:val="22"/>
          </w:rPr>
          <w:id w:val="-1908839353"/>
          <w:citation/>
        </w:sdtPr>
        <w:sdtContent>
          <w:r w:rsidR="00304602">
            <w:rPr>
              <w:rFonts w:eastAsia="Symbol" w:cs="Symbol"/>
              <w:sz w:val="22"/>
              <w:szCs w:val="22"/>
            </w:rPr>
            <w:fldChar w:fldCharType="begin"/>
          </w:r>
          <w:r w:rsidR="00304602">
            <w:rPr>
              <w:rFonts w:eastAsia="Symbol" w:cs="Symbol"/>
              <w:sz w:val="22"/>
              <w:szCs w:val="22"/>
            </w:rPr>
            <w:instrText xml:space="preserve"> CITATION Len16 \l 1033 </w:instrText>
          </w:r>
          <w:r w:rsidR="00304602">
            <w:rPr>
              <w:rFonts w:eastAsia="Symbol" w:cs="Symbol"/>
              <w:sz w:val="22"/>
              <w:szCs w:val="22"/>
            </w:rPr>
            <w:fldChar w:fldCharType="separate"/>
          </w:r>
          <w:r w:rsidR="00304602">
            <w:rPr>
              <w:rFonts w:eastAsia="Symbol" w:cs="Symbol"/>
              <w:noProof/>
              <w:sz w:val="22"/>
              <w:szCs w:val="22"/>
            </w:rPr>
            <w:t xml:space="preserve"> </w:t>
          </w:r>
          <w:r w:rsidR="00304602" w:rsidRPr="00304602">
            <w:rPr>
              <w:rFonts w:eastAsia="Symbol" w:cs="Symbol"/>
              <w:noProof/>
              <w:sz w:val="22"/>
              <w:szCs w:val="22"/>
            </w:rPr>
            <w:t>(Lenzen, Leibniz's Ontological Proof of the Existence of God and the Problem of "Impossible Objects", 2016)</w:t>
          </w:r>
          <w:r w:rsidR="00304602">
            <w:rPr>
              <w:rFonts w:eastAsia="Symbol" w:cs="Symbol"/>
              <w:sz w:val="22"/>
              <w:szCs w:val="22"/>
            </w:rPr>
            <w:fldChar w:fldCharType="end"/>
          </w:r>
        </w:sdtContent>
      </w:sdt>
      <w:r w:rsidR="00304602">
        <w:rPr>
          <w:rFonts w:eastAsia="Symbol" w:cs="Symbol"/>
          <w:sz w:val="22"/>
          <w:szCs w:val="22"/>
        </w:rPr>
        <w:t xml:space="preserve">. However, for technical and historical reasons, the use of modern modal logics is probably better attributable to Gödel and </w:t>
      </w:r>
      <w:proofErr w:type="spellStart"/>
      <w:r w:rsidR="00304602">
        <w:rPr>
          <w:rFonts w:eastAsia="Symbol" w:cs="Symbol"/>
          <w:sz w:val="22"/>
          <w:szCs w:val="22"/>
        </w:rPr>
        <w:t>Lenzen</w:t>
      </w:r>
      <w:proofErr w:type="spellEnd"/>
      <w:r w:rsidR="00304602">
        <w:rPr>
          <w:rFonts w:eastAsia="Symbol" w:cs="Symbol"/>
          <w:sz w:val="22"/>
          <w:szCs w:val="22"/>
        </w:rPr>
        <w:t>, and not to Leibniz.</w:t>
      </w:r>
    </w:p>
    <w:p w14:paraId="4AC7C88C" w14:textId="2038FE03" w:rsidR="00783315" w:rsidRPr="00A17249" w:rsidRDefault="00783315" w:rsidP="00D11850">
      <w:pPr>
        <w:tabs>
          <w:tab w:val="center" w:pos="5940"/>
        </w:tabs>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6200CF87" w14:textId="74EE8174" w:rsidR="00D11850" w:rsidRPr="005848FD" w:rsidRDefault="003A4C67">
      <w:pPr>
        <w:jc w:val="both"/>
        <w:rPr>
          <w:rFonts w:eastAsia="Symbol" w:cs="Symbol"/>
          <w:sz w:val="22"/>
          <w:szCs w:val="22"/>
        </w:rPr>
      </w:pPr>
      <w:r>
        <w:rPr>
          <w:rFonts w:eastAsia="Symbol" w:cs="Symbol"/>
          <w:sz w:val="22"/>
          <w:szCs w:val="22"/>
        </w:rPr>
        <w:t>The formalization of Leibniz’s ontological argument in his own Algebra of Concepts, as presented here, is historically faithful to the ideals of the young Leibniz at the time when he wrote the argument. The formalization process led to the</w:t>
      </w:r>
      <w:r w:rsidR="005848FD">
        <w:rPr>
          <w:rFonts w:eastAsia="Symbol" w:cs="Symbol"/>
          <w:sz w:val="22"/>
          <w:szCs w:val="22"/>
        </w:rPr>
        <w:t xml:space="preserve"> unexpected</w:t>
      </w:r>
      <w:r>
        <w:rPr>
          <w:rFonts w:eastAsia="Symbol" w:cs="Symbol"/>
          <w:sz w:val="22"/>
          <w:szCs w:val="22"/>
        </w:rPr>
        <w:t xml:space="preserve"> discovery that the </w:t>
      </w:r>
      <w:r w:rsidR="005848FD">
        <w:rPr>
          <w:rFonts w:eastAsia="Symbol" w:cs="Symbol"/>
          <w:sz w:val="22"/>
          <w:szCs w:val="22"/>
        </w:rPr>
        <w:t xml:space="preserve">alternative </w:t>
      </w:r>
      <w:r>
        <w:rPr>
          <w:rFonts w:eastAsia="Symbol" w:cs="Symbol"/>
          <w:sz w:val="22"/>
          <w:szCs w:val="22"/>
        </w:rPr>
        <w:t>notions</w:t>
      </w:r>
      <w:r w:rsidR="005848FD">
        <w:rPr>
          <w:rFonts w:eastAsia="Symbol" w:cs="Symbol"/>
          <w:sz w:val="22"/>
          <w:szCs w:val="22"/>
        </w:rPr>
        <w:t xml:space="preserve"> of God as </w:t>
      </w:r>
      <w:proofErr w:type="spellStart"/>
      <w:r w:rsidR="005848FD">
        <w:rPr>
          <w:rFonts w:eastAsia="Symbol" w:cs="Symbol"/>
          <w:i/>
          <w:sz w:val="22"/>
          <w:szCs w:val="22"/>
        </w:rPr>
        <w:t>Ens</w:t>
      </w:r>
      <w:proofErr w:type="spellEnd"/>
      <w:r w:rsidR="005848FD">
        <w:rPr>
          <w:rFonts w:eastAsia="Symbol" w:cs="Symbol"/>
          <w:i/>
          <w:sz w:val="22"/>
          <w:szCs w:val="22"/>
        </w:rPr>
        <w:t xml:space="preserve"> </w:t>
      </w:r>
      <w:proofErr w:type="spellStart"/>
      <w:r w:rsidR="005848FD">
        <w:rPr>
          <w:rFonts w:eastAsia="Symbol" w:cs="Symbol"/>
          <w:i/>
          <w:sz w:val="22"/>
          <w:szCs w:val="22"/>
        </w:rPr>
        <w:t>necessarium</w:t>
      </w:r>
      <w:proofErr w:type="spellEnd"/>
      <w:r w:rsidR="005848FD">
        <w:rPr>
          <w:rFonts w:eastAsia="Symbol" w:cs="Symbol"/>
          <w:sz w:val="22"/>
          <w:szCs w:val="22"/>
        </w:rPr>
        <w:t xml:space="preserve"> and as </w:t>
      </w:r>
      <w:proofErr w:type="spellStart"/>
      <w:r w:rsidR="005848FD">
        <w:rPr>
          <w:rFonts w:eastAsia="Symbol" w:cs="Symbol"/>
          <w:i/>
          <w:sz w:val="22"/>
          <w:szCs w:val="22"/>
        </w:rPr>
        <w:t>Ens</w:t>
      </w:r>
      <w:proofErr w:type="spellEnd"/>
      <w:r w:rsidR="005848FD">
        <w:rPr>
          <w:rFonts w:eastAsia="Symbol" w:cs="Symbol"/>
          <w:i/>
          <w:sz w:val="22"/>
          <w:szCs w:val="22"/>
        </w:rPr>
        <w:t xml:space="preserve"> ex </w:t>
      </w:r>
      <w:proofErr w:type="spellStart"/>
      <w:r w:rsidR="005848FD">
        <w:rPr>
          <w:rFonts w:eastAsia="Symbol" w:cs="Symbol"/>
          <w:i/>
          <w:sz w:val="22"/>
          <w:szCs w:val="22"/>
        </w:rPr>
        <w:t>cujus</w:t>
      </w:r>
      <w:proofErr w:type="spellEnd"/>
      <w:r w:rsidR="005848FD">
        <w:rPr>
          <w:rFonts w:eastAsia="Symbol" w:cs="Symbol"/>
          <w:i/>
          <w:sz w:val="22"/>
          <w:szCs w:val="22"/>
        </w:rPr>
        <w:t xml:space="preserve"> </w:t>
      </w:r>
      <w:proofErr w:type="spellStart"/>
      <w:r w:rsidR="005848FD">
        <w:rPr>
          <w:rFonts w:eastAsia="Symbol" w:cs="Symbol"/>
          <w:i/>
          <w:sz w:val="22"/>
          <w:szCs w:val="22"/>
        </w:rPr>
        <w:t>essentia</w:t>
      </w:r>
      <w:proofErr w:type="spellEnd"/>
      <w:r w:rsidR="005848FD">
        <w:rPr>
          <w:rFonts w:eastAsia="Symbol" w:cs="Symbol"/>
          <w:i/>
          <w:sz w:val="22"/>
          <w:szCs w:val="22"/>
        </w:rPr>
        <w:t xml:space="preserve"> sequitur </w:t>
      </w:r>
      <w:proofErr w:type="spellStart"/>
      <w:r w:rsidR="005848FD">
        <w:rPr>
          <w:rFonts w:eastAsia="Symbol" w:cs="Symbol"/>
          <w:i/>
          <w:sz w:val="22"/>
          <w:szCs w:val="22"/>
        </w:rPr>
        <w:t>existentia</w:t>
      </w:r>
      <w:proofErr w:type="spellEnd"/>
      <w:r w:rsidR="005848FD">
        <w:rPr>
          <w:rFonts w:eastAsia="Symbol" w:cs="Symbol"/>
          <w:sz w:val="22"/>
          <w:szCs w:val="22"/>
        </w:rPr>
        <w:t xml:space="preserve"> are actually distinct, according to </w:t>
      </w:r>
      <w:r w:rsidR="005848FD">
        <w:rPr>
          <w:rFonts w:eastAsia="Symbol" w:cs="Symbol"/>
          <w:sz w:val="22"/>
          <w:szCs w:val="22"/>
        </w:rPr>
        <w:lastRenderedPageBreak/>
        <w:t>Leibniz’s own definitions. Leibniz equates both concepts, but his argument succeeds with the former and fails with the latter.</w:t>
      </w:r>
    </w:p>
    <w:p w14:paraId="04F56165" w14:textId="77777777" w:rsidR="003A4C67" w:rsidRDefault="003A4C67">
      <w:pPr>
        <w:jc w:val="both"/>
        <w:rPr>
          <w:rFonts w:eastAsia="Symbol" w:cs="Symbol"/>
          <w:sz w:val="22"/>
          <w:szCs w:val="22"/>
        </w:rPr>
      </w:pPr>
    </w:p>
    <w:p w14:paraId="0AF394E8" w14:textId="2626BF56" w:rsidR="00490C5B" w:rsidRDefault="005848FD" w:rsidP="00D42D91">
      <w:pPr>
        <w:jc w:val="both"/>
        <w:rPr>
          <w:rFonts w:eastAsia="Symbol" w:cs="Symbol"/>
          <w:sz w:val="22"/>
          <w:szCs w:val="22"/>
        </w:rPr>
      </w:pPr>
      <w:r>
        <w:rPr>
          <w:rFonts w:eastAsia="Symbol" w:cs="Symbol"/>
          <w:sz w:val="22"/>
          <w:szCs w:val="22"/>
        </w:rPr>
        <w:t>The methodology used in this work, i.e. the use of interactive and automated reasoning tools for metaphysics, has already been used extensively for the analysis of Gödel’s ontological argument</w:t>
      </w:r>
      <w:r w:rsidR="001B2DF9">
        <w:rPr>
          <w:rFonts w:eastAsia="Symbol" w:cs="Symbol"/>
          <w:sz w:val="22"/>
          <w:szCs w:val="22"/>
        </w:rPr>
        <w:t xml:space="preserve"> </w:t>
      </w:r>
      <w:r>
        <w:rPr>
          <w:rFonts w:eastAsia="Symbol" w:cs="Symbol"/>
          <w:sz w:val="22"/>
          <w:szCs w:val="22"/>
        </w:rPr>
        <w:t xml:space="preserve">and its variants </w:t>
      </w:r>
      <w:r w:rsidR="00D42D91" w:rsidRPr="001B2DF9">
        <w:rPr>
          <w:rFonts w:eastAsia="Symbol" w:cs="Symbol"/>
          <w:noProof/>
          <w:sz w:val="22"/>
          <w:szCs w:val="22"/>
        </w:rPr>
        <w:t xml:space="preserve">(Benzmüller &amp; Woltzenlogel Paleo, </w:t>
      </w:r>
      <w:r w:rsidR="00D42D91">
        <w:rPr>
          <w:rFonts w:eastAsia="Symbol" w:cs="Symbol"/>
          <w:noProof/>
          <w:sz w:val="22"/>
          <w:szCs w:val="22"/>
        </w:rPr>
        <w:t>2013-</w:t>
      </w:r>
      <w:r w:rsidR="00D42D91" w:rsidRPr="001B2DF9">
        <w:rPr>
          <w:rFonts w:eastAsia="Symbol" w:cs="Symbol"/>
          <w:noProof/>
          <w:sz w:val="22"/>
          <w:szCs w:val="22"/>
        </w:rPr>
        <w:t>2016)</w:t>
      </w:r>
      <w:r w:rsidR="00D42D91">
        <w:rPr>
          <w:rFonts w:eastAsia="Symbol" w:cs="Symbol"/>
          <w:sz w:val="22"/>
          <w:szCs w:val="22"/>
        </w:rPr>
        <w:t xml:space="preserve">, </w:t>
      </w:r>
      <w:r w:rsidR="00BF7EFE">
        <w:rPr>
          <w:rFonts w:eastAsia="Symbol" w:cs="Symbol"/>
          <w:sz w:val="22"/>
          <w:szCs w:val="22"/>
        </w:rPr>
        <w:t>as well as for Anselm’s ontological argument</w:t>
      </w:r>
      <w:r w:rsidR="00D42D91">
        <w:rPr>
          <w:rFonts w:eastAsia="Symbol" w:cs="Symbol"/>
          <w:sz w:val="22"/>
          <w:szCs w:val="22"/>
        </w:rPr>
        <w:t xml:space="preserve"> </w:t>
      </w:r>
      <w:sdt>
        <w:sdtPr>
          <w:rPr>
            <w:rFonts w:eastAsia="Symbol" w:cs="Symbol"/>
            <w:sz w:val="22"/>
            <w:szCs w:val="22"/>
          </w:rPr>
          <w:id w:val="854382616"/>
          <w:citation/>
        </w:sdtPr>
        <w:sdtContent>
          <w:r w:rsidR="00D42D91">
            <w:rPr>
              <w:rFonts w:eastAsia="Symbol" w:cs="Symbol"/>
              <w:sz w:val="22"/>
              <w:szCs w:val="22"/>
            </w:rPr>
            <w:fldChar w:fldCharType="begin"/>
          </w:r>
          <w:r w:rsidR="00D42D91">
            <w:rPr>
              <w:rFonts w:eastAsia="Symbol" w:cs="Symbol"/>
              <w:sz w:val="22"/>
              <w:szCs w:val="22"/>
            </w:rPr>
            <w:instrText xml:space="preserve"> CITATION Opp11 \l 1033 </w:instrText>
          </w:r>
          <w:r w:rsidR="00D42D91">
            <w:rPr>
              <w:rFonts w:eastAsia="Symbol" w:cs="Symbol"/>
              <w:sz w:val="22"/>
              <w:szCs w:val="22"/>
            </w:rPr>
            <w:fldChar w:fldCharType="separate"/>
          </w:r>
          <w:r w:rsidR="00D42D91" w:rsidRPr="00D42D91">
            <w:rPr>
              <w:rFonts w:eastAsia="Symbol" w:cs="Symbol"/>
              <w:noProof/>
              <w:sz w:val="22"/>
              <w:szCs w:val="22"/>
            </w:rPr>
            <w:t>(Oppenheimer &amp; Zalta, 2011)</w:t>
          </w:r>
          <w:r w:rsidR="00D42D91">
            <w:rPr>
              <w:rFonts w:eastAsia="Symbol" w:cs="Symbol"/>
              <w:sz w:val="22"/>
              <w:szCs w:val="22"/>
            </w:rPr>
            <w:fldChar w:fldCharType="end"/>
          </w:r>
        </w:sdtContent>
      </w:sdt>
      <w:r w:rsidR="00BF7EFE">
        <w:rPr>
          <w:rFonts w:eastAsia="Symbol" w:cs="Symbol"/>
          <w:sz w:val="22"/>
          <w:szCs w:val="22"/>
        </w:rPr>
        <w:t xml:space="preserve"> </w:t>
      </w:r>
      <w:sdt>
        <w:sdtPr>
          <w:rPr>
            <w:rFonts w:eastAsia="Symbol" w:cs="Symbol"/>
            <w:sz w:val="22"/>
            <w:szCs w:val="22"/>
          </w:rPr>
          <w:id w:val="-1457868981"/>
          <w:citation/>
        </w:sdtPr>
        <w:sdtContent>
          <w:r w:rsidR="00BF7EFE">
            <w:rPr>
              <w:rFonts w:eastAsia="Symbol" w:cs="Symbol"/>
              <w:sz w:val="22"/>
              <w:szCs w:val="22"/>
            </w:rPr>
            <w:fldChar w:fldCharType="begin"/>
          </w:r>
          <w:r w:rsidR="00BF7EFE">
            <w:rPr>
              <w:rFonts w:eastAsia="Symbol" w:cs="Symbol"/>
              <w:sz w:val="22"/>
              <w:szCs w:val="22"/>
            </w:rPr>
            <w:instrText xml:space="preserve"> CITATION Rus13 \l 1033 </w:instrText>
          </w:r>
          <w:r w:rsidR="00BF7EFE">
            <w:rPr>
              <w:rFonts w:eastAsia="Symbol" w:cs="Symbol"/>
              <w:sz w:val="22"/>
              <w:szCs w:val="22"/>
            </w:rPr>
            <w:fldChar w:fldCharType="separate"/>
          </w:r>
          <w:r w:rsidR="00BF7EFE" w:rsidRPr="00BF7EFE">
            <w:rPr>
              <w:rFonts w:eastAsia="Symbol" w:cs="Symbol"/>
              <w:noProof/>
              <w:sz w:val="22"/>
              <w:szCs w:val="22"/>
            </w:rPr>
            <w:t>(Rushby, 2013)</w:t>
          </w:r>
          <w:r w:rsidR="00BF7EFE">
            <w:rPr>
              <w:rFonts w:eastAsia="Symbol" w:cs="Symbol"/>
              <w:sz w:val="22"/>
              <w:szCs w:val="22"/>
            </w:rPr>
            <w:fldChar w:fldCharType="end"/>
          </w:r>
        </w:sdtContent>
      </w:sdt>
      <w:r>
        <w:rPr>
          <w:rFonts w:eastAsia="Symbol" w:cs="Symbol"/>
          <w:sz w:val="22"/>
          <w:szCs w:val="22"/>
        </w:rPr>
        <w:t xml:space="preserve">. We hope that </w:t>
      </w:r>
      <w:r w:rsidR="00BF7EFE">
        <w:rPr>
          <w:rFonts w:eastAsia="Symbol" w:cs="Symbol"/>
          <w:sz w:val="22"/>
          <w:szCs w:val="22"/>
        </w:rPr>
        <w:t xml:space="preserve">the use of </w:t>
      </w:r>
      <w:r>
        <w:rPr>
          <w:rFonts w:eastAsia="Symbol" w:cs="Symbol"/>
          <w:sz w:val="22"/>
          <w:szCs w:val="22"/>
        </w:rPr>
        <w:t xml:space="preserve">such reasoning tools will continue to shed light into </w:t>
      </w:r>
      <w:r w:rsidR="00B5414B">
        <w:rPr>
          <w:rFonts w:eastAsia="Symbol" w:cs="Symbol"/>
          <w:sz w:val="22"/>
          <w:szCs w:val="22"/>
        </w:rPr>
        <w:t>metaphysics, and that metaphysics, through its modern revival, will once again push the development of logic for the benefit of humankind.</w:t>
      </w:r>
    </w:p>
    <w:p w14:paraId="5505499A" w14:textId="77777777" w:rsidR="005848FD" w:rsidRDefault="005848FD" w:rsidP="005848FD">
      <w:pPr>
        <w:tabs>
          <w:tab w:val="center" w:pos="5940"/>
        </w:tabs>
        <w:jc w:val="both"/>
        <w:rPr>
          <w:rFonts w:eastAsia="Symbol" w:cs="Symbol"/>
          <w:sz w:val="22"/>
          <w:szCs w:val="22"/>
        </w:rPr>
      </w:pPr>
    </w:p>
    <w:sdt>
      <w:sdtPr>
        <w:id w:val="-1621374943"/>
        <w:docPartObj>
          <w:docPartGallery w:val="Bibliographies"/>
          <w:docPartUnique/>
        </w:docPartObj>
      </w:sdtPr>
      <w:sdtContent>
        <w:p w14:paraId="21673256" w14:textId="33BF5F0C" w:rsidR="00D42D91" w:rsidRDefault="00D42D91">
          <w:pPr>
            <w:pStyle w:val="Heading1"/>
            <w:rPr>
              <w:b/>
              <w:i/>
              <w:sz w:val="22"/>
              <w:szCs w:val="22"/>
            </w:rPr>
          </w:pPr>
          <w:r w:rsidRPr="00D42D91">
            <w:rPr>
              <w:b/>
              <w:i/>
              <w:sz w:val="22"/>
              <w:szCs w:val="22"/>
            </w:rPr>
            <w:t>Bibliography</w:t>
          </w:r>
        </w:p>
        <w:p w14:paraId="7DF021D3" w14:textId="77777777" w:rsidR="00D42D91" w:rsidRPr="00D42D91" w:rsidRDefault="00D42D91" w:rsidP="00D42D91"/>
        <w:sdt>
          <w:sdtPr>
            <w:id w:val="111145805"/>
            <w:bibliography/>
          </w:sdtPr>
          <w:sdtContent>
            <w:p w14:paraId="314AD54D" w14:textId="77777777" w:rsidR="00D42D91" w:rsidRDefault="00D42D91" w:rsidP="00D42D91">
              <w:pPr>
                <w:pStyle w:val="Bibliography"/>
                <w:ind w:left="720" w:hanging="720"/>
                <w:rPr>
                  <w:noProof/>
                  <w:sz w:val="24"/>
                  <w:szCs w:val="24"/>
                </w:rPr>
              </w:pPr>
              <w:r>
                <w:fldChar w:fldCharType="begin"/>
              </w:r>
              <w:r>
                <w:instrText xml:space="preserve"> BIBLIOGRAPHY </w:instrText>
              </w:r>
              <w:r>
                <w:fldChar w:fldCharType="separate"/>
              </w:r>
              <w:r>
                <w:rPr>
                  <w:noProof/>
                </w:rPr>
                <w:t xml:space="preserve">Antognazza, M. R. (2009). </w:t>
              </w:r>
              <w:r>
                <w:rPr>
                  <w:i/>
                  <w:iCs/>
                  <w:noProof/>
                </w:rPr>
                <w:t>Leibniz: An Intellectual Biography.</w:t>
              </w:r>
              <w:r>
                <w:rPr>
                  <w:noProof/>
                </w:rPr>
                <w:t xml:space="preserve"> New York, NY, USA: Cambridge University Press.</w:t>
              </w:r>
            </w:p>
            <w:p w14:paraId="1EE5AAF7" w14:textId="77777777" w:rsidR="00D42D91" w:rsidRDefault="00D42D91" w:rsidP="00D42D91">
              <w:pPr>
                <w:pStyle w:val="Bibliography"/>
                <w:ind w:left="720" w:hanging="720"/>
                <w:rPr>
                  <w:noProof/>
                </w:rPr>
              </w:pPr>
              <w:r>
                <w:rPr>
                  <w:noProof/>
                </w:rPr>
                <w:t xml:space="preserve">Benzmüller, C., &amp; Woltzenlogel Paleo, B. (2013). Automated Verification and Reconstruction of Gödel's Proof of God's Existence. </w:t>
              </w:r>
              <w:r>
                <w:rPr>
                  <w:i/>
                  <w:iCs/>
                  <w:noProof/>
                </w:rPr>
                <w:t>Journal of the Austrian Computer Society</w:t>
              </w:r>
              <w:r>
                <w:rPr>
                  <w:noProof/>
                </w:rPr>
                <w:t>, 4-6.</w:t>
              </w:r>
            </w:p>
            <w:p w14:paraId="6BDC7DD9" w14:textId="77777777" w:rsidR="00D42D91" w:rsidRDefault="00D42D91" w:rsidP="00D42D91">
              <w:pPr>
                <w:pStyle w:val="Bibliography"/>
                <w:ind w:left="720" w:hanging="720"/>
                <w:rPr>
                  <w:noProof/>
                </w:rPr>
              </w:pPr>
              <w:r>
                <w:rPr>
                  <w:noProof/>
                </w:rPr>
                <w:t xml:space="preserve">Benzmüller, C., &amp; Woltzenlogel Paleo, B. (2013). Formalization, Mechanization and Automation of Gödel's Proof of God's Existence. </w:t>
              </w:r>
              <w:r>
                <w:rPr>
                  <w:i/>
                  <w:iCs/>
                  <w:noProof/>
                </w:rPr>
                <w:t>arXiv, 1308.4526</w:t>
              </w:r>
              <w:r>
                <w:rPr>
                  <w:noProof/>
                </w:rPr>
                <w:t>. arXiv.</w:t>
              </w:r>
            </w:p>
            <w:p w14:paraId="04D4EFE9" w14:textId="77777777" w:rsidR="00D42D91" w:rsidRDefault="00D42D91" w:rsidP="00D42D91">
              <w:pPr>
                <w:pStyle w:val="Bibliography"/>
                <w:ind w:left="720" w:hanging="720"/>
                <w:rPr>
                  <w:noProof/>
                </w:rPr>
              </w:pPr>
              <w:r>
                <w:rPr>
                  <w:noProof/>
                </w:rPr>
                <w:t xml:space="preserve">Benzmüller, C., &amp; Woltzenlogel Paleo, B. (2013). Gödel's God in Isabelle/HOL. </w:t>
              </w:r>
              <w:r>
                <w:rPr>
                  <w:i/>
                  <w:iCs/>
                  <w:noProof/>
                </w:rPr>
                <w:t>Archive of Formal Proofs</w:t>
              </w:r>
              <w:r>
                <w:rPr>
                  <w:noProof/>
                </w:rPr>
                <w:t>.</w:t>
              </w:r>
            </w:p>
            <w:p w14:paraId="78047DB5" w14:textId="77777777" w:rsidR="00D42D91" w:rsidRDefault="00D42D91" w:rsidP="00D42D91">
              <w:pPr>
                <w:pStyle w:val="Bibliography"/>
                <w:ind w:left="720" w:hanging="720"/>
                <w:rPr>
                  <w:noProof/>
                </w:rPr>
              </w:pPr>
              <w:r>
                <w:rPr>
                  <w:noProof/>
                </w:rPr>
                <w:t xml:space="preserve">Benzmüller, C., &amp; Woltzenlogel Paleo, B. (2013). Gödel's God on the Computer. </w:t>
              </w:r>
              <w:r>
                <w:rPr>
                  <w:i/>
                  <w:iCs/>
                  <w:noProof/>
                </w:rPr>
                <w:t>10th International Workshop on the Implementation of Logics</w:t>
              </w:r>
              <w:r>
                <w:rPr>
                  <w:noProof/>
                </w:rPr>
                <w:t>, (pp. 1-2).</w:t>
              </w:r>
            </w:p>
            <w:p w14:paraId="5F576E35" w14:textId="77777777" w:rsidR="00D42D91" w:rsidRDefault="00D42D91" w:rsidP="00D42D91">
              <w:pPr>
                <w:pStyle w:val="Bibliography"/>
                <w:ind w:left="720" w:hanging="720"/>
                <w:rPr>
                  <w:noProof/>
                </w:rPr>
              </w:pPr>
              <w:r>
                <w:rPr>
                  <w:noProof/>
                </w:rPr>
                <w:t xml:space="preserve">Benzmüller, C., &amp; Woltzenlogel Paleo, B. (2014). Automating Gödel's Ontological Proof of God's Existence with Higher-Order Theorem Provers. </w:t>
              </w:r>
              <w:r>
                <w:rPr>
                  <w:i/>
                  <w:iCs/>
                  <w:noProof/>
                </w:rPr>
                <w:t>European Conference on Artificial Intelligence - Frontiers in Artificial Intelligence and Applications.</w:t>
              </w:r>
              <w:r>
                <w:rPr>
                  <w:noProof/>
                </w:rPr>
                <w:t xml:space="preserve"> </w:t>
              </w:r>
              <w:r>
                <w:rPr>
                  <w:i/>
                  <w:iCs/>
                  <w:noProof/>
                </w:rPr>
                <w:t>263.</w:t>
              </w:r>
              <w:r>
                <w:rPr>
                  <w:noProof/>
                </w:rPr>
                <w:t xml:space="preserve"> Prague: IOS Press.</w:t>
              </w:r>
            </w:p>
            <w:p w14:paraId="382BBEFF" w14:textId="77777777" w:rsidR="00D42D91" w:rsidRDefault="00D42D91" w:rsidP="00D42D91">
              <w:pPr>
                <w:pStyle w:val="Bibliography"/>
                <w:ind w:left="720" w:hanging="720"/>
                <w:rPr>
                  <w:noProof/>
                </w:rPr>
              </w:pPr>
              <w:r>
                <w:rPr>
                  <w:noProof/>
                </w:rPr>
                <w:t xml:space="preserve">Benzmüller, C., &amp; Woltzenlogel Paleo, B. (2014). On Logic Embeddings and Gödel's God. </w:t>
              </w:r>
              <w:r>
                <w:rPr>
                  <w:i/>
                  <w:iCs/>
                  <w:noProof/>
                </w:rPr>
                <w:t>22nd International Workshop on Algebraic Development Techniques</w:t>
              </w:r>
              <w:r>
                <w:rPr>
                  <w:noProof/>
                </w:rPr>
                <w:t>, (pp. 8-9).</w:t>
              </w:r>
            </w:p>
            <w:p w14:paraId="014B0B04" w14:textId="77777777" w:rsidR="00D42D91" w:rsidRDefault="00D42D91" w:rsidP="00D42D91">
              <w:pPr>
                <w:pStyle w:val="Bibliography"/>
                <w:ind w:left="720" w:hanging="720"/>
                <w:rPr>
                  <w:noProof/>
                </w:rPr>
              </w:pPr>
              <w:r>
                <w:rPr>
                  <w:noProof/>
                </w:rPr>
                <w:t xml:space="preserve">Benzmüller, C., &amp; Woltzenlogel Paleo, B. (2015). Experiments in Computational Metaphysics. </w:t>
              </w:r>
              <w:r>
                <w:rPr>
                  <w:i/>
                  <w:iCs/>
                  <w:noProof/>
                </w:rPr>
                <w:t>9th All-India Students' Conference on Science and Spiritual Quest</w:t>
              </w:r>
              <w:r>
                <w:rPr>
                  <w:noProof/>
                </w:rPr>
                <w:t xml:space="preserve"> (pp. 23-40). Kharagpur: Science and Spiritual Quest - Bhaktivedanta Institute.</w:t>
              </w:r>
            </w:p>
            <w:p w14:paraId="36F24BC8" w14:textId="77777777" w:rsidR="00D42D91" w:rsidRDefault="00D42D91" w:rsidP="00D42D91">
              <w:pPr>
                <w:pStyle w:val="Bibliography"/>
                <w:ind w:left="720" w:hanging="720"/>
                <w:rPr>
                  <w:noProof/>
                </w:rPr>
              </w:pPr>
              <w:r>
                <w:rPr>
                  <w:noProof/>
                </w:rPr>
                <w:t xml:space="preserve">Benzmüller, C., &amp; Woltzenlogel Paleo, B. (2015). Interacting with Modal Logics in the Coq Proof Assistant. </w:t>
              </w:r>
              <w:r>
                <w:rPr>
                  <w:i/>
                  <w:iCs/>
                  <w:noProof/>
                </w:rPr>
                <w:t xml:space="preserve">10th International </w:t>
              </w:r>
              <w:r>
                <w:rPr>
                  <w:i/>
                  <w:iCs/>
                  <w:noProof/>
                </w:rPr>
                <w:lastRenderedPageBreak/>
                <w:t>Computer Science Symposium in Russia.</w:t>
              </w:r>
              <w:r>
                <w:rPr>
                  <w:noProof/>
                </w:rPr>
                <w:t xml:space="preserve"> </w:t>
              </w:r>
              <w:r>
                <w:rPr>
                  <w:i/>
                  <w:iCs/>
                  <w:noProof/>
                </w:rPr>
                <w:t>9139</w:t>
              </w:r>
              <w:r>
                <w:rPr>
                  <w:noProof/>
                </w:rPr>
                <w:t>, pp. 398-411. Springer.</w:t>
              </w:r>
            </w:p>
            <w:p w14:paraId="0851FB65" w14:textId="77777777" w:rsidR="00D42D91" w:rsidRDefault="00D42D91" w:rsidP="00D42D91">
              <w:pPr>
                <w:pStyle w:val="Bibliography"/>
                <w:ind w:left="720" w:hanging="720"/>
                <w:rPr>
                  <w:noProof/>
                </w:rPr>
              </w:pPr>
              <w:r>
                <w:rPr>
                  <w:noProof/>
                </w:rPr>
                <w:t xml:space="preserve">Benzmüller, C., &amp; Woltzenlogel Paleo, B. (2016). The Inconsistency in Gödel's Ontological Argument: A Success Story for AI in Metaphysics. In S. Kambhampati (Ed.), </w:t>
              </w:r>
              <w:r>
                <w:rPr>
                  <w:i/>
                  <w:iCs/>
                  <w:noProof/>
                </w:rPr>
                <w:t>International Joint Conference on Artificial Intelligence.</w:t>
              </w:r>
              <w:r>
                <w:rPr>
                  <w:noProof/>
                </w:rPr>
                <w:t xml:space="preserve"> New York: AAAI Press.</w:t>
              </w:r>
            </w:p>
            <w:p w14:paraId="4C26186C" w14:textId="77777777" w:rsidR="00D42D91" w:rsidRDefault="00D42D91" w:rsidP="00D42D91">
              <w:pPr>
                <w:pStyle w:val="Bibliography"/>
                <w:ind w:left="720" w:hanging="720"/>
                <w:rPr>
                  <w:noProof/>
                </w:rPr>
              </w:pPr>
              <w:r>
                <w:rPr>
                  <w:noProof/>
                </w:rPr>
                <w:t xml:space="preserve">Benzmüller, C., &amp; Woltzenlogel Paleo, B. (2016). The Modal Collapse as a Collapse of the Modal Square of Opposition. </w:t>
              </w:r>
              <w:r>
                <w:rPr>
                  <w:i/>
                  <w:iCs/>
                  <w:noProof/>
                </w:rPr>
                <w:t>Studies in Universal Logic</w:t>
              </w:r>
              <w:r>
                <w:rPr>
                  <w:noProof/>
                </w:rPr>
                <w:t>.</w:t>
              </w:r>
            </w:p>
            <w:p w14:paraId="6C83D30E" w14:textId="77777777" w:rsidR="00D42D91" w:rsidRDefault="00D42D91" w:rsidP="00D42D91">
              <w:pPr>
                <w:pStyle w:val="Bibliography"/>
                <w:ind w:left="720" w:hanging="720"/>
                <w:rPr>
                  <w:noProof/>
                </w:rPr>
              </w:pPr>
              <w:r>
                <w:rPr>
                  <w:noProof/>
                </w:rPr>
                <w:t xml:space="preserve">Benzmüller, C., Weber, L., &amp; Woltzenlogel Paleo, B. (2016). Computer-Assisted Analysis of the Anderson-Hájek Ontological Controversy. </w:t>
              </w:r>
              <w:r>
                <w:rPr>
                  <w:i/>
                  <w:iCs/>
                  <w:noProof/>
                </w:rPr>
                <w:t>Logica Universalis, 10</w:t>
              </w:r>
              <w:r>
                <w:rPr>
                  <w:noProof/>
                </w:rPr>
                <w:t>.</w:t>
              </w:r>
            </w:p>
            <w:p w14:paraId="1844A88A" w14:textId="77777777" w:rsidR="00D42D91" w:rsidRDefault="00D42D91" w:rsidP="00D42D91">
              <w:pPr>
                <w:pStyle w:val="Bibliography"/>
                <w:ind w:left="720" w:hanging="720"/>
                <w:rPr>
                  <w:noProof/>
                </w:rPr>
              </w:pPr>
              <w:r>
                <w:rPr>
                  <w:noProof/>
                </w:rPr>
                <w:t xml:space="preserve">de Spinoza, B. (1677). </w:t>
              </w:r>
              <w:r>
                <w:rPr>
                  <w:i/>
                  <w:iCs/>
                  <w:noProof/>
                </w:rPr>
                <w:t>Ethica: Ordine Geometrico Demonstrata.</w:t>
              </w:r>
              <w:r>
                <w:rPr>
                  <w:noProof/>
                </w:rPr>
                <w:t xml:space="preserve"> </w:t>
              </w:r>
            </w:p>
            <w:p w14:paraId="1D0271B4" w14:textId="77777777" w:rsidR="00D42D91" w:rsidRDefault="00D42D91" w:rsidP="00D42D91">
              <w:pPr>
                <w:pStyle w:val="Bibliography"/>
                <w:ind w:left="720" w:hanging="720"/>
                <w:rPr>
                  <w:noProof/>
                </w:rPr>
              </w:pPr>
              <w:r>
                <w:rPr>
                  <w:noProof/>
                </w:rPr>
                <w:t xml:space="preserve">Gödel, K. (1970). 1970 Manuscript of the Ontological Argument. </w:t>
              </w:r>
              <w:r>
                <w:rPr>
                  <w:i/>
                  <w:iCs/>
                  <w:noProof/>
                </w:rPr>
                <w:t>Collected Works: Unpublished Essays and Letters, 3</w:t>
              </w:r>
              <w:r>
                <w:rPr>
                  <w:noProof/>
                </w:rPr>
                <w:t>. Oxford University Press.</w:t>
              </w:r>
            </w:p>
            <w:p w14:paraId="01D0C961" w14:textId="77777777" w:rsidR="00D42D91" w:rsidRDefault="00D42D91" w:rsidP="00D42D91">
              <w:pPr>
                <w:pStyle w:val="Bibliography"/>
                <w:ind w:left="720" w:hanging="720"/>
                <w:rPr>
                  <w:noProof/>
                </w:rPr>
              </w:pPr>
              <w:r>
                <w:rPr>
                  <w:noProof/>
                </w:rPr>
                <w:t xml:space="preserve">Leibniz, G. W. (1710). </w:t>
              </w:r>
              <w:r>
                <w:rPr>
                  <w:i/>
                  <w:iCs/>
                  <w:noProof/>
                </w:rPr>
                <w:t>Essais de Théodicée sur la Bonté de Dieu, la Liberté de l'Homme et l'Origine du Mal</w:t>
              </w:r>
              <w:r>
                <w:rPr>
                  <w:noProof/>
                </w:rPr>
                <w:t xml:space="preserve"> (E-Book ed.). (E. M. Huggard, Trans.) Project Gutenberg.</w:t>
              </w:r>
            </w:p>
            <w:p w14:paraId="41CA508D" w14:textId="77777777" w:rsidR="00D42D91" w:rsidRDefault="00D42D91" w:rsidP="00D42D91">
              <w:pPr>
                <w:pStyle w:val="Bibliography"/>
                <w:ind w:left="720" w:hanging="720"/>
                <w:rPr>
                  <w:noProof/>
                </w:rPr>
              </w:pPr>
              <w:r>
                <w:rPr>
                  <w:noProof/>
                </w:rPr>
                <w:t xml:space="preserve">Leibniz, G. W. (1956). </w:t>
              </w:r>
              <w:r>
                <w:rPr>
                  <w:i/>
                  <w:iCs/>
                  <w:noProof/>
                </w:rPr>
                <w:t>Philosophical Papers and Letters</w:t>
              </w:r>
              <w:r>
                <w:rPr>
                  <w:noProof/>
                </w:rPr>
                <w:t xml:space="preserve"> (Vol. 1 and 2). (L. E. Loemker, Ed., &amp; L. E. Loemker, Trans.) Chicago, Illinois, USA: The University of Chicago Press.</w:t>
              </w:r>
            </w:p>
            <w:p w14:paraId="0981018D" w14:textId="77777777" w:rsidR="00D42D91" w:rsidRDefault="00D42D91" w:rsidP="00D42D91">
              <w:pPr>
                <w:pStyle w:val="Bibliography"/>
                <w:ind w:left="720" w:hanging="720"/>
                <w:rPr>
                  <w:noProof/>
                </w:rPr>
              </w:pPr>
              <w:r>
                <w:rPr>
                  <w:noProof/>
                </w:rPr>
                <w:t xml:space="preserve">Leibniz, G. W. (1999). </w:t>
              </w:r>
              <w:r>
                <w:rPr>
                  <w:i/>
                  <w:iCs/>
                  <w:noProof/>
                </w:rPr>
                <w:t>Sämtliche Schriften und Briefe</w:t>
              </w:r>
              <w:r>
                <w:rPr>
                  <w:noProof/>
                </w:rPr>
                <w:t xml:space="preserve"> (Vol. 4 (6th Series)). (H. Schepers, M. Schneider, G. Biller, U. Franke, &amp; H. Kliege-Biller, Eds.) Germany: Akademie Verlag.</w:t>
              </w:r>
            </w:p>
            <w:p w14:paraId="35253DEA" w14:textId="77777777" w:rsidR="00D42D91" w:rsidRDefault="00D42D91" w:rsidP="00D42D91">
              <w:pPr>
                <w:pStyle w:val="Bibliography"/>
                <w:ind w:left="720" w:hanging="720"/>
                <w:rPr>
                  <w:noProof/>
                </w:rPr>
              </w:pPr>
              <w:r>
                <w:rPr>
                  <w:noProof/>
                </w:rPr>
                <w:t xml:space="preserve">Leibniz, G. W. (2006). </w:t>
              </w:r>
              <w:r>
                <w:rPr>
                  <w:i/>
                  <w:iCs/>
                  <w:noProof/>
                </w:rPr>
                <w:t>Sämtliche Schriften und Briefe</w:t>
              </w:r>
              <w:r>
                <w:rPr>
                  <w:noProof/>
                </w:rPr>
                <w:t xml:space="preserve"> (Vol. 1 (2nd Series)). (M. Schneider, H. Schepers, P. Beeley, G. Biller, K.-B. Herma, &amp; S. Lorenz, Eds.) Germany: Akademie Verlag.</w:t>
              </w:r>
            </w:p>
            <w:p w14:paraId="70C4FC9E" w14:textId="77777777" w:rsidR="00D42D91" w:rsidRDefault="00D42D91" w:rsidP="00D42D91">
              <w:pPr>
                <w:pStyle w:val="Bibliography"/>
                <w:ind w:left="720" w:hanging="720"/>
                <w:rPr>
                  <w:noProof/>
                </w:rPr>
              </w:pPr>
              <w:r>
                <w:rPr>
                  <w:noProof/>
                </w:rPr>
                <w:t xml:space="preserve">Lenzen, W. (1990). </w:t>
              </w:r>
              <w:r>
                <w:rPr>
                  <w:i/>
                  <w:iCs/>
                  <w:noProof/>
                </w:rPr>
                <w:t>Das System der Leibniz'schen Logik.</w:t>
              </w:r>
              <w:r>
                <w:rPr>
                  <w:noProof/>
                </w:rPr>
                <w:t xml:space="preserve"> Berlin: de Gruyter.</w:t>
              </w:r>
            </w:p>
            <w:p w14:paraId="501C2598" w14:textId="77777777" w:rsidR="00D42D91" w:rsidRDefault="00D42D91" w:rsidP="00D42D91">
              <w:pPr>
                <w:pStyle w:val="Bibliography"/>
                <w:ind w:left="720" w:hanging="720"/>
                <w:rPr>
                  <w:noProof/>
                </w:rPr>
              </w:pPr>
              <w:r>
                <w:rPr>
                  <w:noProof/>
                </w:rPr>
                <w:t xml:space="preserve">Lenzen, W. (2016). Leibniz's Ontological Proof of the Existence of God and the Problem of "Impossible Objects". (R. Silvestre, Ed.) </w:t>
              </w:r>
              <w:r>
                <w:rPr>
                  <w:i/>
                  <w:iCs/>
                  <w:noProof/>
                </w:rPr>
                <w:t>Logica Universalis</w:t>
              </w:r>
              <w:r>
                <w:rPr>
                  <w:noProof/>
                </w:rPr>
                <w:t>(Special Issue on Logic and Religion).</w:t>
              </w:r>
            </w:p>
            <w:p w14:paraId="62DB1D25" w14:textId="77777777" w:rsidR="00D42D91" w:rsidRDefault="00D42D91" w:rsidP="00D42D91">
              <w:pPr>
                <w:pStyle w:val="Bibliography"/>
                <w:ind w:left="720" w:hanging="720"/>
                <w:rPr>
                  <w:noProof/>
                </w:rPr>
              </w:pPr>
              <w:r>
                <w:rPr>
                  <w:noProof/>
                </w:rPr>
                <w:t xml:space="preserve">Noble, C. (2010). Leibniz's Comments on Spinoza's Philosophy. </w:t>
              </w:r>
              <w:r>
                <w:rPr>
                  <w:i/>
                  <w:iCs/>
                  <w:noProof/>
                </w:rPr>
                <w:t>Fourth Annual Conference of the Leibniz Society of North America</w:t>
              </w:r>
              <w:r>
                <w:rPr>
                  <w:noProof/>
                </w:rPr>
                <w:t>.</w:t>
              </w:r>
            </w:p>
            <w:p w14:paraId="0AFA07FC" w14:textId="77777777" w:rsidR="00D42D91" w:rsidRDefault="00D42D91" w:rsidP="00D42D91">
              <w:pPr>
                <w:pStyle w:val="Bibliography"/>
                <w:ind w:left="720" w:hanging="720"/>
                <w:rPr>
                  <w:noProof/>
                </w:rPr>
              </w:pPr>
              <w:r>
                <w:rPr>
                  <w:noProof/>
                </w:rPr>
                <w:t xml:space="preserve">Oppenheimer, P., &amp; Zalta, E. (2011). A Computationally-Discovered Simplification of the Ontological Argument. </w:t>
              </w:r>
              <w:r>
                <w:rPr>
                  <w:i/>
                  <w:iCs/>
                  <w:noProof/>
                </w:rPr>
                <w:t>Australasian Journal of Philosophy, 89</w:t>
              </w:r>
              <w:r>
                <w:rPr>
                  <w:noProof/>
                </w:rPr>
                <w:t>(2), 333-349.</w:t>
              </w:r>
            </w:p>
            <w:p w14:paraId="35110578" w14:textId="77777777" w:rsidR="00D42D91" w:rsidRDefault="00D42D91" w:rsidP="00D42D91">
              <w:pPr>
                <w:pStyle w:val="Bibliography"/>
                <w:ind w:left="720" w:hanging="720"/>
                <w:rPr>
                  <w:noProof/>
                </w:rPr>
              </w:pPr>
              <w:r>
                <w:rPr>
                  <w:noProof/>
                </w:rPr>
                <w:t xml:space="preserve">Rushby, J. (2013). The Ontological Argument in PVS. </w:t>
              </w:r>
              <w:r>
                <w:rPr>
                  <w:i/>
                  <w:iCs/>
                  <w:noProof/>
                </w:rPr>
                <w:t>CAV Workshop "Fun with Formal Methods".</w:t>
              </w:r>
              <w:r>
                <w:rPr>
                  <w:noProof/>
                </w:rPr>
                <w:t xml:space="preserve"> St. Petersburg.</w:t>
              </w:r>
            </w:p>
            <w:p w14:paraId="690BABE6" w14:textId="77777777" w:rsidR="00D42D91" w:rsidRDefault="00D42D91" w:rsidP="00D42D91">
              <w:pPr>
                <w:pStyle w:val="Bibliography"/>
                <w:ind w:left="720" w:hanging="720"/>
                <w:rPr>
                  <w:noProof/>
                </w:rPr>
              </w:pPr>
              <w:r>
                <w:rPr>
                  <w:noProof/>
                </w:rPr>
                <w:t>Siders, A., &amp; Woltzenlogel Paleo, B. (Forthcoming). Variants of Gödel's Ontological Proof in a Natural Deduction Calculus.</w:t>
              </w:r>
            </w:p>
            <w:p w14:paraId="33E2E04D" w14:textId="5AE15383" w:rsidR="00783315" w:rsidRDefault="00D42D91" w:rsidP="00D42D91">
              <w:r>
                <w:rPr>
                  <w:b/>
                  <w:bCs/>
                  <w:noProof/>
                </w:rPr>
                <w:fldChar w:fldCharType="end"/>
              </w:r>
            </w:p>
          </w:sdtContent>
        </w:sdt>
      </w:sdtContent>
    </w:sdt>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A5A2BF" w14:textId="77777777" w:rsidR="007808E3" w:rsidRDefault="007808E3">
      <w:r>
        <w:separator/>
      </w:r>
    </w:p>
  </w:endnote>
  <w:endnote w:type="continuationSeparator" w:id="0">
    <w:p w14:paraId="3CD1601E" w14:textId="77777777" w:rsidR="007808E3" w:rsidRDefault="00780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BF7EFE" w:rsidRDefault="00BF7EFE">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BF7EFE" w:rsidRDefault="00BF7EF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BF7EFE" w:rsidRDefault="00BF7EFE">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6B46F" w14:textId="77777777" w:rsidR="007808E3" w:rsidRDefault="007808E3">
      <w:r>
        <w:separator/>
      </w:r>
    </w:p>
  </w:footnote>
  <w:footnote w:type="continuationSeparator" w:id="0">
    <w:p w14:paraId="764F1638" w14:textId="77777777" w:rsidR="007808E3" w:rsidRDefault="007808E3">
      <w:r>
        <w:continuationSeparator/>
      </w:r>
    </w:p>
  </w:footnote>
  <w:footnote w:id="1">
    <w:p w14:paraId="2B69E3CD" w14:textId="7DF28668" w:rsidR="00BF7EFE" w:rsidRDefault="00BF7EFE">
      <w:pPr>
        <w:pStyle w:val="FootnoteText"/>
      </w:pPr>
      <w:r>
        <w:rPr>
          <w:rStyle w:val="Funotenzeichen1"/>
        </w:rPr>
        <w:footnoteRef/>
      </w:r>
      <w:r>
        <w:t xml:space="preserve"> </w:t>
      </w:r>
      <w:r>
        <w:rPr>
          <w:sz w:val="20"/>
          <w:szCs w:val="20"/>
        </w:rPr>
        <w:t>Author order is alphabetical by surname.</w:t>
      </w:r>
    </w:p>
  </w:footnote>
  <w:footnote w:id="2">
    <w:p w14:paraId="0D80345E" w14:textId="064002B2" w:rsidR="00BF7EFE" w:rsidRPr="009531AD" w:rsidRDefault="00BF7EFE">
      <w:pPr>
        <w:pStyle w:val="FootnoteText"/>
        <w:rPr>
          <w:sz w:val="20"/>
          <w:szCs w:val="20"/>
        </w:rPr>
      </w:pPr>
      <w:r>
        <w:rPr>
          <w:rStyle w:val="FootnoteReference"/>
        </w:rPr>
        <w:footnoteRef/>
      </w:r>
      <w:r>
        <w:t xml:space="preserve"> </w:t>
      </w:r>
      <w:r>
        <w:rPr>
          <w:sz w:val="20"/>
          <w:szCs w:val="20"/>
        </w:rPr>
        <w:t xml:space="preserve">Leibniz’s works cited here can be found in </w:t>
      </w:r>
      <w:r w:rsidRPr="009531AD">
        <w:rPr>
          <w:noProof/>
          <w:sz w:val="20"/>
          <w:szCs w:val="20"/>
        </w:rPr>
        <w:t>(Leibniz, 1956)</w:t>
      </w:r>
      <w:r>
        <w:rPr>
          <w:noProof/>
          <w:sz w:val="20"/>
          <w:szCs w:val="20"/>
        </w:rPr>
        <w:t xml:space="preserve">, </w:t>
      </w:r>
      <w:r w:rsidRPr="00EE23D7">
        <w:rPr>
          <w:noProof/>
          <w:sz w:val="20"/>
          <w:szCs w:val="20"/>
        </w:rPr>
        <w:t>(Leibniz, Sämtliche Schriften und Briefe, 1999)</w:t>
      </w:r>
      <w:r>
        <w:rPr>
          <w:noProof/>
          <w:sz w:val="20"/>
          <w:szCs w:val="20"/>
        </w:rPr>
        <w:t xml:space="preserve"> or </w:t>
      </w:r>
      <w:r w:rsidRPr="00EE23D7">
        <w:rPr>
          <w:noProof/>
          <w:sz w:val="20"/>
          <w:szCs w:val="20"/>
        </w:rPr>
        <w:t>(Leibniz, Sämtliche Schriften und Briefe, 2006)</w:t>
      </w:r>
      <w:r>
        <w:rPr>
          <w:noProof/>
          <w:sz w:val="20"/>
          <w:szCs w:val="20"/>
        </w:rPr>
        <w:t>.</w:t>
      </w:r>
    </w:p>
  </w:footnote>
  <w:footnote w:id="3">
    <w:p w14:paraId="1855014C" w14:textId="5683D618" w:rsidR="00BF7EFE" w:rsidRDefault="00BF7EFE" w:rsidP="00513006">
      <w:pPr>
        <w:pStyle w:val="FootnoteText"/>
        <w:jc w:val="both"/>
      </w:pPr>
      <w:r>
        <w:rPr>
          <w:rStyle w:val="Funotenzeichen1"/>
        </w:rPr>
        <w:footnoteRef/>
      </w:r>
      <w:r>
        <w:t xml:space="preserve"> </w:t>
      </w:r>
      <w:r>
        <w:rPr>
          <w:sz w:val="20"/>
          <w:szCs w:val="20"/>
        </w:rPr>
        <w:t xml:space="preserve">Our exposition of Leibniz formalism is based on (and agrees with) </w:t>
      </w:r>
      <w:proofErr w:type="spellStart"/>
      <w:r>
        <w:rPr>
          <w:sz w:val="20"/>
          <w:szCs w:val="20"/>
        </w:rPr>
        <w:t>Lenzen’s</w:t>
      </w:r>
      <w:proofErr w:type="spellEnd"/>
      <w:r>
        <w:rPr>
          <w:sz w:val="20"/>
          <w:szCs w:val="20"/>
        </w:rPr>
        <w:t xml:space="preserve"> </w:t>
      </w:r>
      <w:r w:rsidRPr="00B37475">
        <w:rPr>
          <w:noProof/>
          <w:sz w:val="20"/>
          <w:szCs w:val="20"/>
        </w:rPr>
        <w:t>(Lenzen, Das System der Leibniz'schen Logik, 1990)</w:t>
      </w:r>
      <w:r>
        <w:rPr>
          <w:sz w:val="20"/>
          <w:szCs w:val="20"/>
        </w:rPr>
        <w:t>, unless explicitly stated otherwise.</w:t>
      </w:r>
    </w:p>
  </w:footnote>
  <w:footnote w:id="4">
    <w:p w14:paraId="101F8193" w14:textId="7A032CAA" w:rsidR="00BF7EFE" w:rsidRDefault="00BF7EFE" w:rsidP="00513006">
      <w:pPr>
        <w:pStyle w:val="FootnoteText"/>
        <w:jc w:val="both"/>
      </w:pPr>
      <w:r>
        <w:rPr>
          <w:rStyle w:val="Funotenzeichen1"/>
        </w:rPr>
        <w:footnoteRef/>
      </w:r>
      <w:r>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BF7EFE" w:rsidRDefault="00BF7EFE" w:rsidP="00513006">
      <w:pPr>
        <w:pStyle w:val="FootnoteText"/>
        <w:jc w:val="both"/>
      </w:pPr>
      <w:r>
        <w:rPr>
          <w:rStyle w:val="Funotenzeichen1"/>
        </w:rPr>
        <w:footnoteRef/>
      </w:r>
      <w:r>
        <w:t xml:space="preserve"> </w:t>
      </w:r>
      <w:r>
        <w:rPr>
          <w:sz w:val="20"/>
          <w:szCs w:val="20"/>
        </w:rPr>
        <w:t>It is important to distinguish conjunction/negation of concepts from conjunction/negation of propositions.</w:t>
      </w:r>
    </w:p>
  </w:footnote>
  <w:footnote w:id="6">
    <w:p w14:paraId="4B276477" w14:textId="69C2F5E0" w:rsidR="00BF7EFE" w:rsidRDefault="00BF7EFE" w:rsidP="00513006">
      <w:pPr>
        <w:pStyle w:val="FootnoteText"/>
        <w:jc w:val="both"/>
      </w:pPr>
      <w:r>
        <w:rPr>
          <w:rStyle w:val="Funotenzeichen1"/>
        </w:rPr>
        <w:footnoteRef/>
      </w:r>
      <w:r>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7">
    <w:p w14:paraId="41461487" w14:textId="23F7FDF2" w:rsidR="00BF7EFE" w:rsidRDefault="00BF7EFE" w:rsidP="00513006">
      <w:pPr>
        <w:pStyle w:val="FootnoteText"/>
        <w:jc w:val="both"/>
      </w:pPr>
      <w:r>
        <w:rPr>
          <w:rStyle w:val="Funotenzeichen1"/>
        </w:rPr>
        <w:footnoteRef/>
      </w:r>
      <w:r>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BF7EFE" w:rsidRDefault="00BF7EFE" w:rsidP="00513006">
      <w:pPr>
        <w:pStyle w:val="FootnoteText"/>
        <w:jc w:val="both"/>
      </w:pPr>
      <w:r>
        <w:rPr>
          <w:rStyle w:val="Funotenzeichen1"/>
        </w:rPr>
        <w:footnoteRef/>
      </w:r>
      <w:r>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r w:rsidRPr="004F7D3A">
        <w:rPr>
          <w:noProof/>
          <w:sz w:val="20"/>
          <w:szCs w:val="20"/>
        </w:rPr>
        <w:t>(Lenzen, 2016)</w:t>
      </w:r>
      <w:r>
        <w:rPr>
          <w:sz w:val="20"/>
          <w:szCs w:val="20"/>
        </w:rPr>
        <w:t>.</w:t>
      </w:r>
    </w:p>
  </w:footnote>
  <w:footnote w:id="9">
    <w:p w14:paraId="4895A088" w14:textId="784C84E1" w:rsidR="00BF7EFE" w:rsidRDefault="00BF7EFE" w:rsidP="00513006">
      <w:pPr>
        <w:pStyle w:val="FootnoteText"/>
        <w:jc w:val="both"/>
      </w:pPr>
      <w:r>
        <w:rPr>
          <w:rStyle w:val="Funotenzeichen1"/>
        </w:rPr>
        <w:footnoteRef/>
      </w:r>
      <w:r>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BF7EFE" w:rsidRDefault="00BF7EFE" w:rsidP="00513006">
      <w:pPr>
        <w:pStyle w:val="FootnoteText"/>
        <w:jc w:val="both"/>
      </w:pPr>
      <w:r>
        <w:rPr>
          <w:rStyle w:val="Funotenzeichen1"/>
        </w:rPr>
        <w:footnoteRef/>
      </w:r>
      <w:r>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BF7EFE" w:rsidRDefault="00BF7EFE"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BF7EFE" w:rsidRDefault="00BF7EFE" w:rsidP="00513006">
      <w:pPr>
        <w:pStyle w:val="FootnoteText"/>
        <w:jc w:val="both"/>
      </w:pPr>
      <w:r>
        <w:rPr>
          <w:rStyle w:val="Funotenzeichen1"/>
        </w:rPr>
        <w:footnoteRef/>
      </w:r>
      <w:r>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3">
    <w:p w14:paraId="6464D8FD" w14:textId="73A6889E" w:rsidR="00BF7EFE" w:rsidRDefault="00BF7EFE"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BF7EFE" w:rsidRDefault="00BF7EFE" w:rsidP="00FC1824">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 w:id="15">
    <w:p w14:paraId="3DC67BDE" w14:textId="61CED3C3" w:rsidR="00BF7EFE" w:rsidRPr="00FC1824" w:rsidRDefault="00BF7EFE" w:rsidP="00FC1824">
      <w:pPr>
        <w:pStyle w:val="FootnoteText"/>
        <w:jc w:val="both"/>
        <w:rPr>
          <w:sz w:val="20"/>
          <w:szCs w:val="20"/>
        </w:rPr>
      </w:pPr>
      <w:r>
        <w:rPr>
          <w:rStyle w:val="FootnoteReference"/>
        </w:rPr>
        <w:footnoteRef/>
      </w:r>
      <w:r>
        <w:t xml:space="preserve"> </w:t>
      </w:r>
      <w:r>
        <w:rPr>
          <w:sz w:val="20"/>
          <w:szCs w:val="20"/>
        </w:rPr>
        <w:t xml:space="preserve">Our axiomatization also states that the concept G is different from E and ~E. These extra axioms are not used in the proof shown in </w:t>
      </w:r>
      <w:r>
        <w:rPr>
          <w:sz w:val="20"/>
          <w:szCs w:val="20"/>
        </w:rPr>
        <w:fldChar w:fldCharType="begin"/>
      </w:r>
      <w:r>
        <w:rPr>
          <w:sz w:val="20"/>
          <w:szCs w:val="20"/>
        </w:rPr>
        <w:instrText xml:space="preserve"> REF _Ref459910260 \h </w:instrText>
      </w:r>
      <w:r>
        <w:rPr>
          <w:sz w:val="20"/>
          <w:szCs w:val="20"/>
        </w:rPr>
      </w:r>
      <w:r>
        <w:rPr>
          <w:sz w:val="20"/>
          <w:szCs w:val="20"/>
        </w:rPr>
        <w:instrText xml:space="preserve"> \* MERGEFORMAT </w:instrText>
      </w:r>
      <w:r>
        <w:rPr>
          <w:sz w:val="20"/>
          <w:szCs w:val="20"/>
        </w:rPr>
        <w:fldChar w:fldCharType="separate"/>
      </w:r>
      <w:r>
        <w:t>F</w:t>
      </w:r>
      <w:r w:rsidRPr="00FC1824">
        <w:rPr>
          <w:sz w:val="20"/>
          <w:szCs w:val="20"/>
        </w:rPr>
        <w:t xml:space="preserve">igure </w:t>
      </w:r>
      <w:r w:rsidRPr="00FC1824">
        <w:rPr>
          <w:noProof/>
          <w:sz w:val="20"/>
          <w:szCs w:val="20"/>
        </w:rPr>
        <w:t>5</w:t>
      </w:r>
      <w:r>
        <w:rPr>
          <w:sz w:val="20"/>
          <w:szCs w:val="20"/>
        </w:rPr>
        <w:fldChar w:fldCharType="end"/>
      </w:r>
      <w:r>
        <w:rPr>
          <w:sz w:val="20"/>
          <w:szCs w:val="20"/>
        </w:rPr>
        <w:t>. They were added just to prevent Nitpick from generating unnatural counter-models that identified these concepts.</w:t>
      </w:r>
    </w:p>
  </w:footnote>
  <w:footnote w:id="16">
    <w:p w14:paraId="7E4C1907" w14:textId="1EAD46CF" w:rsidR="00BF7EFE" w:rsidRPr="00622F66" w:rsidRDefault="00BF7EFE">
      <w:pPr>
        <w:pStyle w:val="FootnoteText"/>
        <w:rPr>
          <w:sz w:val="20"/>
          <w:szCs w:val="20"/>
        </w:rPr>
      </w:pPr>
      <w:r>
        <w:rPr>
          <w:rStyle w:val="FootnoteReference"/>
        </w:rPr>
        <w:footnoteRef/>
      </w:r>
      <w:r>
        <w:t xml:space="preserve"> </w:t>
      </w:r>
      <w:r>
        <w:rPr>
          <w:sz w:val="20"/>
          <w:szCs w:val="20"/>
        </w:rPr>
        <w:t>This comment for discussion with Spinoza shows that the common attribution of the idea of possible worlds to Leibniz is a mistake.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1922B0"/>
    <w:rsid w:val="001B2DF9"/>
    <w:rsid w:val="00225FCF"/>
    <w:rsid w:val="002473EB"/>
    <w:rsid w:val="00296234"/>
    <w:rsid w:val="002A1020"/>
    <w:rsid w:val="002D5F19"/>
    <w:rsid w:val="0030131C"/>
    <w:rsid w:val="00304602"/>
    <w:rsid w:val="00340288"/>
    <w:rsid w:val="00354D2A"/>
    <w:rsid w:val="003902E1"/>
    <w:rsid w:val="003A4C67"/>
    <w:rsid w:val="003D4C8A"/>
    <w:rsid w:val="003F5F6E"/>
    <w:rsid w:val="003F68A2"/>
    <w:rsid w:val="0040306E"/>
    <w:rsid w:val="0042713B"/>
    <w:rsid w:val="00434AA2"/>
    <w:rsid w:val="004417CB"/>
    <w:rsid w:val="00460D47"/>
    <w:rsid w:val="00490C5B"/>
    <w:rsid w:val="004A63EF"/>
    <w:rsid w:val="004F7D3A"/>
    <w:rsid w:val="00513006"/>
    <w:rsid w:val="005305D5"/>
    <w:rsid w:val="00533CB2"/>
    <w:rsid w:val="0055535C"/>
    <w:rsid w:val="005848FD"/>
    <w:rsid w:val="005A3AB6"/>
    <w:rsid w:val="0061457E"/>
    <w:rsid w:val="00622F66"/>
    <w:rsid w:val="00694A74"/>
    <w:rsid w:val="006B07D4"/>
    <w:rsid w:val="00762004"/>
    <w:rsid w:val="007808E3"/>
    <w:rsid w:val="00783315"/>
    <w:rsid w:val="007C355C"/>
    <w:rsid w:val="007D2858"/>
    <w:rsid w:val="00846AC9"/>
    <w:rsid w:val="00867168"/>
    <w:rsid w:val="00911E98"/>
    <w:rsid w:val="009438E6"/>
    <w:rsid w:val="009520BA"/>
    <w:rsid w:val="009531AD"/>
    <w:rsid w:val="00A17249"/>
    <w:rsid w:val="00A9190E"/>
    <w:rsid w:val="00AB23F0"/>
    <w:rsid w:val="00AC5BC3"/>
    <w:rsid w:val="00AD21FA"/>
    <w:rsid w:val="00AF2135"/>
    <w:rsid w:val="00B37475"/>
    <w:rsid w:val="00B51CAE"/>
    <w:rsid w:val="00B5414B"/>
    <w:rsid w:val="00B8250E"/>
    <w:rsid w:val="00BF7EFE"/>
    <w:rsid w:val="00C11307"/>
    <w:rsid w:val="00C60736"/>
    <w:rsid w:val="00C756AD"/>
    <w:rsid w:val="00C912E8"/>
    <w:rsid w:val="00CC3321"/>
    <w:rsid w:val="00D11850"/>
    <w:rsid w:val="00D22CDF"/>
    <w:rsid w:val="00D40B70"/>
    <w:rsid w:val="00D42D91"/>
    <w:rsid w:val="00D531A7"/>
    <w:rsid w:val="00D7201E"/>
    <w:rsid w:val="00D77C91"/>
    <w:rsid w:val="00D95A0B"/>
    <w:rsid w:val="00E22D81"/>
    <w:rsid w:val="00EE23D7"/>
    <w:rsid w:val="00F12C94"/>
    <w:rsid w:val="00F37771"/>
    <w:rsid w:val="00F466D7"/>
    <w:rsid w:val="00FA713F"/>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uiPriority w:val="9"/>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uiPriority w:val="9"/>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 w:type="paragraph" w:styleId="Bibliography">
    <w:name w:val="Bibliography"/>
    <w:basedOn w:val="Normal"/>
    <w:next w:val="Normal"/>
    <w:uiPriority w:val="37"/>
    <w:unhideWhenUsed/>
    <w:rsid w:val="00D4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07531930">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478419227">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730620115">
      <w:bodyDiv w:val="1"/>
      <w:marLeft w:val="0"/>
      <w:marRight w:val="0"/>
      <w:marTop w:val="0"/>
      <w:marBottom w:val="0"/>
      <w:divBdr>
        <w:top w:val="none" w:sz="0" w:space="0" w:color="auto"/>
        <w:left w:val="none" w:sz="0" w:space="0" w:color="auto"/>
        <w:bottom w:val="none" w:sz="0" w:space="0" w:color="auto"/>
        <w:right w:val="none" w:sz="0" w:space="0" w:color="auto"/>
      </w:divBdr>
    </w:div>
    <w:div w:id="735131618">
      <w:bodyDiv w:val="1"/>
      <w:marLeft w:val="0"/>
      <w:marRight w:val="0"/>
      <w:marTop w:val="0"/>
      <w:marBottom w:val="0"/>
      <w:divBdr>
        <w:top w:val="none" w:sz="0" w:space="0" w:color="auto"/>
        <w:left w:val="none" w:sz="0" w:space="0" w:color="auto"/>
        <w:bottom w:val="none" w:sz="0" w:space="0" w:color="auto"/>
        <w:right w:val="none" w:sz="0" w:space="0" w:color="auto"/>
      </w:divBdr>
    </w:div>
    <w:div w:id="901450888">
      <w:bodyDiv w:val="1"/>
      <w:marLeft w:val="0"/>
      <w:marRight w:val="0"/>
      <w:marTop w:val="0"/>
      <w:marBottom w:val="0"/>
      <w:divBdr>
        <w:top w:val="none" w:sz="0" w:space="0" w:color="auto"/>
        <w:left w:val="none" w:sz="0" w:space="0" w:color="auto"/>
        <w:bottom w:val="none" w:sz="0" w:space="0" w:color="auto"/>
        <w:right w:val="none" w:sz="0" w:space="0" w:color="auto"/>
      </w:divBdr>
    </w:div>
    <w:div w:id="948318326">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985473592">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040521254">
      <w:bodyDiv w:val="1"/>
      <w:marLeft w:val="0"/>
      <w:marRight w:val="0"/>
      <w:marTop w:val="0"/>
      <w:marBottom w:val="0"/>
      <w:divBdr>
        <w:top w:val="none" w:sz="0" w:space="0" w:color="auto"/>
        <w:left w:val="none" w:sz="0" w:space="0" w:color="auto"/>
        <w:bottom w:val="none" w:sz="0" w:space="0" w:color="auto"/>
        <w:right w:val="none" w:sz="0" w:space="0" w:color="auto"/>
      </w:divBdr>
    </w:div>
    <w:div w:id="1059590173">
      <w:bodyDiv w:val="1"/>
      <w:marLeft w:val="0"/>
      <w:marRight w:val="0"/>
      <w:marTop w:val="0"/>
      <w:marBottom w:val="0"/>
      <w:divBdr>
        <w:top w:val="none" w:sz="0" w:space="0" w:color="auto"/>
        <w:left w:val="none" w:sz="0" w:space="0" w:color="auto"/>
        <w:bottom w:val="none" w:sz="0" w:space="0" w:color="auto"/>
        <w:right w:val="none" w:sz="0" w:space="0" w:color="auto"/>
      </w:divBdr>
    </w:div>
    <w:div w:id="1105423262">
      <w:bodyDiv w:val="1"/>
      <w:marLeft w:val="0"/>
      <w:marRight w:val="0"/>
      <w:marTop w:val="0"/>
      <w:marBottom w:val="0"/>
      <w:divBdr>
        <w:top w:val="none" w:sz="0" w:space="0" w:color="auto"/>
        <w:left w:val="none" w:sz="0" w:space="0" w:color="auto"/>
        <w:bottom w:val="none" w:sz="0" w:space="0" w:color="auto"/>
        <w:right w:val="none" w:sz="0" w:space="0" w:color="auto"/>
      </w:divBdr>
    </w:div>
    <w:div w:id="113675426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0181011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499729455">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651865563">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785732122">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861162732">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1962875427">
      <w:bodyDiv w:val="1"/>
      <w:marLeft w:val="0"/>
      <w:marRight w:val="0"/>
      <w:marTop w:val="0"/>
      <w:marBottom w:val="0"/>
      <w:divBdr>
        <w:top w:val="none" w:sz="0" w:space="0" w:color="auto"/>
        <w:left w:val="none" w:sz="0" w:space="0" w:color="auto"/>
        <w:bottom w:val="none" w:sz="0" w:space="0" w:color="auto"/>
        <w:right w:val="none" w:sz="0" w:space="0" w:color="auto"/>
      </w:divBdr>
    </w:div>
    <w:div w:id="1990549999">
      <w:bodyDiv w:val="1"/>
      <w:marLeft w:val="0"/>
      <w:marRight w:val="0"/>
      <w:marTop w:val="0"/>
      <w:marBottom w:val="0"/>
      <w:divBdr>
        <w:top w:val="none" w:sz="0" w:space="0" w:color="auto"/>
        <w:left w:val="none" w:sz="0" w:space="0" w:color="auto"/>
        <w:bottom w:val="none" w:sz="0" w:space="0" w:color="auto"/>
        <w:right w:val="none" w:sz="0" w:space="0" w:color="auto"/>
      </w:divBdr>
    </w:div>
    <w:div w:id="2043163402">
      <w:bodyDiv w:val="1"/>
      <w:marLeft w:val="0"/>
      <w:marRight w:val="0"/>
      <w:marTop w:val="0"/>
      <w:marBottom w:val="0"/>
      <w:divBdr>
        <w:top w:val="none" w:sz="0" w:space="0" w:color="auto"/>
        <w:left w:val="none" w:sz="0" w:space="0" w:color="auto"/>
        <w:bottom w:val="none" w:sz="0" w:space="0" w:color="auto"/>
        <w:right w:val="none" w:sz="0" w:space="0" w:color="auto"/>
      </w:divBdr>
    </w:div>
    <w:div w:id="2057311141">
      <w:bodyDiv w:val="1"/>
      <w:marLeft w:val="0"/>
      <w:marRight w:val="0"/>
      <w:marTop w:val="0"/>
      <w:marBottom w:val="0"/>
      <w:divBdr>
        <w:top w:val="none" w:sz="0" w:space="0" w:color="auto"/>
        <w:left w:val="none" w:sz="0" w:space="0" w:color="auto"/>
        <w:bottom w:val="none" w:sz="0" w:space="0" w:color="auto"/>
        <w:right w:val="none" w:sz="0" w:space="0" w:color="auto"/>
      </w:divBdr>
    </w:div>
    <w:div w:id="2072388979">
      <w:bodyDiv w:val="1"/>
      <w:marLeft w:val="0"/>
      <w:marRight w:val="0"/>
      <w:marTop w:val="0"/>
      <w:marBottom w:val="0"/>
      <w:divBdr>
        <w:top w:val="none" w:sz="0" w:space="0" w:color="auto"/>
        <w:left w:val="none" w:sz="0" w:space="0" w:color="auto"/>
        <w:bottom w:val="none" w:sz="0" w:space="0" w:color="auto"/>
        <w:right w:val="none" w:sz="0" w:space="0" w:color="auto"/>
      </w:divBdr>
    </w:div>
    <w:div w:id="2095783458">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12</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13</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
    <b:Tag>Lei10</b:Tag>
    <b:SourceType>Book</b:SourceType>
    <b:Guid>{9A215E1B-DD94-3D4F-9542-D22AC2B707DA}</b:Guid>
    <b:Author>
      <b:Author>
        <b:NameList>
          <b:Person>
            <b:Last>Leibniz</b:Last>
            <b:First>Gottfried</b:First>
            <b:Middle>Wilhelm</b:Middle>
          </b:Person>
        </b:NameList>
      </b:Author>
      <b:Translator>
        <b:NameList>
          <b:Person>
            <b:Last>Huggard</b:Last>
            <b:First>E.</b:First>
            <b:Middle>M.</b:Middle>
          </b:Person>
        </b:NameList>
      </b:Translator>
    </b:Author>
    <b:Title>Essais de Théodicée sur la Bonté de Dieu, la Liberté de l'Homme et l'Origine du Mal</b:Title>
    <b:Publisher>Project Gutenberg</b:Publisher>
    <b:Year>1710</b:Year>
    <b:ShortTitle>Theodicy</b:ShortTitle>
    <b:Comments>Released by Project Gutenberg in 2005.</b:Comments>
    <b:Edition>E-Book</b:Edition>
    <b:RefOrder>6</b:RefOrder>
  </b:Source>
  <b:Source>
    <b:Tag>Göd70</b:Tag>
    <b:SourceType>Misc</b:SourceType>
    <b:Guid>{9D630227-C333-9442-B0C3-03D1F4489626}</b:Guid>
    <b:Author>
      <b:Author>
        <b:NameList>
          <b:Person>
            <b:Last>Gödel</b:Last>
            <b:First>Kurt</b:First>
          </b:Person>
        </b:NameList>
      </b:Author>
    </b:Author>
    <b:Title>1970 Manuscript of the Ontological Argument</b:Title>
    <b:Publisher>Oxford University Press</b:Publisher>
    <b:Year>1970</b:Year>
    <b:Volume>3</b:Volume>
    <b:PublicationTitle>Collected Works: Unpublished Essays and Letters</b:PublicationTitle>
    <b:RefOrder>7</b:RefOrder>
  </b:Source>
  <b:Source>
    <b:Tag>Ben</b:Tag>
    <b:SourceType>ConferenceProceedings</b:SourceType>
    <b:Guid>{1F716BDB-7FF4-1A49-9B58-F07499E29D44}</b:Guid>
    <b:Author>
      <b:Author>
        <b:NameList>
          <b:Person>
            <b:Last>Benzmüller</b:Last>
            <b:First>Christoph</b:First>
          </b:Person>
          <b:Person>
            <b:Last>Woltzenlogel Paleo</b:Last>
            <b:First>Bruno</b:First>
          </b:Person>
        </b:NameList>
      </b:Author>
      <b:Editor>
        <b:NameList>
          <b:Person>
            <b:Last>Kambhampati</b:Last>
            <b:First>Subbarao</b:First>
          </b:Person>
        </b:NameList>
      </b:Editor>
    </b:Author>
    <b:Title>The Inconsistency in Gödel's Ontological Argument: A Success Story for AI in Metaphysics</b:Title>
    <b:Year>2016</b:Year>
    <b:City>New York</b:City>
    <b:Publisher>AAAI Press</b:Publisher>
    <b:ConferenceName>International Joint Conference on Artificial Intelligence</b:ConferenceName>
    <b:RefOrder>14</b:RefOrder>
  </b:Source>
  <b:Source>
    <b:Tag>Ben13</b:Tag>
    <b:SourceType>Misc</b:SourceType>
    <b:Guid>{A2CC7036-6D31-884B-8D1C-8544D60F8044}</b:Guid>
    <b:Author>
      <b:Author>
        <b:NameList>
          <b:Person>
            <b:Last>Benzmüller</b:Last>
            <b:First>Christoph</b:First>
          </b:Person>
          <b:Person>
            <b:Last>Woltzenlogel Paleo</b:Last>
            <b:First>Bruno</b:First>
          </b:Person>
        </b:NameList>
      </b:Author>
    </b:Author>
    <b:Title>Formalization, Mechanization and Automation of Gödel's Proof of God's Existence</b:Title>
    <b:Publisher>arXiv</b:Publisher>
    <b:Volume>1308.4526</b:Volume>
    <b:Year>2013</b:Year>
    <b:PublicationTitle>arXiv</b:PublicationTitle>
    <b:RefOrder>15</b:RefOrder>
  </b:Source>
  <b:Source>
    <b:Tag>Ben131</b:Tag>
    <b:SourceType>JournalArticle</b:SourceType>
    <b:Guid>{A0BBBBA0-F68F-3E4D-9BF5-A23BD3ED94DB}</b:Guid>
    <b:Author>
      <b:Author>
        <b:NameList>
          <b:Person>
            <b:Last>Benzmüller</b:Last>
            <b:First>Christoph</b:First>
          </b:Person>
          <b:Person>
            <b:Last>Woltzenlogel Paleo</b:Last>
            <b:First>Bruno</b:First>
          </b:Person>
        </b:NameList>
      </b:Author>
    </b:Author>
    <b:Title>Gödel's God in Isabelle/HOL</b:Title>
    <b:Year>2013</b:Year>
    <b:JournalName>Archive of Formal Proofs</b:JournalName>
    <b:RefOrder>16</b:RefOrder>
  </b:Source>
  <b:Source>
    <b:Tag>Ben14</b:Tag>
    <b:SourceType>ConferenceProceedings</b:SourceType>
    <b:Guid>{364AC7E9-965B-B846-ACFC-A48A0289FA5D}</b:Guid>
    <b:Author>
      <b:Author>
        <b:NameList>
          <b:Person>
            <b:Last>Benzmüller</b:Last>
            <b:First>Christoph</b:First>
          </b:Person>
          <b:Person>
            <b:Last>Woltzenlogel Paleo</b:Last>
            <b:First>Bruno</b:First>
          </b:Person>
        </b:NameList>
      </b:Author>
    </b:Author>
    <b:Title>Automating Gödel's Ontological Proof of God's Existence with Higher-Order Theorem Provers</b:Title>
    <b:Publisher>IOS Press</b:Publisher>
    <b:City>Prague</b:City>
    <b:Year>2014</b:Year>
    <b:Volume>263</b:Volume>
    <b:ConferenceName>European Conference on Artificial Intelligence - Frontiers in Artificial Intelligence and Applications</b:ConferenceName>
    <b:RefOrder>17</b:RefOrder>
  </b:Source>
  <b:Source>
    <b:Tag>Rus13</b:Tag>
    <b:SourceType>ConferenceProceedings</b:SourceType>
    <b:Guid>{25A2C0D7-829B-7F46-BB24-2B181C2FE9EF}</b:Guid>
    <b:Author>
      <b:Author>
        <b:NameList>
          <b:Person>
            <b:Last>Rushby</b:Last>
            <b:First>John</b:First>
          </b:Person>
        </b:NameList>
      </b:Author>
    </b:Author>
    <b:Title>The Ontological Argument in PVS</b:Title>
    <b:ConferenceName>CAV Workshop "Fun with Formal Methods"</b:ConferenceName>
    <b:City>St. Petersburg</b:City>
    <b:Year>2013</b:Year>
    <b:RefOrder>11</b:RefOrder>
  </b:Source>
  <b:Source>
    <b:Tag>Opp11</b:Tag>
    <b:SourceType>JournalArticle</b:SourceType>
    <b:Guid>{40E2567C-FB46-F841-9A5F-65F942592175}</b:Guid>
    <b:Author>
      <b:Author>
        <b:NameList>
          <b:Person>
            <b:Last>Oppenheimer</b:Last>
            <b:First>P.E.</b:First>
          </b:Person>
          <b:Person>
            <b:Last>Zalta</b:Last>
            <b:First>E.N.</b:First>
          </b:Person>
        </b:NameList>
      </b:Author>
    </b:Author>
    <b:Title>A Computationally-Discovered Simplification of the Ontological Argument</b:Title>
    <b:Volume>89</b:Volume>
    <b:Year>2011</b:Year>
    <b:Pages>333-349</b:Pages>
    <b:JournalName>Australasian Journal of Philosophy</b:JournalName>
    <b:Issue>2</b:Issue>
    <b:RefOrder>10</b:RefOrder>
  </b:Source>
  <b:Source>
    <b:Tag>Sidng</b:Tag>
    <b:SourceType>JournalArticle</b:SourceType>
    <b:Guid>{5D8C289B-78D7-5448-BFD5-9AA1EA83EF3B}</b:Guid>
    <b:Author>
      <b:Author>
        <b:NameList>
          <b:Person>
            <b:Last>Siders</b:Last>
            <b:First>Annika</b:First>
          </b:Person>
          <b:Person>
            <b:Last>Woltzenlogel Paleo</b:Last>
            <b:First>Bruno</b:First>
          </b:Person>
        </b:NameList>
      </b:Author>
    </b:Author>
    <b:Title>Variants of Gödel's Ontological Proof in a Natural Deduction Calculus</b:Title>
    <b:Year>Forthcoming</b:Year>
    <b:RefOrder>9</b:RefOrder>
  </b:Source>
  <b:Source>
    <b:Tag>Ben16</b:Tag>
    <b:SourceType>JournalArticle</b:SourceType>
    <b:Guid>{CD7F8DF7-F329-5842-94C0-8B8203A28E7A}</b:Guid>
    <b:Author>
      <b:Author>
        <b:NameList>
          <b:Person>
            <b:Last>Benzmüller</b:Last>
            <b:First>Christoph</b:First>
          </b:Person>
          <b:Person>
            <b:Last>Weber</b:Last>
            <b:First>Leon</b:First>
          </b:Person>
          <b:Person>
            <b:Last>Woltzenlogel Paleo</b:Last>
            <b:First>Bruno</b:First>
          </b:Person>
        </b:NameList>
      </b:Author>
    </b:Author>
    <b:Title>Computer-Assisted Analysis of the Anderson-Hájek Ontological Controversy</b:Title>
    <b:JournalName>Logica Universalis</b:JournalName>
    <b:Year>2016</b:Year>
    <b:Volume>10</b:Volume>
    <b:RefOrder>18</b:RefOrder>
  </b:Source>
  <b:Source>
    <b:Tag>Ben161</b:Tag>
    <b:SourceType>JournalArticle</b:SourceType>
    <b:Guid>{7F407D40-5772-944D-9110-4C16C2356C91}</b:Guid>
    <b:Author>
      <b:Author>
        <b:NameList>
          <b:Person>
            <b:Last>Benzmüller</b:Last>
            <b:First>Christoph</b:First>
          </b:Person>
          <b:Person>
            <b:Last>Woltzenlogel Paleo</b:Last>
            <b:First>Bruno</b:First>
          </b:Person>
        </b:NameList>
      </b:Author>
    </b:Author>
    <b:Title>The Modal Collapse as a Collapse of the Modal Square of Opposition</b:Title>
    <b:JournalName>Studies in Universal Logic</b:JournalName>
    <b:Year>2016</b:Year>
    <b:RefOrder>19</b:RefOrder>
  </b:Source>
  <b:Source>
    <b:Tag>Ben132</b:Tag>
    <b:SourceType>JournalArticle</b:SourceType>
    <b:Guid>{1944DFE8-BF87-FC4B-9640-23B0A4FBF5C9}</b:Guid>
    <b:Author>
      <b:Author>
        <b:NameList>
          <b:Person>
            <b:Last>Benzmüller</b:Last>
            <b:First>Christoph</b:First>
          </b:Person>
          <b:Person>
            <b:Last>Woltzenlogel Paleo</b:Last>
            <b:First>Bruno</b:First>
          </b:Person>
        </b:NameList>
      </b:Author>
    </b:Author>
    <b:Title>Automated Verification and Reconstruction of Gödel's Proof of God's Existence</b:Title>
    <b:JournalName>Journal of the Austrian Computer Society</b:JournalName>
    <b:Year>2013</b:Year>
    <b:Pages>4-6</b:Pages>
    <b:RefOrder>20</b:RefOrder>
  </b:Source>
  <b:Source>
    <b:Tag>Ben15</b:Tag>
    <b:SourceType>ConferenceProceedings</b:SourceType>
    <b:Guid>{FFB90B7B-0E3A-2E4E-B160-856B0FE70831}</b:Guid>
    <b:Author>
      <b:Author>
        <b:NameList>
          <b:Person>
            <b:Last>Benzmüller</b:Last>
            <b:First>Christoph</b:First>
          </b:Person>
          <b:Person>
            <b:Last>Woltzenlogel Paleo</b:Last>
            <b:First>Bruno</b:First>
          </b:Person>
        </b:NameList>
      </b:Author>
    </b:Author>
    <b:Title>Interacting with Modal Logics in the Coq Proof Assistant</b:Title>
    <b:Publisher>Springer</b:Publisher>
    <b:Year>2015</b:Year>
    <b:Volume>9139</b:Volume>
    <b:Pages>398-411</b:Pages>
    <b:ConferenceName>10th International Computer Science Symposium in Russia</b:ConferenceName>
    <b:RefOrder>21</b:RefOrder>
  </b:Source>
  <b:Source>
    <b:Tag>Ben151</b:Tag>
    <b:SourceType>ConferenceProceedings</b:SourceType>
    <b:Guid>{ADB1ADCA-DB8A-B041-91A1-CEEB4699C0C7}</b:Guid>
    <b:Author>
      <b:Author>
        <b:NameList>
          <b:Person>
            <b:Last>Benzmüller</b:Last>
            <b:First>Christoph</b:First>
          </b:Person>
          <b:Person>
            <b:Last>Woltzenlogel Paleo</b:Last>
            <b:First>Bruno</b:First>
          </b:Person>
        </b:NameList>
      </b:Author>
    </b:Author>
    <b:Title>Experiments in Computational Metaphysics</b:Title>
    <b:ConferenceName>9th All-India Students' Conference on Science and Spiritual Quest</b:ConferenceName>
    <b:Publisher>Science and Spiritual Quest - Bhaktivedanta Institute</b:Publisher>
    <b:City>Kharagpur</b:City>
    <b:Year>2015</b:Year>
    <b:Pages>23-40</b:Pages>
    <b:RefOrder>22</b:RefOrder>
  </b:Source>
  <b:Source>
    <b:Tag>Ben141</b:Tag>
    <b:SourceType>ConferenceProceedings</b:SourceType>
    <b:Guid>{29ED9F3B-592F-1D49-A037-728CCF3E7FF9}</b:Guid>
    <b:Author>
      <b:Author>
        <b:NameList>
          <b:Person>
            <b:Last>Benzmüller</b:Last>
            <b:First>Christoph</b:First>
          </b:Person>
          <b:Person>
            <b:Last>Woltzenlogel Paleo</b:Last>
            <b:First>Bruno</b:First>
          </b:Person>
        </b:NameList>
      </b:Author>
    </b:Author>
    <b:Title>On Logic Embeddings and Gödel's God</b:Title>
    <b:ConferenceName>22nd International Workshop on Algebraic Development Techniques</b:ConferenceName>
    <b:Year>2014</b:Year>
    <b:Pages>8-9</b:Pages>
    <b:Comments>http://wadt2014.cs. ovgu.de/pre-proceedings.pdf</b:Comments>
    <b:RefOrder>23</b:RefOrder>
  </b:Source>
  <b:Source>
    <b:Tag>Ben133</b:Tag>
    <b:SourceType>ConferenceProceedings</b:SourceType>
    <b:Guid>{4570595D-60C5-DF4F-A8A5-539E77E92F56}</b:Guid>
    <b:Author>
      <b:Author>
        <b:NameList>
          <b:Person>
            <b:Last>Benzmüller</b:Last>
            <b:First>Christoph</b:First>
          </b:Person>
          <b:Person>
            <b:Last>Woltzenlogel Paleo</b:Last>
            <b:First>Bruno</b:First>
          </b:Person>
        </b:NameList>
      </b:Author>
    </b:Author>
    <b:Title>Gödel's God on the Computer</b:Title>
    <b:ConferenceName>10th International Workshop on the Implementation of Logics</b:ConferenceName>
    <b:Year>2013</b:Year>
    <b:Pages>1-2</b:Pages>
    <b:RefOrder>24</b:RefOrder>
  </b:Source>
</b:Sources>
</file>

<file path=customXml/itemProps1.xml><?xml version="1.0" encoding="utf-8"?>
<ds:datastoreItem xmlns:ds="http://schemas.openxmlformats.org/officeDocument/2006/customXml" ds:itemID="{3257C0D3-D02A-0E43-BBCA-D43765D2C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19</Pages>
  <Words>4095</Words>
  <Characters>21869</Characters>
  <Application>Microsoft Macintosh Word</Application>
  <DocSecurity>0</DocSecurity>
  <Lines>624</Lines>
  <Paragraphs>149</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25815</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20</cp:revision>
  <cp:lastPrinted>1601-01-01T00:00:00Z</cp:lastPrinted>
  <dcterms:created xsi:type="dcterms:W3CDTF">2016-08-25T06:30:00Z</dcterms:created>
  <dcterms:modified xsi:type="dcterms:W3CDTF">2016-08-26T08:09:00Z</dcterms:modified>
</cp:coreProperties>
</file>