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7A36696"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when he was just 22 years old, to write a collection of Catholic Demonstrations organized in four parts with, respecti</w:t>
      </w:r>
      <w:r w:rsidR="004165EB">
        <w:rPr>
          <w:sz w:val="22"/>
          <w:szCs w:val="22"/>
        </w:rPr>
        <w:t>vely, demonstra</w:t>
      </w:r>
      <w:bookmarkStart w:id="0" w:name="_GoBack"/>
      <w:bookmarkEnd w:id="0"/>
      <w:r w:rsidR="004165EB">
        <w:rPr>
          <w:sz w:val="22"/>
          <w:szCs w:val="22"/>
        </w:rPr>
        <w:t>tions of: God’s existence; the i</w:t>
      </w:r>
      <w:r>
        <w:rPr>
          <w:sz w:val="22"/>
          <w:szCs w:val="22"/>
        </w:rPr>
        <w:t xml:space="preserve">mmortality </w:t>
      </w:r>
      <w:r w:rsidR="004165EB">
        <w:rPr>
          <w:sz w:val="22"/>
          <w:szCs w:val="22"/>
        </w:rPr>
        <w:t>and incorporeity of the soul; the p</w:t>
      </w:r>
      <w:r>
        <w:rPr>
          <w:sz w:val="22"/>
          <w:szCs w:val="22"/>
        </w:rPr>
        <w:t xml:space="preserve">ossibility </w:t>
      </w:r>
      <w:r w:rsidR="004165EB">
        <w:rPr>
          <w:sz w:val="22"/>
          <w:szCs w:val="22"/>
        </w:rPr>
        <w:t>of the mysteries of the Christian f</w:t>
      </w:r>
      <w:r w:rsidR="00D7201E">
        <w:rPr>
          <w:sz w:val="22"/>
          <w:szCs w:val="22"/>
        </w:rPr>
        <w:t xml:space="preserve">aith; </w:t>
      </w:r>
      <w:r w:rsidR="00C60736">
        <w:rPr>
          <w:sz w:val="22"/>
          <w:szCs w:val="22"/>
        </w:rPr>
        <w:t xml:space="preserve">and </w:t>
      </w:r>
      <w:r w:rsidR="004165EB">
        <w:rPr>
          <w:sz w:val="22"/>
          <w:szCs w:val="22"/>
        </w:rPr>
        <w:t>the authority of the Catholic church and the s</w:t>
      </w:r>
      <w:r w:rsidR="00D7201E">
        <w:rPr>
          <w:sz w:val="22"/>
          <w:szCs w:val="22"/>
        </w:rPr>
        <w:t xml:space="preserve">cripture </w:t>
      </w:r>
      <w:sdt>
        <w:sdtPr>
          <w:rPr>
            <w:sz w:val="22"/>
            <w:szCs w:val="22"/>
          </w:rPr>
          <w:id w:val="898551452"/>
          <w:citation/>
        </w:sdtPr>
        <w:sdtEnd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18BD5945"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His texts about</w:t>
      </w:r>
      <w:r w:rsidR="004165EB">
        <w:rPr>
          <w:sz w:val="22"/>
          <w:szCs w:val="22"/>
        </w:rPr>
        <w:t xml:space="preserve"> the topic remained informal, lacking the rigo</w:t>
      </w:r>
      <w:r>
        <w:rPr>
          <w:sz w:val="22"/>
          <w:szCs w:val="22"/>
        </w:rPr>
        <w:t xml:space="preserve">r that would </w:t>
      </w:r>
      <w:r w:rsidR="004165EB">
        <w:rPr>
          <w:sz w:val="22"/>
          <w:szCs w:val="22"/>
        </w:rPr>
        <w:t xml:space="preserve">have </w:t>
      </w:r>
      <w:r>
        <w:rPr>
          <w:sz w:val="22"/>
          <w:szCs w:val="22"/>
        </w:rPr>
        <w:t>be</w:t>
      </w:r>
      <w:r w:rsidR="004165EB">
        <w:rPr>
          <w:sz w:val="22"/>
          <w:szCs w:val="22"/>
        </w:rPr>
        <w:t>en possible through his</w:t>
      </w:r>
      <w:r>
        <w:rPr>
          <w:sz w:val="22"/>
          <w:szCs w:val="22"/>
        </w:rPr>
        <w:t xml:space="preserve"> logic.</w:t>
      </w:r>
    </w:p>
    <w:p w14:paraId="5513452C" w14:textId="77777777" w:rsidR="00D7201E" w:rsidRDefault="00D7201E">
      <w:pPr>
        <w:jc w:val="both"/>
        <w:rPr>
          <w:sz w:val="22"/>
          <w:szCs w:val="22"/>
        </w:rPr>
      </w:pPr>
    </w:p>
    <w:p w14:paraId="46A4F52F" w14:textId="3A65B2A7"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316696F"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End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w:t>
      </w:r>
      <w:r w:rsidR="004165EB">
        <w:rPr>
          <w:sz w:val="22"/>
          <w:szCs w:val="22"/>
        </w:rPr>
        <w:t xml:space="preserve">ideas from </w:t>
      </w:r>
      <w:r w:rsidRPr="00A17249">
        <w:rPr>
          <w:sz w:val="22"/>
          <w:szCs w:val="22"/>
        </w:rPr>
        <w:t xml:space="preserve">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End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End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End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472C0C28" w:rsidR="00783315" w:rsidRPr="00A17249" w:rsidRDefault="004165EB">
      <w:pPr>
        <w:jc w:val="both"/>
        <w:rPr>
          <w:sz w:val="22"/>
          <w:szCs w:val="22"/>
        </w:rPr>
      </w:pPr>
      <w:r>
        <w:rPr>
          <w:sz w:val="22"/>
          <w:szCs w:val="22"/>
        </w:rPr>
        <w:t xml:space="preserve">Throughout his life, </w:t>
      </w:r>
      <w:r w:rsidR="00783315" w:rsidRPr="00A17249">
        <w:rPr>
          <w:sz w:val="22"/>
          <w:szCs w:val="22"/>
        </w:rPr>
        <w:t xml:space="preserve">Leibniz’s metaphysical and theological goals seem to have served as a major source of motivation for the development of his logic and mathematics. This can already be seen in his </w:t>
      </w:r>
      <w:r w:rsidR="00783315" w:rsidRPr="00A17249">
        <w:rPr>
          <w:i/>
          <w:sz w:val="22"/>
          <w:szCs w:val="22"/>
        </w:rPr>
        <w:t>Dissertation on the Art of Combinations</w:t>
      </w:r>
      <w:r w:rsidR="00783315" w:rsidRPr="00A17249">
        <w:rPr>
          <w:sz w:val="22"/>
          <w:szCs w:val="22"/>
        </w:rPr>
        <w:t xml:space="preserve"> (1666), which already contains preliminary ideas of his logic and begins with a proof of God’s existence. Furthermore, God is mentioned in practically all of his earlier papers on logic (e.g. </w:t>
      </w:r>
      <w:r w:rsidR="00783315" w:rsidRPr="00A17249">
        <w:rPr>
          <w:i/>
          <w:sz w:val="22"/>
          <w:szCs w:val="22"/>
        </w:rPr>
        <w:t>On the General Characteristic</w:t>
      </w:r>
      <w:r w:rsidR="00783315" w:rsidRPr="00A17249">
        <w:rPr>
          <w:sz w:val="22"/>
          <w:szCs w:val="22"/>
        </w:rPr>
        <w:t xml:space="preserve"> (1679), </w:t>
      </w:r>
      <w:r w:rsidR="00783315" w:rsidRPr="00A17249">
        <w:rPr>
          <w:i/>
          <w:sz w:val="22"/>
          <w:szCs w:val="22"/>
        </w:rPr>
        <w:t>On Universal Synthesis and Analysis, or the Art of Discovery and Judgment</w:t>
      </w:r>
      <w:r w:rsidR="00783315" w:rsidRPr="00A17249">
        <w:rPr>
          <w:sz w:val="22"/>
          <w:szCs w:val="22"/>
        </w:rPr>
        <w:t xml:space="preserve"> (1679),</w:t>
      </w:r>
      <w:r w:rsidR="00783315" w:rsidRPr="00A17249">
        <w:rPr>
          <w:i/>
          <w:sz w:val="22"/>
          <w:szCs w:val="22"/>
        </w:rPr>
        <w:t xml:space="preserve"> Two Studies in the Logical Calculus</w:t>
      </w:r>
      <w:r w:rsidR="00783315" w:rsidRPr="00A17249">
        <w:rPr>
          <w:sz w:val="22"/>
          <w:szCs w:val="22"/>
        </w:rPr>
        <w:t xml:space="preserve"> (1679), </w:t>
      </w:r>
      <w:r w:rsidR="00783315" w:rsidRPr="00A17249">
        <w:rPr>
          <w:i/>
          <w:sz w:val="22"/>
          <w:szCs w:val="22"/>
        </w:rPr>
        <w:t>Meditations on Knowledge, Truth and Ideas</w:t>
      </w:r>
      <w:r w:rsidR="00783315" w:rsidRPr="00A17249">
        <w:rPr>
          <w:sz w:val="22"/>
          <w:szCs w:val="22"/>
        </w:rPr>
        <w:t xml:space="preserve"> (1684)).</w:t>
      </w:r>
    </w:p>
    <w:p w14:paraId="5DC62120" w14:textId="77777777" w:rsidR="00783315" w:rsidRPr="00A17249" w:rsidRDefault="00783315">
      <w:pPr>
        <w:jc w:val="both"/>
        <w:rPr>
          <w:sz w:val="22"/>
          <w:szCs w:val="22"/>
        </w:rPr>
      </w:pPr>
    </w:p>
    <w:p w14:paraId="41D06CCC" w14:textId="2C99686B"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r w:rsidR="0030131C">
        <w:rPr>
          <w:sz w:val="22"/>
          <w:szCs w:val="22"/>
        </w:rPr>
        <w:t xml:space="preserve"> </w:t>
      </w: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End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AF2135">
        <w:rPr>
          <w:sz w:val="22"/>
          <w:szCs w:val="22"/>
        </w:rPr>
        <w:instrText xml:space="preserve"> \* MERGEFORMAT </w:instrText>
      </w:r>
      <w:r w:rsidR="007C355C" w:rsidRPr="00AF2135">
        <w:rPr>
          <w:sz w:val="22"/>
          <w:szCs w:val="22"/>
        </w:rPr>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r w:rsidR="004B3803">
        <w:fldChar w:fldCharType="begin"/>
      </w:r>
      <w:r w:rsidR="004B3803">
        <w:instrText xml:space="preserve"> SEQ Figure \* ARABIC </w:instrText>
      </w:r>
      <w:r w:rsidR="004B3803">
        <w:fldChar w:fldCharType="separate"/>
      </w:r>
      <w:r w:rsidR="007C355C">
        <w:rPr>
          <w:noProof/>
        </w:rPr>
        <w:t>1</w:t>
      </w:r>
      <w:r w:rsidR="004B3803">
        <w:rPr>
          <w:noProof/>
        </w:rPr>
        <w:fldChar w:fldCharType="end"/>
      </w:r>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r w:rsidR="004B3803">
        <w:fldChar w:fldCharType="begin"/>
      </w:r>
      <w:r w:rsidR="004B3803">
        <w:instrText xml:space="preserve"> SEQ Figure \* ARABIC </w:instrText>
      </w:r>
      <w:r w:rsidR="004B3803">
        <w:fldChar w:fldCharType="separate"/>
      </w:r>
      <w:r>
        <w:rPr>
          <w:noProof/>
        </w:rPr>
        <w:t>2</w:t>
      </w:r>
      <w:r w:rsidR="004B3803">
        <w:rPr>
          <w:noProof/>
        </w:rPr>
        <w:fldChar w:fldCharType="end"/>
      </w:r>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r w:rsidR="004B3803">
        <w:fldChar w:fldCharType="begin"/>
      </w:r>
      <w:r w:rsidR="004B3803">
        <w:instrText xml:space="preserve"> SEQ F</w:instrText>
      </w:r>
      <w:r w:rsidR="004B3803">
        <w:instrText xml:space="preserve">igure \* ARABIC </w:instrText>
      </w:r>
      <w:r w:rsidR="004B3803">
        <w:fldChar w:fldCharType="separate"/>
      </w:r>
      <w:r>
        <w:rPr>
          <w:noProof/>
        </w:rPr>
        <w:t>3</w:t>
      </w:r>
      <w:r w:rsidR="004B3803">
        <w:rPr>
          <w:noProof/>
        </w:rPr>
        <w:fldChar w:fldCharType="end"/>
      </w:r>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6D254483"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eastAsia="en-US"/>
        </w:rPr>
        <w:t xml:space="preserve"> (1678) is the most interesting for a computer-assisted analysis based on Leibniz’s own algebra of concepts. </w:t>
      </w:r>
      <w:r w:rsidR="00D67E19">
        <w:rPr>
          <w:sz w:val="22"/>
          <w:szCs w:val="22"/>
          <w:lang w:eastAsia="en-US"/>
        </w:rPr>
        <w:t>It</w:t>
      </w:r>
      <w:r w:rsidRPr="00A17249">
        <w:rPr>
          <w:sz w:val="22"/>
          <w:szCs w:val="22"/>
          <w:lang w:eastAsia="en-US"/>
        </w:rPr>
        <w:t xml:space="preserve"> is reproduced</w:t>
      </w:r>
      <w:r w:rsidRPr="00A17249">
        <w:rPr>
          <w:rStyle w:val="Funotenzeichen1"/>
          <w:sz w:val="22"/>
          <w:szCs w:val="22"/>
          <w:lang w:eastAsia="en-US"/>
        </w:rPr>
        <w:footnoteReference w:id="8"/>
      </w:r>
      <w:r w:rsidRPr="00A17249">
        <w:rPr>
          <w:sz w:val="22"/>
          <w:szCs w:val="22"/>
          <w:lang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End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r w:rsidR="004B3803">
        <w:fldChar w:fldCharType="begin"/>
      </w:r>
      <w:r w:rsidR="004B3803">
        <w:instrText xml:space="preserve"> SEQ Figure \* ARABIC </w:instrText>
      </w:r>
      <w:r w:rsidR="004B3803">
        <w:fldChar w:fldCharType="separate"/>
      </w:r>
      <w:r>
        <w:rPr>
          <w:noProof/>
        </w:rPr>
        <w:t>4</w:t>
      </w:r>
      <w:r w:rsidR="004B3803">
        <w:rPr>
          <w:noProof/>
        </w:rPr>
        <w:fldChar w:fldCharType="end"/>
      </w:r>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r w:rsidR="004B3803">
        <w:fldChar w:fldCharType="begin"/>
      </w:r>
      <w:r w:rsidR="004B3803">
        <w:instrText xml:space="preserve"> SEQ Figure \* ARABIC </w:instrText>
      </w:r>
      <w:r w:rsidR="004B3803">
        <w:fldChar w:fldCharType="separate"/>
      </w:r>
      <w:r>
        <w:rPr>
          <w:noProof/>
        </w:rPr>
        <w:t>5</w:t>
      </w:r>
      <w:r w:rsidR="004B3803">
        <w:rPr>
          <w:noProof/>
        </w:rPr>
        <w:fldChar w:fldCharType="end"/>
      </w:r>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by definition of possibility,</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r w:rsidR="004B3803">
        <w:fldChar w:fldCharType="begin"/>
      </w:r>
      <w:r w:rsidR="004B3803">
        <w:instrText xml:space="preserve"> SEQ Figure \* ARABIC </w:instrText>
      </w:r>
      <w:r w:rsidR="004B3803">
        <w:fldChar w:fldCharType="separate"/>
      </w:r>
      <w:r>
        <w:rPr>
          <w:noProof/>
        </w:rPr>
        <w:t>6</w:t>
      </w:r>
      <w:r w:rsidR="004B3803">
        <w:rPr>
          <w:noProof/>
        </w:rPr>
        <w:fldChar w:fldCharType="end"/>
      </w:r>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xml:space="preserve">”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r w:rsidR="004B3803">
        <w:fldChar w:fldCharType="begin"/>
      </w:r>
      <w:r w:rsidR="004B3803">
        <w:instrText xml:space="preserve"> SEQ Figure \* ARABIC </w:instrText>
      </w:r>
      <w:r w:rsidR="004B3803">
        <w:fldChar w:fldCharType="separate"/>
      </w:r>
      <w:r>
        <w:rPr>
          <w:noProof/>
        </w:rPr>
        <w:t>7</w:t>
      </w:r>
      <w:r w:rsidR="004B3803">
        <w:rPr>
          <w:noProof/>
        </w:rPr>
        <w:fldChar w:fldCharType="end"/>
      </w:r>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w:t>
      </w:r>
      <w:proofErr w:type="spellStart"/>
      <w:r w:rsidR="009438E6">
        <w:rPr>
          <w:rFonts w:eastAsia="Symbol" w:cs="Symbol"/>
          <w:sz w:val="22"/>
          <w:szCs w:val="22"/>
        </w:rPr>
        <w:t>Huthmann</w:t>
      </w:r>
      <w:proofErr w:type="spellEnd"/>
      <w:r w:rsidR="009438E6">
        <w:rPr>
          <w:rFonts w:eastAsia="Symbol" w:cs="Symbol"/>
          <w:sz w:val="22"/>
          <w:szCs w:val="22"/>
        </w:rPr>
        <w:t xml:space="preserve">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w:t>
      </w:r>
      <w:proofErr w:type="spellStart"/>
      <w:r w:rsidR="00783315" w:rsidRPr="00A17249">
        <w:rPr>
          <w:rFonts w:eastAsia="Symbol" w:cs="Symbol"/>
          <w:sz w:val="22"/>
          <w:szCs w:val="22"/>
        </w:rPr>
        <w:t>possibles</w:t>
      </w:r>
      <w:proofErr w:type="spellEnd"/>
      <w:r w:rsidR="00783315" w:rsidRPr="00A17249">
        <w:rPr>
          <w:rFonts w:eastAsia="Symbol" w:cs="Symbol"/>
          <w:sz w:val="22"/>
          <w:szCs w:val="22"/>
        </w:rPr>
        <w:t xml:space="preserve">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End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proofErr w:type="spellStart"/>
      <w:r w:rsidR="005A3AB6">
        <w:rPr>
          <w:rFonts w:eastAsia="Symbol" w:cs="Symbol"/>
          <w:i/>
          <w:sz w:val="22"/>
          <w:szCs w:val="22"/>
        </w:rPr>
        <w:t>Monadology</w:t>
      </w:r>
      <w:proofErr w:type="spellEnd"/>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3F2E219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w:t>
      </w:r>
      <w:r w:rsidR="003E21D4">
        <w:rPr>
          <w:rFonts w:eastAsia="Symbol" w:cs="Symbol"/>
          <w:sz w:val="22"/>
          <w:szCs w:val="22"/>
        </w:rPr>
        <w:t>the popularity of possible worlds semantics</w:t>
      </w:r>
      <w:r w:rsidR="00304602">
        <w:rPr>
          <w:rFonts w:eastAsia="Symbol" w:cs="Symbol"/>
          <w:sz w:val="22"/>
          <w:szCs w:val="22"/>
        </w:rPr>
        <w:t xml:space="preserve">,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End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w:t>
      </w:r>
      <w:proofErr w:type="spellStart"/>
      <w:r w:rsidR="00304602">
        <w:rPr>
          <w:rFonts w:eastAsia="Symbol" w:cs="Symbol"/>
          <w:sz w:val="22"/>
          <w:szCs w:val="22"/>
        </w:rPr>
        <w:t>Lenzen’s</w:t>
      </w:r>
      <w:proofErr w:type="spellEnd"/>
      <w:r w:rsidR="00304602">
        <w:rPr>
          <w:rFonts w:eastAsia="Symbol" w:cs="Symbol"/>
          <w:sz w:val="22"/>
          <w:szCs w:val="22"/>
        </w:rPr>
        <w:t xml:space="preserve"> ontological arguments </w:t>
      </w:r>
      <w:sdt>
        <w:sdtPr>
          <w:rPr>
            <w:rFonts w:eastAsia="Symbol" w:cs="Symbol"/>
            <w:sz w:val="22"/>
            <w:szCs w:val="22"/>
          </w:rPr>
          <w:id w:val="1137917487"/>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xml:space="preserve">. However, for technical and historical reasons, the use of modern modal logics is probably better attributable to Gödel and </w:t>
      </w:r>
      <w:proofErr w:type="spellStart"/>
      <w:r w:rsidR="00304602">
        <w:rPr>
          <w:rFonts w:eastAsia="Symbol" w:cs="Symbol"/>
          <w:sz w:val="22"/>
          <w:szCs w:val="22"/>
        </w:rPr>
        <w:t>Lenzen</w:t>
      </w:r>
      <w:proofErr w:type="spellEnd"/>
      <w:r w:rsidR="00304602">
        <w:rPr>
          <w:rFonts w:eastAsia="Symbol" w:cs="Symbol"/>
          <w:sz w:val="22"/>
          <w:szCs w:val="22"/>
        </w:rPr>
        <w:t>,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proofErr w:type="spellStart"/>
      <w:r w:rsidR="005848FD">
        <w:rPr>
          <w:rFonts w:eastAsia="Symbol" w:cs="Symbol"/>
          <w:i/>
          <w:sz w:val="22"/>
          <w:szCs w:val="22"/>
        </w:rPr>
        <w:t>Ens</w:t>
      </w:r>
      <w:proofErr w:type="spellEnd"/>
      <w:r w:rsidR="005848FD">
        <w:rPr>
          <w:rFonts w:eastAsia="Symbol" w:cs="Symbol"/>
          <w:i/>
          <w:sz w:val="22"/>
          <w:szCs w:val="22"/>
        </w:rPr>
        <w:t xml:space="preserve"> </w:t>
      </w:r>
      <w:proofErr w:type="spellStart"/>
      <w:r w:rsidR="005848FD">
        <w:rPr>
          <w:rFonts w:eastAsia="Symbol" w:cs="Symbol"/>
          <w:i/>
          <w:sz w:val="22"/>
          <w:szCs w:val="22"/>
        </w:rPr>
        <w:t>necessarium</w:t>
      </w:r>
      <w:proofErr w:type="spellEnd"/>
      <w:r w:rsidR="005848FD">
        <w:rPr>
          <w:rFonts w:eastAsia="Symbol" w:cs="Symbol"/>
          <w:sz w:val="22"/>
          <w:szCs w:val="22"/>
        </w:rPr>
        <w:t xml:space="preserve"> and as </w:t>
      </w:r>
      <w:proofErr w:type="spellStart"/>
      <w:r w:rsidR="005848FD">
        <w:rPr>
          <w:rFonts w:eastAsia="Symbol" w:cs="Symbol"/>
          <w:i/>
          <w:sz w:val="22"/>
          <w:szCs w:val="22"/>
        </w:rPr>
        <w:t>Ens</w:t>
      </w:r>
      <w:proofErr w:type="spellEnd"/>
      <w:r w:rsidR="005848FD">
        <w:rPr>
          <w:rFonts w:eastAsia="Symbol" w:cs="Symbol"/>
          <w:i/>
          <w:sz w:val="22"/>
          <w:szCs w:val="22"/>
        </w:rPr>
        <w:t xml:space="preserve"> ex </w:t>
      </w:r>
      <w:proofErr w:type="spellStart"/>
      <w:r w:rsidR="005848FD">
        <w:rPr>
          <w:rFonts w:eastAsia="Symbol" w:cs="Symbol"/>
          <w:i/>
          <w:sz w:val="22"/>
          <w:szCs w:val="22"/>
        </w:rPr>
        <w:t>cujus</w:t>
      </w:r>
      <w:proofErr w:type="spellEnd"/>
      <w:r w:rsidR="005848FD">
        <w:rPr>
          <w:rFonts w:eastAsia="Symbol" w:cs="Symbol"/>
          <w:i/>
          <w:sz w:val="22"/>
          <w:szCs w:val="22"/>
        </w:rPr>
        <w:t xml:space="preserve"> </w:t>
      </w:r>
      <w:proofErr w:type="spellStart"/>
      <w:r w:rsidR="005848FD">
        <w:rPr>
          <w:rFonts w:eastAsia="Symbol" w:cs="Symbol"/>
          <w:i/>
          <w:sz w:val="22"/>
          <w:szCs w:val="22"/>
        </w:rPr>
        <w:t>essentia</w:t>
      </w:r>
      <w:proofErr w:type="spellEnd"/>
      <w:r w:rsidR="005848FD">
        <w:rPr>
          <w:rFonts w:eastAsia="Symbol" w:cs="Symbol"/>
          <w:i/>
          <w:sz w:val="22"/>
          <w:szCs w:val="22"/>
        </w:rPr>
        <w:t xml:space="preserve"> sequitur </w:t>
      </w:r>
      <w:proofErr w:type="spellStart"/>
      <w:r w:rsidR="005848FD">
        <w:rPr>
          <w:rFonts w:eastAsia="Symbol" w:cs="Symbol"/>
          <w:i/>
          <w:sz w:val="22"/>
          <w:szCs w:val="22"/>
        </w:rPr>
        <w:t>existentia</w:t>
      </w:r>
      <w:proofErr w:type="spellEnd"/>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37F9F6C5"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End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End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t>
      </w:r>
      <w:r w:rsidR="003E21D4">
        <w:rPr>
          <w:rFonts w:eastAsia="Symbol" w:cs="Symbol"/>
          <w:sz w:val="22"/>
          <w:szCs w:val="22"/>
        </w:rPr>
        <w:t>will continue to shed light on</w:t>
      </w:r>
      <w:r>
        <w:rPr>
          <w:rFonts w:eastAsia="Symbol" w:cs="Symbol"/>
          <w:sz w:val="22"/>
          <w:szCs w:val="22"/>
        </w:rPr>
        <w:t xml:space="preserve">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End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End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8B49C" w14:textId="77777777" w:rsidR="004B3803" w:rsidRDefault="004B3803">
      <w:r>
        <w:separator/>
      </w:r>
    </w:p>
  </w:endnote>
  <w:endnote w:type="continuationSeparator" w:id="0">
    <w:p w14:paraId="2B6E8692" w14:textId="77777777" w:rsidR="004B3803" w:rsidRDefault="004B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AA046" w14:textId="77777777" w:rsidR="004B3803" w:rsidRDefault="004B3803">
      <w:r>
        <w:separator/>
      </w:r>
    </w:p>
  </w:footnote>
  <w:footnote w:type="continuationSeparator" w:id="0">
    <w:p w14:paraId="4B614B1D" w14:textId="77777777" w:rsidR="004B3803" w:rsidRDefault="004B3803">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Pr="004F7D3A">
        <w:rPr>
          <w:noProof/>
          <w:sz w:val="20"/>
          <w:szCs w:val="20"/>
        </w:rPr>
        <w:t>(Lenzen, 2016)</w:t>
      </w:r>
      <w:r>
        <w:rPr>
          <w:sz w:val="20"/>
          <w:szCs w:val="20"/>
        </w:rPr>
        <w:t>.</w:t>
      </w:r>
    </w:p>
  </w:footnote>
  <w:footnote w:id="9">
    <w:p w14:paraId="4895A088" w14:textId="784C84E1"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3CA1DE41" w:rsidR="00BF7EFE" w:rsidRDefault="00BF7EFE" w:rsidP="00513006">
      <w:pPr>
        <w:pStyle w:val="FootnoteText"/>
        <w:jc w:val="both"/>
      </w:pPr>
      <w:r>
        <w:rPr>
          <w:rStyle w:val="Funotenzeichen1"/>
        </w:rPr>
        <w:footnoteRef/>
      </w:r>
      <w:r>
        <w:t xml:space="preserve"> </w:t>
      </w:r>
      <w:r>
        <w:rPr>
          <w:sz w:val="20"/>
          <w:szCs w:val="20"/>
        </w:rPr>
        <w:t>In contrast to modern E</w:t>
      </w:r>
      <w:r w:rsidR="00D67E19">
        <w:rPr>
          <w:sz w:val="20"/>
          <w:szCs w:val="20"/>
        </w:rPr>
        <w:t>nglish, ellipsis of pronouns is</w:t>
      </w:r>
      <w:r>
        <w:rPr>
          <w:sz w:val="20"/>
          <w:szCs w:val="20"/>
        </w:rPr>
        <w:t xml:space="preserve"> common in Latin. We underline referring pronouns that have been inserted in the translation but omitted through ellipsis in the original.</w:t>
      </w:r>
    </w:p>
  </w:footnote>
  <w:footnote w:id="13">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BF7EFE" w:rsidRDefault="00BF7EFE"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 MERGEFORMAT </w:instrText>
      </w:r>
      <w:r>
        <w:rPr>
          <w:sz w:val="20"/>
          <w:szCs w:val="20"/>
        </w:rPr>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6">
    <w:p w14:paraId="7E4C1907" w14:textId="1F4D786A" w:rsidR="00BF7EFE" w:rsidRPr="00622F66" w:rsidRDefault="00BF7EFE">
      <w:pPr>
        <w:pStyle w:val="FootnoteText"/>
        <w:rPr>
          <w:sz w:val="20"/>
          <w:szCs w:val="20"/>
        </w:rPr>
      </w:pPr>
      <w:r>
        <w:rPr>
          <w:rStyle w:val="FootnoteReference"/>
        </w:rPr>
        <w:footnoteRef/>
      </w:r>
      <w:r>
        <w:t xml:space="preserve"> </w:t>
      </w:r>
      <w:r>
        <w:rPr>
          <w:sz w:val="20"/>
          <w:szCs w:val="20"/>
        </w:rPr>
        <w:t xml:space="preserve">This comment for </w:t>
      </w:r>
      <w:r w:rsidR="00F1363C">
        <w:rPr>
          <w:sz w:val="20"/>
          <w:szCs w:val="20"/>
        </w:rPr>
        <w:t>Spinoza shows</w:t>
      </w:r>
      <w:r>
        <w:rPr>
          <w:sz w:val="20"/>
          <w:szCs w:val="20"/>
        </w:rPr>
        <w:t xml:space="preserve"> that the common attribution of the idea of</w:t>
      </w:r>
      <w:r w:rsidR="00F1363C">
        <w:rPr>
          <w:sz w:val="20"/>
          <w:szCs w:val="20"/>
        </w:rPr>
        <w:t xml:space="preserve"> possible worlds to Leibniz is not without problems</w:t>
      </w:r>
      <w:r>
        <w:rPr>
          <w:sz w:val="20"/>
          <w:szCs w:val="2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922B0"/>
    <w:rsid w:val="001B2DF9"/>
    <w:rsid w:val="00225FCF"/>
    <w:rsid w:val="002473EB"/>
    <w:rsid w:val="00296234"/>
    <w:rsid w:val="002A1020"/>
    <w:rsid w:val="002D5F19"/>
    <w:rsid w:val="0030131C"/>
    <w:rsid w:val="00304602"/>
    <w:rsid w:val="00340288"/>
    <w:rsid w:val="00354D2A"/>
    <w:rsid w:val="003902E1"/>
    <w:rsid w:val="003A4C67"/>
    <w:rsid w:val="003D4C8A"/>
    <w:rsid w:val="003E21D4"/>
    <w:rsid w:val="003F5F6E"/>
    <w:rsid w:val="003F68A2"/>
    <w:rsid w:val="0040306E"/>
    <w:rsid w:val="004165EB"/>
    <w:rsid w:val="0042713B"/>
    <w:rsid w:val="00434AA2"/>
    <w:rsid w:val="004417CB"/>
    <w:rsid w:val="00460D47"/>
    <w:rsid w:val="00490C5B"/>
    <w:rsid w:val="004A63EF"/>
    <w:rsid w:val="004B3803"/>
    <w:rsid w:val="004F7D3A"/>
    <w:rsid w:val="00513006"/>
    <w:rsid w:val="005305D5"/>
    <w:rsid w:val="00533CB2"/>
    <w:rsid w:val="0055535C"/>
    <w:rsid w:val="005848FD"/>
    <w:rsid w:val="005A3AB6"/>
    <w:rsid w:val="0061457E"/>
    <w:rsid w:val="00622F66"/>
    <w:rsid w:val="00694A74"/>
    <w:rsid w:val="006B07D4"/>
    <w:rsid w:val="00762004"/>
    <w:rsid w:val="007808E3"/>
    <w:rsid w:val="00783315"/>
    <w:rsid w:val="007C355C"/>
    <w:rsid w:val="007D2858"/>
    <w:rsid w:val="00846AC9"/>
    <w:rsid w:val="00867168"/>
    <w:rsid w:val="00911E98"/>
    <w:rsid w:val="009438E6"/>
    <w:rsid w:val="009520BA"/>
    <w:rsid w:val="009531AD"/>
    <w:rsid w:val="00A17249"/>
    <w:rsid w:val="00A9190E"/>
    <w:rsid w:val="00AB23F0"/>
    <w:rsid w:val="00AC5BC3"/>
    <w:rsid w:val="00AD21FA"/>
    <w:rsid w:val="00AF2135"/>
    <w:rsid w:val="00B37475"/>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67E19"/>
    <w:rsid w:val="00D7201E"/>
    <w:rsid w:val="00D77C91"/>
    <w:rsid w:val="00D95A0B"/>
    <w:rsid w:val="00E22D81"/>
    <w:rsid w:val="00EE23D7"/>
    <w:rsid w:val="00F12C94"/>
    <w:rsid w:val="00F1363C"/>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759BD6AF-277E-9746-847C-292C845D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19</Pages>
  <Words>4095</Words>
  <Characters>21871</Characters>
  <Application>Microsoft Macintosh Word</Application>
  <DocSecurity>0</DocSecurity>
  <Lines>624</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25817</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22</cp:revision>
  <cp:lastPrinted>1899-12-31T14:00:00Z</cp:lastPrinted>
  <dcterms:created xsi:type="dcterms:W3CDTF">2016-08-25T06:30:00Z</dcterms:created>
  <dcterms:modified xsi:type="dcterms:W3CDTF">2016-08-29T06:59:00Z</dcterms:modified>
</cp:coreProperties>
</file>