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Bentert, Christoph Benzmüller, David Streit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418806BF" w14:textId="77777777" w:rsidR="00783315" w:rsidRPr="00A17249" w:rsidRDefault="00783315">
      <w:pPr>
        <w:jc w:val="both"/>
        <w:rPr>
          <w:sz w:val="22"/>
          <w:szCs w:val="22"/>
        </w:rPr>
      </w:pPr>
      <w:r w:rsidRPr="00A17249">
        <w:rPr>
          <w:sz w:val="22"/>
          <w:szCs w:val="22"/>
        </w:rPr>
        <w:t>[… TODO ..] Talk about Leibniz’s ambitious project of the Catholic Demonstrations</w:t>
      </w:r>
    </w:p>
    <w:p w14:paraId="1A77B2D8" w14:textId="77777777" w:rsidR="00783315" w:rsidRPr="00A17249" w:rsidRDefault="00783315">
      <w:pPr>
        <w:jc w:val="both"/>
        <w:rPr>
          <w:sz w:val="22"/>
          <w:szCs w:val="22"/>
        </w:rPr>
      </w:pPr>
    </w:p>
    <w:p w14:paraId="7D14B9B1" w14:textId="77777777" w:rsidR="00783315" w:rsidRPr="00A17249" w:rsidRDefault="00783315">
      <w:pPr>
        <w:jc w:val="both"/>
        <w:rPr>
          <w:sz w:val="22"/>
          <w:szCs w:val="22"/>
        </w:rPr>
      </w:pPr>
      <w:r w:rsidRPr="00A17249">
        <w:rPr>
          <w:sz w:val="22"/>
          <w:szCs w:val="22"/>
        </w:rPr>
        <w:t>But his project was never fully realized</w:t>
      </w:r>
    </w:p>
    <w:p w14:paraId="1F24C878" w14:textId="77777777" w:rsidR="00783315" w:rsidRPr="00A17249" w:rsidRDefault="00783315">
      <w:pPr>
        <w:jc w:val="both"/>
        <w:rPr>
          <w:sz w:val="22"/>
          <w:szCs w:val="22"/>
        </w:rPr>
      </w:pPr>
    </w:p>
    <w:p w14:paraId="612B5F29" w14:textId="77777777" w:rsidR="00783315" w:rsidRPr="00A17249" w:rsidRDefault="00783315">
      <w:pPr>
        <w:jc w:val="both"/>
        <w:rPr>
          <w:sz w:val="22"/>
          <w:szCs w:val="22"/>
        </w:rPr>
      </w:pPr>
      <w:r w:rsidRPr="00A17249">
        <w:rPr>
          <w:sz w:val="22"/>
          <w:szCs w:val="22"/>
        </w:rPr>
        <w:t>And we will realize it now!</w:t>
      </w:r>
    </w:p>
    <w:p w14:paraId="57EE913E" w14:textId="77777777" w:rsidR="00783315" w:rsidRPr="00A17249" w:rsidRDefault="00783315">
      <w:pPr>
        <w:jc w:val="both"/>
        <w:rPr>
          <w:sz w:val="22"/>
          <w:szCs w:val="22"/>
        </w:rPr>
      </w:pPr>
    </w:p>
    <w:p w14:paraId="7646E032" w14:textId="77777777" w:rsidR="00783315" w:rsidRPr="00A17249" w:rsidRDefault="00783315">
      <w:pPr>
        <w:jc w:val="both"/>
        <w:rPr>
          <w:sz w:val="22"/>
          <w:szCs w:val="22"/>
        </w:rPr>
      </w:pPr>
      <w:r w:rsidRPr="00A17249">
        <w:rPr>
          <w:sz w:val="22"/>
          <w:szCs w:val="22"/>
        </w:rPr>
        <w:t>One of the main points of the paper will be to show that, within Leibniz’s algebra of concepts, there is a difference between being “necessary” and being “necessary to exist”. Leibniz wrongly equates these two notions. As we have shown, the proof fails with the former notion, but goes through with the latter.</w:t>
      </w:r>
    </w:p>
    <w:p w14:paraId="1813D4DA" w14:textId="77777777" w:rsidR="00783315" w:rsidRPr="00A17249" w:rsidRDefault="00783315">
      <w:pPr>
        <w:jc w:val="both"/>
        <w:rPr>
          <w:sz w:val="22"/>
          <w:szCs w:val="22"/>
        </w:rPr>
      </w:pPr>
    </w:p>
    <w:p w14:paraId="4BD97E3F" w14:textId="77777777" w:rsidR="00783315" w:rsidRPr="00A17249" w:rsidRDefault="00783315">
      <w:pPr>
        <w:jc w:val="both"/>
        <w:rPr>
          <w:sz w:val="22"/>
          <w:szCs w:val="22"/>
        </w:rPr>
      </w:pPr>
      <w:r w:rsidRPr="00A17249">
        <w:rPr>
          <w:sz w:val="22"/>
          <w:szCs w:val="22"/>
        </w:rPr>
        <w:t>Discuss structure of the paper</w:t>
      </w:r>
    </w:p>
    <w:p w14:paraId="71CD0290" w14:textId="77777777" w:rsidR="00783315" w:rsidRPr="00A17249" w:rsidRDefault="00783315">
      <w:pPr>
        <w:jc w:val="both"/>
        <w:rPr>
          <w:sz w:val="22"/>
          <w:szCs w:val="22"/>
        </w:rPr>
      </w:pPr>
    </w:p>
    <w:p w14:paraId="60E839AF" w14:textId="77777777" w:rsidR="00783315" w:rsidRPr="00A17249" w:rsidRDefault="00783315">
      <w:pPr>
        <w:jc w:val="both"/>
        <w:rPr>
          <w:sz w:val="22"/>
          <w:szCs w:val="22"/>
        </w:rPr>
      </w:pPr>
    </w:p>
    <w:p w14:paraId="47F9D3A7" w14:textId="77777777" w:rsidR="00783315" w:rsidRPr="00A17249" w:rsidRDefault="00783315">
      <w:pPr>
        <w:jc w:val="both"/>
        <w:rPr>
          <w:sz w:val="22"/>
          <w:szCs w:val="22"/>
        </w:rPr>
      </w:pPr>
      <w:r w:rsidRPr="00A17249">
        <w:rPr>
          <w:b/>
          <w:i/>
          <w:sz w:val="22"/>
          <w:szCs w:val="22"/>
        </w:rPr>
        <w:t>A Brief History of Leibniz’s Arguments for God’s Existence</w:t>
      </w:r>
    </w:p>
    <w:p w14:paraId="563988C8" w14:textId="77777777" w:rsidR="00783315" w:rsidRPr="00A17249" w:rsidRDefault="00783315">
      <w:pPr>
        <w:jc w:val="both"/>
        <w:rPr>
          <w:b/>
          <w:i/>
          <w:sz w:val="22"/>
          <w:szCs w:val="22"/>
        </w:rPr>
      </w:pPr>
    </w:p>
    <w:p w14:paraId="784135B2" w14:textId="7777777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Pr="00A17249">
        <w:rPr>
          <w:sz w:val="22"/>
          <w:szCs w:val="22"/>
        </w:rPr>
        <w:t>.   (TODO: cite “Introduction: Leibniz as Philosopher”, page 87, Confession of Nature against God )</w:t>
      </w:r>
    </w:p>
    <w:p w14:paraId="78B5F415" w14:textId="77777777" w:rsidR="00783315" w:rsidRPr="00A17249" w:rsidRDefault="00783315">
      <w:pPr>
        <w:jc w:val="both"/>
        <w:rPr>
          <w:sz w:val="22"/>
          <w:szCs w:val="22"/>
        </w:rPr>
      </w:pPr>
    </w:p>
    <w:p w14:paraId="011BE201" w14:textId="54F0D58C" w:rsidR="005305D5" w:rsidRPr="00A17249" w:rsidRDefault="00783315" w:rsidP="005305D5">
      <w:pPr>
        <w:jc w:val="both"/>
        <w:rPr>
          <w:rFonts w:eastAsia="Symbol" w:cs="Symbol"/>
          <w:sz w:val="22"/>
          <w:szCs w:val="22"/>
        </w:rPr>
      </w:pPr>
      <w:r w:rsidRPr="00A17249">
        <w:rPr>
          <w:sz w:val="22"/>
          <w:szCs w:val="22"/>
        </w:rPr>
        <w:t xml:space="preserve">Between the  November 18 and 21 1676, Leibniz visited Spinoza in The Hague (TODO: cite biography page 177) and discussed, among other topics, Spinoza’s at that time still unpublished </w:t>
      </w:r>
      <w:r w:rsidRPr="00A17249">
        <w:rPr>
          <w:i/>
          <w:sz w:val="22"/>
          <w:szCs w:val="22"/>
        </w:rPr>
        <w:t>Ethica</w:t>
      </w:r>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r w:rsidRPr="00A17249">
        <w:rPr>
          <w:sz w:val="22"/>
          <w:szCs w:val="22"/>
          <w:u w:val="single"/>
        </w:rPr>
        <w:t>Ens perfectissum</w:t>
      </w:r>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4B8FF545" w:rsidR="00783315" w:rsidRPr="00A17249" w:rsidRDefault="00783315">
      <w:pPr>
        <w:jc w:val="both"/>
        <w:rPr>
          <w:sz w:val="22"/>
          <w:szCs w:val="22"/>
        </w:rPr>
      </w:pPr>
      <w:r w:rsidRPr="00A17249">
        <w:rPr>
          <w:sz w:val="22"/>
          <w:szCs w:val="22"/>
        </w:rPr>
        <w:t xml:space="preserve"> Leibniz continued to criticize Spinoza’s argument in 1678 (one year after </w:t>
      </w:r>
      <w:r w:rsidRPr="00A17249">
        <w:rPr>
          <w:i/>
          <w:sz w:val="22"/>
          <w:szCs w:val="22"/>
        </w:rPr>
        <w:t>Ethica</w:t>
      </w:r>
      <w:r w:rsidRPr="00A17249">
        <w:rPr>
          <w:sz w:val="22"/>
          <w:szCs w:val="22"/>
        </w:rPr>
        <w:t xml:space="preserve">’s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(TODO: cite Christopher Noble “Leibniz’s Comments on Spinoza’s Philosophy” </w:t>
      </w:r>
      <w:hyperlink r:id="rId8" w:history="1">
        <w:r w:rsidRPr="00A17249">
          <w:rPr>
            <w:rStyle w:val="Hyperlink"/>
            <w:sz w:val="22"/>
            <w:szCs w:val="22"/>
          </w:rPr>
          <w:t>http://www.gwleibniz.com/lsna_houston/abstracts/noble.pdf</w:t>
        </w:r>
      </w:hyperlink>
      <w:r w:rsidRPr="00A17249">
        <w:rPr>
          <w:sz w:val="22"/>
          <w:szCs w:val="22"/>
        </w:rPr>
        <w:t xml:space="preserve"> ).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(TODO: Cite biography page 178).</w:t>
      </w:r>
    </w:p>
    <w:p w14:paraId="7CC54AEB" w14:textId="77777777" w:rsidR="00783315" w:rsidRPr="00A17249" w:rsidRDefault="00783315">
      <w:pPr>
        <w:jc w:val="both"/>
        <w:rPr>
          <w:sz w:val="22"/>
          <w:szCs w:val="22"/>
        </w:rPr>
      </w:pPr>
    </w:p>
    <w:p w14:paraId="103D3652" w14:textId="5C1B4901"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Letter to Henning Huthmann</w:t>
      </w:r>
      <w:r w:rsidRPr="00A17249">
        <w:rPr>
          <w:sz w:val="22"/>
          <w:szCs w:val="22"/>
        </w:rPr>
        <w:t xml:space="preserve"> (TODO: Cite collection of letters) containing an alternative ontological proof in which God is taken to be an </w:t>
      </w:r>
      <w:r w:rsidRPr="00A17249">
        <w:rPr>
          <w:sz w:val="22"/>
          <w:szCs w:val="22"/>
          <w:u w:val="single"/>
        </w:rPr>
        <w:t>Ens a se, seu Ens ex cujus essentia sequitur existentia, seu Ens necessarium</w:t>
      </w:r>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r w:rsidRPr="00A17249">
        <w:rPr>
          <w:i/>
          <w:sz w:val="22"/>
          <w:szCs w:val="22"/>
        </w:rPr>
        <w:t>Monadology</w:t>
      </w:r>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r w:rsidRPr="00A17249">
        <w:rPr>
          <w:sz w:val="22"/>
          <w:szCs w:val="22"/>
          <w:u w:val="single"/>
        </w:rPr>
        <w:t>Ens necessarium</w:t>
      </w:r>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5685F01B" w14:textId="77777777" w:rsidR="00783315" w:rsidRPr="00A17249" w:rsidRDefault="00783315">
      <w:pPr>
        <w:jc w:val="both"/>
        <w:rPr>
          <w:sz w:val="22"/>
          <w:szCs w:val="22"/>
        </w:rPr>
      </w:pPr>
      <w:r w:rsidRPr="00A17249">
        <w:rPr>
          <w:b/>
          <w:i/>
          <w:sz w:val="22"/>
          <w:szCs w:val="22"/>
        </w:rPr>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 xml:space="preserve">“I find that most people who take pleasure in the mathematical sciences shrink away from metaphysics, because they find light in </w:t>
      </w:r>
      <w:r w:rsidRPr="00A17249">
        <w:rPr>
          <w:sz w:val="22"/>
          <w:szCs w:val="22"/>
        </w:rPr>
        <w:lastRenderedPageBreak/>
        <w:t>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0310D57" w14:textId="77777777" w:rsidR="00783315" w:rsidRPr="00A17249" w:rsidRDefault="00783315">
      <w:pPr>
        <w:jc w:val="both"/>
        <w:rPr>
          <w:sz w:val="22"/>
          <w:szCs w:val="22"/>
        </w:rPr>
      </w:pPr>
      <w:r w:rsidRPr="00A17249">
        <w:rPr>
          <w:b/>
          <w:i/>
          <w:sz w:val="22"/>
          <w:szCs w:val="22"/>
        </w:rPr>
        <w:t>Leibniz’s Algebra of Concepts</w:t>
      </w:r>
    </w:p>
    <w:p w14:paraId="44D98524" w14:textId="77777777" w:rsidR="00783315" w:rsidRPr="00A17249" w:rsidRDefault="00783315">
      <w:pPr>
        <w:jc w:val="both"/>
        <w:rPr>
          <w:b/>
          <w:i/>
          <w:sz w:val="22"/>
          <w:szCs w:val="22"/>
        </w:rPr>
      </w:pPr>
    </w:p>
    <w:p w14:paraId="67D59B4E" w14:textId="3B6514F5"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2"/>
      </w:r>
      <w:r w:rsidRPr="00A17249">
        <w:rPr>
          <w:sz w:val="22"/>
          <w:szCs w:val="22"/>
        </w:rPr>
        <w:t xml:space="preserve"> to its most advanced stage in a series of papers from 1686 to 1687 (cf. TODO: Collected Works).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3"/>
      </w:r>
      <w:r w:rsidRPr="00A17249">
        <w:rPr>
          <w:sz w:val="22"/>
          <w:szCs w:val="22"/>
        </w:rPr>
        <w:t xml:space="preserve"> and </w:t>
      </w:r>
      <w:r w:rsidRPr="00A17249">
        <w:rPr>
          <w:i/>
          <w:sz w:val="22"/>
          <w:szCs w:val="22"/>
        </w:rPr>
        <w:t>negation</w:t>
      </w:r>
      <w:r w:rsidRPr="00A17249">
        <w:rPr>
          <w:rStyle w:val="Funotenzeichen1"/>
          <w:i/>
          <w:sz w:val="22"/>
          <w:szCs w:val="22"/>
        </w:rPr>
        <w:footnoteReference w:id="4"/>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5"/>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lastRenderedPageBreak/>
        <w:t>predicates</w:t>
      </w:r>
      <w:r w:rsidRPr="00A17249">
        <w:rPr>
          <w:rStyle w:val="Funotenzeichen1"/>
          <w:sz w:val="22"/>
          <w:szCs w:val="22"/>
        </w:rPr>
        <w:footnoteReference w:id="6"/>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r w:rsidRPr="00A17249">
        <w:rPr>
          <w:i/>
          <w:sz w:val="22"/>
          <w:szCs w:val="22"/>
        </w:rPr>
        <w:t>Notiones, Definitiones, Characteres</w:t>
      </w:r>
      <w:r w:rsidRPr="00A17249">
        <w:rPr>
          <w:sz w:val="22"/>
          <w:szCs w:val="22"/>
        </w:rPr>
        <w:t xml:space="preserve"> and </w:t>
      </w:r>
      <w:r w:rsidRPr="00A17249">
        <w:rPr>
          <w:i/>
          <w:sz w:val="22"/>
          <w:szCs w:val="22"/>
        </w:rPr>
        <w:t>Definitiones: Ens, Possibile, Existens</w:t>
      </w:r>
      <w:r w:rsidRPr="00A17249">
        <w:rPr>
          <w:sz w:val="22"/>
          <w:szCs w:val="22"/>
        </w:rPr>
        <w:t xml:space="preserve"> and </w:t>
      </w:r>
      <w:r w:rsidRPr="00A17249">
        <w:rPr>
          <w:i/>
          <w:sz w:val="22"/>
          <w:szCs w:val="22"/>
        </w:rPr>
        <w:t>Generales Inquisitiones de Analysis Notionum et Veritatum</w:t>
      </w:r>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3AE05305">
            <wp:extent cx="3750733" cy="4378766"/>
            <wp:effectExtent l="25400" t="25400" r="3429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53273" cy="4381732"/>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0" w:name="_Ref459908224"/>
      <w:r>
        <w:t xml:space="preserve">Figure </w:t>
      </w:r>
      <w:fldSimple w:instr=" SEQ Figure \* ARABIC ">
        <w:r w:rsidR="007C355C">
          <w:rPr>
            <w:noProof/>
          </w:rPr>
          <w:t>1</w:t>
        </w:r>
      </w:fldSimple>
      <w:bookmarkEnd w:id="0"/>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w:t>
      </w:r>
      <w:r w:rsidRPr="00A17249">
        <w:rPr>
          <w:sz w:val="22"/>
          <w:szCs w:val="22"/>
        </w:rPr>
        <w:lastRenderedPageBreak/>
        <w:t>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Leibniz’s algebra of concepts, axiomatized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1" w:name="_Ref459910004"/>
      <w:r>
        <w:t xml:space="preserve">Figure </w:t>
      </w:r>
      <w:fldSimple w:instr=" SEQ Figure \* ARABIC ">
        <w:r>
          <w:rPr>
            <w:noProof/>
          </w:rPr>
          <w:t>2</w:t>
        </w:r>
      </w:fldSimple>
      <w:bookmarkEnd w:id="1"/>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2" w:name="_Ref459910150"/>
      <w:r>
        <w:t xml:space="preserve">Figure </w:t>
      </w:r>
      <w:fldSimple w:instr=" SEQ Figure \* ARABIC ">
        <w:r>
          <w:rPr>
            <w:noProof/>
          </w:rPr>
          <w:t>3</w:t>
        </w:r>
      </w:fldSimple>
      <w:bookmarkEnd w:id="2"/>
      <w:r>
        <w:t>: Useful Lemmas of Leibniz's Algebra of Concepts</w:t>
      </w:r>
    </w:p>
    <w:p w14:paraId="47DFBA04" w14:textId="77777777" w:rsidR="00783315" w:rsidRDefault="00783315">
      <w:pPr>
        <w:jc w:val="both"/>
      </w:pPr>
    </w:p>
    <w:p w14:paraId="6CF00238" w14:textId="77777777" w:rsidR="00783315" w:rsidRDefault="00783315">
      <w:pPr>
        <w:jc w:val="both"/>
      </w:pPr>
    </w:p>
    <w:p w14:paraId="4E920538" w14:textId="77777777" w:rsidR="00783315" w:rsidRPr="00A17249" w:rsidRDefault="00783315">
      <w:pPr>
        <w:jc w:val="both"/>
        <w:rPr>
          <w:sz w:val="22"/>
          <w:szCs w:val="22"/>
        </w:rPr>
      </w:pPr>
      <w:r w:rsidRPr="00A17249">
        <w:rPr>
          <w:b/>
          <w:i/>
          <w:sz w:val="22"/>
          <w:szCs w:val="22"/>
        </w:rPr>
        <w:t>Leibniz’s Argument for the Existence of the Ens Necessarium</w:t>
      </w:r>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Letter to Henning Huthmann</w:t>
      </w:r>
      <w:r w:rsidRPr="00A17249">
        <w:rPr>
          <w:sz w:val="22"/>
          <w:szCs w:val="22"/>
          <w:lang w:val="en-US" w:eastAsia="en-US"/>
        </w:rPr>
        <w:t xml:space="preserve"> (1678) is the most interesting for a computer-assisted analysis based </w:t>
      </w:r>
      <w:r w:rsidRPr="00A17249">
        <w:rPr>
          <w:sz w:val="22"/>
          <w:szCs w:val="22"/>
          <w:lang w:val="en-US" w:eastAsia="en-US"/>
        </w:rPr>
        <w:lastRenderedPageBreak/>
        <w:t>on Leibniz’s own algebra of concepts. This argument is reproduced</w:t>
      </w:r>
      <w:r w:rsidRPr="00A17249">
        <w:rPr>
          <w:rStyle w:val="Funotenzeichen1"/>
          <w:sz w:val="22"/>
          <w:szCs w:val="22"/>
          <w:lang w:val="en-US" w:eastAsia="en-US"/>
        </w:rPr>
        <w:footnoteReference w:id="7"/>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Si Ens necessarium est possibile, actu existet.</w:t>
      </w:r>
      <w:r>
        <w:rPr>
          <w:rFonts w:ascii="MS Mincho" w:eastAsia="MS Mincho" w:hAnsi="MS Mincho" w:cs="MS Mincho"/>
          <w:i/>
        </w:rPr>
        <w:t> </w:t>
      </w:r>
    </w:p>
    <w:p w14:paraId="27D58D9C" w14:textId="77777777" w:rsidR="00783315" w:rsidRDefault="00783315">
      <w:r>
        <w:rPr>
          <w:b/>
        </w:rPr>
        <w:t xml:space="preserve">Proof: </w:t>
      </w:r>
      <w:r>
        <w:rPr>
          <w:i/>
        </w:rPr>
        <w:t>Nam ponamus non existere, inde ratiocinabor hoc modo:</w:t>
      </w:r>
      <w:r>
        <w:rPr>
          <w:rFonts w:ascii="MS Mincho" w:eastAsia="MS Mincho" w:hAnsi="MS Mincho" w:cs="MS Mincho"/>
          <w:i/>
        </w:rPr>
        <w:t> </w:t>
      </w:r>
    </w:p>
    <w:p w14:paraId="46A6529E" w14:textId="77777777" w:rsidR="00783315" w:rsidRDefault="00783315">
      <w:pPr>
        <w:numPr>
          <w:ilvl w:val="0"/>
          <w:numId w:val="3"/>
        </w:numPr>
        <w:ind w:left="426"/>
      </w:pPr>
      <w:r>
        <w:rPr>
          <w:i/>
        </w:rPr>
        <w:t>Ens Necessarium non existit, ex hypothesi.</w:t>
      </w:r>
      <w:r>
        <w:rPr>
          <w:rFonts w:ascii="MS Mincho" w:eastAsia="MS Mincho" w:hAnsi="MS Mincho" w:cs="MS Mincho"/>
          <w:i/>
        </w:rPr>
        <w:t> </w:t>
      </w:r>
    </w:p>
    <w:p w14:paraId="75BC5308" w14:textId="77777777" w:rsidR="00783315" w:rsidRDefault="00783315">
      <w:pPr>
        <w:numPr>
          <w:ilvl w:val="0"/>
          <w:numId w:val="3"/>
        </w:numPr>
        <w:ind w:left="426"/>
      </w:pPr>
      <w:r>
        <w:rPr>
          <w:i/>
        </w:rPr>
        <w:t>Quicquid non existit, illud possibile est non existere.</w:t>
      </w:r>
      <w:r>
        <w:rPr>
          <w:rFonts w:ascii="MS Mincho" w:eastAsia="MS Mincho" w:hAnsi="MS Mincho" w:cs="MS Mincho"/>
          <w:i/>
        </w:rPr>
        <w:t> </w:t>
      </w:r>
    </w:p>
    <w:p w14:paraId="54CA5FBA" w14:textId="77777777" w:rsidR="00783315" w:rsidRDefault="00783315">
      <w:pPr>
        <w:numPr>
          <w:ilvl w:val="0"/>
          <w:numId w:val="3"/>
        </w:numPr>
        <w:ind w:left="426"/>
      </w:pPr>
      <w:r>
        <w:rPr>
          <w:i/>
        </w:rPr>
        <w:t xml:space="preserve">Quicquid possibile est non-existere </w:t>
      </w:r>
      <w:r>
        <w:rPr>
          <w:i/>
        </w:rPr>
        <w:br/>
        <w:t xml:space="preserve">illud falso dicitur non posse non-existere. </w:t>
      </w:r>
    </w:p>
    <w:p w14:paraId="72C74C4B" w14:textId="77777777" w:rsidR="00783315" w:rsidRDefault="00783315">
      <w:pPr>
        <w:numPr>
          <w:ilvl w:val="0"/>
          <w:numId w:val="3"/>
        </w:numPr>
        <w:ind w:left="426"/>
      </w:pPr>
      <w:r>
        <w:rPr>
          <w:i/>
        </w:rPr>
        <w:t xml:space="preserve">Quicquid falso dicitur non posse non existere, </w:t>
      </w:r>
      <w:r>
        <w:rPr>
          <w:i/>
        </w:rPr>
        <w:br/>
        <w:t xml:space="preserve">illud falso dicitur esse necessarium. </w:t>
      </w:r>
      <w:r>
        <w:rPr>
          <w:i/>
        </w:rPr>
        <w:br/>
        <w:t>Nam necessarium est quod non potest non existere.</w:t>
      </w:r>
      <w:r>
        <w:rPr>
          <w:rFonts w:ascii="MS Mincho" w:eastAsia="MS Mincho" w:hAnsi="MS Mincho" w:cs="MS Mincho"/>
          <w:i/>
        </w:rPr>
        <w:t> </w:t>
      </w:r>
    </w:p>
    <w:p w14:paraId="62C6BE66" w14:textId="77777777" w:rsidR="00783315" w:rsidRDefault="00783315">
      <w:pPr>
        <w:numPr>
          <w:ilvl w:val="0"/>
          <w:numId w:val="3"/>
        </w:numPr>
        <w:ind w:left="426"/>
      </w:pPr>
      <w:r>
        <w:rPr>
          <w:i/>
        </w:rPr>
        <w:t>Ergo Ens necessarium falso dicitur esse necessarium.</w:t>
      </w:r>
      <w:r>
        <w:rPr>
          <w:rFonts w:ascii="MS Mincho" w:eastAsia="MS Mincho" w:hAnsi="MS Mincho" w:cs="MS Mincho"/>
          <w:i/>
        </w:rPr>
        <w:t> </w:t>
      </w:r>
    </w:p>
    <w:p w14:paraId="7D833148" w14:textId="77777777" w:rsidR="00783315" w:rsidRDefault="00783315">
      <w:pPr>
        <w:numPr>
          <w:ilvl w:val="0"/>
          <w:numId w:val="3"/>
        </w:numPr>
        <w:ind w:left="426"/>
      </w:pPr>
      <w:r>
        <w:rPr>
          <w:i/>
        </w:rPr>
        <w:t>Quae conclusio est vel vera vel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est vera, sequitur quod Ens necessarium implicet contradictionem, seu sit impossibile, quia de eo demonstrantur contradictoria, scilicet quod non sit necessarium. </w:t>
      </w:r>
    </w:p>
    <w:p w14:paraId="71AA0D93" w14:textId="77777777" w:rsidR="00783315" w:rsidRDefault="00783315">
      <w:pPr>
        <w:ind w:left="426"/>
      </w:pPr>
      <w:r>
        <w:rPr>
          <w:i/>
        </w:rPr>
        <w:t xml:space="preserve">Conclusio enim contradictoria non nisi de re contradictionem implicante ostendi potest. </w:t>
      </w:r>
    </w:p>
    <w:p w14:paraId="23D7C687" w14:textId="77777777" w:rsidR="00783315" w:rsidRDefault="00783315">
      <w:pPr>
        <w:numPr>
          <w:ilvl w:val="0"/>
          <w:numId w:val="3"/>
        </w:numPr>
        <w:ind w:left="426"/>
      </w:pPr>
      <w:r>
        <w:rPr>
          <w:i/>
        </w:rPr>
        <w:t xml:space="preserve">Si est falsa, necesse est aliquam ex praemissis esse falsam, sola autem ex praemissis falsa esse potest hypothesis, quod scilicet Ens necessarium non existat. </w:t>
      </w:r>
    </w:p>
    <w:p w14:paraId="27E7E1EA" w14:textId="77777777" w:rsidR="00783315" w:rsidRDefault="00783315">
      <w:pPr>
        <w:numPr>
          <w:ilvl w:val="0"/>
          <w:numId w:val="3"/>
        </w:numPr>
        <w:ind w:left="426"/>
      </w:pPr>
      <w:r>
        <w:rPr>
          <w:i/>
        </w:rPr>
        <w:t xml:space="preserve">Ergo conclusimus </w:t>
      </w:r>
      <w:r>
        <w:rPr>
          <w:i/>
        </w:rPr>
        <w:br/>
        <w:t xml:space="preserve">Ens necessarium vel esse impossibile, vel existere. </w:t>
      </w:r>
    </w:p>
    <w:p w14:paraId="05D2A2AE" w14:textId="77777777" w:rsidR="00783315" w:rsidRDefault="00783315">
      <w:pPr>
        <w:numPr>
          <w:ilvl w:val="0"/>
          <w:numId w:val="3"/>
        </w:numPr>
        <w:ind w:left="426"/>
      </w:pPr>
      <w:r>
        <w:rPr>
          <w:i/>
        </w:rPr>
        <w:t xml:space="preserve">Si ergo Deum definiamus Ens a se, seu Ens ex cujus essentia sequitur existentia, seu Ens necessarium, sequitur Deum si possibilis sit actu esse. </w:t>
      </w:r>
    </w:p>
    <w:p w14:paraId="7CB7AA6D" w14:textId="77777777" w:rsidR="00783315" w:rsidRDefault="00783315">
      <w:pPr>
        <w:jc w:val="both"/>
        <w:rPr>
          <w:i/>
        </w:rPr>
      </w:pPr>
    </w:p>
    <w:p w14:paraId="2D1200CC" w14:textId="77777777"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8"/>
      </w:r>
      <w:r w:rsidRPr="00A17249">
        <w:rPr>
          <w:sz w:val="22"/>
          <w:szCs w:val="22"/>
        </w:rPr>
        <w:t xml:space="preserve"> to English, which is based on Lenzen’s translation (TODO:cite) with some modifications</w:t>
      </w:r>
      <w:r w:rsidRPr="00A17249">
        <w:rPr>
          <w:rStyle w:val="Funotenzeichen1"/>
          <w:sz w:val="22"/>
          <w:szCs w:val="22"/>
        </w:rPr>
        <w:footnoteReference w:id="9"/>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r>
        <w:rPr>
          <w:i/>
          <w:strike/>
        </w:rPr>
        <w:t>it</w:t>
      </w:r>
      <w:r>
        <w:rPr>
          <w:rStyle w:val="Funotenzeichen1"/>
          <w:i/>
        </w:rPr>
        <w:footnoteReference w:id="10"/>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r>
        <w:rPr>
          <w:i/>
          <w:strike/>
        </w:rPr>
        <w:t>it</w:t>
      </w:r>
      <w:r>
        <w:rPr>
          <w:i/>
        </w:rPr>
        <w:t xml:space="preserve"> is false to say that </w:t>
      </w:r>
      <w:r>
        <w:rPr>
          <w:i/>
          <w:u w:val="single"/>
        </w:rPr>
        <w:t>it</w:t>
      </w:r>
      <w:r w:rsidRPr="00513006">
        <w:rPr>
          <w:rStyle w:val="Funotenzeichen1"/>
          <w:i/>
        </w:rPr>
        <w:footnoteReference w:id="11"/>
      </w:r>
      <w:r>
        <w:rPr>
          <w:i/>
        </w:rPr>
        <w:t xml:space="preserve"> cannot</w:t>
      </w:r>
      <w:r>
        <w:rPr>
          <w:rStyle w:val="Funotenzeichen1"/>
          <w:i/>
        </w:rPr>
        <w:footnoteReference w:id="12"/>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r>
        <w:rPr>
          <w:i/>
          <w:strike/>
        </w:rPr>
        <w:t>it</w:t>
      </w:r>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t xml:space="preserve">If </w:t>
      </w:r>
      <w:r>
        <w:rPr>
          <w:i/>
          <w:u w:val="single"/>
        </w:rPr>
        <w:t>it</w:t>
      </w:r>
      <w:r>
        <w:rPr>
          <w:i/>
        </w:rPr>
        <w:t xml:space="preserve"> is false, </w:t>
      </w:r>
      <w:r>
        <w:rPr>
          <w:i/>
          <w:strike/>
        </w:rPr>
        <w:t>it</w:t>
      </w:r>
      <w:r>
        <w:rPr>
          <w:i/>
        </w:rPr>
        <w:t xml:space="preserve"> is needed</w:t>
      </w:r>
      <w:r>
        <w:rPr>
          <w:rStyle w:val="Funotenzeichen1"/>
          <w:i/>
        </w:rPr>
        <w:footnoteReference w:id="13"/>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lastRenderedPageBreak/>
        <w:t xml:space="preserve">Hence we conclude that </w:t>
      </w:r>
      <w:r>
        <w:rPr>
          <w:i/>
        </w:rPr>
        <w:br/>
        <w:t>the necessary being either is impossible, or exists.</w:t>
      </w:r>
      <w:r>
        <w:rPr>
          <w:rFonts w:ascii="MS Mincho" w:eastAsia="MS Mincho" w:hAnsi="MS Mincho" w:cs="MS Mincho"/>
          <w:i/>
        </w:rPr>
        <w:t> </w:t>
      </w:r>
    </w:p>
    <w:p w14:paraId="540645E9" w14:textId="77777777" w:rsidR="00783315" w:rsidRDefault="00783315">
      <w:pPr>
        <w:numPr>
          <w:ilvl w:val="0"/>
          <w:numId w:val="2"/>
        </w:numPr>
        <w:ind w:left="426"/>
      </w:pPr>
      <w:r>
        <w:rPr>
          <w:i/>
        </w:rPr>
        <w:t xml:space="preserve">So if we define God as an “Ens a se”, i.e. a being from whose essence existence follows, i.e. a necessary being, </w:t>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6CE6C6C"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axiomatize the concept of God as an </w:t>
      </w:r>
      <w:r w:rsidRPr="00A17249">
        <w:rPr>
          <w:i/>
          <w:sz w:val="22"/>
          <w:szCs w:val="22"/>
        </w:rPr>
        <w:t>Ens necessarium</w:t>
      </w:r>
      <w:r w:rsidRPr="00A17249">
        <w:rPr>
          <w:sz w:val="22"/>
          <w:szCs w:val="22"/>
        </w:rPr>
        <w:t>, i.e. if we state “N(G)” as an axiom, then the argument fails. Nitpick finds a counter-model for the seventh step in Leibniz’s argument.</w:t>
      </w:r>
      <w:r w:rsidR="009520BA" w:rsidRPr="00A17249">
        <w:rPr>
          <w:sz w:val="22"/>
          <w:szCs w:val="22"/>
        </w:rPr>
        <w:t xml:space="preserve"> The countermodel is of cardinality 4. No countermodels can be constructed for smaller cardinalities.</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3" w:name="_Ref459910223"/>
      <w:r>
        <w:t xml:space="preserve">Figure </w:t>
      </w:r>
      <w:fldSimple w:instr=" SEQ Figure \* ARABIC ">
        <w:r>
          <w:rPr>
            <w:noProof/>
          </w:rPr>
          <w:t>4</w:t>
        </w:r>
      </w:fldSimple>
      <w:bookmarkEnd w:id="3"/>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axiomatize the concept of God as an </w:t>
      </w:r>
      <w:r w:rsidRPr="00A17249">
        <w:rPr>
          <w:i/>
          <w:sz w:val="22"/>
          <w:szCs w:val="22"/>
        </w:rPr>
        <w:t>Ens ex cujus essentia sequitur existentia</w:t>
      </w:r>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4" w:name="_Ref459910260"/>
      <w:r>
        <w:t xml:space="preserve">Figure </w:t>
      </w:r>
      <w:fldSimple w:instr=" SEQ Figure \* ARABIC ">
        <w:r>
          <w:rPr>
            <w:noProof/>
          </w:rPr>
          <w:t>5</w:t>
        </w:r>
      </w:fldSimple>
      <w:bookmarkEnd w:id="4"/>
      <w:r>
        <w:t>: Proof for Ens ex Cujus Essentia Sequitur Existentia</w:t>
      </w:r>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r w:rsidRPr="00A17249">
        <w:rPr>
          <w:rFonts w:eastAsia="Symbol" w:cs="Symbol"/>
          <w:i/>
          <w:sz w:val="22"/>
          <w:szCs w:val="22"/>
        </w:rPr>
        <w:t>Ens necessarium</w:t>
      </w:r>
      <w:r w:rsidRPr="00A17249">
        <w:rPr>
          <w:rFonts w:eastAsia="Symbol" w:cs="Symbol"/>
          <w:sz w:val="22"/>
          <w:szCs w:val="22"/>
        </w:rPr>
        <w:t xml:space="preserve"> and the</w:t>
      </w:r>
      <w:r w:rsidRPr="00A17249">
        <w:rPr>
          <w:rFonts w:eastAsia="Symbol" w:cs="Symbol"/>
          <w:i/>
          <w:sz w:val="22"/>
          <w:szCs w:val="22"/>
        </w:rPr>
        <w:t xml:space="preserve"> Ens ex cujus essentia sequitur existentia</w:t>
      </w:r>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12D239A9" w:rsidR="00783315" w:rsidRPr="00A17249" w:rsidRDefault="00783315">
      <w:pPr>
        <w:jc w:val="both"/>
        <w:rPr>
          <w:sz w:val="22"/>
          <w:szCs w:val="22"/>
        </w:rPr>
      </w:pPr>
      <w:r w:rsidRPr="00A17249">
        <w:rPr>
          <w:rFonts w:eastAsia="Symbol" w:cs="Symbol"/>
          <w:sz w:val="22"/>
          <w:szCs w:val="22"/>
        </w:rPr>
        <w:t xml:space="preserve">Furthermore, in the case of the </w:t>
      </w:r>
      <w:r w:rsidRPr="00A17249">
        <w:rPr>
          <w:rFonts w:eastAsia="Symbol" w:cs="Symbol"/>
          <w:i/>
          <w:sz w:val="22"/>
          <w:szCs w:val="22"/>
        </w:rPr>
        <w:t>Ens ex cujus essentia sequitur existentia</w:t>
      </w:r>
      <w:r w:rsidRPr="00A17249">
        <w:rPr>
          <w:rFonts w:eastAsia="Symbol" w:cs="Symbol"/>
          <w:sz w:val="22"/>
          <w:szCs w:val="22"/>
        </w:rPr>
        <w:t xml:space="preserve">, the proviso of possibility (in step 10) is not needed,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xml:space="preserve">, Leibniz’s criticism that the ontological arguments of Descartes and Anselm are incomplete because they do not establish the possibility of the concept of God </w:t>
      </w:r>
      <w:r w:rsidRPr="00A17249">
        <w:rPr>
          <w:rFonts w:eastAsia="Symbol" w:cs="Symbol"/>
          <w:sz w:val="22"/>
          <w:szCs w:val="22"/>
        </w:rPr>
        <w:lastRenderedPageBreak/>
        <w:t>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4">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5" w:name="_Ref459910326"/>
      <w:r>
        <w:t xml:space="preserve">Figure </w:t>
      </w:r>
      <w:fldSimple w:instr=" SEQ Figure \* ARABIC ">
        <w:r>
          <w:rPr>
            <w:noProof/>
          </w:rPr>
          <w:t>6</w:t>
        </w:r>
      </w:fldSimple>
      <w:bookmarkEnd w:id="5"/>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 xml:space="preserve">Other points where Leibniz’s informal text lacks precision are his uses of the word “necessarium” (“necessary”). In his later algebra of concepts, “necessary” is clearly the dual of “possible”. In his ontological argument, however, he says that “necessary is what cannot not exist”. That is why occurrences of “it is necessary” in the ontological argument have been formalized as “N(X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r w:rsidRPr="00A17249">
        <w:rPr>
          <w:rFonts w:eastAsia="Symbol" w:cs="Symbol"/>
          <w:i/>
          <w:sz w:val="22"/>
          <w:szCs w:val="22"/>
        </w:rPr>
        <w:t>Ens ex cujus essentia sequitur existentia</w:t>
      </w:r>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r w:rsidRPr="00AF2135">
        <w:rPr>
          <w:rFonts w:eastAsia="Symbol" w:cs="Symbol"/>
          <w:i/>
          <w:sz w:val="22"/>
          <w:szCs w:val="22"/>
        </w:rPr>
        <w:t>Ens ex cujus essentia sequitur existentia</w:t>
      </w:r>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5E9E36F3">
            <wp:extent cx="3724893" cy="3126105"/>
            <wp:effectExtent l="25400" t="25400" r="349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48023" cy="3145517"/>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6" w:name="_Ref459910432"/>
      <w:r>
        <w:t xml:space="preserve">Figure </w:t>
      </w:r>
      <w:fldSimple w:instr=" SEQ Figure \* ARABIC ">
        <w:r>
          <w:rPr>
            <w:noProof/>
          </w:rPr>
          <w:t>7</w:t>
        </w:r>
      </w:fldSimple>
      <w:bookmarkEnd w:id="6"/>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bookmarkStart w:id="7" w:name="_GoBack"/>
      <w:bookmarkEnd w:id="7"/>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77777777" w:rsidR="00783315" w:rsidRPr="00A17249" w:rsidRDefault="00783315">
      <w:pPr>
        <w:jc w:val="both"/>
        <w:rPr>
          <w:sz w:val="22"/>
          <w:szCs w:val="22"/>
        </w:rPr>
      </w:pPr>
      <w:r w:rsidRPr="00A17249">
        <w:rPr>
          <w:rFonts w:eastAsia="Symbol" w:cs="Symbol"/>
          <w:b/>
          <w:i/>
          <w:sz w:val="22"/>
          <w:szCs w:val="22"/>
        </w:rPr>
        <w:t>Modal Logics: From Leibniz to Lenzen and Gödel</w:t>
      </w:r>
    </w:p>
    <w:p w14:paraId="73FE2A73" w14:textId="77777777" w:rsidR="00783315" w:rsidRPr="00A17249" w:rsidRDefault="00783315">
      <w:pPr>
        <w:jc w:val="both"/>
        <w:rPr>
          <w:rFonts w:eastAsia="Symbol" w:cs="Symbol"/>
          <w:b/>
          <w:i/>
          <w:sz w:val="22"/>
          <w:szCs w:val="22"/>
        </w:rPr>
      </w:pPr>
    </w:p>
    <w:p w14:paraId="78AF6134" w14:textId="77777777" w:rsidR="00783315" w:rsidRPr="00A17249" w:rsidRDefault="00783315">
      <w:pPr>
        <w:jc w:val="both"/>
        <w:rPr>
          <w:sz w:val="22"/>
          <w:szCs w:val="22"/>
        </w:rPr>
      </w:pPr>
      <w:r w:rsidRPr="00A17249">
        <w:rPr>
          <w:rFonts w:eastAsia="Symbol" w:cs="Symbol"/>
          <w:sz w:val="22"/>
          <w:szCs w:val="22"/>
        </w:rPr>
        <w:lastRenderedPageBreak/>
        <w:t>TODO: argue why kripke-style modal logics would not be adequate for this ontological argument.</w:t>
      </w:r>
    </w:p>
    <w:p w14:paraId="7B310997" w14:textId="77777777" w:rsidR="00783315" w:rsidRDefault="00783315">
      <w:pPr>
        <w:jc w:val="both"/>
        <w:rPr>
          <w:rFonts w:eastAsia="Symbol" w:cs="Symbol"/>
        </w:rPr>
      </w:pPr>
    </w:p>
    <w:p w14:paraId="2349CFE2" w14:textId="77777777" w:rsidR="00783315" w:rsidRDefault="00783315">
      <w:pPr>
        <w:jc w:val="both"/>
        <w:rPr>
          <w:rFonts w:eastAsia="Symbol" w:cs="Symbol"/>
        </w:rPr>
      </w:pPr>
    </w:p>
    <w:p w14:paraId="61B8C57A"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There is no need of many worlds to increase the multitude of things, for there is no number which is not contained in this one world and, indeed, even in any one of its parts.”</w:t>
      </w:r>
    </w:p>
    <w:p w14:paraId="087CB1E4" w14:textId="77777777" w:rsidR="00783315" w:rsidRPr="00A17249" w:rsidRDefault="00783315">
      <w:pPr>
        <w:jc w:val="both"/>
        <w:rPr>
          <w:rFonts w:eastAsia="Symbol" w:cs="Symbol"/>
          <w:sz w:val="22"/>
          <w:szCs w:val="22"/>
        </w:rPr>
      </w:pPr>
    </w:p>
    <w:p w14:paraId="32C11FC4"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To introduce another kind of existing things, and another world, so to speak, which is also infinite, is to abuse the word ‘existence’, for we cannot say whether or not these things exist now”</w:t>
      </w:r>
    </w:p>
    <w:p w14:paraId="35EC74ED" w14:textId="77777777" w:rsidR="00783315" w:rsidRPr="00A17249" w:rsidRDefault="00783315">
      <w:pPr>
        <w:jc w:val="both"/>
        <w:rPr>
          <w:sz w:val="22"/>
          <w:szCs w:val="22"/>
        </w:rPr>
      </w:pPr>
      <w:r w:rsidRPr="00A17249">
        <w:rPr>
          <w:sz w:val="22"/>
          <w:szCs w:val="22"/>
        </w:rPr>
        <w:t xml:space="preserve"> </w:t>
      </w:r>
      <w:r w:rsidRPr="00A17249">
        <w:rPr>
          <w:rFonts w:eastAsia="Symbol" w:cs="Symbol"/>
          <w:sz w:val="22"/>
          <w:szCs w:val="22"/>
        </w:rPr>
        <w:t>(Two Notations for Discussion with Spinoza, December 1676, page 261)</w:t>
      </w:r>
    </w:p>
    <w:p w14:paraId="4B4E6FF4" w14:textId="77777777" w:rsidR="00783315" w:rsidRPr="00A17249" w:rsidRDefault="00783315">
      <w:pPr>
        <w:jc w:val="both"/>
        <w:rPr>
          <w:rFonts w:eastAsia="Symbol" w:cs="Symbol"/>
          <w:sz w:val="22"/>
          <w:szCs w:val="22"/>
        </w:rPr>
      </w:pPr>
    </w:p>
    <w:p w14:paraId="1B29C4E6"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If all possibles existed, no reason for existence would be needed, and possibility alone would suffice.” (Two Notations for Discussion with Spinoza, December 1676, page 262)</w:t>
      </w:r>
    </w:p>
    <w:p w14:paraId="2C737C8E" w14:textId="77777777" w:rsidR="00783315" w:rsidRPr="00A17249" w:rsidRDefault="00783315">
      <w:pPr>
        <w:tabs>
          <w:tab w:val="center" w:pos="5940"/>
        </w:tabs>
        <w:jc w:val="both"/>
        <w:rPr>
          <w:rFonts w:eastAsia="Symbol" w:cs="Symbol"/>
          <w:sz w:val="22"/>
          <w:szCs w:val="22"/>
        </w:rPr>
      </w:pPr>
    </w:p>
    <w:p w14:paraId="657E149F" w14:textId="77777777" w:rsidR="00783315" w:rsidRPr="00A17249" w:rsidRDefault="00783315">
      <w:pPr>
        <w:tabs>
          <w:tab w:val="center" w:pos="5940"/>
        </w:tabs>
        <w:jc w:val="both"/>
        <w:rPr>
          <w:sz w:val="22"/>
          <w:szCs w:val="22"/>
        </w:rPr>
      </w:pPr>
      <w:r w:rsidRPr="00A17249">
        <w:rPr>
          <w:rFonts w:eastAsia="Symbol" w:cs="Symbol"/>
          <w:sz w:val="22"/>
          <w:szCs w:val="22"/>
        </w:rPr>
        <w:t>TODO: discuss differences to Gödel’s proof.</w:t>
      </w:r>
    </w:p>
    <w:p w14:paraId="30EA0B14" w14:textId="77777777" w:rsidR="00783315" w:rsidRPr="00A17249" w:rsidRDefault="00783315">
      <w:pPr>
        <w:tabs>
          <w:tab w:val="center" w:pos="5940"/>
        </w:tabs>
        <w:jc w:val="both"/>
        <w:rPr>
          <w:rFonts w:eastAsia="Symbol" w:cs="Symbol"/>
          <w:sz w:val="22"/>
          <w:szCs w:val="22"/>
        </w:rPr>
      </w:pPr>
    </w:p>
    <w:p w14:paraId="1DB7C6A6" w14:textId="77777777" w:rsidR="00783315" w:rsidRPr="00A17249" w:rsidRDefault="00783315">
      <w:pPr>
        <w:tabs>
          <w:tab w:val="center" w:pos="5940"/>
        </w:tabs>
        <w:jc w:val="both"/>
        <w:rPr>
          <w:sz w:val="22"/>
          <w:szCs w:val="22"/>
        </w:rPr>
      </w:pPr>
      <w:r w:rsidRPr="00A17249">
        <w:rPr>
          <w:rFonts w:eastAsia="Symbol" w:cs="Symbol"/>
          <w:sz w:val="22"/>
          <w:szCs w:val="22"/>
        </w:rPr>
        <w:t>TODO: Relate to our previous work and cite it.</w:t>
      </w:r>
    </w:p>
    <w:p w14:paraId="2E4C939D" w14:textId="77777777" w:rsidR="00783315" w:rsidRPr="00A17249" w:rsidRDefault="00783315">
      <w:pPr>
        <w:jc w:val="both"/>
        <w:rPr>
          <w:rFonts w:eastAsia="Symbol" w:cs="Symbol"/>
          <w:sz w:val="22"/>
          <w:szCs w:val="22"/>
        </w:rPr>
      </w:pPr>
    </w:p>
    <w:p w14:paraId="4AC7C88C" w14:textId="77777777" w:rsidR="00783315" w:rsidRPr="00A17249" w:rsidRDefault="00783315">
      <w:pPr>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3686EEB6" w14:textId="77777777" w:rsidR="00783315" w:rsidRPr="00A17249" w:rsidRDefault="00783315">
      <w:pPr>
        <w:jc w:val="both"/>
        <w:rPr>
          <w:sz w:val="22"/>
          <w:szCs w:val="22"/>
        </w:rPr>
      </w:pPr>
      <w:r w:rsidRPr="00A17249">
        <w:rPr>
          <w:rFonts w:eastAsia="Symbol" w:cs="Symbol"/>
          <w:sz w:val="22"/>
          <w:szCs w:val="22"/>
        </w:rPr>
        <w:t xml:space="preserve">TODO: </w:t>
      </w: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to actually exist, and this is precisely what we mean by an </w:t>
      </w:r>
      <w:r w:rsidRPr="00A17249">
        <w:rPr>
          <w:rFonts w:eastAsia="Symbol" w:cs="Symbol"/>
          <w:i/>
          <w:sz w:val="22"/>
          <w:szCs w:val="22"/>
        </w:rPr>
        <w:t>ens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t>By modern standards, Leibniz’s argument is written in an unnecessarily convoluted way. For instance, step 5 of his argument 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6"/>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5501A0" w14:textId="77777777" w:rsidR="002D5472" w:rsidRDefault="002D5472">
      <w:r>
        <w:separator/>
      </w:r>
    </w:p>
  </w:endnote>
  <w:endnote w:type="continuationSeparator" w:id="0">
    <w:p w14:paraId="02ACB668" w14:textId="77777777" w:rsidR="002D5472" w:rsidRDefault="002D5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EAF98" w14:textId="77777777" w:rsidR="002D5472" w:rsidRDefault="002D5472">
      <w:r>
        <w:separator/>
      </w:r>
    </w:p>
  </w:footnote>
  <w:footnote w:type="continuationSeparator" w:id="0">
    <w:p w14:paraId="0E3AEEEB" w14:textId="77777777" w:rsidR="002D5472" w:rsidRDefault="002D5472">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1855014C" w14:textId="595A6F28" w:rsidR="00225FCF" w:rsidRDefault="00225FCF" w:rsidP="00513006">
      <w:pPr>
        <w:pStyle w:val="FootnoteText"/>
        <w:jc w:val="both"/>
      </w:pPr>
      <w:r>
        <w:rPr>
          <w:rStyle w:val="Funotenzeichen1"/>
        </w:rPr>
        <w:footnoteRef/>
      </w:r>
      <w:r w:rsidR="00513006">
        <w:t xml:space="preserve"> </w:t>
      </w:r>
      <w:r>
        <w:rPr>
          <w:sz w:val="20"/>
          <w:szCs w:val="20"/>
        </w:rPr>
        <w:t xml:space="preserve">Our exposition of Leibniz formalism is based on (and agrees with) Lenzen’s book </w:t>
      </w:r>
      <w:r>
        <w:rPr>
          <w:i/>
          <w:sz w:val="20"/>
          <w:szCs w:val="20"/>
        </w:rPr>
        <w:t>Das System der Leibniz’schen Logik</w:t>
      </w:r>
      <w:r>
        <w:rPr>
          <w:sz w:val="20"/>
          <w:szCs w:val="20"/>
        </w:rPr>
        <w:t xml:space="preserve"> (1990), unless explicitly stated otherwise.</w:t>
      </w:r>
    </w:p>
  </w:footnote>
  <w:footnote w:id="3">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4">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5">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instead of “=”, as the primitive relation symbol, instead of containment. But equality and containment are inter-definable, and we follow Lenzen in choosing containment.</w:t>
      </w:r>
    </w:p>
  </w:footnote>
  <w:footnote w:id="6">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7">
    <w:p w14:paraId="388E5D14" w14:textId="77777777" w:rsidR="00225FCF" w:rsidRDefault="00225FCF" w:rsidP="00513006">
      <w:pPr>
        <w:pStyle w:val="FootnoteText"/>
        <w:jc w:val="both"/>
      </w:pPr>
      <w:r>
        <w:rPr>
          <w:rStyle w:val="Funotenzeichen1"/>
        </w:rPr>
        <w:footnoteRef/>
      </w:r>
      <w:r w:rsidR="00C912E8">
        <w:t xml:space="preserve"> </w:t>
      </w:r>
      <w:r>
        <w:rPr>
          <w:sz w:val="20"/>
          <w:szCs w:val="20"/>
        </w:rPr>
        <w:t>The words “Theorem” and “Proof” and the numbering of steps are not in the original. Our numbering is the same as Lenzen’s TODO:cite .</w:t>
      </w:r>
    </w:p>
  </w:footnote>
  <w:footnote w:id="8">
    <w:p w14:paraId="4895A088" w14:textId="5A83862B" w:rsidR="00225FCF" w:rsidRDefault="00225FCF" w:rsidP="00513006">
      <w:pPr>
        <w:pStyle w:val="FootnoteText"/>
        <w:jc w:val="both"/>
      </w:pPr>
      <w:r>
        <w:rPr>
          <w:rStyle w:val="Funotenzeichen1"/>
        </w:rPr>
        <w:footnoteRef/>
      </w:r>
      <w:r w:rsidR="00513006">
        <w:t xml:space="preserve"> </w:t>
      </w:r>
      <w:r>
        <w:rPr>
          <w:sz w:val="20"/>
          <w:szCs w:val="20"/>
        </w:rPr>
        <w:t>Verb conjugation in Latin is richer than in English. In our translation (as in Lenzen’s), Leibniz’s uses of the subjunctive mood are lost, because we (as Lenzen) preferred to employ the indicative mood uniformly. For our purposes, this loss is harmless and even clarifying, because neither Leibniz’s algebra of concepts nor any mainstream modern logic has a language capable of expressing mood differences.</w:t>
      </w:r>
    </w:p>
  </w:footnote>
  <w:footnote w:id="9">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The main difference between Lenzen’s translation and ours is that Lenzen translates “quicquid” as “whenever something” whereas we translate it as “for/of whatever”. Although Lenzen’s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0">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1">
    <w:p w14:paraId="42BCE9DF" w14:textId="1CBF582D" w:rsidR="00225FCF" w:rsidRDefault="00225FCF" w:rsidP="00513006">
      <w:pPr>
        <w:pStyle w:val="FootnoteText"/>
        <w:jc w:val="both"/>
      </w:pPr>
      <w:r>
        <w:rPr>
          <w:rStyle w:val="Funotenzeichen1"/>
        </w:rPr>
        <w:footnoteRef/>
      </w:r>
      <w:r>
        <w:t xml:space="preserve"> </w:t>
      </w:r>
      <w:r>
        <w:rPr>
          <w:sz w:val="20"/>
          <w:szCs w:val="20"/>
        </w:rPr>
        <w:t>In contrast to modern English, ellipsis of pronouns are common in Latin. We underline referring pronouns that have been inserted in the translation but omitted through ellipsis in the original.</w:t>
      </w:r>
    </w:p>
  </w:footnote>
  <w:footnote w:id="12">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potest” to “cannot”, because “posse” and “potest”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3">
    <w:p w14:paraId="0BE55EF8" w14:textId="56D4002C" w:rsidR="00225FCF" w:rsidRDefault="00225FCF" w:rsidP="00513006">
      <w:pPr>
        <w:pStyle w:val="FootnoteText"/>
        <w:jc w:val="both"/>
      </w:pPr>
      <w:r>
        <w:rPr>
          <w:rStyle w:val="Funotenzeichen1"/>
        </w:rPr>
        <w:footnoteRef/>
      </w:r>
      <w:r>
        <w:t xml:space="preserve"> </w:t>
      </w:r>
      <w:r>
        <w:rPr>
          <w:sz w:val="20"/>
          <w:szCs w:val="20"/>
        </w:rPr>
        <w:t xml:space="preserve">“necesse” could also have been translated as “necessary”. However, we reserve “necessary” for translations of “necessarium”. Translating both as “necessary” would create confusion, especially considering that “necessarium” plays an important role in Leibniz’s argument and algebra of concepts, whereas this occurrence of “necesse” is negligible from a logical point of view.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225FCF"/>
    <w:rsid w:val="002A1020"/>
    <w:rsid w:val="002D5472"/>
    <w:rsid w:val="002D5F19"/>
    <w:rsid w:val="003902E1"/>
    <w:rsid w:val="00490C5B"/>
    <w:rsid w:val="00513006"/>
    <w:rsid w:val="005305D5"/>
    <w:rsid w:val="0061457E"/>
    <w:rsid w:val="00783315"/>
    <w:rsid w:val="007C355C"/>
    <w:rsid w:val="00846AC9"/>
    <w:rsid w:val="00867168"/>
    <w:rsid w:val="00911E98"/>
    <w:rsid w:val="009520BA"/>
    <w:rsid w:val="00A17249"/>
    <w:rsid w:val="00AC5BC3"/>
    <w:rsid w:val="00AF2135"/>
    <w:rsid w:val="00B51CAE"/>
    <w:rsid w:val="00B8250E"/>
    <w:rsid w:val="00C756AD"/>
    <w:rsid w:val="00C912E8"/>
    <w:rsid w:val="00D77C91"/>
    <w:rsid w:val="00E22D81"/>
    <w:rsid w:val="00F12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gwleibniz.com/lsna_houston/abstracts/noble.pdf"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5BC684E-6531-AD42-82E8-B6F72541D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17</Pages>
  <Words>2886</Words>
  <Characters>15415</Characters>
  <Application>Microsoft Macintosh Word</Application>
  <DocSecurity>0</DocSecurity>
  <Lines>440</Lines>
  <Paragraphs>105</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18196</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5</cp:revision>
  <cp:lastPrinted>1601-01-01T00:00:00Z</cp:lastPrinted>
  <dcterms:created xsi:type="dcterms:W3CDTF">2016-08-25T06:30:00Z</dcterms:created>
  <dcterms:modified xsi:type="dcterms:W3CDTF">2016-08-25T07:47:00Z</dcterms:modified>
</cp:coreProperties>
</file>