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3B7B0D4" w14:textId="77777777" w:rsidR="00783315" w:rsidRDefault="00783315">
      <w:pPr>
        <w:jc w:val="both"/>
      </w:pPr>
    </w:p>
    <w:p w14:paraId="39077993" w14:textId="77777777" w:rsidR="00783315" w:rsidRPr="00911E98" w:rsidRDefault="00783315">
      <w:pPr>
        <w:jc w:val="center"/>
        <w:rPr>
          <w:sz w:val="22"/>
          <w:szCs w:val="22"/>
        </w:rPr>
      </w:pPr>
      <w:r w:rsidRPr="00911E98">
        <w:rPr>
          <w:sz w:val="22"/>
          <w:szCs w:val="22"/>
        </w:rPr>
        <w:t>CHAPTER XYZ</w:t>
      </w:r>
    </w:p>
    <w:p w14:paraId="6ECFDDF5" w14:textId="77777777" w:rsidR="00783315" w:rsidRDefault="00783315">
      <w:pPr>
        <w:jc w:val="both"/>
        <w:rPr>
          <w:b/>
        </w:rPr>
      </w:pPr>
    </w:p>
    <w:p w14:paraId="3782ECE0" w14:textId="77777777" w:rsidR="00783315" w:rsidRPr="00911E98" w:rsidRDefault="00783315">
      <w:pPr>
        <w:pStyle w:val="Heading1"/>
        <w:rPr>
          <w:b/>
        </w:rPr>
      </w:pPr>
      <w:r w:rsidRPr="00911E98">
        <w:rPr>
          <w:b/>
          <w:sz w:val="22"/>
          <w:szCs w:val="22"/>
        </w:rPr>
        <w:t>Analysis of an Ontological Proof Proposed by Leibniz</w:t>
      </w:r>
    </w:p>
    <w:p w14:paraId="34C6245E" w14:textId="77777777" w:rsidR="00783315" w:rsidRDefault="00783315">
      <w:pPr>
        <w:jc w:val="both"/>
        <w:rPr>
          <w:sz w:val="22"/>
          <w:szCs w:val="22"/>
        </w:rPr>
      </w:pPr>
    </w:p>
    <w:p w14:paraId="306DFF91" w14:textId="77777777" w:rsidR="00783315" w:rsidRPr="00911E98" w:rsidRDefault="00783315">
      <w:pPr>
        <w:jc w:val="center"/>
        <w:rPr>
          <w:sz w:val="22"/>
          <w:szCs w:val="22"/>
        </w:rPr>
      </w:pPr>
      <w:r w:rsidRPr="00911E98">
        <w:rPr>
          <w:sz w:val="22"/>
          <w:szCs w:val="22"/>
        </w:rPr>
        <w:t xml:space="preserve">Matthias Bentert, Christoph Benzmüller, David Streit </w:t>
      </w:r>
    </w:p>
    <w:p w14:paraId="06F23A37" w14:textId="77777777" w:rsidR="00783315" w:rsidRPr="00911E98" w:rsidRDefault="00783315">
      <w:pPr>
        <w:jc w:val="center"/>
        <w:rPr>
          <w:sz w:val="22"/>
          <w:szCs w:val="22"/>
        </w:rPr>
      </w:pPr>
      <w:r w:rsidRPr="00911E98">
        <w:rPr>
          <w:sz w:val="22"/>
          <w:szCs w:val="22"/>
        </w:rPr>
        <w:t>and Bruno Woltzenlogel Paleo</w:t>
      </w:r>
      <w:r w:rsidRPr="00911E98">
        <w:rPr>
          <w:rStyle w:val="Funotenzeichen1"/>
          <w:sz w:val="22"/>
          <w:szCs w:val="22"/>
        </w:rPr>
        <w:footnoteReference w:id="1"/>
      </w:r>
    </w:p>
    <w:p w14:paraId="15B00FF9" w14:textId="77777777" w:rsidR="00783315" w:rsidRDefault="00783315">
      <w:pPr>
        <w:jc w:val="both"/>
      </w:pPr>
    </w:p>
    <w:p w14:paraId="1E617B95" w14:textId="77777777" w:rsidR="00783315" w:rsidRDefault="00783315">
      <w:pPr>
        <w:jc w:val="center"/>
      </w:pPr>
    </w:p>
    <w:p w14:paraId="1CCEB87B" w14:textId="77777777" w:rsidR="00783315" w:rsidRDefault="00783315">
      <w:pPr>
        <w:jc w:val="both"/>
      </w:pPr>
    </w:p>
    <w:p w14:paraId="12C18E22" w14:textId="455E6CBC" w:rsidR="00D7201E" w:rsidRDefault="00081341">
      <w:pPr>
        <w:jc w:val="both"/>
        <w:rPr>
          <w:sz w:val="22"/>
          <w:szCs w:val="22"/>
        </w:rPr>
      </w:pPr>
      <w:r>
        <w:rPr>
          <w:sz w:val="22"/>
          <w:szCs w:val="22"/>
        </w:rPr>
        <w:t xml:space="preserve">One of </w:t>
      </w:r>
      <w:r w:rsidR="003F5F6E">
        <w:rPr>
          <w:sz w:val="22"/>
          <w:szCs w:val="22"/>
        </w:rPr>
        <w:t xml:space="preserve">Leibniz’s </w:t>
      </w:r>
      <w:r>
        <w:rPr>
          <w:sz w:val="22"/>
          <w:szCs w:val="22"/>
        </w:rPr>
        <w:t xml:space="preserve">earliest goals was his ambitious plan, </w:t>
      </w:r>
      <w:r w:rsidR="00D7201E">
        <w:rPr>
          <w:sz w:val="22"/>
          <w:szCs w:val="22"/>
        </w:rPr>
        <w:t>considered to be drafted already in 1668,</w:t>
      </w:r>
      <w:r>
        <w:rPr>
          <w:sz w:val="22"/>
          <w:szCs w:val="22"/>
        </w:rPr>
        <w:t xml:space="preserve">when he was just 22 years old, to write a collection of </w:t>
      </w:r>
      <w:r>
        <w:rPr>
          <w:sz w:val="22"/>
          <w:szCs w:val="22"/>
        </w:rPr>
        <w:t>Catholic Demonstrations</w:t>
      </w:r>
      <w:r>
        <w:rPr>
          <w:sz w:val="22"/>
          <w:szCs w:val="22"/>
        </w:rPr>
        <w:t xml:space="preserve">, which was to be organized in four parts with, respectively, demonstrations of: God’s Existence; the Immortality and Incorporeity of the Soul; the Possibility </w:t>
      </w:r>
      <w:r w:rsidR="00D7201E">
        <w:rPr>
          <w:sz w:val="22"/>
          <w:szCs w:val="22"/>
        </w:rPr>
        <w:t xml:space="preserve">of the Mysteries of the Christian Faith; the Authority of the Catholic Church and the Authority of the Scripture </w:t>
      </w:r>
      <w:sdt>
        <w:sdtPr>
          <w:rPr>
            <w:sz w:val="22"/>
            <w:szCs w:val="22"/>
          </w:rPr>
          <w:id w:val="898551452"/>
          <w:citation/>
        </w:sdtPr>
        <w:sdtContent>
          <w:r w:rsidR="00D7201E">
            <w:rPr>
              <w:sz w:val="22"/>
              <w:szCs w:val="22"/>
            </w:rPr>
            <w:fldChar w:fldCharType="begin"/>
          </w:r>
          <w:r w:rsidR="00D7201E">
            <w:rPr>
              <w:sz w:val="22"/>
              <w:szCs w:val="22"/>
            </w:rPr>
            <w:instrText xml:space="preserve"> CITATION Ant09 \l 1033 </w:instrText>
          </w:r>
          <w:r w:rsidR="00D7201E">
            <w:rPr>
              <w:sz w:val="22"/>
              <w:szCs w:val="22"/>
            </w:rPr>
            <w:fldChar w:fldCharType="separate"/>
          </w:r>
          <w:r w:rsidR="00D7201E" w:rsidRPr="00D7201E">
            <w:rPr>
              <w:noProof/>
              <w:sz w:val="22"/>
              <w:szCs w:val="22"/>
            </w:rPr>
            <w:t>(Antognazza, 2009)</w:t>
          </w:r>
          <w:r w:rsidR="00D7201E">
            <w:rPr>
              <w:sz w:val="22"/>
              <w:szCs w:val="22"/>
            </w:rPr>
            <w:fldChar w:fldCharType="end"/>
          </w:r>
        </w:sdtContent>
      </w:sdt>
      <w:r w:rsidR="00D7201E">
        <w:rPr>
          <w:sz w:val="22"/>
          <w:szCs w:val="22"/>
        </w:rPr>
        <w:t>[page 90].</w:t>
      </w:r>
    </w:p>
    <w:p w14:paraId="6E2CA52F" w14:textId="77777777" w:rsidR="00D7201E" w:rsidRDefault="00D7201E">
      <w:pPr>
        <w:jc w:val="both"/>
        <w:rPr>
          <w:sz w:val="22"/>
          <w:szCs w:val="22"/>
        </w:rPr>
      </w:pPr>
    </w:p>
    <w:p w14:paraId="7D3BFD66" w14:textId="466704EB" w:rsidR="00D7201E" w:rsidRDefault="00D7201E">
      <w:pPr>
        <w:jc w:val="both"/>
        <w:rPr>
          <w:sz w:val="22"/>
          <w:szCs w:val="22"/>
        </w:rPr>
      </w:pPr>
      <w:r>
        <w:rPr>
          <w:sz w:val="22"/>
          <w:szCs w:val="22"/>
        </w:rPr>
        <w:t>Although Leibniz pursued this goal throughout his life, and this served as a motivation for him to develop his logic (seen as one of the prolegomena to the demonstrations), he never fully</w:t>
      </w:r>
      <w:r w:rsidR="00D40B70">
        <w:rPr>
          <w:sz w:val="22"/>
          <w:szCs w:val="22"/>
        </w:rPr>
        <w:t xml:space="preserve"> accomplished it</w:t>
      </w:r>
      <w:r>
        <w:rPr>
          <w:sz w:val="22"/>
          <w:szCs w:val="22"/>
        </w:rPr>
        <w:t>. His texts about the topic remained informal and lacked the rigour that would be possible through his own logic.</w:t>
      </w:r>
    </w:p>
    <w:p w14:paraId="5513452C" w14:textId="77777777" w:rsidR="00D7201E" w:rsidRDefault="00D7201E">
      <w:pPr>
        <w:jc w:val="both"/>
        <w:rPr>
          <w:sz w:val="22"/>
          <w:szCs w:val="22"/>
        </w:rPr>
      </w:pPr>
    </w:p>
    <w:p w14:paraId="46A4F52F" w14:textId="0525D278" w:rsidR="00D7201E" w:rsidRDefault="00D40B70">
      <w:pPr>
        <w:jc w:val="both"/>
        <w:rPr>
          <w:sz w:val="22"/>
          <w:szCs w:val="22"/>
        </w:rPr>
      </w:pPr>
      <w:r>
        <w:rPr>
          <w:sz w:val="22"/>
          <w:szCs w:val="22"/>
        </w:rPr>
        <w:t>Today, 300 years after Leibniz’s death, celebrating his contributions to logic and his inspiring foresight of automated reasoning, we accomplish (part of) his goal by showing how one</w:t>
      </w:r>
      <w:r w:rsidR="00694A74">
        <w:rPr>
          <w:sz w:val="22"/>
          <w:szCs w:val="22"/>
        </w:rPr>
        <w:t xml:space="preserve"> (version of one)</w:t>
      </w:r>
      <w:r>
        <w:rPr>
          <w:sz w:val="22"/>
          <w:szCs w:val="22"/>
        </w:rPr>
        <w:t xml:space="preserve"> of his informal demonstrations of God’s existence could have been formalized in his own Algebra of Concepts. </w:t>
      </w:r>
      <w:r w:rsidR="00434AA2">
        <w:rPr>
          <w:sz w:val="22"/>
          <w:szCs w:val="22"/>
        </w:rPr>
        <w:t>We achieve</w:t>
      </w:r>
      <w:r>
        <w:rPr>
          <w:sz w:val="22"/>
          <w:szCs w:val="22"/>
        </w:rPr>
        <w:t xml:space="preserve"> this </w:t>
      </w:r>
      <w:r w:rsidR="00434AA2">
        <w:rPr>
          <w:sz w:val="22"/>
          <w:szCs w:val="22"/>
        </w:rPr>
        <w:t xml:space="preserve">through </w:t>
      </w:r>
      <w:r w:rsidR="00694A74">
        <w:rPr>
          <w:sz w:val="22"/>
          <w:szCs w:val="22"/>
        </w:rPr>
        <w:t xml:space="preserve">modern automated </w:t>
      </w:r>
      <w:r w:rsidR="00434AA2">
        <w:rPr>
          <w:sz w:val="22"/>
          <w:szCs w:val="22"/>
        </w:rPr>
        <w:t>and interactive theorem provers, and</w:t>
      </w:r>
      <w:r w:rsidR="00694A74">
        <w:rPr>
          <w:sz w:val="22"/>
          <w:szCs w:val="22"/>
        </w:rPr>
        <w:t xml:space="preserve"> </w:t>
      </w:r>
      <w:r w:rsidR="00434AA2">
        <w:rPr>
          <w:sz w:val="22"/>
          <w:szCs w:val="22"/>
        </w:rPr>
        <w:t>o</w:t>
      </w:r>
      <w:r w:rsidR="00694A74">
        <w:rPr>
          <w:sz w:val="22"/>
          <w:szCs w:val="22"/>
        </w:rPr>
        <w:t xml:space="preserve">ur investigations reveal a few surprises about Leibniz’s </w:t>
      </w:r>
      <w:r w:rsidR="00694A74">
        <w:rPr>
          <w:sz w:val="22"/>
          <w:szCs w:val="22"/>
        </w:rPr>
        <w:t>notion</w:t>
      </w:r>
      <w:r w:rsidR="00434AA2">
        <w:rPr>
          <w:sz w:val="22"/>
          <w:szCs w:val="22"/>
        </w:rPr>
        <w:t>s</w:t>
      </w:r>
      <w:r w:rsidR="00694A74">
        <w:rPr>
          <w:sz w:val="22"/>
          <w:szCs w:val="22"/>
        </w:rPr>
        <w:t xml:space="preserve"> of </w:t>
      </w:r>
      <w:r w:rsidR="00434AA2">
        <w:rPr>
          <w:sz w:val="22"/>
          <w:szCs w:val="22"/>
        </w:rPr>
        <w:t>God and the assumption of I</w:t>
      </w:r>
      <w:r w:rsidR="00694A74">
        <w:rPr>
          <w:sz w:val="22"/>
          <w:szCs w:val="22"/>
        </w:rPr>
        <w:t>ts possibility.</w:t>
      </w:r>
    </w:p>
    <w:p w14:paraId="60E839AF" w14:textId="77777777" w:rsidR="00783315" w:rsidRPr="00A17249" w:rsidRDefault="00783315">
      <w:pPr>
        <w:jc w:val="both"/>
        <w:rPr>
          <w:sz w:val="22"/>
          <w:szCs w:val="22"/>
        </w:rPr>
      </w:pPr>
    </w:p>
    <w:p w14:paraId="2595141D" w14:textId="77777777" w:rsidR="004A63EF" w:rsidRDefault="004A63EF">
      <w:pPr>
        <w:suppressAutoHyphens w:val="0"/>
        <w:rPr>
          <w:b/>
          <w:i/>
          <w:sz w:val="22"/>
          <w:szCs w:val="22"/>
        </w:rPr>
      </w:pPr>
      <w:r>
        <w:rPr>
          <w:b/>
          <w:i/>
          <w:sz w:val="22"/>
          <w:szCs w:val="22"/>
        </w:rPr>
        <w:br w:type="page"/>
      </w:r>
    </w:p>
    <w:p w14:paraId="47F9D3A7" w14:textId="1707E97D" w:rsidR="00783315" w:rsidRPr="00A17249" w:rsidRDefault="00783315">
      <w:pPr>
        <w:jc w:val="both"/>
        <w:rPr>
          <w:sz w:val="22"/>
          <w:szCs w:val="22"/>
        </w:rPr>
      </w:pPr>
      <w:r w:rsidRPr="00A17249">
        <w:rPr>
          <w:b/>
          <w:i/>
          <w:sz w:val="22"/>
          <w:szCs w:val="22"/>
        </w:rPr>
        <w:lastRenderedPageBreak/>
        <w:t>A Brief History of Leibniz’s Arguments for God’s Existence</w:t>
      </w:r>
    </w:p>
    <w:p w14:paraId="563988C8" w14:textId="77777777" w:rsidR="00783315" w:rsidRPr="00A17249" w:rsidRDefault="00783315">
      <w:pPr>
        <w:jc w:val="both"/>
        <w:rPr>
          <w:b/>
          <w:i/>
          <w:sz w:val="22"/>
          <w:szCs w:val="22"/>
        </w:rPr>
      </w:pPr>
    </w:p>
    <w:p w14:paraId="784135B2" w14:textId="6E249BF7" w:rsidR="00783315" w:rsidRPr="00A17249" w:rsidRDefault="00783315">
      <w:pPr>
        <w:jc w:val="both"/>
        <w:rPr>
          <w:sz w:val="22"/>
          <w:szCs w:val="22"/>
        </w:rPr>
      </w:pPr>
      <w:r w:rsidRPr="00A17249">
        <w:rPr>
          <w:sz w:val="22"/>
          <w:szCs w:val="22"/>
        </w:rPr>
        <w:t xml:space="preserve">Leibniz’s first argument for the existence of God was a special case of the cosmological argument resting on the idea that the moving universe requires an incorporeal substance of infinite power (by definition, God) to set it in motion. This argument was presented in his </w:t>
      </w:r>
      <w:r w:rsidRPr="00A17249">
        <w:rPr>
          <w:i/>
          <w:sz w:val="22"/>
          <w:szCs w:val="22"/>
        </w:rPr>
        <w:t>Dissertation on the Art of Combinations</w:t>
      </w:r>
      <w:r w:rsidR="009531AD">
        <w:rPr>
          <w:rStyle w:val="FootnoteReference"/>
          <w:i/>
          <w:sz w:val="22"/>
          <w:szCs w:val="22"/>
        </w:rPr>
        <w:footnoteReference w:id="2"/>
      </w:r>
      <w:r w:rsidRPr="00A17249">
        <w:rPr>
          <w:sz w:val="22"/>
          <w:szCs w:val="22"/>
        </w:rPr>
        <w:t xml:space="preserve"> in 1666 in a very methodical form, with axioms, definitions and a concise step-by-step demonstration. The same argument was presented in an expanded textual form three years later (1669), in his </w:t>
      </w:r>
      <w:r w:rsidRPr="00A17249">
        <w:rPr>
          <w:i/>
          <w:sz w:val="22"/>
          <w:szCs w:val="22"/>
        </w:rPr>
        <w:t>Confession of Nature against Atheists</w:t>
      </w:r>
      <w:r w:rsidR="009531AD">
        <w:rPr>
          <w:sz w:val="22"/>
          <w:szCs w:val="22"/>
        </w:rPr>
        <w:t>.</w:t>
      </w:r>
    </w:p>
    <w:p w14:paraId="78B5F415" w14:textId="77777777" w:rsidR="00783315" w:rsidRPr="00A17249" w:rsidRDefault="00783315">
      <w:pPr>
        <w:jc w:val="both"/>
        <w:rPr>
          <w:sz w:val="22"/>
          <w:szCs w:val="22"/>
        </w:rPr>
      </w:pPr>
    </w:p>
    <w:p w14:paraId="011BE201" w14:textId="35B9EC54" w:rsidR="005305D5" w:rsidRPr="00A17249" w:rsidRDefault="00783315" w:rsidP="005305D5">
      <w:pPr>
        <w:jc w:val="both"/>
        <w:rPr>
          <w:rFonts w:eastAsia="Symbol" w:cs="Symbol"/>
          <w:sz w:val="22"/>
          <w:szCs w:val="22"/>
        </w:rPr>
      </w:pPr>
      <w:r w:rsidRPr="00A17249">
        <w:rPr>
          <w:sz w:val="22"/>
          <w:szCs w:val="22"/>
        </w:rPr>
        <w:t>Between the</w:t>
      </w:r>
      <w:r w:rsidR="009531AD">
        <w:rPr>
          <w:sz w:val="22"/>
          <w:szCs w:val="22"/>
        </w:rPr>
        <w:t xml:space="preserve"> 18</w:t>
      </w:r>
      <w:r w:rsidR="009531AD" w:rsidRPr="009531AD">
        <w:rPr>
          <w:sz w:val="22"/>
          <w:szCs w:val="22"/>
          <w:vertAlign w:val="superscript"/>
        </w:rPr>
        <w:t>th</w:t>
      </w:r>
      <w:r w:rsidR="009531AD">
        <w:rPr>
          <w:sz w:val="22"/>
          <w:szCs w:val="22"/>
        </w:rPr>
        <w:t xml:space="preserve"> and the 21</w:t>
      </w:r>
      <w:r w:rsidR="009531AD" w:rsidRPr="009531AD">
        <w:rPr>
          <w:sz w:val="22"/>
          <w:szCs w:val="22"/>
          <w:vertAlign w:val="superscript"/>
        </w:rPr>
        <w:t>st</w:t>
      </w:r>
      <w:r w:rsidR="009531AD">
        <w:rPr>
          <w:sz w:val="22"/>
          <w:szCs w:val="22"/>
        </w:rPr>
        <w:t xml:space="preserve"> of  November </w:t>
      </w:r>
      <w:r w:rsidRPr="00A17249">
        <w:rPr>
          <w:sz w:val="22"/>
          <w:szCs w:val="22"/>
        </w:rPr>
        <w:t xml:space="preserve">1676, Leibniz visited Spinoza in The Hague </w:t>
      </w:r>
      <w:sdt>
        <w:sdtPr>
          <w:rPr>
            <w:sz w:val="22"/>
            <w:szCs w:val="22"/>
          </w:rPr>
          <w:id w:val="1202522321"/>
          <w:citation/>
        </w:sdtPr>
        <w:sdtContent>
          <w:r w:rsidR="00AD21FA">
            <w:rPr>
              <w:sz w:val="22"/>
              <w:szCs w:val="22"/>
            </w:rPr>
            <w:fldChar w:fldCharType="begin"/>
          </w:r>
          <w:r w:rsidR="00AD21FA">
            <w:rPr>
              <w:sz w:val="22"/>
              <w:szCs w:val="22"/>
            </w:rPr>
            <w:instrText xml:space="preserve"> CITATION Ant09 \l 1033 </w:instrText>
          </w:r>
          <w:r w:rsidR="00AD21FA">
            <w:rPr>
              <w:sz w:val="22"/>
              <w:szCs w:val="22"/>
            </w:rPr>
            <w:fldChar w:fldCharType="separate"/>
          </w:r>
          <w:r w:rsidR="00AD21FA" w:rsidRPr="00AD21FA">
            <w:rPr>
              <w:noProof/>
              <w:sz w:val="22"/>
              <w:szCs w:val="22"/>
            </w:rPr>
            <w:t>(Antognazza, 2009)</w:t>
          </w:r>
          <w:r w:rsidR="00AD21FA">
            <w:rPr>
              <w:sz w:val="22"/>
              <w:szCs w:val="22"/>
            </w:rPr>
            <w:fldChar w:fldCharType="end"/>
          </w:r>
        </w:sdtContent>
      </w:sdt>
      <w:r w:rsidR="00AD21FA">
        <w:rPr>
          <w:sz w:val="22"/>
          <w:szCs w:val="22"/>
        </w:rPr>
        <w:t xml:space="preserve">[page 177] </w:t>
      </w:r>
      <w:r w:rsidRPr="00A17249">
        <w:rPr>
          <w:sz w:val="22"/>
          <w:szCs w:val="22"/>
        </w:rPr>
        <w:t xml:space="preserve">and discussed, among other topics, Spinoza’s at that time still unpublished </w:t>
      </w:r>
      <w:r w:rsidRPr="00A17249">
        <w:rPr>
          <w:i/>
          <w:sz w:val="22"/>
          <w:szCs w:val="22"/>
        </w:rPr>
        <w:t>Ethica</w:t>
      </w:r>
      <w:r w:rsidR="00AD21FA">
        <w:rPr>
          <w:i/>
          <w:sz w:val="22"/>
          <w:szCs w:val="22"/>
        </w:rPr>
        <w:t xml:space="preserve"> </w:t>
      </w:r>
      <w:sdt>
        <w:sdtPr>
          <w:rPr>
            <w:i/>
            <w:sz w:val="22"/>
            <w:szCs w:val="22"/>
          </w:rPr>
          <w:id w:val="-2108115304"/>
          <w:citation/>
        </w:sdtPr>
        <w:sdtContent>
          <w:r w:rsidR="00AD21FA">
            <w:rPr>
              <w:i/>
              <w:sz w:val="22"/>
              <w:szCs w:val="22"/>
            </w:rPr>
            <w:fldChar w:fldCharType="begin"/>
          </w:r>
          <w:r w:rsidR="00AD21FA">
            <w:rPr>
              <w:i/>
              <w:sz w:val="22"/>
              <w:szCs w:val="22"/>
            </w:rPr>
            <w:instrText xml:space="preserve"> CITATION deS77 \l 1033 </w:instrText>
          </w:r>
          <w:r w:rsidR="00AD21FA">
            <w:rPr>
              <w:i/>
              <w:sz w:val="22"/>
              <w:szCs w:val="22"/>
            </w:rPr>
            <w:fldChar w:fldCharType="separate"/>
          </w:r>
          <w:r w:rsidR="00AD21FA" w:rsidRPr="00AD21FA">
            <w:rPr>
              <w:noProof/>
              <w:sz w:val="22"/>
              <w:szCs w:val="22"/>
            </w:rPr>
            <w:t>(de Spinoza, 1677)</w:t>
          </w:r>
          <w:r w:rsidR="00AD21FA">
            <w:rPr>
              <w:i/>
              <w:sz w:val="22"/>
              <w:szCs w:val="22"/>
            </w:rPr>
            <w:fldChar w:fldCharType="end"/>
          </w:r>
        </w:sdtContent>
      </w:sdt>
      <w:r w:rsidRPr="00A17249">
        <w:rPr>
          <w:sz w:val="22"/>
          <w:szCs w:val="22"/>
        </w:rPr>
        <w:t xml:space="preserve">, which contains an argument for the existence of God, defined as “a substance consisting in infinite attributes, of which each expresses eternal and infinite essentiality”. Spinoza’s argument is ontological, since it relies on the idea </w:t>
      </w:r>
      <w:r w:rsidR="00490C5B" w:rsidRPr="00A17249">
        <w:rPr>
          <w:sz w:val="22"/>
          <w:szCs w:val="22"/>
        </w:rPr>
        <w:t xml:space="preserve">that </w:t>
      </w:r>
      <w:r w:rsidRPr="00A17249">
        <w:rPr>
          <w:sz w:val="22"/>
          <w:szCs w:val="22"/>
        </w:rPr>
        <w:t>God’s essence</w:t>
      </w:r>
      <w:r w:rsidR="00490C5B" w:rsidRPr="00A17249">
        <w:rPr>
          <w:sz w:val="22"/>
          <w:szCs w:val="22"/>
        </w:rPr>
        <w:t xml:space="preserve"> involves existence</w:t>
      </w:r>
      <w:r w:rsidRPr="00A17249">
        <w:rPr>
          <w:sz w:val="22"/>
          <w:szCs w:val="22"/>
        </w:rPr>
        <w:t xml:space="preserve">. Soon after the discussion, Leibniz criticized Spinoza’s argument in his </w:t>
      </w:r>
      <w:r w:rsidRPr="00A17249">
        <w:rPr>
          <w:i/>
          <w:sz w:val="22"/>
          <w:szCs w:val="22"/>
        </w:rPr>
        <w:t>Two Notations for Discussion with Spinoza</w:t>
      </w:r>
      <w:r w:rsidRPr="00A17249">
        <w:rPr>
          <w:sz w:val="22"/>
          <w:szCs w:val="22"/>
        </w:rPr>
        <w:t xml:space="preserve"> (November and December 1676), noting gaps in the argument. It is also in these notes that Leibniz famously criticized Descartes’ earlier ontological argument (and by extension also Anselm’s), where the concept of God is that of “a supremely perfect being” (</w:t>
      </w:r>
      <w:r w:rsidRPr="00A17249">
        <w:rPr>
          <w:sz w:val="22"/>
          <w:szCs w:val="22"/>
          <w:u w:val="single"/>
        </w:rPr>
        <w:t>Ens perfectissum</w:t>
      </w:r>
      <w:r w:rsidRPr="00A17249">
        <w:rPr>
          <w:sz w:val="22"/>
          <w:szCs w:val="22"/>
        </w:rPr>
        <w:t>), for being incomplete as it takes for granted that such a concept is possible, without contradiction.</w:t>
      </w:r>
      <w:r w:rsidR="005305D5" w:rsidRPr="00A17249">
        <w:rPr>
          <w:rFonts w:eastAsia="Symbol" w:cs="Symbol"/>
          <w:sz w:val="22"/>
          <w:szCs w:val="22"/>
        </w:rPr>
        <w:t xml:space="preserve"> He said: </w:t>
      </w:r>
      <w:r w:rsidR="005305D5" w:rsidRPr="00A17249">
        <w:rPr>
          <w:rFonts w:eastAsia="Symbol" w:cs="Symbol"/>
          <w:sz w:val="22"/>
          <w:szCs w:val="22"/>
        </w:rPr>
        <w:t xml:space="preserve">“Descartes’s reasoning about the existence of a most perfect being assumed that such a being can be conceived or is possible. If it is granted that there is such a concept, it follows at once that this being exists, because we set up this very concept in such a way that it at once contains existence. But it is asked whether it is in our power to set up such a being, or whether such a concept has reality and can be conceived clearly and distinctly, without contradiction. For opponents will say that such a </w:t>
      </w:r>
      <w:r w:rsidR="005305D5" w:rsidRPr="00A17249">
        <w:rPr>
          <w:rFonts w:eastAsia="Symbol" w:cs="Symbol"/>
          <w:sz w:val="22"/>
          <w:szCs w:val="22"/>
        </w:rPr>
        <w:lastRenderedPageBreak/>
        <w:t>concept of a most perfect being, or a being which exists through i</w:t>
      </w:r>
      <w:r w:rsidR="005305D5" w:rsidRPr="00A17249">
        <w:rPr>
          <w:rFonts w:eastAsia="Symbol" w:cs="Symbol"/>
          <w:sz w:val="22"/>
          <w:szCs w:val="22"/>
        </w:rPr>
        <w:t>ts essence, is a chimera.”</w:t>
      </w:r>
    </w:p>
    <w:p w14:paraId="0806C1CF" w14:textId="77777777" w:rsidR="005305D5" w:rsidRPr="00A17249" w:rsidRDefault="005305D5">
      <w:pPr>
        <w:jc w:val="both"/>
        <w:rPr>
          <w:sz w:val="22"/>
          <w:szCs w:val="22"/>
        </w:rPr>
      </w:pPr>
    </w:p>
    <w:p w14:paraId="7761C4BC" w14:textId="716F6413" w:rsidR="00783315" w:rsidRPr="00A17249" w:rsidRDefault="00783315">
      <w:pPr>
        <w:jc w:val="both"/>
        <w:rPr>
          <w:sz w:val="22"/>
          <w:szCs w:val="22"/>
        </w:rPr>
      </w:pPr>
      <w:r w:rsidRPr="00A17249">
        <w:rPr>
          <w:sz w:val="22"/>
          <w:szCs w:val="22"/>
        </w:rPr>
        <w:t xml:space="preserve"> Leibniz continued to criticize Spinoza’s argument in 1678 (one year after </w:t>
      </w:r>
      <w:r w:rsidRPr="00A17249">
        <w:rPr>
          <w:i/>
          <w:sz w:val="22"/>
          <w:szCs w:val="22"/>
        </w:rPr>
        <w:t>Ethica</w:t>
      </w:r>
      <w:r w:rsidRPr="00A17249">
        <w:rPr>
          <w:sz w:val="22"/>
          <w:szCs w:val="22"/>
        </w:rPr>
        <w:t xml:space="preserve">’s publication and Spinoza’s death) in his notes </w:t>
      </w:r>
      <w:r w:rsidRPr="00A17249">
        <w:rPr>
          <w:i/>
          <w:sz w:val="22"/>
          <w:szCs w:val="22"/>
        </w:rPr>
        <w:t>On the Ethics of Benedict de Spinoza</w:t>
      </w:r>
      <w:r w:rsidRPr="00A17249">
        <w:rPr>
          <w:sz w:val="22"/>
          <w:szCs w:val="22"/>
        </w:rPr>
        <w:t xml:space="preserve"> and in 1707 in his </w:t>
      </w:r>
      <w:r w:rsidRPr="00A17249">
        <w:rPr>
          <w:i/>
          <w:sz w:val="22"/>
          <w:szCs w:val="22"/>
        </w:rPr>
        <w:t>Comments on Spinoza’s Philosophy</w:t>
      </w:r>
      <w:r w:rsidRPr="00A17249">
        <w:rPr>
          <w:sz w:val="22"/>
          <w:szCs w:val="22"/>
        </w:rPr>
        <w:t xml:space="preserve"> </w:t>
      </w:r>
      <w:sdt>
        <w:sdtPr>
          <w:rPr>
            <w:sz w:val="22"/>
            <w:szCs w:val="22"/>
          </w:rPr>
          <w:id w:val="561683243"/>
          <w:citation/>
        </w:sdtPr>
        <w:sdtContent>
          <w:r w:rsidR="00AD21FA">
            <w:rPr>
              <w:sz w:val="22"/>
              <w:szCs w:val="22"/>
            </w:rPr>
            <w:fldChar w:fldCharType="begin"/>
          </w:r>
          <w:r w:rsidR="00AD21FA">
            <w:rPr>
              <w:sz w:val="22"/>
              <w:szCs w:val="22"/>
            </w:rPr>
            <w:instrText xml:space="preserve"> CITATION Nob10 \l 1033 </w:instrText>
          </w:r>
          <w:r w:rsidR="00AD21FA">
            <w:rPr>
              <w:sz w:val="22"/>
              <w:szCs w:val="22"/>
            </w:rPr>
            <w:fldChar w:fldCharType="separate"/>
          </w:r>
          <w:r w:rsidR="00AD21FA" w:rsidRPr="00AD21FA">
            <w:rPr>
              <w:noProof/>
              <w:sz w:val="22"/>
              <w:szCs w:val="22"/>
            </w:rPr>
            <w:t>(Noble, 2010)</w:t>
          </w:r>
          <w:r w:rsidR="00AD21FA">
            <w:rPr>
              <w:sz w:val="22"/>
              <w:szCs w:val="22"/>
            </w:rPr>
            <w:fldChar w:fldCharType="end"/>
          </w:r>
        </w:sdtContent>
      </w:sdt>
      <w:r w:rsidRPr="00A17249">
        <w:rPr>
          <w:sz w:val="22"/>
          <w:szCs w:val="22"/>
        </w:rPr>
        <w:t xml:space="preserve">. A major point of contention is the pantheism implied by Spinoza’s argument, with Leibniz having stated that: “Among other things, he [Spinoza] believes that the world and God are but a single substantial thing, that God is the substance of all things, and that creatures are only modes or accidents. But I noticed that some of his purported demonstrations, that he showed me, are not exactly right. It is not as easy as one thinks to provide true demonstrations in metaphysics.” </w:t>
      </w:r>
      <w:sdt>
        <w:sdtPr>
          <w:rPr>
            <w:sz w:val="22"/>
            <w:szCs w:val="22"/>
          </w:rPr>
          <w:id w:val="-1808929752"/>
          <w:citation/>
        </w:sdtPr>
        <w:sdtContent>
          <w:r w:rsidR="00354D2A">
            <w:rPr>
              <w:sz w:val="22"/>
              <w:szCs w:val="22"/>
            </w:rPr>
            <w:fldChar w:fldCharType="begin"/>
          </w:r>
          <w:r w:rsidR="00354D2A">
            <w:rPr>
              <w:sz w:val="22"/>
              <w:szCs w:val="22"/>
            </w:rPr>
            <w:instrText xml:space="preserve"> CITATION Ant09 \l 1033 </w:instrText>
          </w:r>
          <w:r w:rsidR="00354D2A">
            <w:rPr>
              <w:sz w:val="22"/>
              <w:szCs w:val="22"/>
            </w:rPr>
            <w:fldChar w:fldCharType="separate"/>
          </w:r>
          <w:r w:rsidR="00354D2A" w:rsidRPr="00354D2A">
            <w:rPr>
              <w:noProof/>
              <w:sz w:val="22"/>
              <w:szCs w:val="22"/>
            </w:rPr>
            <w:t>(Antognazza, 2009)</w:t>
          </w:r>
          <w:r w:rsidR="00354D2A">
            <w:rPr>
              <w:sz w:val="22"/>
              <w:szCs w:val="22"/>
            </w:rPr>
            <w:fldChar w:fldCharType="end"/>
          </w:r>
        </w:sdtContent>
      </w:sdt>
      <w:r w:rsidR="00354D2A">
        <w:rPr>
          <w:sz w:val="22"/>
          <w:szCs w:val="22"/>
        </w:rPr>
        <w:t>[page 178]</w:t>
      </w:r>
      <w:r w:rsidRPr="00A17249">
        <w:rPr>
          <w:sz w:val="22"/>
          <w:szCs w:val="22"/>
        </w:rPr>
        <w:t>.</w:t>
      </w:r>
    </w:p>
    <w:p w14:paraId="7CC54AEB" w14:textId="77777777" w:rsidR="00783315" w:rsidRPr="00A17249" w:rsidRDefault="00783315">
      <w:pPr>
        <w:jc w:val="both"/>
        <w:rPr>
          <w:sz w:val="22"/>
          <w:szCs w:val="22"/>
        </w:rPr>
      </w:pPr>
    </w:p>
    <w:p w14:paraId="103D3652" w14:textId="595F26BC" w:rsidR="00783315" w:rsidRPr="00A17249" w:rsidRDefault="00783315">
      <w:pPr>
        <w:jc w:val="both"/>
        <w:rPr>
          <w:sz w:val="22"/>
          <w:szCs w:val="22"/>
        </w:rPr>
      </w:pPr>
      <w:r w:rsidRPr="00A17249">
        <w:rPr>
          <w:sz w:val="22"/>
          <w:szCs w:val="22"/>
        </w:rPr>
        <w:t xml:space="preserve">In January 1678, Leibniz sent a </w:t>
      </w:r>
      <w:r w:rsidRPr="00A17249">
        <w:rPr>
          <w:i/>
          <w:sz w:val="22"/>
          <w:szCs w:val="22"/>
        </w:rPr>
        <w:t>Letter to Henning Huthmann</w:t>
      </w:r>
      <w:r w:rsidRPr="00A17249">
        <w:rPr>
          <w:sz w:val="22"/>
          <w:szCs w:val="22"/>
        </w:rPr>
        <w:t xml:space="preserve"> containing an alternative ontological proof in which God is taken to be an </w:t>
      </w:r>
      <w:r w:rsidRPr="00A17249">
        <w:rPr>
          <w:sz w:val="22"/>
          <w:szCs w:val="22"/>
          <w:u w:val="single"/>
        </w:rPr>
        <w:t>Ens a se, seu Ens ex cujus essentia sequitur existentia, seu Ens necessarium</w:t>
      </w:r>
      <w:r w:rsidRPr="00A17249">
        <w:rPr>
          <w:sz w:val="22"/>
          <w:szCs w:val="22"/>
        </w:rPr>
        <w:t xml:space="preserve"> (a self-sufficient being, a being from whose essence its existence follows, a necessary being).</w:t>
      </w:r>
    </w:p>
    <w:p w14:paraId="1759B186" w14:textId="77777777" w:rsidR="00783315" w:rsidRPr="00A17249" w:rsidRDefault="00783315">
      <w:pPr>
        <w:jc w:val="both"/>
        <w:rPr>
          <w:sz w:val="22"/>
          <w:szCs w:val="22"/>
        </w:rPr>
      </w:pPr>
    </w:p>
    <w:p w14:paraId="66FC1677" w14:textId="77777777" w:rsidR="00783315" w:rsidRPr="00A17249" w:rsidRDefault="00783315">
      <w:pPr>
        <w:jc w:val="both"/>
        <w:rPr>
          <w:sz w:val="22"/>
          <w:szCs w:val="22"/>
        </w:rPr>
      </w:pPr>
      <w:r w:rsidRPr="00A17249">
        <w:rPr>
          <w:sz w:val="22"/>
          <w:szCs w:val="22"/>
        </w:rPr>
        <w:t xml:space="preserve">Towards the end of his life, in his </w:t>
      </w:r>
      <w:r w:rsidRPr="00A17249">
        <w:rPr>
          <w:i/>
          <w:sz w:val="22"/>
          <w:szCs w:val="22"/>
        </w:rPr>
        <w:t>Monadology</w:t>
      </w:r>
      <w:r w:rsidRPr="00A17249">
        <w:rPr>
          <w:sz w:val="22"/>
          <w:szCs w:val="22"/>
        </w:rPr>
        <w:t xml:space="preserve"> (1714), Leibniz presents two arguments for God’s existence. The first one can be considered as a more abstract version of his first cosmological argument, relying not on the need for a final cause for the physical universe’s movements, but on the need for sufficient reason with a final cause for contingent truths. The second one is the ontological argument with God as an </w:t>
      </w:r>
      <w:r w:rsidRPr="00A17249">
        <w:rPr>
          <w:sz w:val="22"/>
          <w:szCs w:val="22"/>
          <w:u w:val="single"/>
        </w:rPr>
        <w:t>Ens necessarium</w:t>
      </w:r>
      <w:r w:rsidRPr="00A17249">
        <w:rPr>
          <w:sz w:val="22"/>
          <w:szCs w:val="22"/>
        </w:rPr>
        <w:t xml:space="preserve">, completed with the following justification for the possibility of this concept of God: “since nothing can prevent the possibility of that which is without any limits, without any negation, and consequently without any contradiction, this fact alone [i.e. that if God is possible, it necessarily exists] suffices to know the existence of God a priori”. </w:t>
      </w:r>
    </w:p>
    <w:p w14:paraId="134EF126" w14:textId="77777777" w:rsidR="00783315" w:rsidRDefault="00783315">
      <w:pPr>
        <w:jc w:val="both"/>
      </w:pPr>
    </w:p>
    <w:p w14:paraId="77BFFEC6" w14:textId="77777777" w:rsidR="004A63EF" w:rsidRDefault="004A63EF">
      <w:pPr>
        <w:suppressAutoHyphens w:val="0"/>
        <w:rPr>
          <w:b/>
          <w:i/>
          <w:sz w:val="22"/>
          <w:szCs w:val="22"/>
        </w:rPr>
      </w:pPr>
      <w:r>
        <w:rPr>
          <w:b/>
          <w:i/>
          <w:sz w:val="22"/>
          <w:szCs w:val="22"/>
        </w:rPr>
        <w:br w:type="page"/>
      </w:r>
    </w:p>
    <w:p w14:paraId="5685F01B" w14:textId="63315CBF" w:rsidR="00783315" w:rsidRPr="00A17249" w:rsidRDefault="00783315">
      <w:pPr>
        <w:jc w:val="both"/>
        <w:rPr>
          <w:sz w:val="22"/>
          <w:szCs w:val="22"/>
        </w:rPr>
      </w:pPr>
      <w:r w:rsidRPr="00A17249">
        <w:rPr>
          <w:b/>
          <w:i/>
          <w:sz w:val="22"/>
          <w:szCs w:val="22"/>
        </w:rPr>
        <w:lastRenderedPageBreak/>
        <w:t>From Metaphysics to Logic</w:t>
      </w:r>
    </w:p>
    <w:p w14:paraId="6B592994" w14:textId="77777777" w:rsidR="00783315" w:rsidRPr="00A17249" w:rsidRDefault="00783315">
      <w:pPr>
        <w:jc w:val="both"/>
        <w:rPr>
          <w:b/>
          <w:i/>
          <w:sz w:val="22"/>
          <w:szCs w:val="22"/>
        </w:rPr>
      </w:pPr>
    </w:p>
    <w:p w14:paraId="569CF093" w14:textId="77777777" w:rsidR="00783315" w:rsidRPr="00A17249" w:rsidRDefault="00783315">
      <w:pPr>
        <w:jc w:val="both"/>
        <w:rPr>
          <w:sz w:val="22"/>
          <w:szCs w:val="22"/>
        </w:rPr>
      </w:pPr>
      <w:r w:rsidRPr="00A17249">
        <w:rPr>
          <w:sz w:val="22"/>
          <w:szCs w:val="22"/>
        </w:rPr>
        <w:t xml:space="preserve">Leibniz’s metaphysical and theological goals seem to have served as a major source of motivation for the development of his logic and mathematics throughout his life. This can already be seen in his </w:t>
      </w:r>
      <w:r w:rsidRPr="00A17249">
        <w:rPr>
          <w:i/>
          <w:sz w:val="22"/>
          <w:szCs w:val="22"/>
        </w:rPr>
        <w:t>Dissertation on the Art of Combinations</w:t>
      </w:r>
      <w:r w:rsidRPr="00A17249">
        <w:rPr>
          <w:sz w:val="22"/>
          <w:szCs w:val="22"/>
        </w:rPr>
        <w:t xml:space="preserve"> (1666), which already contains preliminary ideas of his logic and begins with a proof of God’s existence. Furthermore, God is mentioned in practically all of his earlier papers on logic (e.g. </w:t>
      </w:r>
      <w:r w:rsidRPr="00A17249">
        <w:rPr>
          <w:i/>
          <w:sz w:val="22"/>
          <w:szCs w:val="22"/>
        </w:rPr>
        <w:t>On the General Characteristic</w:t>
      </w:r>
      <w:r w:rsidRPr="00A17249">
        <w:rPr>
          <w:sz w:val="22"/>
          <w:szCs w:val="22"/>
        </w:rPr>
        <w:t xml:space="preserve"> (1679), </w:t>
      </w:r>
      <w:r w:rsidRPr="00A17249">
        <w:rPr>
          <w:i/>
          <w:sz w:val="22"/>
          <w:szCs w:val="22"/>
        </w:rPr>
        <w:t>On Universal Synthesis and Analysis, or the Art of Discovery and Judgment</w:t>
      </w:r>
      <w:r w:rsidRPr="00A17249">
        <w:rPr>
          <w:sz w:val="22"/>
          <w:szCs w:val="22"/>
        </w:rPr>
        <w:t xml:space="preserve"> (1679),</w:t>
      </w:r>
      <w:r w:rsidRPr="00A17249">
        <w:rPr>
          <w:i/>
          <w:sz w:val="22"/>
          <w:szCs w:val="22"/>
        </w:rPr>
        <w:t xml:space="preserve"> Two Studies in the Logical Calculus</w:t>
      </w:r>
      <w:r w:rsidRPr="00A17249">
        <w:rPr>
          <w:sz w:val="22"/>
          <w:szCs w:val="22"/>
        </w:rPr>
        <w:t xml:space="preserve"> (1679), </w:t>
      </w:r>
      <w:r w:rsidRPr="00A17249">
        <w:rPr>
          <w:i/>
          <w:sz w:val="22"/>
          <w:szCs w:val="22"/>
        </w:rPr>
        <w:t>Meditations on Knowledge, Truth and Ideas</w:t>
      </w:r>
      <w:r w:rsidRPr="00A17249">
        <w:rPr>
          <w:sz w:val="22"/>
          <w:szCs w:val="22"/>
        </w:rPr>
        <w:t xml:space="preserve"> (1684)).</w:t>
      </w:r>
    </w:p>
    <w:p w14:paraId="5DC62120" w14:textId="77777777" w:rsidR="00783315" w:rsidRPr="00A17249" w:rsidRDefault="00783315">
      <w:pPr>
        <w:jc w:val="both"/>
        <w:rPr>
          <w:sz w:val="22"/>
          <w:szCs w:val="22"/>
        </w:rPr>
      </w:pPr>
    </w:p>
    <w:p w14:paraId="14F1ADC8" w14:textId="77777777" w:rsidR="00783315" w:rsidRPr="00A17249" w:rsidRDefault="00783315">
      <w:pPr>
        <w:jc w:val="both"/>
        <w:rPr>
          <w:sz w:val="22"/>
          <w:szCs w:val="22"/>
        </w:rPr>
      </w:pPr>
      <w:r w:rsidRPr="00A17249">
        <w:rPr>
          <w:sz w:val="22"/>
          <w:szCs w:val="22"/>
        </w:rPr>
        <w:t xml:space="preserve">In his work </w:t>
      </w:r>
      <w:r w:rsidRPr="00A17249">
        <w:rPr>
          <w:i/>
          <w:sz w:val="22"/>
          <w:szCs w:val="22"/>
        </w:rPr>
        <w:t>On the Correction of Metaphysics and the Concept of Substance</w:t>
      </w:r>
      <w:r w:rsidRPr="00A17249">
        <w:rPr>
          <w:sz w:val="22"/>
          <w:szCs w:val="22"/>
        </w:rPr>
        <w:t xml:space="preserve"> (1694), he said:</w:t>
      </w:r>
    </w:p>
    <w:p w14:paraId="16A48D60" w14:textId="77777777" w:rsidR="00783315" w:rsidRPr="00A17249" w:rsidRDefault="00783315">
      <w:pPr>
        <w:jc w:val="both"/>
        <w:rPr>
          <w:sz w:val="22"/>
          <w:szCs w:val="22"/>
        </w:rPr>
      </w:pPr>
    </w:p>
    <w:p w14:paraId="41D06CCC" w14:textId="77777777" w:rsidR="00783315" w:rsidRPr="00A17249" w:rsidRDefault="00783315">
      <w:pPr>
        <w:jc w:val="both"/>
        <w:rPr>
          <w:sz w:val="22"/>
          <w:szCs w:val="22"/>
        </w:rPr>
      </w:pPr>
      <w:r w:rsidRPr="00A17249">
        <w:rPr>
          <w:sz w:val="22"/>
          <w:szCs w:val="22"/>
        </w:rPr>
        <w:t>“I find that most people who take pleasure in the mathematical sciences shrink away from metaphysics, because they find light in the former but darkness in the latter.” […] “Yet it seems to me that light and certainty are more needed in metaphysics than in mathematics itself, because mathematical matters carry their own tests and verification with them, this being the strongest reason for success in mathematics. But in metaphysics we lack this advantage entirely. And so a certain distinctive order of procedure is necessary, which, like a thread in a labyrinth, will serve us, no less than the method of Euclid, to analyze our questions in the form of a calculus, yet nonetheless preserving the clarity which should never be lacking from popular speech.”</w:t>
      </w:r>
    </w:p>
    <w:p w14:paraId="73EAAE8A" w14:textId="77777777" w:rsidR="00783315" w:rsidRPr="00A17249" w:rsidRDefault="00783315">
      <w:pPr>
        <w:jc w:val="both"/>
        <w:rPr>
          <w:sz w:val="22"/>
          <w:szCs w:val="22"/>
        </w:rPr>
      </w:pPr>
    </w:p>
    <w:p w14:paraId="0C923833" w14:textId="1DCC83B5" w:rsidR="00783315" w:rsidRPr="00A17249" w:rsidRDefault="00783315">
      <w:pPr>
        <w:jc w:val="both"/>
        <w:rPr>
          <w:sz w:val="22"/>
          <w:szCs w:val="22"/>
        </w:rPr>
      </w:pPr>
      <w:r w:rsidRPr="00A17249">
        <w:rPr>
          <w:sz w:val="22"/>
          <w:szCs w:val="22"/>
        </w:rPr>
        <w:t xml:space="preserve">Even in the last years of his life, one of his last works, </w:t>
      </w:r>
      <w:r w:rsidRPr="00A17249">
        <w:rPr>
          <w:i/>
          <w:sz w:val="22"/>
          <w:szCs w:val="22"/>
        </w:rPr>
        <w:t>The Metaphysical Foundations of Mathematics</w:t>
      </w:r>
      <w:r w:rsidRPr="00A17249">
        <w:rPr>
          <w:sz w:val="22"/>
          <w:szCs w:val="22"/>
        </w:rPr>
        <w:t xml:space="preserve"> (1714), indicates that he had not lost his interest in conciliating the two disciplines.</w:t>
      </w:r>
    </w:p>
    <w:p w14:paraId="6082ACEE" w14:textId="77777777" w:rsidR="00783315" w:rsidRPr="00A17249" w:rsidRDefault="00783315">
      <w:pPr>
        <w:jc w:val="both"/>
        <w:rPr>
          <w:sz w:val="22"/>
          <w:szCs w:val="22"/>
        </w:rPr>
      </w:pPr>
    </w:p>
    <w:p w14:paraId="13CC6635" w14:textId="77777777" w:rsidR="004A63EF" w:rsidRDefault="004A63EF">
      <w:pPr>
        <w:suppressAutoHyphens w:val="0"/>
        <w:rPr>
          <w:b/>
          <w:i/>
          <w:sz w:val="22"/>
          <w:szCs w:val="22"/>
        </w:rPr>
      </w:pPr>
      <w:r>
        <w:rPr>
          <w:b/>
          <w:i/>
          <w:sz w:val="22"/>
          <w:szCs w:val="22"/>
        </w:rPr>
        <w:br w:type="page"/>
      </w:r>
    </w:p>
    <w:p w14:paraId="10310D57" w14:textId="1B9DE7A5" w:rsidR="00783315" w:rsidRPr="00A17249" w:rsidRDefault="00783315">
      <w:pPr>
        <w:jc w:val="both"/>
        <w:rPr>
          <w:sz w:val="22"/>
          <w:szCs w:val="22"/>
        </w:rPr>
      </w:pPr>
      <w:r w:rsidRPr="00A17249">
        <w:rPr>
          <w:b/>
          <w:i/>
          <w:sz w:val="22"/>
          <w:szCs w:val="22"/>
        </w:rPr>
        <w:lastRenderedPageBreak/>
        <w:t>Leibniz’s Algebra of Concepts</w:t>
      </w:r>
    </w:p>
    <w:p w14:paraId="44D98524" w14:textId="77777777" w:rsidR="00783315" w:rsidRPr="00A17249" w:rsidRDefault="00783315">
      <w:pPr>
        <w:jc w:val="both"/>
        <w:rPr>
          <w:b/>
          <w:i/>
          <w:sz w:val="22"/>
          <w:szCs w:val="22"/>
        </w:rPr>
      </w:pPr>
    </w:p>
    <w:p w14:paraId="67D59B4E" w14:textId="77BEE866" w:rsidR="00783315" w:rsidRPr="00A17249" w:rsidRDefault="00783315">
      <w:pPr>
        <w:jc w:val="both"/>
        <w:rPr>
          <w:sz w:val="22"/>
          <w:szCs w:val="22"/>
        </w:rPr>
      </w:pPr>
      <w:r w:rsidRPr="00A17249">
        <w:rPr>
          <w:sz w:val="22"/>
          <w:szCs w:val="22"/>
        </w:rPr>
        <w:t>Leibniz developed his logical formalism</w:t>
      </w:r>
      <w:r w:rsidRPr="00A17249">
        <w:rPr>
          <w:rStyle w:val="Funotenzeichen1"/>
          <w:sz w:val="22"/>
          <w:szCs w:val="22"/>
        </w:rPr>
        <w:footnoteReference w:id="3"/>
      </w:r>
      <w:r w:rsidRPr="00A17249">
        <w:rPr>
          <w:sz w:val="22"/>
          <w:szCs w:val="22"/>
        </w:rPr>
        <w:t xml:space="preserve"> to its most advanced stage in a series of papers from 1686 to 1687</w:t>
      </w:r>
      <w:r w:rsidR="00354D2A">
        <w:rPr>
          <w:sz w:val="22"/>
          <w:szCs w:val="22"/>
        </w:rPr>
        <w:t xml:space="preserve"> </w:t>
      </w:r>
      <w:sdt>
        <w:sdtPr>
          <w:rPr>
            <w:sz w:val="22"/>
            <w:szCs w:val="22"/>
          </w:rPr>
          <w:id w:val="2007477270"/>
          <w:citation/>
        </w:sdtPr>
        <w:sdtContent>
          <w:r w:rsidR="00354D2A">
            <w:rPr>
              <w:sz w:val="22"/>
              <w:szCs w:val="22"/>
            </w:rPr>
            <w:fldChar w:fldCharType="begin"/>
          </w:r>
          <w:r w:rsidR="00354D2A">
            <w:rPr>
              <w:sz w:val="22"/>
              <w:szCs w:val="22"/>
            </w:rPr>
            <w:instrText xml:space="preserve"> CITATION Got99 \l 1033 </w:instrText>
          </w:r>
          <w:r w:rsidR="00354D2A">
            <w:rPr>
              <w:sz w:val="22"/>
              <w:szCs w:val="22"/>
            </w:rPr>
            <w:fldChar w:fldCharType="separate"/>
          </w:r>
          <w:r w:rsidR="00354D2A" w:rsidRPr="00354D2A">
            <w:rPr>
              <w:noProof/>
              <w:sz w:val="22"/>
              <w:szCs w:val="22"/>
            </w:rPr>
            <w:t>(Leibniz, Sämtliche Schriften und Briefe, 1999)</w:t>
          </w:r>
          <w:r w:rsidR="00354D2A">
            <w:rPr>
              <w:sz w:val="22"/>
              <w:szCs w:val="22"/>
            </w:rPr>
            <w:fldChar w:fldCharType="end"/>
          </w:r>
        </w:sdtContent>
      </w:sdt>
      <w:r w:rsidRPr="00A17249">
        <w:rPr>
          <w:sz w:val="22"/>
          <w:szCs w:val="22"/>
        </w:rPr>
        <w:t xml:space="preserve">.  From a modern perspective, the language of Leibniz’s logic is a standard first-order language, where terms denote </w:t>
      </w:r>
      <w:r w:rsidRPr="00A17249">
        <w:rPr>
          <w:i/>
          <w:sz w:val="22"/>
          <w:szCs w:val="22"/>
        </w:rPr>
        <w:t>concepts</w:t>
      </w:r>
      <w:r w:rsidRPr="00A17249">
        <w:rPr>
          <w:sz w:val="22"/>
          <w:szCs w:val="22"/>
        </w:rPr>
        <w:t xml:space="preserve">. It has two primitive function symbols, denoting </w:t>
      </w:r>
      <w:r w:rsidRPr="00A17249">
        <w:rPr>
          <w:i/>
          <w:sz w:val="22"/>
          <w:szCs w:val="22"/>
        </w:rPr>
        <w:t>conjunction</w:t>
      </w:r>
      <w:r w:rsidRPr="00A17249">
        <w:rPr>
          <w:rStyle w:val="Funotenzeichen1"/>
          <w:i/>
          <w:sz w:val="22"/>
          <w:szCs w:val="22"/>
        </w:rPr>
        <w:footnoteReference w:id="4"/>
      </w:r>
      <w:r w:rsidRPr="00A17249">
        <w:rPr>
          <w:sz w:val="22"/>
          <w:szCs w:val="22"/>
        </w:rPr>
        <w:t xml:space="preserve"> and </w:t>
      </w:r>
      <w:r w:rsidRPr="00A17249">
        <w:rPr>
          <w:i/>
          <w:sz w:val="22"/>
          <w:szCs w:val="22"/>
        </w:rPr>
        <w:t>negation</w:t>
      </w:r>
      <w:r w:rsidRPr="00A17249">
        <w:rPr>
          <w:rStyle w:val="Funotenzeichen1"/>
          <w:i/>
          <w:sz w:val="22"/>
          <w:szCs w:val="22"/>
        </w:rPr>
        <w:footnoteReference w:id="5"/>
      </w:r>
      <w:r w:rsidRPr="00A17249">
        <w:rPr>
          <w:sz w:val="22"/>
          <w:szCs w:val="22"/>
        </w:rPr>
        <w:t xml:space="preserve"> of concepts, and one primitive binary relation symbol, denoting </w:t>
      </w:r>
      <w:r w:rsidRPr="00A17249">
        <w:rPr>
          <w:i/>
          <w:sz w:val="22"/>
          <w:szCs w:val="22"/>
        </w:rPr>
        <w:t>containment</w:t>
      </w:r>
      <w:r w:rsidRPr="00A17249">
        <w:rPr>
          <w:rStyle w:val="Funotenzeichen1"/>
          <w:sz w:val="22"/>
          <w:szCs w:val="22"/>
        </w:rPr>
        <w:footnoteReference w:id="6"/>
      </w:r>
      <w:r w:rsidRPr="00A17249">
        <w:rPr>
          <w:sz w:val="22"/>
          <w:szCs w:val="22"/>
        </w:rPr>
        <w:t xml:space="preserve"> of one concept into another. From this small set of primitive functions and relations, others can be defined, such as </w:t>
      </w:r>
      <w:r w:rsidRPr="00A17249">
        <w:rPr>
          <w:i/>
          <w:sz w:val="22"/>
          <w:szCs w:val="22"/>
        </w:rPr>
        <w:t>subtraction</w:t>
      </w:r>
      <w:r w:rsidRPr="00A17249">
        <w:rPr>
          <w:sz w:val="22"/>
          <w:szCs w:val="22"/>
        </w:rPr>
        <w:t xml:space="preserve"> of concepts and, most</w:t>
      </w:r>
      <w:r>
        <w:t xml:space="preserve"> interestingly, </w:t>
      </w:r>
      <w:r w:rsidRPr="00A17249">
        <w:rPr>
          <w:sz w:val="22"/>
          <w:szCs w:val="22"/>
        </w:rPr>
        <w:t>predicates</w:t>
      </w:r>
      <w:r w:rsidRPr="00A17249">
        <w:rPr>
          <w:rStyle w:val="Funotenzeichen1"/>
          <w:sz w:val="22"/>
          <w:szCs w:val="22"/>
        </w:rPr>
        <w:footnoteReference w:id="7"/>
      </w:r>
      <w:r w:rsidRPr="00A17249">
        <w:rPr>
          <w:sz w:val="22"/>
          <w:szCs w:val="22"/>
        </w:rPr>
        <w:t xml:space="preserve"> for </w:t>
      </w:r>
      <w:r w:rsidRPr="00A17249">
        <w:rPr>
          <w:i/>
          <w:sz w:val="22"/>
          <w:szCs w:val="22"/>
        </w:rPr>
        <w:t>possibility</w:t>
      </w:r>
      <w:r w:rsidRPr="00A17249">
        <w:rPr>
          <w:sz w:val="22"/>
          <w:szCs w:val="22"/>
        </w:rPr>
        <w:t xml:space="preserve"> and </w:t>
      </w:r>
      <w:r w:rsidRPr="00A17249">
        <w:rPr>
          <w:i/>
          <w:sz w:val="22"/>
          <w:szCs w:val="22"/>
        </w:rPr>
        <w:t>necessity</w:t>
      </w:r>
      <w:r w:rsidRPr="00A17249">
        <w:rPr>
          <w:sz w:val="22"/>
          <w:szCs w:val="22"/>
        </w:rPr>
        <w:t xml:space="preserve"> of concepts. In contrast to the modern modal logic notions of possibility and necessity, which apply to propositions, Leibniz notions apply to concepts. A concept is defined to be possible if it does not contain a contradiction (i.e. a conjunction of a concept and its negation), and necessary if its negation is not possible (cf. </w:t>
      </w:r>
      <w:r w:rsidRPr="00A17249">
        <w:rPr>
          <w:i/>
          <w:sz w:val="22"/>
          <w:szCs w:val="22"/>
        </w:rPr>
        <w:t>Notiones, Definitiones, Characteres</w:t>
      </w:r>
      <w:r w:rsidRPr="00A17249">
        <w:rPr>
          <w:sz w:val="22"/>
          <w:szCs w:val="22"/>
        </w:rPr>
        <w:t xml:space="preserve"> and </w:t>
      </w:r>
      <w:r w:rsidRPr="00A17249">
        <w:rPr>
          <w:i/>
          <w:sz w:val="22"/>
          <w:szCs w:val="22"/>
        </w:rPr>
        <w:t>Definitiones: Ens, Possibile, Existens</w:t>
      </w:r>
      <w:r w:rsidRPr="00A17249">
        <w:rPr>
          <w:sz w:val="22"/>
          <w:szCs w:val="22"/>
        </w:rPr>
        <w:t xml:space="preserve"> and </w:t>
      </w:r>
      <w:r w:rsidRPr="00A17249">
        <w:rPr>
          <w:i/>
          <w:sz w:val="22"/>
          <w:szCs w:val="22"/>
        </w:rPr>
        <w:t>Generales Inquisitiones de Analysis Notionum et Veritatum</w:t>
      </w:r>
      <w:r w:rsidRPr="00A17249">
        <w:rPr>
          <w:sz w:val="22"/>
          <w:szCs w:val="22"/>
        </w:rPr>
        <w:t>). A formalization in Isabelle/HOL of the language of Leibniz’s algebr</w:t>
      </w:r>
      <w:r w:rsidR="007C355C">
        <w:rPr>
          <w:sz w:val="22"/>
          <w:szCs w:val="22"/>
        </w:rPr>
        <w:t xml:space="preserve">a of concepts is shown in </w:t>
      </w:r>
      <w:r w:rsidR="007C355C" w:rsidRPr="00AF2135">
        <w:rPr>
          <w:sz w:val="22"/>
          <w:szCs w:val="22"/>
        </w:rPr>
        <w:fldChar w:fldCharType="begin"/>
      </w:r>
      <w:r w:rsidR="007C355C" w:rsidRPr="00AF2135">
        <w:rPr>
          <w:sz w:val="22"/>
          <w:szCs w:val="22"/>
        </w:rPr>
        <w:instrText xml:space="preserve"> REF _Ref459908224 \h </w:instrText>
      </w:r>
      <w:r w:rsidR="007C355C" w:rsidRPr="00AF2135">
        <w:rPr>
          <w:sz w:val="22"/>
          <w:szCs w:val="22"/>
        </w:rPr>
      </w:r>
      <w:r w:rsidR="00AF2135">
        <w:rPr>
          <w:sz w:val="22"/>
          <w:szCs w:val="22"/>
        </w:rPr>
        <w:instrText xml:space="preserve"> \* MERGEFORMAT </w:instrText>
      </w:r>
      <w:r w:rsidR="007C355C" w:rsidRPr="00AF2135">
        <w:rPr>
          <w:sz w:val="22"/>
          <w:szCs w:val="22"/>
        </w:rPr>
        <w:fldChar w:fldCharType="separate"/>
      </w:r>
      <w:r w:rsidR="007C355C" w:rsidRPr="00AF2135">
        <w:rPr>
          <w:sz w:val="22"/>
          <w:szCs w:val="22"/>
        </w:rPr>
        <w:t xml:space="preserve">Figure </w:t>
      </w:r>
      <w:r w:rsidR="007C355C" w:rsidRPr="00AF2135">
        <w:rPr>
          <w:noProof/>
          <w:sz w:val="22"/>
          <w:szCs w:val="22"/>
        </w:rPr>
        <w:t>1</w:t>
      </w:r>
      <w:r w:rsidR="007C355C" w:rsidRPr="00AF2135">
        <w:rPr>
          <w:sz w:val="22"/>
          <w:szCs w:val="22"/>
        </w:rPr>
        <w:fldChar w:fldCharType="end"/>
      </w:r>
      <w:r w:rsidRPr="00AF2135">
        <w:rPr>
          <w:sz w:val="22"/>
          <w:szCs w:val="22"/>
        </w:rPr>
        <w:t>.</w:t>
      </w:r>
    </w:p>
    <w:p w14:paraId="08B3E864" w14:textId="77777777" w:rsidR="00783315" w:rsidRDefault="00783315">
      <w:pPr>
        <w:jc w:val="both"/>
      </w:pPr>
    </w:p>
    <w:p w14:paraId="4049706F" w14:textId="77777777" w:rsidR="00A17249" w:rsidRDefault="00911E98" w:rsidP="00A17249">
      <w:pPr>
        <w:keepNext/>
        <w:jc w:val="both"/>
      </w:pPr>
      <w:r>
        <w:rPr>
          <w:noProof/>
          <w:lang w:eastAsia="en-US"/>
        </w:rPr>
        <w:lastRenderedPageBreak/>
        <w:drawing>
          <wp:inline distT="0" distB="0" distL="0" distR="0" wp14:anchorId="4E6CB34B" wp14:editId="28DF8ACC">
            <wp:extent cx="3685056" cy="4868333"/>
            <wp:effectExtent l="25400" t="25400" r="23495" b="342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701133" cy="4889573"/>
                    </a:xfrm>
                    <a:prstGeom prst="rect">
                      <a:avLst/>
                    </a:prstGeom>
                    <a:solidFill>
                      <a:srgbClr val="FFFFFF">
                        <a:alpha val="0"/>
                      </a:srgbClr>
                    </a:solidFill>
                    <a:ln>
                      <a:solidFill>
                        <a:schemeClr val="tx1"/>
                      </a:solidFill>
                    </a:ln>
                  </pic:spPr>
                </pic:pic>
              </a:graphicData>
            </a:graphic>
          </wp:inline>
        </w:drawing>
      </w:r>
    </w:p>
    <w:p w14:paraId="78E6EAC3" w14:textId="4E42AA89" w:rsidR="00783315" w:rsidRDefault="00A17249" w:rsidP="00A17249">
      <w:pPr>
        <w:pStyle w:val="Caption"/>
        <w:jc w:val="both"/>
      </w:pPr>
      <w:bookmarkStart w:id="0" w:name="_Ref459908224"/>
      <w:r>
        <w:t xml:space="preserve">Figure </w:t>
      </w:r>
      <w:fldSimple w:instr=" SEQ Figure \* ARABIC ">
        <w:r w:rsidR="007C355C">
          <w:rPr>
            <w:noProof/>
          </w:rPr>
          <w:t>1</w:t>
        </w:r>
      </w:fldSimple>
      <w:bookmarkEnd w:id="0"/>
      <w:r>
        <w:t>: Leibniz's Algebra of Concepts</w:t>
      </w:r>
    </w:p>
    <w:p w14:paraId="4DC94203" w14:textId="77777777" w:rsidR="00783315" w:rsidRDefault="00783315">
      <w:pPr>
        <w:jc w:val="both"/>
      </w:pPr>
    </w:p>
    <w:p w14:paraId="72061DAB" w14:textId="77777777" w:rsidR="00783315" w:rsidRPr="00A17249" w:rsidRDefault="00783315">
      <w:pPr>
        <w:jc w:val="both"/>
        <w:rPr>
          <w:sz w:val="22"/>
          <w:szCs w:val="22"/>
        </w:rPr>
      </w:pPr>
      <w:r w:rsidRPr="00A17249">
        <w:rPr>
          <w:sz w:val="22"/>
          <w:szCs w:val="22"/>
        </w:rPr>
        <w:t>Isabelle/HOL is an interactive proof assistant based on a higher-order logic. Its expressiveness and user-friendly graphical interface allows the embedding or axiomatization of simpler logical formalisms, such as Leibniz’s algebra of concepts, in the form of accessible and human-readable higher-order logic theory files.</w:t>
      </w:r>
    </w:p>
    <w:p w14:paraId="6FAD2CFE" w14:textId="77777777" w:rsidR="00783315" w:rsidRPr="00A17249" w:rsidRDefault="00783315">
      <w:pPr>
        <w:jc w:val="both"/>
        <w:rPr>
          <w:sz w:val="22"/>
          <w:szCs w:val="22"/>
        </w:rPr>
      </w:pPr>
    </w:p>
    <w:p w14:paraId="61A4007C" w14:textId="77777777" w:rsidR="00783315" w:rsidRPr="00A17249" w:rsidRDefault="00783315">
      <w:pPr>
        <w:jc w:val="both"/>
        <w:rPr>
          <w:sz w:val="22"/>
          <w:szCs w:val="22"/>
        </w:rPr>
      </w:pPr>
      <w:r w:rsidRPr="00A17249">
        <w:rPr>
          <w:sz w:val="22"/>
          <w:szCs w:val="22"/>
        </w:rPr>
        <w:lastRenderedPageBreak/>
        <w:t xml:space="preserve">In addition to the function symbols for conjunction and negation of concepts used by Leibniz, our formalization also declares symbols for </w:t>
      </w:r>
      <w:r w:rsidRPr="00A17249">
        <w:rPr>
          <w:i/>
          <w:sz w:val="22"/>
          <w:szCs w:val="22"/>
        </w:rPr>
        <w:t>disjunction</w:t>
      </w:r>
      <w:r w:rsidRPr="00A17249">
        <w:rPr>
          <w:sz w:val="22"/>
          <w:szCs w:val="22"/>
        </w:rPr>
        <w:t xml:space="preserve"> and </w:t>
      </w:r>
      <w:r w:rsidRPr="00A17249">
        <w:rPr>
          <w:i/>
          <w:sz w:val="22"/>
          <w:szCs w:val="22"/>
        </w:rPr>
        <w:t>implication</w:t>
      </w:r>
      <w:r w:rsidRPr="00A17249">
        <w:rPr>
          <w:sz w:val="22"/>
          <w:szCs w:val="22"/>
        </w:rPr>
        <w:t xml:space="preserve"> of concepts, defining them in the usual classical way in terms of the primitive symbols (e.g. disjunction of two concepts is the negation of the conjunction of their negations). Importantly, such defined symbols can be regarded as mere abbreviations for complex expressions and, therefore, do not extend the set of theorems provable in Leibniz’s logical formalism.</w:t>
      </w:r>
    </w:p>
    <w:p w14:paraId="6BB38AC2" w14:textId="56151516" w:rsidR="00783315" w:rsidRPr="00A17249" w:rsidRDefault="00783315">
      <w:pPr>
        <w:jc w:val="both"/>
        <w:rPr>
          <w:sz w:val="22"/>
          <w:szCs w:val="22"/>
        </w:rPr>
      </w:pPr>
    </w:p>
    <w:p w14:paraId="61DF1C07" w14:textId="1C76503E" w:rsidR="00783315" w:rsidRPr="00A17249" w:rsidRDefault="00783315">
      <w:pPr>
        <w:jc w:val="both"/>
        <w:rPr>
          <w:sz w:val="22"/>
          <w:szCs w:val="22"/>
        </w:rPr>
      </w:pPr>
      <w:r w:rsidRPr="00A17249">
        <w:rPr>
          <w:sz w:val="22"/>
          <w:szCs w:val="22"/>
        </w:rPr>
        <w:t xml:space="preserve">The consistency of all axioms and </w:t>
      </w:r>
      <w:r w:rsidR="00AF2135">
        <w:rPr>
          <w:sz w:val="22"/>
          <w:szCs w:val="22"/>
        </w:rPr>
        <w:t xml:space="preserve">definitions shown </w:t>
      </w:r>
      <w:r w:rsidR="00AF2135" w:rsidRPr="00AF2135">
        <w:rPr>
          <w:sz w:val="22"/>
          <w:szCs w:val="22"/>
        </w:rPr>
        <w:t xml:space="preserve">in </w:t>
      </w:r>
      <w:r w:rsidR="00AF2135" w:rsidRPr="00AF2135">
        <w:rPr>
          <w:sz w:val="22"/>
          <w:szCs w:val="22"/>
        </w:rPr>
        <w:fldChar w:fldCharType="begin"/>
      </w:r>
      <w:r w:rsidR="00AF2135" w:rsidRPr="00AF2135">
        <w:rPr>
          <w:sz w:val="22"/>
          <w:szCs w:val="22"/>
        </w:rPr>
        <w:instrText xml:space="preserve"> REF _Ref459908224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1</w:t>
      </w:r>
      <w:r w:rsidR="00AF2135" w:rsidRPr="00AF2135">
        <w:rPr>
          <w:sz w:val="22"/>
          <w:szCs w:val="22"/>
        </w:rPr>
        <w:fldChar w:fldCharType="end"/>
      </w:r>
      <w:r w:rsidR="00AF2135" w:rsidRPr="00AF2135">
        <w:rPr>
          <w:sz w:val="22"/>
          <w:szCs w:val="22"/>
        </w:rPr>
        <w:t xml:space="preserve"> </w:t>
      </w:r>
      <w:r w:rsidRPr="00AF2135">
        <w:rPr>
          <w:sz w:val="22"/>
          <w:szCs w:val="22"/>
        </w:rPr>
        <w:t>can</w:t>
      </w:r>
      <w:r w:rsidRPr="00A17249">
        <w:rPr>
          <w:sz w:val="22"/>
          <w:szCs w:val="22"/>
        </w:rPr>
        <w:t xml:space="preserve"> be shown by calling Nitpick, an automated model finder, as shown in </w:t>
      </w:r>
      <w:r w:rsidR="00AF2135" w:rsidRPr="00AF2135">
        <w:rPr>
          <w:sz w:val="22"/>
          <w:szCs w:val="22"/>
        </w:rPr>
        <w:fldChar w:fldCharType="begin"/>
      </w:r>
      <w:r w:rsidR="00AF2135" w:rsidRPr="00AF2135">
        <w:rPr>
          <w:sz w:val="22"/>
          <w:szCs w:val="22"/>
        </w:rPr>
        <w:instrText xml:space="preserve"> REF _Ref459910004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2</w:t>
      </w:r>
      <w:r w:rsidR="00AF2135" w:rsidRPr="00AF2135">
        <w:rPr>
          <w:sz w:val="22"/>
          <w:szCs w:val="22"/>
        </w:rPr>
        <w:fldChar w:fldCharType="end"/>
      </w:r>
      <w:r w:rsidR="00AF2135">
        <w:rPr>
          <w:sz w:val="22"/>
          <w:szCs w:val="22"/>
        </w:rPr>
        <w:t xml:space="preserve"> </w:t>
      </w:r>
      <w:r w:rsidR="00B8250E" w:rsidRPr="00A17249">
        <w:rPr>
          <w:sz w:val="22"/>
          <w:szCs w:val="22"/>
        </w:rPr>
        <w:t xml:space="preserve">below. </w:t>
      </w:r>
      <w:r w:rsidRPr="00A17249">
        <w:rPr>
          <w:sz w:val="22"/>
          <w:szCs w:val="22"/>
        </w:rPr>
        <w:t xml:space="preserve">Nitpick finds </w:t>
      </w:r>
      <w:r w:rsidR="00B8250E" w:rsidRPr="00A17249">
        <w:rPr>
          <w:sz w:val="22"/>
          <w:szCs w:val="22"/>
        </w:rPr>
        <w:t xml:space="preserve">a model. Hence, </w:t>
      </w:r>
      <w:r w:rsidRPr="00A17249">
        <w:rPr>
          <w:sz w:val="22"/>
          <w:szCs w:val="22"/>
        </w:rPr>
        <w:t>Leibniz’s algebra of concepts, axiomatized as a higher-order logic theory, is consistent.</w:t>
      </w:r>
    </w:p>
    <w:p w14:paraId="787F4369" w14:textId="77777777" w:rsidR="00E22D81" w:rsidRDefault="00E22D81">
      <w:pPr>
        <w:jc w:val="both"/>
      </w:pPr>
    </w:p>
    <w:p w14:paraId="4082CFF4" w14:textId="77777777" w:rsidR="007C355C" w:rsidRDefault="00E22D81" w:rsidP="007C355C">
      <w:pPr>
        <w:keepNext/>
        <w:jc w:val="both"/>
      </w:pPr>
      <w:r>
        <w:rPr>
          <w:noProof/>
          <w:lang w:eastAsia="en-US"/>
        </w:rPr>
        <w:drawing>
          <wp:inline distT="0" distB="0" distL="0" distR="0" wp14:anchorId="0865113D" wp14:editId="3809A0A5">
            <wp:extent cx="3749040" cy="2129202"/>
            <wp:effectExtent l="25400" t="25400" r="35560" b="298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749040" cy="2129202"/>
                    </a:xfrm>
                    <a:prstGeom prst="rect">
                      <a:avLst/>
                    </a:prstGeom>
                    <a:solidFill>
                      <a:srgbClr val="FFFFFF">
                        <a:alpha val="0"/>
                      </a:srgbClr>
                    </a:solidFill>
                    <a:ln>
                      <a:solidFill>
                        <a:schemeClr val="tx1"/>
                      </a:solidFill>
                    </a:ln>
                  </pic:spPr>
                </pic:pic>
              </a:graphicData>
            </a:graphic>
          </wp:inline>
        </w:drawing>
      </w:r>
    </w:p>
    <w:p w14:paraId="5980EDA5" w14:textId="074EB8A6" w:rsidR="0061457E" w:rsidRDefault="007C355C" w:rsidP="007C355C">
      <w:pPr>
        <w:pStyle w:val="Caption"/>
        <w:jc w:val="both"/>
      </w:pPr>
      <w:bookmarkStart w:id="1" w:name="_Ref459910004"/>
      <w:r>
        <w:t xml:space="preserve">Figure </w:t>
      </w:r>
      <w:fldSimple w:instr=" SEQ Figure \* ARABIC ">
        <w:r>
          <w:rPr>
            <w:noProof/>
          </w:rPr>
          <w:t>2</w:t>
        </w:r>
      </w:fldSimple>
      <w:bookmarkEnd w:id="1"/>
      <w:r>
        <w:t>: Consistency of Leibniz's Algebra of Concepts</w:t>
      </w:r>
    </w:p>
    <w:p w14:paraId="454A1200" w14:textId="77777777" w:rsidR="00E22D81" w:rsidRDefault="00E22D81">
      <w:pPr>
        <w:jc w:val="both"/>
      </w:pPr>
    </w:p>
    <w:p w14:paraId="20423381" w14:textId="4A0A1018" w:rsidR="00E22D81" w:rsidRPr="00A17249" w:rsidRDefault="00783315">
      <w:pPr>
        <w:jc w:val="both"/>
        <w:rPr>
          <w:sz w:val="22"/>
          <w:szCs w:val="22"/>
        </w:rPr>
      </w:pPr>
      <w:r w:rsidRPr="00A17249">
        <w:rPr>
          <w:sz w:val="22"/>
          <w:szCs w:val="22"/>
        </w:rPr>
        <w:t>From the definitions and axioms shown</w:t>
      </w:r>
      <w:r w:rsidRPr="00AF2135">
        <w:rPr>
          <w:sz w:val="22"/>
          <w:szCs w:val="22"/>
        </w:rPr>
        <w:t xml:space="preserve"> in </w:t>
      </w:r>
      <w:r w:rsidR="00AF2135" w:rsidRPr="00AF2135">
        <w:rPr>
          <w:sz w:val="22"/>
          <w:szCs w:val="22"/>
        </w:rPr>
        <w:fldChar w:fldCharType="begin"/>
      </w:r>
      <w:r w:rsidR="00AF2135" w:rsidRPr="00AF2135">
        <w:rPr>
          <w:sz w:val="22"/>
          <w:szCs w:val="22"/>
        </w:rPr>
        <w:instrText xml:space="preserve"> REF _Ref459908224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1</w:t>
      </w:r>
      <w:r w:rsidR="00AF2135" w:rsidRPr="00AF2135">
        <w:rPr>
          <w:sz w:val="22"/>
          <w:szCs w:val="22"/>
        </w:rPr>
        <w:fldChar w:fldCharType="end"/>
      </w:r>
      <w:r w:rsidR="00AF2135" w:rsidRPr="00AF2135">
        <w:rPr>
          <w:sz w:val="22"/>
          <w:szCs w:val="22"/>
        </w:rPr>
        <w:t xml:space="preserve"> </w:t>
      </w:r>
      <w:r w:rsidRPr="00AF2135">
        <w:rPr>
          <w:sz w:val="22"/>
          <w:szCs w:val="22"/>
        </w:rPr>
        <w:t>above, several useful lemmas can</w:t>
      </w:r>
      <w:r w:rsidR="00AF2135" w:rsidRPr="00AF2135">
        <w:rPr>
          <w:sz w:val="22"/>
          <w:szCs w:val="22"/>
        </w:rPr>
        <w:t xml:space="preserve"> be proven, as listed in </w:t>
      </w:r>
      <w:r w:rsidR="00AF2135" w:rsidRPr="00AF2135">
        <w:rPr>
          <w:sz w:val="22"/>
          <w:szCs w:val="22"/>
        </w:rPr>
        <w:fldChar w:fldCharType="begin"/>
      </w:r>
      <w:r w:rsidR="00AF2135" w:rsidRPr="00AF2135">
        <w:rPr>
          <w:sz w:val="22"/>
          <w:szCs w:val="22"/>
        </w:rPr>
        <w:instrText xml:space="preserve"> REF _Ref459910150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3</w:t>
      </w:r>
      <w:r w:rsidR="00AF2135" w:rsidRPr="00AF2135">
        <w:rPr>
          <w:sz w:val="22"/>
          <w:szCs w:val="22"/>
        </w:rPr>
        <w:fldChar w:fldCharType="end"/>
      </w:r>
      <w:r w:rsidRPr="00AF2135">
        <w:rPr>
          <w:sz w:val="22"/>
          <w:szCs w:val="22"/>
        </w:rPr>
        <w:t>.</w:t>
      </w:r>
    </w:p>
    <w:p w14:paraId="684AD567" w14:textId="77777777" w:rsidR="007C355C" w:rsidRDefault="00E22D81" w:rsidP="007C355C">
      <w:pPr>
        <w:keepNext/>
        <w:jc w:val="both"/>
      </w:pPr>
      <w:r w:rsidRPr="00E22D81">
        <w:rPr>
          <w:noProof/>
          <w:lang w:eastAsia="en-US"/>
        </w:rPr>
        <w:lastRenderedPageBreak/>
        <w:t xml:space="preserve"> </w:t>
      </w:r>
      <w:r>
        <w:rPr>
          <w:noProof/>
          <w:lang w:eastAsia="en-US"/>
        </w:rPr>
        <w:drawing>
          <wp:inline distT="0" distB="0" distL="0" distR="0" wp14:anchorId="46FF8BBB" wp14:editId="04048BD8">
            <wp:extent cx="3674533" cy="4288820"/>
            <wp:effectExtent l="25400" t="25400" r="34290" b="292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687487" cy="4303940"/>
                    </a:xfrm>
                    <a:prstGeom prst="rect">
                      <a:avLst/>
                    </a:prstGeom>
                    <a:solidFill>
                      <a:srgbClr val="FFFFFF">
                        <a:alpha val="0"/>
                      </a:srgbClr>
                    </a:solidFill>
                    <a:ln>
                      <a:solidFill>
                        <a:schemeClr val="tx1"/>
                      </a:solidFill>
                    </a:ln>
                  </pic:spPr>
                </pic:pic>
              </a:graphicData>
            </a:graphic>
          </wp:inline>
        </w:drawing>
      </w:r>
    </w:p>
    <w:p w14:paraId="6D3A8A1F" w14:textId="167DCBBD" w:rsidR="00783315" w:rsidRDefault="007C355C" w:rsidP="007C355C">
      <w:pPr>
        <w:pStyle w:val="Caption"/>
        <w:jc w:val="both"/>
      </w:pPr>
      <w:bookmarkStart w:id="2" w:name="_Ref459910150"/>
      <w:r>
        <w:t xml:space="preserve">Figure </w:t>
      </w:r>
      <w:fldSimple w:instr=" SEQ Figure \* ARABIC ">
        <w:r>
          <w:rPr>
            <w:noProof/>
          </w:rPr>
          <w:t>3</w:t>
        </w:r>
      </w:fldSimple>
      <w:bookmarkEnd w:id="2"/>
      <w:r>
        <w:t>: Useful Lemmas of Leibniz's Algebra of Concepts</w:t>
      </w:r>
    </w:p>
    <w:p w14:paraId="47DFBA04" w14:textId="77777777" w:rsidR="00783315" w:rsidRDefault="00783315">
      <w:pPr>
        <w:jc w:val="both"/>
      </w:pPr>
    </w:p>
    <w:p w14:paraId="6CF00238" w14:textId="77777777" w:rsidR="00783315" w:rsidRDefault="00783315">
      <w:pPr>
        <w:jc w:val="both"/>
      </w:pPr>
    </w:p>
    <w:p w14:paraId="0FFE13C5" w14:textId="77777777" w:rsidR="004A63EF" w:rsidRDefault="004A63EF">
      <w:pPr>
        <w:suppressAutoHyphens w:val="0"/>
        <w:rPr>
          <w:b/>
          <w:i/>
          <w:sz w:val="22"/>
          <w:szCs w:val="22"/>
        </w:rPr>
      </w:pPr>
      <w:r>
        <w:rPr>
          <w:b/>
          <w:i/>
          <w:sz w:val="22"/>
          <w:szCs w:val="22"/>
        </w:rPr>
        <w:br w:type="page"/>
      </w:r>
    </w:p>
    <w:p w14:paraId="4E920538" w14:textId="2379BAC0" w:rsidR="00783315" w:rsidRPr="00A17249" w:rsidRDefault="00783315">
      <w:pPr>
        <w:jc w:val="both"/>
        <w:rPr>
          <w:sz w:val="22"/>
          <w:szCs w:val="22"/>
        </w:rPr>
      </w:pPr>
      <w:r w:rsidRPr="00A17249">
        <w:rPr>
          <w:b/>
          <w:i/>
          <w:sz w:val="22"/>
          <w:szCs w:val="22"/>
        </w:rPr>
        <w:lastRenderedPageBreak/>
        <w:t>Leibniz’s Argument for the Existence of the Ens Necessarium</w:t>
      </w:r>
    </w:p>
    <w:p w14:paraId="52DF1E51" w14:textId="77777777" w:rsidR="00783315" w:rsidRPr="00A17249" w:rsidRDefault="00783315">
      <w:pPr>
        <w:jc w:val="both"/>
        <w:rPr>
          <w:b/>
          <w:i/>
          <w:sz w:val="22"/>
          <w:szCs w:val="22"/>
        </w:rPr>
      </w:pPr>
    </w:p>
    <w:p w14:paraId="549AF59F" w14:textId="77777777" w:rsidR="00783315" w:rsidRPr="00A17249" w:rsidRDefault="00783315">
      <w:pPr>
        <w:jc w:val="both"/>
        <w:rPr>
          <w:sz w:val="22"/>
          <w:szCs w:val="22"/>
        </w:rPr>
      </w:pPr>
      <w:r w:rsidRPr="00A17249">
        <w:rPr>
          <w:sz w:val="22"/>
          <w:szCs w:val="22"/>
        </w:rPr>
        <w:t xml:space="preserve">Among all of Leibniz’s arguments for God’s existence, the first ontological argument (of three) in his </w:t>
      </w:r>
      <w:r w:rsidRPr="00A17249">
        <w:rPr>
          <w:i/>
          <w:sz w:val="22"/>
          <w:szCs w:val="22"/>
        </w:rPr>
        <w:t>Letter to Henning Huthmann</w:t>
      </w:r>
      <w:r w:rsidRPr="00A17249">
        <w:rPr>
          <w:sz w:val="22"/>
          <w:szCs w:val="22"/>
          <w:lang w:val="en-US" w:eastAsia="en-US"/>
        </w:rPr>
        <w:t xml:space="preserve"> (1678) is the most interesting for a computer-assisted analysis based on Leibniz’s own algebra of concepts. This argument is reproduced</w:t>
      </w:r>
      <w:r w:rsidRPr="00A17249">
        <w:rPr>
          <w:rStyle w:val="Funotenzeichen1"/>
          <w:sz w:val="22"/>
          <w:szCs w:val="22"/>
          <w:lang w:val="en-US" w:eastAsia="en-US"/>
        </w:rPr>
        <w:footnoteReference w:id="8"/>
      </w:r>
      <w:r w:rsidRPr="00A17249">
        <w:rPr>
          <w:sz w:val="22"/>
          <w:szCs w:val="22"/>
          <w:lang w:val="en-US" w:eastAsia="en-US"/>
        </w:rPr>
        <w:t xml:space="preserve"> below:</w:t>
      </w:r>
    </w:p>
    <w:p w14:paraId="57CDB9B0" w14:textId="77777777" w:rsidR="00783315" w:rsidRPr="00A17249" w:rsidRDefault="00783315">
      <w:pPr>
        <w:jc w:val="both"/>
        <w:rPr>
          <w:sz w:val="22"/>
          <w:szCs w:val="22"/>
        </w:rPr>
      </w:pPr>
    </w:p>
    <w:p w14:paraId="0A59887B" w14:textId="77777777" w:rsidR="00783315" w:rsidRDefault="00783315">
      <w:r>
        <w:rPr>
          <w:b/>
        </w:rPr>
        <w:t xml:space="preserve">Theorem: </w:t>
      </w:r>
      <w:r>
        <w:rPr>
          <w:i/>
        </w:rPr>
        <w:t>Si Ens necessarium est possibile, actu existet.</w:t>
      </w:r>
      <w:r>
        <w:rPr>
          <w:rFonts w:ascii="MS Mincho" w:eastAsia="MS Mincho" w:hAnsi="MS Mincho" w:cs="MS Mincho"/>
          <w:i/>
        </w:rPr>
        <w:t> </w:t>
      </w:r>
    </w:p>
    <w:p w14:paraId="27D58D9C" w14:textId="77777777" w:rsidR="00783315" w:rsidRDefault="00783315">
      <w:r>
        <w:rPr>
          <w:b/>
        </w:rPr>
        <w:t xml:space="preserve">Proof: </w:t>
      </w:r>
      <w:r>
        <w:rPr>
          <w:i/>
        </w:rPr>
        <w:t>Nam ponamus non existere, inde ratiocinabor hoc modo:</w:t>
      </w:r>
      <w:r>
        <w:rPr>
          <w:rFonts w:ascii="MS Mincho" w:eastAsia="MS Mincho" w:hAnsi="MS Mincho" w:cs="MS Mincho"/>
          <w:i/>
        </w:rPr>
        <w:t> </w:t>
      </w:r>
    </w:p>
    <w:p w14:paraId="46A6529E" w14:textId="77777777" w:rsidR="00783315" w:rsidRDefault="00783315">
      <w:pPr>
        <w:numPr>
          <w:ilvl w:val="0"/>
          <w:numId w:val="3"/>
        </w:numPr>
        <w:ind w:left="426"/>
      </w:pPr>
      <w:r>
        <w:rPr>
          <w:i/>
        </w:rPr>
        <w:t>Ens Necessarium non existit, ex hypothesi.</w:t>
      </w:r>
      <w:r>
        <w:rPr>
          <w:rFonts w:ascii="MS Mincho" w:eastAsia="MS Mincho" w:hAnsi="MS Mincho" w:cs="MS Mincho"/>
          <w:i/>
        </w:rPr>
        <w:t> </w:t>
      </w:r>
    </w:p>
    <w:p w14:paraId="75BC5308" w14:textId="77777777" w:rsidR="00783315" w:rsidRDefault="00783315">
      <w:pPr>
        <w:numPr>
          <w:ilvl w:val="0"/>
          <w:numId w:val="3"/>
        </w:numPr>
        <w:ind w:left="426"/>
      </w:pPr>
      <w:r>
        <w:rPr>
          <w:i/>
        </w:rPr>
        <w:t>Quicquid non existit, illud possibile est non existere.</w:t>
      </w:r>
      <w:r>
        <w:rPr>
          <w:rFonts w:ascii="MS Mincho" w:eastAsia="MS Mincho" w:hAnsi="MS Mincho" w:cs="MS Mincho"/>
          <w:i/>
        </w:rPr>
        <w:t> </w:t>
      </w:r>
    </w:p>
    <w:p w14:paraId="54CA5FBA" w14:textId="77777777" w:rsidR="00783315" w:rsidRDefault="00783315">
      <w:pPr>
        <w:numPr>
          <w:ilvl w:val="0"/>
          <w:numId w:val="3"/>
        </w:numPr>
        <w:ind w:left="426"/>
      </w:pPr>
      <w:r>
        <w:rPr>
          <w:i/>
        </w:rPr>
        <w:t xml:space="preserve">Quicquid possibile est non-existere </w:t>
      </w:r>
      <w:r>
        <w:rPr>
          <w:i/>
        </w:rPr>
        <w:br/>
        <w:t xml:space="preserve">illud falso dicitur non posse non-existere. </w:t>
      </w:r>
    </w:p>
    <w:p w14:paraId="72C74C4B" w14:textId="77777777" w:rsidR="00783315" w:rsidRDefault="00783315">
      <w:pPr>
        <w:numPr>
          <w:ilvl w:val="0"/>
          <w:numId w:val="3"/>
        </w:numPr>
        <w:ind w:left="426"/>
      </w:pPr>
      <w:r>
        <w:rPr>
          <w:i/>
        </w:rPr>
        <w:t xml:space="preserve">Quicquid falso dicitur non posse non existere, </w:t>
      </w:r>
      <w:r>
        <w:rPr>
          <w:i/>
        </w:rPr>
        <w:br/>
        <w:t xml:space="preserve">illud falso dicitur esse necessarium. </w:t>
      </w:r>
      <w:r>
        <w:rPr>
          <w:i/>
        </w:rPr>
        <w:br/>
        <w:t>Nam necessarium est quod non potest non existere.</w:t>
      </w:r>
      <w:r>
        <w:rPr>
          <w:rFonts w:ascii="MS Mincho" w:eastAsia="MS Mincho" w:hAnsi="MS Mincho" w:cs="MS Mincho"/>
          <w:i/>
        </w:rPr>
        <w:t> </w:t>
      </w:r>
    </w:p>
    <w:p w14:paraId="62C6BE66" w14:textId="77777777" w:rsidR="00783315" w:rsidRDefault="00783315">
      <w:pPr>
        <w:numPr>
          <w:ilvl w:val="0"/>
          <w:numId w:val="3"/>
        </w:numPr>
        <w:ind w:left="426"/>
      </w:pPr>
      <w:r>
        <w:rPr>
          <w:i/>
        </w:rPr>
        <w:t>Ergo Ens necessarium falso dicitur esse necessarium.</w:t>
      </w:r>
      <w:r>
        <w:rPr>
          <w:rFonts w:ascii="MS Mincho" w:eastAsia="MS Mincho" w:hAnsi="MS Mincho" w:cs="MS Mincho"/>
          <w:i/>
        </w:rPr>
        <w:t> </w:t>
      </w:r>
    </w:p>
    <w:p w14:paraId="7D833148" w14:textId="77777777" w:rsidR="00783315" w:rsidRDefault="00783315">
      <w:pPr>
        <w:numPr>
          <w:ilvl w:val="0"/>
          <w:numId w:val="3"/>
        </w:numPr>
        <w:ind w:left="426"/>
      </w:pPr>
      <w:r>
        <w:rPr>
          <w:i/>
        </w:rPr>
        <w:t>Quae conclusio est vel vera vel falsa.</w:t>
      </w:r>
      <w:r>
        <w:rPr>
          <w:rFonts w:ascii="MS Mincho" w:eastAsia="MS Mincho" w:hAnsi="MS Mincho" w:cs="MS Mincho"/>
          <w:i/>
        </w:rPr>
        <w:t> </w:t>
      </w:r>
    </w:p>
    <w:p w14:paraId="2D069C61" w14:textId="77777777" w:rsidR="00783315" w:rsidRDefault="00783315">
      <w:pPr>
        <w:numPr>
          <w:ilvl w:val="0"/>
          <w:numId w:val="3"/>
        </w:numPr>
        <w:ind w:left="426"/>
      </w:pPr>
      <w:r>
        <w:rPr>
          <w:i/>
        </w:rPr>
        <w:t xml:space="preserve">Si est vera, sequitur quod Ens necessarium implicet contradictionem, seu sit impossibile, quia de eo demonstrantur contradictoria, scilicet quod non sit necessarium. </w:t>
      </w:r>
    </w:p>
    <w:p w14:paraId="71AA0D93" w14:textId="77777777" w:rsidR="00783315" w:rsidRDefault="00783315">
      <w:pPr>
        <w:ind w:left="426"/>
      </w:pPr>
      <w:r>
        <w:rPr>
          <w:i/>
        </w:rPr>
        <w:t xml:space="preserve">Conclusio enim contradictoria non nisi de re contradictionem implicante ostendi potest. </w:t>
      </w:r>
    </w:p>
    <w:p w14:paraId="23D7C687" w14:textId="77777777" w:rsidR="00783315" w:rsidRDefault="00783315">
      <w:pPr>
        <w:numPr>
          <w:ilvl w:val="0"/>
          <w:numId w:val="3"/>
        </w:numPr>
        <w:ind w:left="426"/>
      </w:pPr>
      <w:r>
        <w:rPr>
          <w:i/>
        </w:rPr>
        <w:t xml:space="preserve">Si est falsa, necesse est aliquam ex praemissis esse falsam, sola autem ex praemissis falsa esse potest hypothesis, quod scilicet Ens necessarium non existat. </w:t>
      </w:r>
    </w:p>
    <w:p w14:paraId="27E7E1EA" w14:textId="77777777" w:rsidR="00783315" w:rsidRDefault="00783315">
      <w:pPr>
        <w:numPr>
          <w:ilvl w:val="0"/>
          <w:numId w:val="3"/>
        </w:numPr>
        <w:ind w:left="426"/>
      </w:pPr>
      <w:r>
        <w:rPr>
          <w:i/>
        </w:rPr>
        <w:t xml:space="preserve">Ergo conclusimus </w:t>
      </w:r>
      <w:r>
        <w:rPr>
          <w:i/>
        </w:rPr>
        <w:br/>
        <w:t xml:space="preserve">Ens necessarium vel esse impossibile, vel existere. </w:t>
      </w:r>
    </w:p>
    <w:p w14:paraId="05D2A2AE" w14:textId="53633CC5" w:rsidR="00783315" w:rsidRDefault="00783315">
      <w:pPr>
        <w:numPr>
          <w:ilvl w:val="0"/>
          <w:numId w:val="3"/>
        </w:numPr>
        <w:ind w:left="426"/>
      </w:pPr>
      <w:r>
        <w:rPr>
          <w:i/>
        </w:rPr>
        <w:t>Si ergo Deum definiamus Ens a se, seu Ens ex cujus essentia sequitur existentia, seu Ens necessarium,</w:t>
      </w:r>
      <w:r w:rsidR="00762004">
        <w:rPr>
          <w:i/>
        </w:rPr>
        <w:br/>
      </w:r>
      <w:r>
        <w:rPr>
          <w:i/>
        </w:rPr>
        <w:t xml:space="preserve">sequitur Deum si possibilis sit actu esse. </w:t>
      </w:r>
    </w:p>
    <w:p w14:paraId="7CB7AA6D" w14:textId="77777777" w:rsidR="00783315" w:rsidRDefault="00783315">
      <w:pPr>
        <w:jc w:val="both"/>
        <w:rPr>
          <w:i/>
        </w:rPr>
      </w:pPr>
    </w:p>
    <w:p w14:paraId="2D1200CC" w14:textId="7F9BCBFE" w:rsidR="00783315" w:rsidRPr="00A17249" w:rsidRDefault="00783315">
      <w:pPr>
        <w:jc w:val="both"/>
        <w:rPr>
          <w:sz w:val="22"/>
          <w:szCs w:val="22"/>
        </w:rPr>
      </w:pPr>
      <w:r w:rsidRPr="00A17249">
        <w:rPr>
          <w:sz w:val="22"/>
          <w:szCs w:val="22"/>
        </w:rPr>
        <w:t>Our translation</w:t>
      </w:r>
      <w:r w:rsidRPr="00A17249">
        <w:rPr>
          <w:rStyle w:val="Funotenzeichen1"/>
          <w:sz w:val="22"/>
          <w:szCs w:val="22"/>
        </w:rPr>
        <w:footnoteReference w:id="9"/>
      </w:r>
      <w:r w:rsidRPr="00A17249">
        <w:rPr>
          <w:sz w:val="22"/>
          <w:szCs w:val="22"/>
        </w:rPr>
        <w:t xml:space="preserve"> to English, which is based on Lenzen’s translation </w:t>
      </w:r>
      <w:sdt>
        <w:sdtPr>
          <w:rPr>
            <w:sz w:val="22"/>
            <w:szCs w:val="22"/>
          </w:rPr>
          <w:id w:val="-436679166"/>
          <w:citation/>
        </w:sdtPr>
        <w:sdtContent>
          <w:r w:rsidR="0040306E">
            <w:rPr>
              <w:sz w:val="22"/>
              <w:szCs w:val="22"/>
            </w:rPr>
            <w:fldChar w:fldCharType="begin"/>
          </w:r>
          <w:r w:rsidR="00F466D7">
            <w:rPr>
              <w:sz w:val="22"/>
              <w:szCs w:val="22"/>
            </w:rPr>
            <w:instrText xml:space="preserve">CITATION Len16 \l 1033 </w:instrText>
          </w:r>
          <w:r w:rsidR="0040306E">
            <w:rPr>
              <w:sz w:val="22"/>
              <w:szCs w:val="22"/>
            </w:rPr>
            <w:fldChar w:fldCharType="separate"/>
          </w:r>
          <w:r w:rsidR="00F466D7" w:rsidRPr="00F466D7">
            <w:rPr>
              <w:noProof/>
              <w:sz w:val="22"/>
              <w:szCs w:val="22"/>
            </w:rPr>
            <w:t xml:space="preserve">(Lenzen, Leibniz's Ontological Proof of the Existence of God and </w:t>
          </w:r>
          <w:r w:rsidR="00F466D7" w:rsidRPr="00F466D7">
            <w:rPr>
              <w:noProof/>
              <w:sz w:val="22"/>
              <w:szCs w:val="22"/>
            </w:rPr>
            <w:lastRenderedPageBreak/>
            <w:t>the Problem of "Impossible Objects", 2016)</w:t>
          </w:r>
          <w:r w:rsidR="0040306E">
            <w:rPr>
              <w:sz w:val="22"/>
              <w:szCs w:val="22"/>
            </w:rPr>
            <w:fldChar w:fldCharType="end"/>
          </w:r>
        </w:sdtContent>
      </w:sdt>
      <w:r w:rsidR="004F7D3A">
        <w:rPr>
          <w:sz w:val="22"/>
          <w:szCs w:val="22"/>
        </w:rPr>
        <w:t xml:space="preserve"> </w:t>
      </w:r>
      <w:r w:rsidRPr="00A17249">
        <w:rPr>
          <w:sz w:val="22"/>
          <w:szCs w:val="22"/>
        </w:rPr>
        <w:t>with some modifications</w:t>
      </w:r>
      <w:r w:rsidRPr="00A17249">
        <w:rPr>
          <w:rStyle w:val="Funotenzeichen1"/>
          <w:sz w:val="22"/>
          <w:szCs w:val="22"/>
        </w:rPr>
        <w:footnoteReference w:id="10"/>
      </w:r>
      <w:r w:rsidRPr="00A17249">
        <w:rPr>
          <w:sz w:val="22"/>
          <w:szCs w:val="22"/>
        </w:rPr>
        <w:t>, is shown below:</w:t>
      </w:r>
    </w:p>
    <w:p w14:paraId="26B56CD9" w14:textId="77777777" w:rsidR="00783315" w:rsidRDefault="00783315">
      <w:pPr>
        <w:jc w:val="both"/>
      </w:pPr>
    </w:p>
    <w:p w14:paraId="191D9966" w14:textId="77777777" w:rsidR="00783315" w:rsidRDefault="00783315">
      <w:r>
        <w:rPr>
          <w:b/>
        </w:rPr>
        <w:t xml:space="preserve">Theorem: </w:t>
      </w:r>
      <w:r>
        <w:rPr>
          <w:i/>
        </w:rPr>
        <w:t>If the necessary being is possible, it actually exists.</w:t>
      </w:r>
      <w:r>
        <w:rPr>
          <w:rFonts w:ascii="MS Mincho" w:eastAsia="MS Mincho" w:hAnsi="MS Mincho" w:cs="MS Mincho"/>
          <w:i/>
        </w:rPr>
        <w:t> </w:t>
      </w:r>
    </w:p>
    <w:p w14:paraId="1F92AC5B" w14:textId="77777777" w:rsidR="00783315" w:rsidRDefault="00783315">
      <w:r>
        <w:rPr>
          <w:b/>
        </w:rPr>
        <w:t xml:space="preserve">Proof: </w:t>
      </w:r>
      <w:r>
        <w:rPr>
          <w:i/>
        </w:rPr>
        <w:t>For if we assume it does not exist, one may reason as follows:</w:t>
      </w:r>
      <w:r>
        <w:rPr>
          <w:rFonts w:ascii="MS Mincho" w:eastAsia="MS Mincho" w:hAnsi="MS Mincho" w:cs="MS Mincho"/>
          <w:i/>
        </w:rPr>
        <w:t> </w:t>
      </w:r>
    </w:p>
    <w:p w14:paraId="58EAF1C7" w14:textId="77777777" w:rsidR="00783315" w:rsidRDefault="00783315">
      <w:pPr>
        <w:numPr>
          <w:ilvl w:val="0"/>
          <w:numId w:val="2"/>
        </w:numPr>
        <w:ind w:left="426"/>
      </w:pPr>
      <w:r>
        <w:rPr>
          <w:i/>
        </w:rPr>
        <w:t>The necessary being doesn’t exist, by hypothesis.</w:t>
      </w:r>
      <w:r>
        <w:rPr>
          <w:rFonts w:ascii="MS Mincho" w:eastAsia="MS Mincho" w:hAnsi="MS Mincho" w:cs="MS Mincho"/>
          <w:i/>
        </w:rPr>
        <w:t> </w:t>
      </w:r>
    </w:p>
    <w:p w14:paraId="484A4D83" w14:textId="77777777" w:rsidR="00783315" w:rsidRDefault="00783315">
      <w:pPr>
        <w:numPr>
          <w:ilvl w:val="0"/>
          <w:numId w:val="2"/>
        </w:numPr>
        <w:ind w:left="426"/>
      </w:pPr>
      <w:r>
        <w:rPr>
          <w:i/>
        </w:rPr>
        <w:t xml:space="preserve">For whatever doesn’t exist, for it </w:t>
      </w:r>
      <w:r>
        <w:rPr>
          <w:i/>
          <w:strike/>
        </w:rPr>
        <w:t>it</w:t>
      </w:r>
      <w:r>
        <w:rPr>
          <w:rStyle w:val="Funotenzeichen1"/>
          <w:i/>
        </w:rPr>
        <w:footnoteReference w:id="11"/>
      </w:r>
      <w:r>
        <w:rPr>
          <w:i/>
        </w:rPr>
        <w:t xml:space="preserve"> is possible not to exist.</w:t>
      </w:r>
      <w:r>
        <w:rPr>
          <w:rFonts w:ascii="MS Mincho" w:eastAsia="MS Mincho" w:hAnsi="MS Mincho" w:cs="MS Mincho"/>
          <w:i/>
        </w:rPr>
        <w:t> </w:t>
      </w:r>
    </w:p>
    <w:p w14:paraId="658C7BD8" w14:textId="77777777" w:rsidR="00783315" w:rsidRDefault="00783315">
      <w:pPr>
        <w:numPr>
          <w:ilvl w:val="0"/>
          <w:numId w:val="2"/>
        </w:numPr>
        <w:ind w:left="426"/>
      </w:pPr>
      <w:r>
        <w:rPr>
          <w:i/>
        </w:rPr>
        <w:t xml:space="preserve">For whatever </w:t>
      </w:r>
      <w:r>
        <w:rPr>
          <w:i/>
          <w:strike/>
        </w:rPr>
        <w:t>it</w:t>
      </w:r>
      <w:r>
        <w:rPr>
          <w:i/>
        </w:rPr>
        <w:t xml:space="preserve"> is possible not to exist, </w:t>
      </w:r>
      <w:r>
        <w:rPr>
          <w:i/>
        </w:rPr>
        <w:br/>
        <w:t xml:space="preserve">of it </w:t>
      </w:r>
      <w:r>
        <w:rPr>
          <w:i/>
          <w:strike/>
        </w:rPr>
        <w:t>it</w:t>
      </w:r>
      <w:r>
        <w:rPr>
          <w:i/>
        </w:rPr>
        <w:t xml:space="preserve"> is false to say that </w:t>
      </w:r>
      <w:r>
        <w:rPr>
          <w:i/>
          <w:u w:val="single"/>
        </w:rPr>
        <w:t>it</w:t>
      </w:r>
      <w:r w:rsidRPr="00513006">
        <w:rPr>
          <w:rStyle w:val="Funotenzeichen1"/>
          <w:i/>
        </w:rPr>
        <w:footnoteReference w:id="12"/>
      </w:r>
      <w:r>
        <w:rPr>
          <w:i/>
        </w:rPr>
        <w:t xml:space="preserve"> cannot</w:t>
      </w:r>
      <w:r>
        <w:rPr>
          <w:rStyle w:val="Funotenzeichen1"/>
          <w:i/>
        </w:rPr>
        <w:footnoteReference w:id="13"/>
      </w:r>
      <w:r>
        <w:rPr>
          <w:i/>
        </w:rPr>
        <w:t xml:space="preserve"> not exist.</w:t>
      </w:r>
      <w:r>
        <w:rPr>
          <w:rFonts w:ascii="MS Mincho" w:eastAsia="MS Mincho" w:hAnsi="MS Mincho" w:cs="MS Mincho"/>
          <w:i/>
        </w:rPr>
        <w:t> </w:t>
      </w:r>
    </w:p>
    <w:p w14:paraId="597804D4" w14:textId="77777777" w:rsidR="00783315" w:rsidRDefault="00783315">
      <w:pPr>
        <w:numPr>
          <w:ilvl w:val="0"/>
          <w:numId w:val="2"/>
        </w:numPr>
        <w:ind w:left="426"/>
      </w:pPr>
      <w:r>
        <w:rPr>
          <w:i/>
        </w:rPr>
        <w:t xml:space="preserve">Of whatever </w:t>
      </w:r>
      <w:r>
        <w:rPr>
          <w:i/>
          <w:strike/>
        </w:rPr>
        <w:t>it</w:t>
      </w:r>
      <w:r>
        <w:rPr>
          <w:i/>
        </w:rPr>
        <w:t xml:space="preserve"> is false to say that </w:t>
      </w:r>
      <w:r>
        <w:rPr>
          <w:i/>
          <w:u w:val="single"/>
        </w:rPr>
        <w:t>it</w:t>
      </w:r>
      <w:r>
        <w:rPr>
          <w:i/>
        </w:rPr>
        <w:t xml:space="preserve"> cannot not exist, </w:t>
      </w:r>
      <w:r>
        <w:rPr>
          <w:i/>
        </w:rPr>
        <w:br/>
        <w:t xml:space="preserve">of it </w:t>
      </w:r>
      <w:r>
        <w:rPr>
          <w:i/>
          <w:strike/>
        </w:rPr>
        <w:t>it</w:t>
      </w:r>
      <w:r>
        <w:rPr>
          <w:i/>
        </w:rPr>
        <w:t xml:space="preserve"> is false to say that </w:t>
      </w:r>
      <w:r>
        <w:rPr>
          <w:i/>
          <w:u w:val="single"/>
        </w:rPr>
        <w:t>it</w:t>
      </w:r>
      <w:r>
        <w:rPr>
          <w:i/>
        </w:rPr>
        <w:t xml:space="preserve"> is necessary. </w:t>
      </w:r>
      <w:r>
        <w:rPr>
          <w:i/>
        </w:rPr>
        <w:br/>
        <w:t>For necessary is what cannot not exist.</w:t>
      </w:r>
    </w:p>
    <w:p w14:paraId="6C5E206A" w14:textId="77777777" w:rsidR="00783315" w:rsidRDefault="00783315">
      <w:pPr>
        <w:numPr>
          <w:ilvl w:val="0"/>
          <w:numId w:val="2"/>
        </w:numPr>
        <w:ind w:left="426"/>
      </w:pPr>
      <w:r>
        <w:rPr>
          <w:i/>
        </w:rPr>
        <w:t xml:space="preserve">Therefore, of the necessary being </w:t>
      </w:r>
      <w:r>
        <w:rPr>
          <w:i/>
          <w:strike/>
        </w:rPr>
        <w:t>it</w:t>
      </w:r>
      <w:r>
        <w:rPr>
          <w:i/>
        </w:rPr>
        <w:t xml:space="preserve"> is false to say </w:t>
      </w:r>
      <w:r>
        <w:rPr>
          <w:i/>
          <w:u w:val="single"/>
        </w:rPr>
        <w:t>it</w:t>
      </w:r>
      <w:r>
        <w:rPr>
          <w:i/>
        </w:rPr>
        <w:t xml:space="preserve"> is necessary.</w:t>
      </w:r>
      <w:r>
        <w:rPr>
          <w:rFonts w:ascii="MS Mincho" w:eastAsia="MS Mincho" w:hAnsi="MS Mincho" w:cs="MS Mincho"/>
          <w:i/>
        </w:rPr>
        <w:t> </w:t>
      </w:r>
    </w:p>
    <w:p w14:paraId="720E75D2" w14:textId="77777777" w:rsidR="00783315" w:rsidRDefault="00783315">
      <w:pPr>
        <w:numPr>
          <w:ilvl w:val="0"/>
          <w:numId w:val="2"/>
        </w:numPr>
        <w:ind w:left="426"/>
      </w:pPr>
      <w:r>
        <w:rPr>
          <w:i/>
        </w:rPr>
        <w:t>This conclusion is either true or false.</w:t>
      </w:r>
      <w:r>
        <w:rPr>
          <w:rFonts w:ascii="MS Mincho" w:eastAsia="MS Mincho" w:hAnsi="MS Mincho" w:cs="MS Mincho"/>
          <w:i/>
        </w:rPr>
        <w:t> </w:t>
      </w:r>
    </w:p>
    <w:p w14:paraId="2FCAE81C" w14:textId="77777777" w:rsidR="00783315" w:rsidRDefault="00783315">
      <w:pPr>
        <w:numPr>
          <w:ilvl w:val="0"/>
          <w:numId w:val="2"/>
        </w:numPr>
        <w:ind w:left="426"/>
      </w:pPr>
      <w:r>
        <w:rPr>
          <w:i/>
        </w:rPr>
        <w:t xml:space="preserve">If </w:t>
      </w:r>
      <w:r>
        <w:rPr>
          <w:i/>
          <w:u w:val="single"/>
        </w:rPr>
        <w:t>it</w:t>
      </w:r>
      <w:r>
        <w:rPr>
          <w:i/>
        </w:rPr>
        <w:t xml:space="preserve"> is true, </w:t>
      </w:r>
      <w:r>
        <w:rPr>
          <w:i/>
          <w:strike/>
        </w:rPr>
        <w:t>it</w:t>
      </w:r>
      <w:r>
        <w:rPr>
          <w:i/>
        </w:rPr>
        <w:t xml:space="preserve"> follows that the necessary being contains a contradiction, i.e. is impossible, because contradictory assertions have been proved about it, namely that it is not necessary. For a contradictory conclusion can only be shown about a thing which contains a contradiction.</w:t>
      </w:r>
      <w:r>
        <w:rPr>
          <w:rFonts w:ascii="MS Mincho" w:eastAsia="MS Mincho" w:hAnsi="MS Mincho" w:cs="MS Mincho"/>
          <w:i/>
        </w:rPr>
        <w:t> </w:t>
      </w:r>
    </w:p>
    <w:p w14:paraId="16374687" w14:textId="77777777" w:rsidR="00783315" w:rsidRDefault="00783315">
      <w:pPr>
        <w:numPr>
          <w:ilvl w:val="0"/>
          <w:numId w:val="2"/>
        </w:numPr>
        <w:ind w:left="426"/>
      </w:pPr>
      <w:r>
        <w:rPr>
          <w:i/>
        </w:rPr>
        <w:lastRenderedPageBreak/>
        <w:t xml:space="preserve">If </w:t>
      </w:r>
      <w:r>
        <w:rPr>
          <w:i/>
          <w:u w:val="single"/>
        </w:rPr>
        <w:t>it</w:t>
      </w:r>
      <w:r>
        <w:rPr>
          <w:i/>
        </w:rPr>
        <w:t xml:space="preserve"> is false, </w:t>
      </w:r>
      <w:r>
        <w:rPr>
          <w:i/>
          <w:strike/>
        </w:rPr>
        <w:t>it</w:t>
      </w:r>
      <w:r>
        <w:rPr>
          <w:i/>
        </w:rPr>
        <w:t xml:space="preserve"> is needed</w:t>
      </w:r>
      <w:r>
        <w:rPr>
          <w:rStyle w:val="Funotenzeichen1"/>
          <w:i/>
        </w:rPr>
        <w:footnoteReference w:id="14"/>
      </w:r>
      <w:r>
        <w:rPr>
          <w:i/>
        </w:rPr>
        <w:t xml:space="preserve"> that one of the premises is false. But the only premise that can be false is the hypothesis that the necessary being doesn’t exist.</w:t>
      </w:r>
      <w:r>
        <w:rPr>
          <w:rFonts w:ascii="MS Mincho" w:eastAsia="MS Mincho" w:hAnsi="MS Mincho" w:cs="MS Mincho"/>
          <w:i/>
        </w:rPr>
        <w:t> </w:t>
      </w:r>
    </w:p>
    <w:p w14:paraId="6199600A" w14:textId="77777777" w:rsidR="00783315" w:rsidRDefault="00783315">
      <w:pPr>
        <w:numPr>
          <w:ilvl w:val="0"/>
          <w:numId w:val="2"/>
        </w:numPr>
        <w:ind w:left="426"/>
      </w:pPr>
      <w:r>
        <w:rPr>
          <w:i/>
        </w:rPr>
        <w:t xml:space="preserve">Hence we conclude that </w:t>
      </w:r>
      <w:r>
        <w:rPr>
          <w:i/>
        </w:rPr>
        <w:br/>
        <w:t>the necessary being either is impossible, or exists.</w:t>
      </w:r>
      <w:r>
        <w:rPr>
          <w:rFonts w:ascii="MS Mincho" w:eastAsia="MS Mincho" w:hAnsi="MS Mincho" w:cs="MS Mincho"/>
          <w:i/>
        </w:rPr>
        <w:t> </w:t>
      </w:r>
    </w:p>
    <w:p w14:paraId="540645E9" w14:textId="211F3034" w:rsidR="00783315" w:rsidRDefault="00783315">
      <w:pPr>
        <w:numPr>
          <w:ilvl w:val="0"/>
          <w:numId w:val="2"/>
        </w:numPr>
        <w:ind w:left="426"/>
      </w:pPr>
      <w:r>
        <w:rPr>
          <w:i/>
        </w:rPr>
        <w:t xml:space="preserve">So if we define God as an “Ens a se”, i.e. a being from whose essence existence follows, i.e. a necessary being, </w:t>
      </w:r>
      <w:r w:rsidR="00762004">
        <w:rPr>
          <w:i/>
        </w:rPr>
        <w:br/>
      </w:r>
      <w:r>
        <w:rPr>
          <w:i/>
          <w:strike/>
        </w:rPr>
        <w:t>it</w:t>
      </w:r>
      <w:r>
        <w:rPr>
          <w:i/>
        </w:rPr>
        <w:t xml:space="preserve"> follows that God, if </w:t>
      </w:r>
      <w:r>
        <w:rPr>
          <w:i/>
          <w:u w:val="single"/>
        </w:rPr>
        <w:t>It</w:t>
      </w:r>
      <w:r>
        <w:rPr>
          <w:i/>
        </w:rPr>
        <w:t xml:space="preserve"> is possible, actually exists. </w:t>
      </w:r>
    </w:p>
    <w:p w14:paraId="2715ABBB" w14:textId="77777777" w:rsidR="00783315" w:rsidRDefault="00783315">
      <w:pPr>
        <w:jc w:val="both"/>
      </w:pPr>
    </w:p>
    <w:p w14:paraId="73D95CA4" w14:textId="49E57026" w:rsidR="00783315" w:rsidRPr="00A17249" w:rsidRDefault="00783315">
      <w:pPr>
        <w:jc w:val="both"/>
        <w:rPr>
          <w:sz w:val="22"/>
          <w:szCs w:val="22"/>
        </w:rPr>
      </w:pPr>
      <w:r w:rsidRPr="00A17249">
        <w:rPr>
          <w:sz w:val="22"/>
          <w:szCs w:val="22"/>
          <w:lang w:val="en-US" w:eastAsia="en-US"/>
        </w:rPr>
        <w:t>This argument is interesting, because it is relatively concise, in comparison to Leibniz’s other arguments, and because it uses an informal natural language style and content that seems already quite close to the formal language of his algebra of concepts, which was only fully developed 8 to 9 years later.</w:t>
      </w:r>
      <w:r w:rsidRPr="00A17249">
        <w:rPr>
          <w:sz w:val="22"/>
          <w:szCs w:val="22"/>
        </w:rPr>
        <w:t xml:space="preserve"> Nevertheless, Leibniz never produced a more rigorous version of the argument above, and thus the question remains: can Leibniz’s argument be formalized in his own algebra of concepts?</w:t>
      </w:r>
    </w:p>
    <w:p w14:paraId="74C3E3D4" w14:textId="77777777" w:rsidR="00783315" w:rsidRDefault="00783315">
      <w:pPr>
        <w:jc w:val="both"/>
      </w:pPr>
    </w:p>
    <w:p w14:paraId="21493300" w14:textId="77777777" w:rsidR="004A63EF" w:rsidRDefault="004A63EF">
      <w:pPr>
        <w:jc w:val="both"/>
        <w:rPr>
          <w:b/>
          <w:i/>
          <w:sz w:val="22"/>
          <w:szCs w:val="22"/>
        </w:rPr>
      </w:pPr>
    </w:p>
    <w:p w14:paraId="1A083DB8" w14:textId="77777777" w:rsidR="00783315" w:rsidRPr="00A17249" w:rsidRDefault="00783315">
      <w:pPr>
        <w:jc w:val="both"/>
        <w:rPr>
          <w:sz w:val="22"/>
          <w:szCs w:val="22"/>
        </w:rPr>
      </w:pPr>
      <w:r w:rsidRPr="00A17249">
        <w:rPr>
          <w:b/>
          <w:i/>
          <w:sz w:val="22"/>
          <w:szCs w:val="22"/>
        </w:rPr>
        <w:t>Computer-Assisted Analysis</w:t>
      </w:r>
    </w:p>
    <w:p w14:paraId="49347F81" w14:textId="77777777" w:rsidR="00783315" w:rsidRPr="00A17249" w:rsidRDefault="00783315">
      <w:pPr>
        <w:jc w:val="both"/>
        <w:rPr>
          <w:b/>
          <w:i/>
          <w:sz w:val="22"/>
          <w:szCs w:val="22"/>
        </w:rPr>
      </w:pPr>
    </w:p>
    <w:p w14:paraId="7E0C5286" w14:textId="63FF86E3" w:rsidR="00783315" w:rsidRPr="00A17249" w:rsidRDefault="00783315">
      <w:pPr>
        <w:jc w:val="both"/>
        <w:rPr>
          <w:sz w:val="22"/>
          <w:szCs w:val="22"/>
        </w:rPr>
      </w:pPr>
      <w:r w:rsidRPr="00A17249">
        <w:rPr>
          <w:sz w:val="22"/>
          <w:szCs w:val="22"/>
        </w:rPr>
        <w:t>Our computer-assisted investigation revealed interesting surprises</w:t>
      </w:r>
      <w:r w:rsidRPr="00AF2135">
        <w:rPr>
          <w:sz w:val="22"/>
          <w:szCs w:val="22"/>
        </w:rPr>
        <w:t xml:space="preserve">. </w:t>
      </w:r>
      <w:r w:rsidR="00AF2135" w:rsidRPr="00AF2135">
        <w:rPr>
          <w:sz w:val="22"/>
          <w:szCs w:val="22"/>
        </w:rPr>
        <w:fldChar w:fldCharType="begin"/>
      </w:r>
      <w:r w:rsidR="00AF2135" w:rsidRPr="00AF2135">
        <w:rPr>
          <w:sz w:val="22"/>
          <w:szCs w:val="22"/>
        </w:rPr>
        <w:instrText xml:space="preserve"> REF _Ref459910223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4</w:t>
      </w:r>
      <w:r w:rsidR="00AF2135" w:rsidRPr="00AF2135">
        <w:rPr>
          <w:sz w:val="22"/>
          <w:szCs w:val="22"/>
        </w:rPr>
        <w:fldChar w:fldCharType="end"/>
      </w:r>
      <w:r w:rsidR="00AF2135" w:rsidRPr="00AF2135">
        <w:rPr>
          <w:sz w:val="22"/>
          <w:szCs w:val="22"/>
        </w:rPr>
        <w:t xml:space="preserve"> </w:t>
      </w:r>
      <w:r w:rsidRPr="00AF2135">
        <w:rPr>
          <w:sz w:val="22"/>
          <w:szCs w:val="22"/>
        </w:rPr>
        <w:t>sh</w:t>
      </w:r>
      <w:r w:rsidRPr="00A17249">
        <w:rPr>
          <w:sz w:val="22"/>
          <w:szCs w:val="22"/>
        </w:rPr>
        <w:t>ows that, if we axiomatize</w:t>
      </w:r>
      <w:r w:rsidR="007D2858">
        <w:rPr>
          <w:rStyle w:val="FootnoteReference"/>
          <w:sz w:val="22"/>
          <w:szCs w:val="22"/>
        </w:rPr>
        <w:footnoteReference w:id="15"/>
      </w:r>
      <w:r w:rsidRPr="00A17249">
        <w:rPr>
          <w:sz w:val="22"/>
          <w:szCs w:val="22"/>
        </w:rPr>
        <w:t xml:space="preserve"> the concept of God as an </w:t>
      </w:r>
      <w:r w:rsidRPr="00A17249">
        <w:rPr>
          <w:i/>
          <w:sz w:val="22"/>
          <w:szCs w:val="22"/>
        </w:rPr>
        <w:t>Ens necessarium</w:t>
      </w:r>
      <w:r w:rsidRPr="00A17249">
        <w:rPr>
          <w:sz w:val="22"/>
          <w:szCs w:val="22"/>
        </w:rPr>
        <w:t>, i.e. if we state “N(G)” as an axiom, then the argument fails. Nitpick finds a counter-model</w:t>
      </w:r>
      <w:r w:rsidR="00FC1824">
        <w:rPr>
          <w:sz w:val="22"/>
          <w:szCs w:val="22"/>
        </w:rPr>
        <w:t xml:space="preserve"> (of minimum cardinality 4)</w:t>
      </w:r>
      <w:r w:rsidRPr="00A17249">
        <w:rPr>
          <w:sz w:val="22"/>
          <w:szCs w:val="22"/>
        </w:rPr>
        <w:t xml:space="preserve"> for the seventh step in Leibniz’s argument.</w:t>
      </w:r>
    </w:p>
    <w:p w14:paraId="39C6D6A4" w14:textId="77777777" w:rsidR="00783315" w:rsidRPr="00A17249" w:rsidRDefault="00783315">
      <w:pPr>
        <w:jc w:val="both"/>
        <w:rPr>
          <w:sz w:val="22"/>
          <w:szCs w:val="22"/>
        </w:rPr>
      </w:pPr>
    </w:p>
    <w:p w14:paraId="0CD79F0B" w14:textId="77777777" w:rsidR="007C355C" w:rsidRDefault="00911E98" w:rsidP="007C355C">
      <w:pPr>
        <w:keepNext/>
        <w:jc w:val="both"/>
      </w:pPr>
      <w:r>
        <w:rPr>
          <w:noProof/>
          <w:lang w:eastAsia="en-US"/>
        </w:rPr>
        <w:lastRenderedPageBreak/>
        <w:drawing>
          <wp:inline distT="0" distB="0" distL="0" distR="0" wp14:anchorId="262590D9" wp14:editId="6254C4F0">
            <wp:extent cx="3733800" cy="4614013"/>
            <wp:effectExtent l="25400" t="25400" r="25400" b="342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744089" cy="4626727"/>
                    </a:xfrm>
                    <a:prstGeom prst="rect">
                      <a:avLst/>
                    </a:prstGeom>
                    <a:solidFill>
                      <a:srgbClr val="FFFFFF">
                        <a:alpha val="0"/>
                      </a:srgbClr>
                    </a:solidFill>
                    <a:ln>
                      <a:solidFill>
                        <a:schemeClr val="tx1"/>
                      </a:solidFill>
                    </a:ln>
                  </pic:spPr>
                </pic:pic>
              </a:graphicData>
            </a:graphic>
          </wp:inline>
        </w:drawing>
      </w:r>
    </w:p>
    <w:p w14:paraId="57E5C637" w14:textId="3F0BCF03" w:rsidR="00783315" w:rsidRDefault="007C355C" w:rsidP="007C355C">
      <w:pPr>
        <w:pStyle w:val="Caption"/>
        <w:jc w:val="both"/>
      </w:pPr>
      <w:bookmarkStart w:id="3" w:name="_Ref459910223"/>
      <w:r>
        <w:t xml:space="preserve">Figure </w:t>
      </w:r>
      <w:fldSimple w:instr=" SEQ Figure \* ARABIC ">
        <w:r>
          <w:rPr>
            <w:noProof/>
          </w:rPr>
          <w:t>4</w:t>
        </w:r>
      </w:fldSimple>
      <w:bookmarkEnd w:id="3"/>
      <w:r>
        <w:t xml:space="preserve">: Counter-Model for </w:t>
      </w:r>
      <w:r>
        <w:rPr>
          <w:noProof/>
        </w:rPr>
        <w:t>Proof Attempt with Ens Necessarium</w:t>
      </w:r>
    </w:p>
    <w:p w14:paraId="24F2199A" w14:textId="77777777" w:rsidR="00783315" w:rsidRDefault="00783315">
      <w:pPr>
        <w:jc w:val="both"/>
      </w:pPr>
    </w:p>
    <w:p w14:paraId="76CCF8D1" w14:textId="3BA50A5B" w:rsidR="00783315" w:rsidRPr="00A17249" w:rsidRDefault="00783315">
      <w:pPr>
        <w:jc w:val="both"/>
        <w:rPr>
          <w:sz w:val="22"/>
          <w:szCs w:val="22"/>
        </w:rPr>
      </w:pPr>
      <w:r w:rsidRPr="00A17249">
        <w:rPr>
          <w:sz w:val="22"/>
          <w:szCs w:val="22"/>
        </w:rPr>
        <w:t xml:space="preserve">However, if we axiomatize the concept of God as an </w:t>
      </w:r>
      <w:r w:rsidRPr="00A17249">
        <w:rPr>
          <w:i/>
          <w:sz w:val="22"/>
          <w:szCs w:val="22"/>
        </w:rPr>
        <w:t>Ens ex cujus essentia sequitur existentia</w:t>
      </w:r>
      <w:r w:rsidRPr="00A17249">
        <w:rPr>
          <w:sz w:val="22"/>
          <w:szCs w:val="22"/>
        </w:rPr>
        <w:t>, i.e. if we state “N(G</w:t>
      </w:r>
      <w:r w:rsidRPr="00A17249">
        <w:rPr>
          <w:rFonts w:ascii="Symbol" w:eastAsia="Symbol" w:hAnsi="Symbol" w:cs="Symbol"/>
          <w:sz w:val="22"/>
          <w:szCs w:val="22"/>
        </w:rPr>
        <w:t></w:t>
      </w:r>
      <w:r w:rsidRPr="00A17249">
        <w:rPr>
          <w:rFonts w:eastAsia="Symbol" w:cs="Symbol"/>
          <w:sz w:val="22"/>
          <w:szCs w:val="22"/>
        </w:rPr>
        <w:t xml:space="preserve">E)” as an axiom (where “sequitur” is understood as concept implication), the argument goes through. All of Leibniz’s steps are verified by Isabelle/HOL, as shown </w:t>
      </w:r>
      <w:r w:rsidRPr="00AF2135">
        <w:rPr>
          <w:rFonts w:eastAsia="Symbol" w:cs="Symbol"/>
          <w:sz w:val="22"/>
          <w:szCs w:val="22"/>
        </w:rPr>
        <w:t>in</w:t>
      </w:r>
      <w:r w:rsidR="00AF2135" w:rsidRPr="00AF2135">
        <w:rPr>
          <w:rFonts w:eastAsia="Symbol" w:cs="Symbol"/>
          <w:sz w:val="22"/>
          <w:szCs w:val="22"/>
        </w:rPr>
        <w:t xml:space="preserve">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_Ref459910260 \h </w:instrText>
      </w:r>
      <w:r w:rsidR="00AF2135" w:rsidRPr="00AF2135">
        <w:rPr>
          <w:rFonts w:eastAsia="Symbol" w:cs="Symbol"/>
          <w:sz w:val="22"/>
          <w:szCs w:val="22"/>
        </w:rPr>
      </w:r>
      <w:r w:rsidR="00AF2135">
        <w:rPr>
          <w:rFonts w:eastAsia="Symbol" w:cs="Symbol"/>
          <w:sz w:val="22"/>
          <w:szCs w:val="22"/>
        </w:rPr>
        <w:instrText xml:space="preserve"> \* MERGEFORMAT </w:instrText>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5</w:t>
      </w:r>
      <w:r w:rsidR="00AF2135" w:rsidRPr="00AF2135">
        <w:rPr>
          <w:rFonts w:eastAsia="Symbol" w:cs="Symbol"/>
          <w:sz w:val="22"/>
          <w:szCs w:val="22"/>
        </w:rPr>
        <w:fldChar w:fldCharType="end"/>
      </w:r>
      <w:r w:rsidRPr="00AF2135">
        <w:rPr>
          <w:rFonts w:eastAsia="Symbol" w:cs="Symbol"/>
          <w:sz w:val="22"/>
          <w:szCs w:val="22"/>
        </w:rPr>
        <w:t>.</w:t>
      </w:r>
    </w:p>
    <w:p w14:paraId="30725BE5" w14:textId="77777777" w:rsidR="00783315" w:rsidRDefault="00783315">
      <w:pPr>
        <w:jc w:val="both"/>
        <w:rPr>
          <w:rFonts w:eastAsia="Symbol" w:cs="Symbol"/>
        </w:rPr>
      </w:pPr>
    </w:p>
    <w:p w14:paraId="38B2F8F7" w14:textId="77777777" w:rsidR="007C355C" w:rsidRDefault="00911E98" w:rsidP="007C355C">
      <w:pPr>
        <w:keepNext/>
        <w:jc w:val="both"/>
      </w:pPr>
      <w:r>
        <w:rPr>
          <w:noProof/>
          <w:lang w:eastAsia="en-US"/>
        </w:rPr>
        <w:lastRenderedPageBreak/>
        <w:drawing>
          <wp:inline distT="0" distB="0" distL="0" distR="0" wp14:anchorId="0F9F4AC7" wp14:editId="42A9B157">
            <wp:extent cx="3742266" cy="4189862"/>
            <wp:effectExtent l="25400" t="25400" r="17145"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743861" cy="4191648"/>
                    </a:xfrm>
                    <a:prstGeom prst="rect">
                      <a:avLst/>
                    </a:prstGeom>
                    <a:solidFill>
                      <a:srgbClr val="FFFFFF">
                        <a:alpha val="0"/>
                      </a:srgbClr>
                    </a:solidFill>
                    <a:ln>
                      <a:solidFill>
                        <a:schemeClr val="tx1"/>
                      </a:solidFill>
                    </a:ln>
                  </pic:spPr>
                </pic:pic>
              </a:graphicData>
            </a:graphic>
          </wp:inline>
        </w:drawing>
      </w:r>
    </w:p>
    <w:p w14:paraId="2E3C1E4F" w14:textId="18D173EF" w:rsidR="00783315" w:rsidRDefault="007C355C" w:rsidP="007C355C">
      <w:pPr>
        <w:pStyle w:val="Caption"/>
        <w:jc w:val="both"/>
        <w:rPr>
          <w:rFonts w:eastAsia="Symbol" w:cs="Symbol"/>
        </w:rPr>
      </w:pPr>
      <w:bookmarkStart w:id="4" w:name="_Ref459910260"/>
      <w:r>
        <w:t xml:space="preserve">Figure </w:t>
      </w:r>
      <w:fldSimple w:instr=" SEQ Figure \* ARABIC ">
        <w:r>
          <w:rPr>
            <w:noProof/>
          </w:rPr>
          <w:t>5</w:t>
        </w:r>
      </w:fldSimple>
      <w:bookmarkEnd w:id="4"/>
      <w:r>
        <w:t>: Proof for Ens ex Cujus Essentia Sequitur Existentia</w:t>
      </w:r>
    </w:p>
    <w:p w14:paraId="0B61A0B4" w14:textId="77777777" w:rsidR="00783315" w:rsidRDefault="00783315">
      <w:pPr>
        <w:jc w:val="both"/>
        <w:rPr>
          <w:rFonts w:eastAsia="Symbol" w:cs="Symbol"/>
        </w:rPr>
      </w:pPr>
    </w:p>
    <w:p w14:paraId="3B5EDB07" w14:textId="77777777" w:rsidR="00783315" w:rsidRPr="00A17249" w:rsidRDefault="00783315">
      <w:pPr>
        <w:jc w:val="both"/>
        <w:rPr>
          <w:sz w:val="22"/>
          <w:szCs w:val="22"/>
        </w:rPr>
      </w:pPr>
      <w:r w:rsidRPr="00A17249">
        <w:rPr>
          <w:rFonts w:eastAsia="Symbol" w:cs="Symbol"/>
          <w:sz w:val="22"/>
          <w:szCs w:val="22"/>
        </w:rPr>
        <w:t xml:space="preserve">Step 10 in Leibniz’s proof indicates that Leibniz identified the </w:t>
      </w:r>
      <w:r w:rsidRPr="00A17249">
        <w:rPr>
          <w:rFonts w:eastAsia="Symbol" w:cs="Symbol"/>
          <w:i/>
          <w:sz w:val="22"/>
          <w:szCs w:val="22"/>
        </w:rPr>
        <w:t>Ens necessarium</w:t>
      </w:r>
      <w:r w:rsidRPr="00A17249">
        <w:rPr>
          <w:rFonts w:eastAsia="Symbol" w:cs="Symbol"/>
          <w:sz w:val="22"/>
          <w:szCs w:val="22"/>
        </w:rPr>
        <w:t xml:space="preserve"> and the</w:t>
      </w:r>
      <w:r w:rsidRPr="00A17249">
        <w:rPr>
          <w:rFonts w:eastAsia="Symbol" w:cs="Symbol"/>
          <w:i/>
          <w:sz w:val="22"/>
          <w:szCs w:val="22"/>
        </w:rPr>
        <w:t xml:space="preserve"> Ens ex cujus essentia sequitur existentia</w:t>
      </w:r>
      <w:r w:rsidRPr="00A17249">
        <w:rPr>
          <w:rFonts w:eastAsia="Symbol" w:cs="Symbol"/>
          <w:sz w:val="22"/>
          <w:szCs w:val="22"/>
        </w:rPr>
        <w:t>. However, our investigations show that, with Leibniz’s own definitions of necessity, possibility and existence, these two notions of God are distinct.</w:t>
      </w:r>
    </w:p>
    <w:p w14:paraId="410579E1" w14:textId="77777777" w:rsidR="00783315" w:rsidRPr="00A17249" w:rsidRDefault="00783315">
      <w:pPr>
        <w:jc w:val="both"/>
        <w:rPr>
          <w:rFonts w:eastAsia="Symbol" w:cs="Symbol"/>
          <w:sz w:val="22"/>
          <w:szCs w:val="22"/>
        </w:rPr>
      </w:pPr>
    </w:p>
    <w:p w14:paraId="0A217A84" w14:textId="705598F4" w:rsidR="00783315" w:rsidRPr="00A17249" w:rsidRDefault="00783315">
      <w:pPr>
        <w:jc w:val="both"/>
        <w:rPr>
          <w:sz w:val="22"/>
          <w:szCs w:val="22"/>
        </w:rPr>
      </w:pPr>
      <w:r w:rsidRPr="00A17249">
        <w:rPr>
          <w:rFonts w:eastAsia="Symbol" w:cs="Symbol"/>
          <w:sz w:val="22"/>
          <w:szCs w:val="22"/>
        </w:rPr>
        <w:t xml:space="preserve">Furthermore, in the case of the </w:t>
      </w:r>
      <w:r w:rsidRPr="00A17249">
        <w:rPr>
          <w:rFonts w:eastAsia="Symbol" w:cs="Symbol"/>
          <w:i/>
          <w:sz w:val="22"/>
          <w:szCs w:val="22"/>
        </w:rPr>
        <w:t>Ens ex cujus essentia sequitur existentia</w:t>
      </w:r>
      <w:r w:rsidRPr="00A17249">
        <w:rPr>
          <w:rFonts w:eastAsia="Symbol" w:cs="Symbol"/>
          <w:sz w:val="22"/>
          <w:szCs w:val="22"/>
        </w:rPr>
        <w:t xml:space="preserve">, the proviso of possibility (in step 10) is not needed, as shown </w:t>
      </w:r>
      <w:r w:rsidRPr="00AF2135">
        <w:rPr>
          <w:rFonts w:eastAsia="Symbol" w:cs="Symbol"/>
          <w:sz w:val="22"/>
          <w:szCs w:val="22"/>
        </w:rPr>
        <w:t>in</w:t>
      </w:r>
      <w:r w:rsidR="00AF2135" w:rsidRPr="00AF2135">
        <w:rPr>
          <w:rFonts w:eastAsia="Symbol" w:cs="Symbol"/>
          <w:sz w:val="22"/>
          <w:szCs w:val="22"/>
        </w:rPr>
        <w:t xml:space="preserve">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_Ref459910326 \h </w:instrText>
      </w:r>
      <w:r w:rsidR="00AF2135" w:rsidRPr="00AF2135">
        <w:rPr>
          <w:rFonts w:eastAsia="Symbol" w:cs="Symbol"/>
          <w:sz w:val="22"/>
          <w:szCs w:val="22"/>
        </w:rPr>
      </w:r>
      <w:r w:rsidR="00AF2135">
        <w:rPr>
          <w:rFonts w:eastAsia="Symbol" w:cs="Symbol"/>
          <w:sz w:val="22"/>
          <w:szCs w:val="22"/>
        </w:rPr>
        <w:instrText xml:space="preserve"> \* MERGEFORMAT </w:instrText>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6</w:t>
      </w:r>
      <w:r w:rsidR="00AF2135" w:rsidRPr="00AF2135">
        <w:rPr>
          <w:rFonts w:eastAsia="Symbol" w:cs="Symbol"/>
          <w:sz w:val="22"/>
          <w:szCs w:val="22"/>
        </w:rPr>
        <w:fldChar w:fldCharType="end"/>
      </w:r>
      <w:r w:rsidRPr="00AF2135">
        <w:rPr>
          <w:rFonts w:eastAsia="Symbol" w:cs="Symbol"/>
          <w:sz w:val="22"/>
          <w:szCs w:val="22"/>
        </w:rPr>
        <w:t xml:space="preserve">. </w:t>
      </w:r>
      <w:r w:rsidR="0042713B">
        <w:rPr>
          <w:rFonts w:eastAsia="Symbol" w:cs="Symbol"/>
          <w:sz w:val="22"/>
          <w:szCs w:val="22"/>
        </w:rPr>
        <w:t>This is so, because if the concept of God were impossible,</w:t>
      </w:r>
      <w:r w:rsidR="00296234">
        <w:rPr>
          <w:rFonts w:eastAsia="Symbol" w:cs="Symbol"/>
          <w:sz w:val="22"/>
          <w:szCs w:val="22"/>
        </w:rPr>
        <w:t xml:space="preserve"> </w:t>
      </w:r>
      <w:r w:rsidR="00296234">
        <w:rPr>
          <w:rFonts w:eastAsia="Symbol" w:cs="Symbol"/>
          <w:sz w:val="22"/>
          <w:szCs w:val="22"/>
        </w:rPr>
        <w:t>by definition of possibility</w:t>
      </w:r>
      <w:r w:rsidR="00296234">
        <w:rPr>
          <w:rFonts w:eastAsia="Symbol" w:cs="Symbol"/>
          <w:sz w:val="22"/>
          <w:szCs w:val="22"/>
        </w:rPr>
        <w:t>,</w:t>
      </w:r>
      <w:r w:rsidR="0042713B">
        <w:rPr>
          <w:rFonts w:eastAsia="Symbol" w:cs="Symbol"/>
          <w:sz w:val="22"/>
          <w:szCs w:val="22"/>
        </w:rPr>
        <w:t xml:space="preserve"> it would contain any other concept,</w:t>
      </w:r>
      <w:r w:rsidR="00296234">
        <w:rPr>
          <w:rFonts w:eastAsia="Symbol" w:cs="Symbol"/>
          <w:sz w:val="22"/>
          <w:szCs w:val="22"/>
        </w:rPr>
        <w:t xml:space="preserve"> including existence</w:t>
      </w:r>
      <w:r w:rsidR="0042713B">
        <w:rPr>
          <w:rFonts w:eastAsia="Symbol" w:cs="Symbol"/>
          <w:sz w:val="22"/>
          <w:szCs w:val="22"/>
        </w:rPr>
        <w:t xml:space="preserve">. </w:t>
      </w:r>
      <w:r w:rsidRPr="00AF2135">
        <w:rPr>
          <w:rFonts w:eastAsia="Symbol" w:cs="Symbol"/>
          <w:sz w:val="22"/>
          <w:szCs w:val="22"/>
        </w:rPr>
        <w:t>Therefore</w:t>
      </w:r>
      <w:r w:rsidRPr="00A17249">
        <w:rPr>
          <w:rFonts w:eastAsia="Symbol" w:cs="Symbol"/>
          <w:sz w:val="22"/>
          <w:szCs w:val="22"/>
        </w:rPr>
        <w:t xml:space="preserve">, Leibniz’s criticism that the </w:t>
      </w:r>
      <w:r w:rsidRPr="00A17249">
        <w:rPr>
          <w:rFonts w:eastAsia="Symbol" w:cs="Symbol"/>
          <w:sz w:val="22"/>
          <w:szCs w:val="22"/>
        </w:rPr>
        <w:lastRenderedPageBreak/>
        <w:t>ontological arguments of Descartes and Anselm are incomplete because they do not establish the possibility of the concept of God does not apply to this version of his ontological argument, even though he apparently did not notice this.</w:t>
      </w:r>
    </w:p>
    <w:p w14:paraId="4165E242" w14:textId="77777777" w:rsidR="00783315" w:rsidRPr="00A17249" w:rsidRDefault="00783315">
      <w:pPr>
        <w:jc w:val="both"/>
        <w:rPr>
          <w:rFonts w:eastAsia="Symbol" w:cs="Symbol"/>
          <w:sz w:val="22"/>
          <w:szCs w:val="22"/>
        </w:rPr>
      </w:pPr>
    </w:p>
    <w:p w14:paraId="272A25BA" w14:textId="77777777" w:rsidR="007C355C" w:rsidRDefault="00E22D81" w:rsidP="007C355C">
      <w:pPr>
        <w:keepNext/>
        <w:jc w:val="both"/>
      </w:pPr>
      <w:r>
        <w:rPr>
          <w:rFonts w:eastAsia="Symbol" w:cs="Symbol"/>
          <w:noProof/>
          <w:lang w:eastAsia="en-US"/>
        </w:rPr>
        <w:drawing>
          <wp:inline distT="0" distB="0" distL="0" distR="0" wp14:anchorId="212D545E" wp14:editId="7A202B93">
            <wp:extent cx="3749040" cy="2858770"/>
            <wp:effectExtent l="25400" t="25400" r="35560" b="368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6.png"/>
                    <pic:cNvPicPr/>
                  </pic:nvPicPr>
                  <pic:blipFill>
                    <a:blip r:embed="rId13">
                      <a:extLst>
                        <a:ext uri="{28A0092B-C50C-407E-A947-70E740481C1C}">
                          <a14:useLocalDpi xmlns:a14="http://schemas.microsoft.com/office/drawing/2010/main" val="0"/>
                        </a:ext>
                      </a:extLst>
                    </a:blip>
                    <a:stretch>
                      <a:fillRect/>
                    </a:stretch>
                  </pic:blipFill>
                  <pic:spPr>
                    <a:xfrm>
                      <a:off x="0" y="0"/>
                      <a:ext cx="3749040" cy="2858770"/>
                    </a:xfrm>
                    <a:prstGeom prst="rect">
                      <a:avLst/>
                    </a:prstGeom>
                    <a:ln>
                      <a:solidFill>
                        <a:schemeClr val="tx1"/>
                      </a:solidFill>
                    </a:ln>
                  </pic:spPr>
                </pic:pic>
              </a:graphicData>
            </a:graphic>
          </wp:inline>
        </w:drawing>
      </w:r>
    </w:p>
    <w:p w14:paraId="02F60BD9" w14:textId="4941C3BA" w:rsidR="00783315" w:rsidRDefault="007C355C" w:rsidP="007C355C">
      <w:pPr>
        <w:pStyle w:val="Caption"/>
        <w:jc w:val="both"/>
        <w:rPr>
          <w:rFonts w:eastAsia="Symbol" w:cs="Symbol"/>
        </w:rPr>
      </w:pPr>
      <w:bookmarkStart w:id="5" w:name="_Ref459910326"/>
      <w:r>
        <w:t xml:space="preserve">Figure </w:t>
      </w:r>
      <w:fldSimple w:instr=" SEQ Figure \* ARABIC ">
        <w:r>
          <w:rPr>
            <w:noProof/>
          </w:rPr>
          <w:t>6</w:t>
        </w:r>
      </w:fldSimple>
      <w:bookmarkEnd w:id="5"/>
      <w:r>
        <w:t>: Observations about Possibility, Implication and Containment</w:t>
      </w:r>
    </w:p>
    <w:p w14:paraId="1F73956F" w14:textId="77777777" w:rsidR="00E22D81" w:rsidRDefault="00E22D81">
      <w:pPr>
        <w:jc w:val="both"/>
        <w:rPr>
          <w:rFonts w:eastAsia="Symbol" w:cs="Symbol"/>
        </w:rPr>
      </w:pPr>
    </w:p>
    <w:p w14:paraId="571AEB6D" w14:textId="07F51C27" w:rsidR="00783315" w:rsidRPr="00A17249" w:rsidRDefault="00783315">
      <w:pPr>
        <w:jc w:val="both"/>
        <w:rPr>
          <w:sz w:val="22"/>
          <w:szCs w:val="22"/>
        </w:rPr>
      </w:pPr>
      <w:r w:rsidRPr="00A17249">
        <w:rPr>
          <w:rFonts w:eastAsia="Symbol" w:cs="Symbol"/>
          <w:sz w:val="22"/>
          <w:szCs w:val="22"/>
        </w:rPr>
        <w:t>Interestingly, in Leibniz framework, for any two concepts, it is necessary that one implies the other if and only if on</w:t>
      </w:r>
      <w:r w:rsidR="00AF2135">
        <w:rPr>
          <w:rFonts w:eastAsia="Symbol" w:cs="Symbol"/>
          <w:sz w:val="22"/>
          <w:szCs w:val="22"/>
        </w:rPr>
        <w:t>e contains the other</w:t>
      </w:r>
      <w:r w:rsidR="00AF2135" w:rsidRPr="00AF2135">
        <w:rPr>
          <w:rFonts w:eastAsia="Symbol" w:cs="Symbol"/>
          <w:sz w:val="22"/>
          <w:szCs w:val="22"/>
        </w:rPr>
        <w:t xml:space="preserve"> (cf.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_Ref459910326 \h </w:instrText>
      </w:r>
      <w:r w:rsidR="00AF2135" w:rsidRPr="00AF2135">
        <w:rPr>
          <w:rFonts w:eastAsia="Symbol" w:cs="Symbol"/>
          <w:sz w:val="22"/>
          <w:szCs w:val="22"/>
        </w:rPr>
      </w:r>
      <w:r w:rsidR="00AF2135">
        <w:rPr>
          <w:rFonts w:eastAsia="Symbol" w:cs="Symbol"/>
          <w:sz w:val="22"/>
          <w:szCs w:val="22"/>
        </w:rPr>
        <w:instrText xml:space="preserve"> \* MERGEFORMAT </w:instrText>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6</w:t>
      </w:r>
      <w:r w:rsidR="00AF2135" w:rsidRPr="00AF2135">
        <w:rPr>
          <w:rFonts w:eastAsia="Symbol" w:cs="Symbol"/>
          <w:sz w:val="22"/>
          <w:szCs w:val="22"/>
        </w:rPr>
        <w:fldChar w:fldCharType="end"/>
      </w:r>
      <w:r w:rsidRPr="00AF2135">
        <w:rPr>
          <w:rFonts w:eastAsia="Symbol" w:cs="Symbol"/>
          <w:sz w:val="22"/>
          <w:szCs w:val="22"/>
        </w:rPr>
        <w:t>). Therefore</w:t>
      </w:r>
      <w:r w:rsidRPr="00A17249">
        <w:rPr>
          <w:rFonts w:eastAsia="Symbol" w:cs="Symbol"/>
          <w:sz w:val="22"/>
          <w:szCs w:val="22"/>
        </w:rPr>
        <w:t>, the necessity operator can be regarded as a reflection operator between the type of concepts and the type of propositions.</w:t>
      </w:r>
    </w:p>
    <w:p w14:paraId="3EC695DB" w14:textId="77777777" w:rsidR="00783315" w:rsidRPr="00A17249" w:rsidRDefault="00783315">
      <w:pPr>
        <w:jc w:val="both"/>
        <w:rPr>
          <w:rFonts w:eastAsia="Symbol" w:cs="Symbol"/>
          <w:sz w:val="22"/>
          <w:szCs w:val="22"/>
        </w:rPr>
      </w:pPr>
    </w:p>
    <w:p w14:paraId="636FC38E" w14:textId="77777777" w:rsidR="00783315" w:rsidRPr="00A17249" w:rsidRDefault="00783315">
      <w:pPr>
        <w:jc w:val="both"/>
        <w:rPr>
          <w:sz w:val="22"/>
          <w:szCs w:val="22"/>
        </w:rPr>
      </w:pPr>
      <w:r w:rsidRPr="00A17249">
        <w:rPr>
          <w:rFonts w:eastAsia="Symbol" w:cs="Symbol"/>
          <w:sz w:val="22"/>
          <w:szCs w:val="22"/>
        </w:rPr>
        <w:t xml:space="preserve">Other points where Leibniz’s informal text lacks precision are his uses of the word “necessarium” (“necessary”). In his later algebra of concepts, “necessary” is clearly the dual of “possible”. In his ontological argument, however, he says that “necessary is what cannot not exist”. That is why occurrences of “it is necessary” in the ontological argument have been formalized as “N(X </w:t>
      </w:r>
      <w:r w:rsidRPr="00A17249">
        <w:rPr>
          <w:rFonts w:ascii="Symbol" w:eastAsia="Symbol" w:hAnsi="Symbol" w:cs="Symbol"/>
          <w:sz w:val="22"/>
          <w:szCs w:val="22"/>
        </w:rPr>
        <w:t></w:t>
      </w:r>
      <w:r w:rsidRPr="00A17249">
        <w:rPr>
          <w:rFonts w:eastAsia="Symbol" w:cs="Symbol"/>
          <w:sz w:val="22"/>
          <w:szCs w:val="22"/>
        </w:rPr>
        <w:t xml:space="preserve"> E)” instead of “N(X)”. The adequacy of this interpretation of “necessary” and of this formalization is reinforced by the notion of </w:t>
      </w:r>
      <w:r w:rsidRPr="00A17249">
        <w:rPr>
          <w:rFonts w:eastAsia="Symbol" w:cs="Symbol"/>
          <w:i/>
          <w:sz w:val="22"/>
          <w:szCs w:val="22"/>
        </w:rPr>
        <w:t xml:space="preserve">Ens ex cujus </w:t>
      </w:r>
      <w:r w:rsidRPr="00A17249">
        <w:rPr>
          <w:rFonts w:eastAsia="Symbol" w:cs="Symbol"/>
          <w:i/>
          <w:sz w:val="22"/>
          <w:szCs w:val="22"/>
        </w:rPr>
        <w:lastRenderedPageBreak/>
        <w:t>essentia sequitur existentia</w:t>
      </w:r>
      <w:r w:rsidRPr="00A17249">
        <w:rPr>
          <w:rFonts w:eastAsia="Symbol" w:cs="Symbol"/>
          <w:sz w:val="22"/>
          <w:szCs w:val="22"/>
        </w:rPr>
        <w:t xml:space="preserve">, which conveys the intuition of concept implication. </w:t>
      </w:r>
    </w:p>
    <w:p w14:paraId="51AE05FC" w14:textId="77777777" w:rsidR="00783315" w:rsidRPr="00A17249" w:rsidRDefault="00783315">
      <w:pPr>
        <w:jc w:val="both"/>
        <w:rPr>
          <w:rFonts w:eastAsia="Symbol" w:cs="Symbol"/>
          <w:sz w:val="22"/>
          <w:szCs w:val="22"/>
        </w:rPr>
      </w:pPr>
    </w:p>
    <w:p w14:paraId="1C2887DD" w14:textId="7D86A700" w:rsidR="00783315" w:rsidRDefault="00783315">
      <w:pPr>
        <w:jc w:val="both"/>
      </w:pPr>
      <w:r w:rsidRPr="00A17249">
        <w:rPr>
          <w:rFonts w:eastAsia="Symbol" w:cs="Symbol"/>
          <w:sz w:val="22"/>
          <w:szCs w:val="22"/>
        </w:rPr>
        <w:t xml:space="preserve">For the observations above to be valuable, it is important to </w:t>
      </w:r>
      <w:r w:rsidRPr="00AF2135">
        <w:rPr>
          <w:rFonts w:eastAsia="Symbol" w:cs="Symbol"/>
          <w:sz w:val="22"/>
          <w:szCs w:val="22"/>
        </w:rPr>
        <w:t xml:space="preserve">establish that Leibniz’s algebra of concepts remains consistent when it is extended with the axiomatization for the </w:t>
      </w:r>
      <w:r w:rsidRPr="00AF2135">
        <w:rPr>
          <w:rFonts w:eastAsia="Symbol" w:cs="Symbol"/>
          <w:i/>
          <w:sz w:val="22"/>
          <w:szCs w:val="22"/>
        </w:rPr>
        <w:t>Ens ex cujus essentia sequitur existentia</w:t>
      </w:r>
      <w:r w:rsidRPr="00AF2135">
        <w:rPr>
          <w:rFonts w:eastAsia="Symbol" w:cs="Symbol"/>
          <w:sz w:val="22"/>
          <w:szCs w:val="22"/>
        </w:rPr>
        <w:t>. For otherwise, anything follow</w:t>
      </w:r>
      <w:r w:rsidR="00490C5B" w:rsidRPr="00AF2135">
        <w:rPr>
          <w:rFonts w:eastAsia="Symbol" w:cs="Symbol"/>
          <w:sz w:val="22"/>
          <w:szCs w:val="22"/>
        </w:rPr>
        <w:t>s</w:t>
      </w:r>
      <w:r w:rsidRPr="00AF2135">
        <w:rPr>
          <w:rFonts w:eastAsia="Symbol" w:cs="Symbol"/>
          <w:sz w:val="22"/>
          <w:szCs w:val="22"/>
        </w:rPr>
        <w:t>. This can be done with Nitpick, as shown in</w:t>
      </w:r>
      <w:r w:rsidR="00AF2135" w:rsidRPr="00AF2135">
        <w:rPr>
          <w:rFonts w:eastAsia="Symbol" w:cs="Symbol"/>
          <w:sz w:val="22"/>
          <w:szCs w:val="22"/>
        </w:rPr>
        <w:t xml:space="preserve">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_Ref459910432 \h </w:instrText>
      </w:r>
      <w:r w:rsidR="00AF2135" w:rsidRPr="00AF2135">
        <w:rPr>
          <w:rFonts w:eastAsia="Symbol" w:cs="Symbol"/>
          <w:sz w:val="22"/>
          <w:szCs w:val="22"/>
        </w:rPr>
      </w:r>
      <w:r w:rsidR="00AF2135">
        <w:rPr>
          <w:rFonts w:eastAsia="Symbol" w:cs="Symbol"/>
          <w:sz w:val="22"/>
          <w:szCs w:val="22"/>
        </w:rPr>
        <w:instrText xml:space="preserve"> \* MERGEFORMAT </w:instrText>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7</w:t>
      </w:r>
      <w:r w:rsidR="00AF2135" w:rsidRPr="00AF2135">
        <w:rPr>
          <w:rFonts w:eastAsia="Symbol" w:cs="Symbol"/>
          <w:sz w:val="22"/>
          <w:szCs w:val="22"/>
        </w:rPr>
        <w:fldChar w:fldCharType="end"/>
      </w:r>
      <w:r w:rsidRPr="00AF2135">
        <w:rPr>
          <w:rFonts w:eastAsia="Symbol" w:cs="Symbol"/>
          <w:sz w:val="22"/>
          <w:szCs w:val="22"/>
        </w:rPr>
        <w:t>.</w:t>
      </w:r>
    </w:p>
    <w:p w14:paraId="59F0F1AA" w14:textId="77777777" w:rsidR="00783315" w:rsidRDefault="00783315">
      <w:pPr>
        <w:jc w:val="both"/>
        <w:rPr>
          <w:rFonts w:eastAsia="Symbol" w:cs="Symbol"/>
        </w:rPr>
      </w:pPr>
    </w:p>
    <w:p w14:paraId="791D2B73" w14:textId="77777777" w:rsidR="007C355C" w:rsidRDefault="00911E98" w:rsidP="007C355C">
      <w:pPr>
        <w:keepNext/>
        <w:jc w:val="both"/>
      </w:pPr>
      <w:r>
        <w:rPr>
          <w:noProof/>
          <w:lang w:eastAsia="en-US"/>
        </w:rPr>
        <w:drawing>
          <wp:inline distT="0" distB="0" distL="0" distR="0" wp14:anchorId="644C593F" wp14:editId="27E99698">
            <wp:extent cx="3716866" cy="4202367"/>
            <wp:effectExtent l="25400" t="25400" r="1714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725734" cy="4212393"/>
                    </a:xfrm>
                    <a:prstGeom prst="rect">
                      <a:avLst/>
                    </a:prstGeom>
                    <a:solidFill>
                      <a:srgbClr val="FFFFFF">
                        <a:alpha val="0"/>
                      </a:srgbClr>
                    </a:solidFill>
                    <a:ln>
                      <a:solidFill>
                        <a:schemeClr val="tx1"/>
                      </a:solidFill>
                    </a:ln>
                  </pic:spPr>
                </pic:pic>
              </a:graphicData>
            </a:graphic>
          </wp:inline>
        </w:drawing>
      </w:r>
    </w:p>
    <w:p w14:paraId="0B73F26F" w14:textId="00548792" w:rsidR="00783315" w:rsidRDefault="007C355C" w:rsidP="007C355C">
      <w:pPr>
        <w:pStyle w:val="Caption"/>
        <w:jc w:val="both"/>
        <w:rPr>
          <w:rFonts w:eastAsia="Symbol" w:cs="Symbol"/>
        </w:rPr>
      </w:pPr>
      <w:bookmarkStart w:id="6" w:name="_Ref459910432"/>
      <w:r>
        <w:t xml:space="preserve">Figure </w:t>
      </w:r>
      <w:fldSimple w:instr=" SEQ Figure \* ARABIC ">
        <w:r>
          <w:rPr>
            <w:noProof/>
          </w:rPr>
          <w:t>7</w:t>
        </w:r>
      </w:fldSimple>
      <w:bookmarkEnd w:id="6"/>
      <w:r>
        <w:t>: Consistency of the Theory where God's Existence is Provable</w:t>
      </w:r>
    </w:p>
    <w:p w14:paraId="71F5B6EB" w14:textId="77777777" w:rsidR="00783315" w:rsidRDefault="00783315">
      <w:pPr>
        <w:jc w:val="both"/>
        <w:rPr>
          <w:rFonts w:eastAsia="Symbol" w:cs="Symbol"/>
        </w:rPr>
      </w:pPr>
    </w:p>
    <w:p w14:paraId="2846F07F" w14:textId="77777777" w:rsidR="00783315" w:rsidRDefault="00783315">
      <w:pPr>
        <w:rPr>
          <w:rFonts w:eastAsia="Symbol" w:cs="Symbol"/>
          <w:i/>
        </w:rPr>
      </w:pPr>
    </w:p>
    <w:p w14:paraId="3E6956E2" w14:textId="4F19E83A" w:rsidR="00783315" w:rsidRPr="00AF2135" w:rsidRDefault="00AF2135">
      <w:pPr>
        <w:jc w:val="both"/>
        <w:rPr>
          <w:sz w:val="22"/>
          <w:szCs w:val="22"/>
        </w:rPr>
      </w:pPr>
      <w:r>
        <w:rPr>
          <w:rFonts w:eastAsia="Symbol" w:cs="Symbol"/>
          <w:sz w:val="22"/>
          <w:szCs w:val="22"/>
        </w:rPr>
        <w:lastRenderedPageBreak/>
        <w:t>Although the formal proof</w:t>
      </w:r>
      <w:r w:rsidR="00783315" w:rsidRPr="00A17249">
        <w:rPr>
          <w:rFonts w:eastAsia="Symbol" w:cs="Symbol"/>
          <w:sz w:val="22"/>
          <w:szCs w:val="22"/>
        </w:rPr>
        <w:t xml:space="preserve"> shown </w:t>
      </w:r>
      <w:r w:rsidRPr="00AF2135">
        <w:rPr>
          <w:rFonts w:eastAsia="Symbol" w:cs="Symbol"/>
          <w:sz w:val="22"/>
          <w:szCs w:val="22"/>
        </w:rPr>
        <w:t xml:space="preserve">in </w:t>
      </w:r>
      <w:r w:rsidRPr="00AF2135">
        <w:rPr>
          <w:rFonts w:eastAsia="Symbol" w:cs="Symbol"/>
          <w:sz w:val="22"/>
          <w:szCs w:val="22"/>
        </w:rPr>
        <w:fldChar w:fldCharType="begin"/>
      </w:r>
      <w:r w:rsidRPr="00AF2135">
        <w:rPr>
          <w:rFonts w:eastAsia="Symbol" w:cs="Symbol"/>
          <w:sz w:val="22"/>
          <w:szCs w:val="22"/>
        </w:rPr>
        <w:instrText xml:space="preserve"> REF _Ref459910260 \h </w:instrText>
      </w:r>
      <w:r w:rsidRPr="00AF2135">
        <w:rPr>
          <w:rFonts w:eastAsia="Symbol" w:cs="Symbol"/>
          <w:sz w:val="22"/>
          <w:szCs w:val="22"/>
        </w:rPr>
      </w:r>
      <w:r>
        <w:rPr>
          <w:rFonts w:eastAsia="Symbol" w:cs="Symbol"/>
          <w:sz w:val="22"/>
          <w:szCs w:val="22"/>
        </w:rPr>
        <w:instrText xml:space="preserve"> \* MERGEFORMAT </w:instrText>
      </w:r>
      <w:r w:rsidRPr="00AF2135">
        <w:rPr>
          <w:rFonts w:eastAsia="Symbol" w:cs="Symbol"/>
          <w:sz w:val="22"/>
          <w:szCs w:val="22"/>
        </w:rPr>
        <w:fldChar w:fldCharType="separate"/>
      </w:r>
      <w:r w:rsidRPr="00AF2135">
        <w:rPr>
          <w:sz w:val="22"/>
          <w:szCs w:val="22"/>
        </w:rPr>
        <w:t xml:space="preserve">Figure </w:t>
      </w:r>
      <w:r w:rsidRPr="00AF2135">
        <w:rPr>
          <w:noProof/>
          <w:sz w:val="22"/>
          <w:szCs w:val="22"/>
        </w:rPr>
        <w:t>5</w:t>
      </w:r>
      <w:r w:rsidRPr="00AF2135">
        <w:rPr>
          <w:rFonts w:eastAsia="Symbol" w:cs="Symbol"/>
          <w:sz w:val="22"/>
          <w:szCs w:val="22"/>
        </w:rPr>
        <w:fldChar w:fldCharType="end"/>
      </w:r>
      <w:r w:rsidRPr="00AF2135">
        <w:rPr>
          <w:rFonts w:eastAsia="Symbol" w:cs="Symbol"/>
          <w:sz w:val="22"/>
          <w:szCs w:val="22"/>
        </w:rPr>
        <w:t xml:space="preserve"> </w:t>
      </w:r>
      <w:r w:rsidR="00783315" w:rsidRPr="00AF2135">
        <w:rPr>
          <w:rFonts w:eastAsia="Symbol" w:cs="Symbol"/>
          <w:sz w:val="22"/>
          <w:szCs w:val="22"/>
        </w:rPr>
        <w:t>verified</w:t>
      </w:r>
      <w:r w:rsidR="00783315" w:rsidRPr="00A17249">
        <w:rPr>
          <w:rFonts w:eastAsia="Symbol" w:cs="Symbol"/>
          <w:sz w:val="22"/>
          <w:szCs w:val="22"/>
        </w:rPr>
        <w:t xml:space="preserve"> Leibniz’s argument step-by-step, Isabelle/HOL has automated methods that are already powerful enough to prove the final theorem without relying on intermediary lemmas. This </w:t>
      </w:r>
      <w:r>
        <w:rPr>
          <w:rFonts w:eastAsia="Symbol" w:cs="Symbol"/>
          <w:sz w:val="22"/>
          <w:szCs w:val="22"/>
        </w:rPr>
        <w:t xml:space="preserve">can be seen in the proof of Lemma L10 </w:t>
      </w:r>
      <w:r w:rsidRPr="00AF2135">
        <w:rPr>
          <w:rFonts w:eastAsia="Symbol" w:cs="Symbol"/>
          <w:sz w:val="22"/>
          <w:szCs w:val="22"/>
        </w:rPr>
        <w:t xml:space="preserve">in </w:t>
      </w:r>
      <w:r w:rsidRPr="00AF2135">
        <w:rPr>
          <w:rFonts w:eastAsia="Symbol" w:cs="Symbol"/>
          <w:sz w:val="22"/>
          <w:szCs w:val="22"/>
        </w:rPr>
        <w:fldChar w:fldCharType="begin"/>
      </w:r>
      <w:r w:rsidRPr="00AF2135">
        <w:rPr>
          <w:rFonts w:eastAsia="Symbol" w:cs="Symbol"/>
          <w:sz w:val="22"/>
          <w:szCs w:val="22"/>
        </w:rPr>
        <w:instrText xml:space="preserve"> REF _Ref459910326 \h </w:instrText>
      </w:r>
      <w:r w:rsidRPr="00AF2135">
        <w:rPr>
          <w:rFonts w:eastAsia="Symbol" w:cs="Symbol"/>
          <w:sz w:val="22"/>
          <w:szCs w:val="22"/>
        </w:rPr>
      </w:r>
      <w:r>
        <w:rPr>
          <w:rFonts w:eastAsia="Symbol" w:cs="Symbol"/>
          <w:sz w:val="22"/>
          <w:szCs w:val="22"/>
        </w:rPr>
        <w:instrText xml:space="preserve"> \* MERGEFORMAT </w:instrText>
      </w:r>
      <w:r w:rsidRPr="00AF2135">
        <w:rPr>
          <w:rFonts w:eastAsia="Symbol" w:cs="Symbol"/>
          <w:sz w:val="22"/>
          <w:szCs w:val="22"/>
        </w:rPr>
        <w:fldChar w:fldCharType="separate"/>
      </w:r>
      <w:r w:rsidRPr="00AF2135">
        <w:rPr>
          <w:sz w:val="22"/>
          <w:szCs w:val="22"/>
        </w:rPr>
        <w:t xml:space="preserve">Figure </w:t>
      </w:r>
      <w:r w:rsidRPr="00AF2135">
        <w:rPr>
          <w:noProof/>
          <w:sz w:val="22"/>
          <w:szCs w:val="22"/>
        </w:rPr>
        <w:t>6</w:t>
      </w:r>
      <w:r w:rsidRPr="00AF2135">
        <w:rPr>
          <w:rFonts w:eastAsia="Symbol" w:cs="Symbol"/>
          <w:sz w:val="22"/>
          <w:szCs w:val="22"/>
        </w:rPr>
        <w:fldChar w:fldCharType="end"/>
      </w:r>
      <w:r w:rsidR="00783315" w:rsidRPr="00AF2135">
        <w:rPr>
          <w:rFonts w:eastAsia="Symbol" w:cs="Symbol"/>
          <w:sz w:val="22"/>
          <w:szCs w:val="22"/>
        </w:rPr>
        <w:t>.</w:t>
      </w:r>
    </w:p>
    <w:p w14:paraId="6A36FF3B" w14:textId="77777777" w:rsidR="00783315" w:rsidRPr="00A17249" w:rsidRDefault="00783315">
      <w:pPr>
        <w:jc w:val="both"/>
        <w:rPr>
          <w:rFonts w:eastAsia="Symbol" w:cs="Symbol"/>
          <w:sz w:val="22"/>
          <w:szCs w:val="22"/>
        </w:rPr>
      </w:pPr>
    </w:p>
    <w:p w14:paraId="5AEA602F" w14:textId="77777777" w:rsidR="00783315" w:rsidRPr="00A17249" w:rsidRDefault="00783315">
      <w:pPr>
        <w:jc w:val="both"/>
        <w:rPr>
          <w:rFonts w:eastAsia="Symbol" w:cs="Symbol"/>
          <w:sz w:val="22"/>
          <w:szCs w:val="22"/>
        </w:rPr>
      </w:pPr>
    </w:p>
    <w:p w14:paraId="6C78DE89" w14:textId="5AD97F9B" w:rsidR="00783315" w:rsidRPr="00A17249" w:rsidRDefault="004417CB">
      <w:pPr>
        <w:jc w:val="both"/>
        <w:rPr>
          <w:sz w:val="22"/>
          <w:szCs w:val="22"/>
        </w:rPr>
      </w:pPr>
      <w:r>
        <w:rPr>
          <w:rFonts w:eastAsia="Symbol" w:cs="Symbol"/>
          <w:b/>
          <w:i/>
          <w:sz w:val="22"/>
          <w:szCs w:val="22"/>
        </w:rPr>
        <w:t xml:space="preserve">Possible Worlds and Modern </w:t>
      </w:r>
      <w:r w:rsidR="00783315" w:rsidRPr="00A17249">
        <w:rPr>
          <w:rFonts w:eastAsia="Symbol" w:cs="Symbol"/>
          <w:b/>
          <w:i/>
          <w:sz w:val="22"/>
          <w:szCs w:val="22"/>
        </w:rPr>
        <w:t>Modal Logics</w:t>
      </w:r>
    </w:p>
    <w:p w14:paraId="73FE2A73" w14:textId="77777777" w:rsidR="00783315" w:rsidRPr="00A17249" w:rsidRDefault="00783315">
      <w:pPr>
        <w:jc w:val="both"/>
        <w:rPr>
          <w:rFonts w:eastAsia="Symbol" w:cs="Symbol"/>
          <w:b/>
          <w:i/>
          <w:sz w:val="22"/>
          <w:szCs w:val="22"/>
        </w:rPr>
      </w:pPr>
    </w:p>
    <w:p w14:paraId="770A8A1B" w14:textId="5A4370DB" w:rsidR="006B07D4" w:rsidRDefault="00FA713F">
      <w:pPr>
        <w:jc w:val="both"/>
        <w:rPr>
          <w:rFonts w:eastAsia="Symbol" w:cs="Symbol"/>
          <w:sz w:val="22"/>
          <w:szCs w:val="22"/>
        </w:rPr>
      </w:pPr>
      <w:r>
        <w:rPr>
          <w:rFonts w:eastAsia="Symbol" w:cs="Symbol"/>
          <w:sz w:val="22"/>
          <w:szCs w:val="22"/>
        </w:rPr>
        <w:t xml:space="preserve">Nowadays, words such as “necessity” and “possibility” naturally evoke the modern modal logics having semantics that rely on possible worlds. However, it is crucial to distinguish the </w:t>
      </w:r>
      <w:r w:rsidR="009438E6">
        <w:rPr>
          <w:rFonts w:eastAsia="Symbol" w:cs="Symbol"/>
          <w:sz w:val="22"/>
          <w:szCs w:val="22"/>
        </w:rPr>
        <w:t xml:space="preserve">current </w:t>
      </w:r>
      <w:r>
        <w:rPr>
          <w:rFonts w:eastAsia="Symbol" w:cs="Symbol"/>
          <w:sz w:val="22"/>
          <w:szCs w:val="22"/>
        </w:rPr>
        <w:t>modal logic notions of “necessity” and “possibility” from those of Leibniz’s Algebra of Concepts.</w:t>
      </w:r>
      <w:r w:rsidR="006B07D4">
        <w:rPr>
          <w:rFonts w:eastAsia="Symbol" w:cs="Symbol"/>
          <w:sz w:val="22"/>
          <w:szCs w:val="22"/>
        </w:rPr>
        <w:t xml:space="preserve"> </w:t>
      </w:r>
    </w:p>
    <w:p w14:paraId="2D96762F" w14:textId="77777777" w:rsidR="006B07D4" w:rsidRDefault="006B07D4">
      <w:pPr>
        <w:jc w:val="both"/>
        <w:rPr>
          <w:rFonts w:eastAsia="Symbol" w:cs="Symbol"/>
          <w:sz w:val="22"/>
          <w:szCs w:val="22"/>
        </w:rPr>
      </w:pPr>
    </w:p>
    <w:p w14:paraId="650148AE" w14:textId="2AE8E111" w:rsidR="00FA713F" w:rsidRDefault="006B07D4" w:rsidP="006B07D4">
      <w:pPr>
        <w:jc w:val="both"/>
        <w:rPr>
          <w:rFonts w:eastAsia="Symbol" w:cs="Symbol"/>
          <w:sz w:val="22"/>
          <w:szCs w:val="22"/>
        </w:rPr>
      </w:pPr>
      <w:r>
        <w:rPr>
          <w:rFonts w:eastAsia="Symbol" w:cs="Symbol"/>
          <w:sz w:val="22"/>
          <w:szCs w:val="22"/>
        </w:rPr>
        <w:t>F</w:t>
      </w:r>
      <w:r>
        <w:rPr>
          <w:rFonts w:eastAsia="Symbol" w:cs="Symbol"/>
          <w:sz w:val="22"/>
          <w:szCs w:val="22"/>
        </w:rPr>
        <w:t>rom</w:t>
      </w:r>
      <w:r>
        <w:rPr>
          <w:rFonts w:eastAsia="Symbol" w:cs="Symbol"/>
          <w:sz w:val="22"/>
          <w:szCs w:val="22"/>
        </w:rPr>
        <w:t xml:space="preserve"> a</w:t>
      </w:r>
      <w:r>
        <w:rPr>
          <w:rFonts w:eastAsia="Symbol" w:cs="Symbol"/>
          <w:sz w:val="22"/>
          <w:szCs w:val="22"/>
        </w:rPr>
        <w:t xml:space="preserve"> technical </w:t>
      </w:r>
      <w:r>
        <w:rPr>
          <w:rFonts w:eastAsia="Symbol" w:cs="Symbol"/>
          <w:sz w:val="22"/>
          <w:szCs w:val="22"/>
        </w:rPr>
        <w:t xml:space="preserve">perspective, the Algebra of Concepts talks about necessity and possibility of </w:t>
      </w:r>
      <w:r>
        <w:rPr>
          <w:rFonts w:eastAsia="Symbol" w:cs="Symbol"/>
          <w:i/>
          <w:sz w:val="22"/>
          <w:szCs w:val="22"/>
        </w:rPr>
        <w:t>concepts</w:t>
      </w:r>
      <w:r>
        <w:rPr>
          <w:rFonts w:eastAsia="Symbol" w:cs="Symbol"/>
          <w:sz w:val="22"/>
          <w:szCs w:val="22"/>
        </w:rPr>
        <w:t xml:space="preserve">, whereas modal logics talk about necessity and possibility of </w:t>
      </w:r>
      <w:r w:rsidRPr="006B07D4">
        <w:rPr>
          <w:rFonts w:eastAsia="Symbol" w:cs="Symbol"/>
          <w:i/>
          <w:sz w:val="22"/>
          <w:szCs w:val="22"/>
        </w:rPr>
        <w:t>propositions</w:t>
      </w:r>
      <w:r>
        <w:rPr>
          <w:rFonts w:eastAsia="Symbol" w:cs="Symbol"/>
          <w:sz w:val="22"/>
          <w:szCs w:val="22"/>
        </w:rPr>
        <w:t>. A proposition is considered possible if it is true in at least one possible world, and necessary if true in all possible worlds.</w:t>
      </w:r>
    </w:p>
    <w:p w14:paraId="2BDBD0E0" w14:textId="77777777" w:rsidR="006B07D4" w:rsidRDefault="006B07D4" w:rsidP="006B07D4">
      <w:pPr>
        <w:jc w:val="both"/>
        <w:rPr>
          <w:rFonts w:eastAsia="Symbol" w:cs="Symbol"/>
          <w:sz w:val="22"/>
          <w:szCs w:val="22"/>
        </w:rPr>
      </w:pPr>
    </w:p>
    <w:p w14:paraId="1B29C4E6" w14:textId="333B201F" w:rsidR="00783315" w:rsidRDefault="006B07D4">
      <w:pPr>
        <w:jc w:val="both"/>
        <w:rPr>
          <w:rFonts w:eastAsia="Symbol" w:cs="Symbol"/>
          <w:sz w:val="22"/>
          <w:szCs w:val="22"/>
        </w:rPr>
      </w:pPr>
      <w:r>
        <w:rPr>
          <w:rFonts w:eastAsia="Symbol" w:cs="Symbol"/>
          <w:sz w:val="22"/>
          <w:szCs w:val="22"/>
        </w:rPr>
        <w:t xml:space="preserve">Furthermore, from a historical perspective, Leibniz was against the idea of </w:t>
      </w:r>
      <w:r w:rsidR="009438E6">
        <w:rPr>
          <w:rFonts w:eastAsia="Symbol" w:cs="Symbol"/>
          <w:sz w:val="22"/>
          <w:szCs w:val="22"/>
        </w:rPr>
        <w:t>possible worlds in December 1676,</w:t>
      </w:r>
      <w:r>
        <w:rPr>
          <w:rFonts w:eastAsia="Symbol" w:cs="Symbol"/>
          <w:sz w:val="22"/>
          <w:szCs w:val="22"/>
        </w:rPr>
        <w:t xml:space="preserve"> when he discussed ontological arguments with Spinoza</w:t>
      </w:r>
      <w:r w:rsidR="009438E6">
        <w:rPr>
          <w:rFonts w:eastAsia="Symbol" w:cs="Symbol"/>
          <w:sz w:val="22"/>
          <w:szCs w:val="22"/>
        </w:rPr>
        <w:t>,</w:t>
      </w:r>
      <w:r>
        <w:rPr>
          <w:rFonts w:eastAsia="Symbol" w:cs="Symbol"/>
          <w:sz w:val="22"/>
          <w:szCs w:val="22"/>
        </w:rPr>
        <w:t xml:space="preserve"> just one</w:t>
      </w:r>
      <w:r w:rsidR="009438E6">
        <w:rPr>
          <w:rFonts w:eastAsia="Symbol" w:cs="Symbol"/>
          <w:sz w:val="22"/>
          <w:szCs w:val="22"/>
        </w:rPr>
        <w:t xml:space="preserve"> year</w:t>
      </w:r>
      <w:r>
        <w:rPr>
          <w:rFonts w:eastAsia="Symbol" w:cs="Symbol"/>
          <w:sz w:val="22"/>
          <w:szCs w:val="22"/>
        </w:rPr>
        <w:t xml:space="preserve"> before </w:t>
      </w:r>
      <w:r w:rsidR="009438E6">
        <w:rPr>
          <w:rFonts w:eastAsia="Symbol" w:cs="Symbol"/>
          <w:sz w:val="22"/>
          <w:szCs w:val="22"/>
        </w:rPr>
        <w:t xml:space="preserve">he sent to Huthmann the ontological argument reproduced and analyzed here. In his </w:t>
      </w:r>
      <w:r w:rsidR="009438E6">
        <w:rPr>
          <w:rFonts w:eastAsia="Symbol" w:cs="Symbol"/>
          <w:i/>
          <w:sz w:val="22"/>
          <w:szCs w:val="22"/>
        </w:rPr>
        <w:t>Two Notations for Discussion with Spinoza</w:t>
      </w:r>
      <w:r w:rsidR="009438E6">
        <w:rPr>
          <w:rFonts w:eastAsia="Symbol" w:cs="Symbol"/>
          <w:sz w:val="22"/>
          <w:szCs w:val="22"/>
        </w:rPr>
        <w:t>, he wrote</w:t>
      </w:r>
      <w:r w:rsidR="00622F66">
        <w:rPr>
          <w:rStyle w:val="FootnoteReference"/>
          <w:rFonts w:eastAsia="Symbol" w:cs="Symbol"/>
          <w:sz w:val="22"/>
          <w:szCs w:val="22"/>
        </w:rPr>
        <w:footnoteReference w:id="16"/>
      </w:r>
      <w:r w:rsidR="009438E6">
        <w:rPr>
          <w:rFonts w:eastAsia="Symbol" w:cs="Symbol"/>
          <w:sz w:val="22"/>
          <w:szCs w:val="22"/>
        </w:rPr>
        <w:t xml:space="preserve"> that </w:t>
      </w:r>
      <w:r w:rsidR="00783315" w:rsidRPr="00A17249">
        <w:rPr>
          <w:sz w:val="22"/>
          <w:szCs w:val="22"/>
        </w:rPr>
        <w:t>“</w:t>
      </w:r>
      <w:r w:rsidR="009438E6">
        <w:rPr>
          <w:rFonts w:eastAsia="Symbol" w:cs="Symbol"/>
          <w:sz w:val="22"/>
          <w:szCs w:val="22"/>
        </w:rPr>
        <w:t>t</w:t>
      </w:r>
      <w:r w:rsidR="00783315" w:rsidRPr="00A17249">
        <w:rPr>
          <w:rFonts w:eastAsia="Symbol" w:cs="Symbol"/>
          <w:sz w:val="22"/>
          <w:szCs w:val="22"/>
        </w:rPr>
        <w:t>here is no need of many worlds to increase the multitude of things, for there is no number which is not contained in this one world and, indeed</w:t>
      </w:r>
      <w:r w:rsidR="009438E6">
        <w:rPr>
          <w:rFonts w:eastAsia="Symbol" w:cs="Symbol"/>
          <w:sz w:val="22"/>
          <w:szCs w:val="22"/>
        </w:rPr>
        <w:t xml:space="preserve">, even in any one of its parts. […] </w:t>
      </w:r>
      <w:r w:rsidR="00783315" w:rsidRPr="00A17249">
        <w:rPr>
          <w:rFonts w:eastAsia="Symbol" w:cs="Symbol"/>
          <w:sz w:val="22"/>
          <w:szCs w:val="22"/>
        </w:rPr>
        <w:t>To introduce another kind of existing things, and another world, so to speak, which is also infinite, is to abuse the word ‘existence’, for we cannot say whether or not these things exist now</w:t>
      </w:r>
      <w:r w:rsidR="009438E6">
        <w:rPr>
          <w:rFonts w:eastAsia="Symbol" w:cs="Symbol"/>
          <w:sz w:val="22"/>
          <w:szCs w:val="22"/>
        </w:rPr>
        <w:t xml:space="preserve">. […] </w:t>
      </w:r>
      <w:r w:rsidR="009438E6">
        <w:rPr>
          <w:sz w:val="22"/>
          <w:szCs w:val="22"/>
        </w:rPr>
        <w:t xml:space="preserve"> </w:t>
      </w:r>
      <w:r w:rsidR="00783315" w:rsidRPr="00A17249">
        <w:rPr>
          <w:rFonts w:eastAsia="Symbol" w:cs="Symbol"/>
          <w:sz w:val="22"/>
          <w:szCs w:val="22"/>
        </w:rPr>
        <w:t xml:space="preserve">If all possibles existed, no reason for existence would be needed, and possibility alone would suffice.” </w:t>
      </w:r>
    </w:p>
    <w:p w14:paraId="2312FA6D" w14:textId="5FF8CBD3" w:rsidR="009438E6" w:rsidRDefault="009438E6">
      <w:pPr>
        <w:jc w:val="both"/>
        <w:rPr>
          <w:rFonts w:eastAsia="Symbol" w:cs="Symbol"/>
          <w:sz w:val="22"/>
          <w:szCs w:val="22"/>
        </w:rPr>
      </w:pPr>
    </w:p>
    <w:p w14:paraId="47FAD711" w14:textId="40D4C45F" w:rsidR="009438E6" w:rsidRPr="00AB23F0" w:rsidRDefault="009438E6">
      <w:pPr>
        <w:jc w:val="both"/>
        <w:rPr>
          <w:rFonts w:eastAsia="Symbol" w:cs="Symbol"/>
          <w:sz w:val="22"/>
          <w:szCs w:val="22"/>
        </w:rPr>
      </w:pPr>
      <w:r>
        <w:rPr>
          <w:rFonts w:eastAsia="Symbol" w:cs="Symbol"/>
          <w:sz w:val="22"/>
          <w:szCs w:val="22"/>
        </w:rPr>
        <w:t>Nevertheless</w:t>
      </w:r>
      <w:r w:rsidR="00AB23F0">
        <w:rPr>
          <w:rFonts w:eastAsia="Symbol" w:cs="Symbol"/>
          <w:sz w:val="22"/>
          <w:szCs w:val="22"/>
        </w:rPr>
        <w:t xml:space="preserve">, towards the end of his life, in his </w:t>
      </w:r>
      <w:r w:rsidR="00AB23F0" w:rsidRPr="00AB23F0">
        <w:rPr>
          <w:rFonts w:eastAsia="Symbol" w:cs="Symbol"/>
          <w:i/>
          <w:sz w:val="22"/>
          <w:szCs w:val="22"/>
        </w:rPr>
        <w:t>Theodicy</w:t>
      </w:r>
      <w:r w:rsidR="00AB23F0">
        <w:rPr>
          <w:rFonts w:eastAsia="Symbol" w:cs="Symbol"/>
          <w:sz w:val="22"/>
          <w:szCs w:val="22"/>
        </w:rPr>
        <w:t xml:space="preserve"> </w:t>
      </w:r>
      <w:sdt>
        <w:sdtPr>
          <w:rPr>
            <w:rFonts w:eastAsia="Symbol" w:cs="Symbol"/>
            <w:sz w:val="22"/>
            <w:szCs w:val="22"/>
          </w:rPr>
          <w:id w:val="-422177606"/>
          <w:citation/>
        </w:sdtPr>
        <w:sdtContent>
          <w:r w:rsidR="00AB23F0">
            <w:rPr>
              <w:rFonts w:eastAsia="Symbol" w:cs="Symbol"/>
              <w:sz w:val="22"/>
              <w:szCs w:val="22"/>
            </w:rPr>
            <w:fldChar w:fldCharType="begin"/>
          </w:r>
          <w:r w:rsidR="00AB23F0">
            <w:rPr>
              <w:rFonts w:eastAsia="Symbol" w:cs="Symbol"/>
              <w:sz w:val="22"/>
              <w:szCs w:val="22"/>
            </w:rPr>
            <w:instrText xml:space="preserve"> CITATION Lei10 \l 1033 </w:instrText>
          </w:r>
          <w:r w:rsidR="00AB23F0">
            <w:rPr>
              <w:rFonts w:eastAsia="Symbol" w:cs="Symbol"/>
              <w:sz w:val="22"/>
              <w:szCs w:val="22"/>
            </w:rPr>
            <w:fldChar w:fldCharType="separate"/>
          </w:r>
          <w:r w:rsidR="00AB23F0" w:rsidRPr="00AB23F0">
            <w:rPr>
              <w:rFonts w:eastAsia="Symbol" w:cs="Symbol"/>
              <w:noProof/>
              <w:sz w:val="22"/>
              <w:szCs w:val="22"/>
            </w:rPr>
            <w:t>(Leibniz, Theodicy, 1710)</w:t>
          </w:r>
          <w:r w:rsidR="00AB23F0">
            <w:rPr>
              <w:rFonts w:eastAsia="Symbol" w:cs="Symbol"/>
              <w:sz w:val="22"/>
              <w:szCs w:val="22"/>
            </w:rPr>
            <w:fldChar w:fldCharType="end"/>
          </w:r>
        </w:sdtContent>
      </w:sdt>
      <w:r w:rsidR="00AB23F0">
        <w:rPr>
          <w:rFonts w:eastAsia="Symbol" w:cs="Symbol"/>
          <w:sz w:val="22"/>
          <w:szCs w:val="22"/>
        </w:rPr>
        <w:t xml:space="preserve">, Leibniz clearly changed his mind and became a firm </w:t>
      </w:r>
      <w:r w:rsidR="00D22CDF">
        <w:rPr>
          <w:rFonts w:eastAsia="Symbol" w:cs="Symbol"/>
          <w:sz w:val="22"/>
          <w:szCs w:val="22"/>
        </w:rPr>
        <w:t>advocate</w:t>
      </w:r>
      <w:r w:rsidR="00AB23F0">
        <w:rPr>
          <w:rFonts w:eastAsia="Symbol" w:cs="Symbol"/>
          <w:sz w:val="22"/>
          <w:szCs w:val="22"/>
        </w:rPr>
        <w:t xml:space="preserve"> of possible worlds. What led Leibniz to conclude</w:t>
      </w:r>
      <w:r w:rsidR="00D22CDF">
        <w:rPr>
          <w:rFonts w:eastAsia="Symbol" w:cs="Symbol"/>
          <w:sz w:val="22"/>
          <w:szCs w:val="22"/>
        </w:rPr>
        <w:t xml:space="preserve"> </w:t>
      </w:r>
      <w:r w:rsidR="00D22CDF">
        <w:rPr>
          <w:rFonts w:eastAsia="Symbol" w:cs="Symbol"/>
          <w:sz w:val="22"/>
          <w:szCs w:val="22"/>
        </w:rPr>
        <w:lastRenderedPageBreak/>
        <w:t>(and not merely assume)</w:t>
      </w:r>
      <w:r w:rsidR="00AB23F0">
        <w:rPr>
          <w:rFonts w:eastAsia="Symbol" w:cs="Symbol"/>
          <w:sz w:val="22"/>
          <w:szCs w:val="22"/>
        </w:rPr>
        <w:t xml:space="preserve"> that </w:t>
      </w:r>
      <w:r w:rsidR="00D22CDF">
        <w:rPr>
          <w:rFonts w:eastAsia="Symbol" w:cs="Symbol"/>
          <w:sz w:val="22"/>
          <w:szCs w:val="22"/>
        </w:rPr>
        <w:t>there must be other possible worlds was the problem of evil. He wrote that “[…] as this vast Region of Verities contains all possibilities, it is necessary that there be an infinitude of possible worlds, that evil enter into various of them, and that even the best of all contain a measure thereof. Thus has God been induced to permit evil” and that “God’s decree consists solely in the resolution he forms, after having compared all possible worlds, to choose that one which is the best”.</w:t>
      </w:r>
    </w:p>
    <w:p w14:paraId="7D198F2C" w14:textId="77777777" w:rsidR="009438E6" w:rsidRPr="00A17249" w:rsidRDefault="009438E6">
      <w:pPr>
        <w:jc w:val="both"/>
        <w:rPr>
          <w:sz w:val="22"/>
          <w:szCs w:val="22"/>
        </w:rPr>
      </w:pPr>
    </w:p>
    <w:p w14:paraId="181FF3E1" w14:textId="77777777" w:rsidR="005A3AB6" w:rsidRDefault="00622F66">
      <w:pPr>
        <w:tabs>
          <w:tab w:val="center" w:pos="5940"/>
        </w:tabs>
        <w:jc w:val="both"/>
        <w:rPr>
          <w:rFonts w:eastAsia="Symbol" w:cs="Symbol"/>
          <w:sz w:val="22"/>
          <w:szCs w:val="22"/>
        </w:rPr>
      </w:pPr>
      <w:r>
        <w:rPr>
          <w:rFonts w:eastAsia="Symbol" w:cs="Symbol"/>
          <w:sz w:val="22"/>
          <w:szCs w:val="22"/>
        </w:rPr>
        <w:t>However,</w:t>
      </w:r>
      <w:r w:rsidR="005A3AB6">
        <w:rPr>
          <w:rFonts w:eastAsia="Symbol" w:cs="Symbol"/>
          <w:sz w:val="22"/>
          <w:szCs w:val="22"/>
        </w:rPr>
        <w:t xml:space="preserve"> even after the </w:t>
      </w:r>
      <w:r w:rsidR="005A3AB6" w:rsidRPr="005A3AB6">
        <w:rPr>
          <w:rFonts w:eastAsia="Symbol" w:cs="Symbol"/>
          <w:i/>
          <w:sz w:val="22"/>
          <w:szCs w:val="22"/>
        </w:rPr>
        <w:t>Theodicy</w:t>
      </w:r>
      <w:r w:rsidR="005A3AB6">
        <w:rPr>
          <w:rFonts w:eastAsia="Symbol" w:cs="Symbol"/>
          <w:sz w:val="22"/>
          <w:szCs w:val="22"/>
        </w:rPr>
        <w:t xml:space="preserve">, </w:t>
      </w:r>
      <w:r w:rsidR="005A3AB6" w:rsidRPr="005A3AB6">
        <w:rPr>
          <w:rFonts w:eastAsia="Symbol" w:cs="Symbol"/>
          <w:sz w:val="22"/>
          <w:szCs w:val="22"/>
        </w:rPr>
        <w:t>Leibniz</w:t>
      </w:r>
      <w:r w:rsidR="005A3AB6">
        <w:rPr>
          <w:rFonts w:eastAsia="Symbol" w:cs="Symbol"/>
          <w:sz w:val="22"/>
          <w:szCs w:val="22"/>
        </w:rPr>
        <w:t xml:space="preserve"> did not seem to have proposed any ontological argument relying on possible worlds and on notions of necessity and possibility of propositions. The argument found in paragraphs 40 to 45 of his </w:t>
      </w:r>
      <w:r w:rsidR="005A3AB6">
        <w:rPr>
          <w:rFonts w:eastAsia="Symbol" w:cs="Symbol"/>
          <w:i/>
          <w:sz w:val="22"/>
          <w:szCs w:val="22"/>
        </w:rPr>
        <w:t>Monadology</w:t>
      </w:r>
      <w:r w:rsidR="005A3AB6">
        <w:rPr>
          <w:rFonts w:eastAsia="Symbol" w:cs="Symbol"/>
          <w:sz w:val="22"/>
          <w:szCs w:val="22"/>
        </w:rPr>
        <w:t xml:space="preserve"> (1714), for instance, is still of the same nature as the one reproduced and analyzed here, using necessity and possibility of concepts.</w:t>
      </w:r>
    </w:p>
    <w:p w14:paraId="32A1618B" w14:textId="77777777" w:rsidR="005A3AB6" w:rsidRDefault="005A3AB6">
      <w:pPr>
        <w:tabs>
          <w:tab w:val="center" w:pos="5940"/>
        </w:tabs>
        <w:jc w:val="both"/>
        <w:rPr>
          <w:rFonts w:eastAsia="Symbol" w:cs="Symbol"/>
          <w:sz w:val="22"/>
          <w:szCs w:val="22"/>
        </w:rPr>
      </w:pPr>
    </w:p>
    <w:p w14:paraId="7427D9B9" w14:textId="483ED54D" w:rsidR="005A3AB6" w:rsidRDefault="005A3AB6">
      <w:pPr>
        <w:tabs>
          <w:tab w:val="center" w:pos="5940"/>
        </w:tabs>
        <w:jc w:val="both"/>
        <w:rPr>
          <w:rFonts w:eastAsia="Symbol" w:cs="Symbol"/>
          <w:sz w:val="22"/>
          <w:szCs w:val="22"/>
        </w:rPr>
      </w:pPr>
      <w:r>
        <w:rPr>
          <w:rFonts w:eastAsia="Symbol" w:cs="Symbol"/>
          <w:sz w:val="22"/>
          <w:szCs w:val="22"/>
        </w:rPr>
        <w:t>In the 20</w:t>
      </w:r>
      <w:r w:rsidRPr="005A3AB6">
        <w:rPr>
          <w:rFonts w:eastAsia="Symbol" w:cs="Symbol"/>
          <w:sz w:val="22"/>
          <w:szCs w:val="22"/>
          <w:vertAlign w:val="superscript"/>
        </w:rPr>
        <w:t>th</w:t>
      </w:r>
      <w:r w:rsidR="00304602">
        <w:rPr>
          <w:rFonts w:eastAsia="Symbol" w:cs="Symbol"/>
          <w:sz w:val="22"/>
          <w:szCs w:val="22"/>
        </w:rPr>
        <w:t xml:space="preserve"> Century, with the revival of possible worlds semantics, there have been several ontological arguments based on modern modal logics. At least two of them are known to have been inspired by Leibniz’s ideas: Gödel’s ontological argument </w:t>
      </w:r>
      <w:sdt>
        <w:sdtPr>
          <w:rPr>
            <w:rFonts w:eastAsia="Symbol" w:cs="Symbol"/>
            <w:sz w:val="22"/>
            <w:szCs w:val="22"/>
          </w:rPr>
          <w:id w:val="86499739"/>
          <w:citation/>
        </w:sdtPr>
        <w:sdtContent>
          <w:r w:rsidR="00304602">
            <w:rPr>
              <w:rFonts w:eastAsia="Symbol" w:cs="Symbol"/>
              <w:sz w:val="22"/>
              <w:szCs w:val="22"/>
            </w:rPr>
            <w:fldChar w:fldCharType="begin"/>
          </w:r>
          <w:r w:rsidR="00304602">
            <w:rPr>
              <w:rFonts w:eastAsia="Symbol" w:cs="Symbol"/>
              <w:sz w:val="22"/>
              <w:szCs w:val="22"/>
            </w:rPr>
            <w:instrText xml:space="preserve"> CITATION Göd70 \l 1033 </w:instrText>
          </w:r>
          <w:r w:rsidR="00304602">
            <w:rPr>
              <w:rFonts w:eastAsia="Symbol" w:cs="Symbol"/>
              <w:sz w:val="22"/>
              <w:szCs w:val="22"/>
            </w:rPr>
            <w:fldChar w:fldCharType="separate"/>
          </w:r>
          <w:r w:rsidR="00304602" w:rsidRPr="00304602">
            <w:rPr>
              <w:rFonts w:eastAsia="Symbol" w:cs="Symbol"/>
              <w:noProof/>
              <w:sz w:val="22"/>
              <w:szCs w:val="22"/>
            </w:rPr>
            <w:t>(Gödel, 1970)</w:t>
          </w:r>
          <w:r w:rsidR="00304602">
            <w:rPr>
              <w:rFonts w:eastAsia="Symbol" w:cs="Symbol"/>
              <w:sz w:val="22"/>
              <w:szCs w:val="22"/>
            </w:rPr>
            <w:fldChar w:fldCharType="end"/>
          </w:r>
        </w:sdtContent>
      </w:sdt>
      <w:r w:rsidR="00304602">
        <w:rPr>
          <w:rFonts w:eastAsia="Symbol" w:cs="Symbol"/>
          <w:sz w:val="22"/>
          <w:szCs w:val="22"/>
        </w:rPr>
        <w:t xml:space="preserve"> and Lenzen’s ontological arguments </w:t>
      </w:r>
      <w:sdt>
        <w:sdtPr>
          <w:rPr>
            <w:rFonts w:eastAsia="Symbol" w:cs="Symbol"/>
            <w:sz w:val="22"/>
            <w:szCs w:val="22"/>
          </w:rPr>
          <w:id w:val="1137917487"/>
          <w:citation/>
        </w:sdtPr>
        <w:sdtContent>
          <w:r w:rsidR="00304602">
            <w:rPr>
              <w:rFonts w:eastAsia="Symbol" w:cs="Symbol"/>
              <w:sz w:val="22"/>
              <w:szCs w:val="22"/>
            </w:rPr>
            <w:fldChar w:fldCharType="begin"/>
          </w:r>
          <w:r w:rsidR="00304602">
            <w:rPr>
              <w:rFonts w:eastAsia="Symbol" w:cs="Symbol"/>
              <w:sz w:val="22"/>
              <w:szCs w:val="22"/>
            </w:rPr>
            <w:instrText xml:space="preserve"> CITATION Len90 \l 1033 </w:instrText>
          </w:r>
          <w:r w:rsidR="00304602">
            <w:rPr>
              <w:rFonts w:eastAsia="Symbol" w:cs="Symbol"/>
              <w:sz w:val="22"/>
              <w:szCs w:val="22"/>
            </w:rPr>
            <w:fldChar w:fldCharType="separate"/>
          </w:r>
          <w:r w:rsidR="00304602" w:rsidRPr="00304602">
            <w:rPr>
              <w:rFonts w:eastAsia="Symbol" w:cs="Symbol"/>
              <w:noProof/>
              <w:sz w:val="22"/>
              <w:szCs w:val="22"/>
            </w:rPr>
            <w:t>(Lenzen, Das System der Leibniz'schen Logik, 1990)</w:t>
          </w:r>
          <w:r w:rsidR="00304602">
            <w:rPr>
              <w:rFonts w:eastAsia="Symbol" w:cs="Symbol"/>
              <w:sz w:val="22"/>
              <w:szCs w:val="22"/>
            </w:rPr>
            <w:fldChar w:fldCharType="end"/>
          </w:r>
        </w:sdtContent>
      </w:sdt>
      <w:sdt>
        <w:sdtPr>
          <w:rPr>
            <w:rFonts w:eastAsia="Symbol" w:cs="Symbol"/>
            <w:sz w:val="22"/>
            <w:szCs w:val="22"/>
          </w:rPr>
          <w:id w:val="-1908839353"/>
          <w:citation/>
        </w:sdtPr>
        <w:sdtContent>
          <w:r w:rsidR="00304602">
            <w:rPr>
              <w:rFonts w:eastAsia="Symbol" w:cs="Symbol"/>
              <w:sz w:val="22"/>
              <w:szCs w:val="22"/>
            </w:rPr>
            <w:fldChar w:fldCharType="begin"/>
          </w:r>
          <w:r w:rsidR="00304602">
            <w:rPr>
              <w:rFonts w:eastAsia="Symbol" w:cs="Symbol"/>
              <w:sz w:val="22"/>
              <w:szCs w:val="22"/>
            </w:rPr>
            <w:instrText xml:space="preserve"> CITATION Len16 \l 1033 </w:instrText>
          </w:r>
          <w:r w:rsidR="00304602">
            <w:rPr>
              <w:rFonts w:eastAsia="Symbol" w:cs="Symbol"/>
              <w:sz w:val="22"/>
              <w:szCs w:val="22"/>
            </w:rPr>
            <w:fldChar w:fldCharType="separate"/>
          </w:r>
          <w:r w:rsidR="00304602">
            <w:rPr>
              <w:rFonts w:eastAsia="Symbol" w:cs="Symbol"/>
              <w:noProof/>
              <w:sz w:val="22"/>
              <w:szCs w:val="22"/>
            </w:rPr>
            <w:t xml:space="preserve"> </w:t>
          </w:r>
          <w:r w:rsidR="00304602" w:rsidRPr="00304602">
            <w:rPr>
              <w:rFonts w:eastAsia="Symbol" w:cs="Symbol"/>
              <w:noProof/>
              <w:sz w:val="22"/>
              <w:szCs w:val="22"/>
            </w:rPr>
            <w:t>(Lenzen, Leibniz's Ontological Proof of the Existence of God and the Problem of "Impossible Objects", 2016)</w:t>
          </w:r>
          <w:r w:rsidR="00304602">
            <w:rPr>
              <w:rFonts w:eastAsia="Symbol" w:cs="Symbol"/>
              <w:sz w:val="22"/>
              <w:szCs w:val="22"/>
            </w:rPr>
            <w:fldChar w:fldCharType="end"/>
          </w:r>
        </w:sdtContent>
      </w:sdt>
      <w:r w:rsidR="00304602">
        <w:rPr>
          <w:rFonts w:eastAsia="Symbol" w:cs="Symbol"/>
          <w:sz w:val="22"/>
          <w:szCs w:val="22"/>
        </w:rPr>
        <w:t>. However, for technical and historical reasons, the use of modern modal logics is probably better attributable to Gödel and Lenzen, and not to Leibniz.</w:t>
      </w:r>
    </w:p>
    <w:p w14:paraId="4AC7C88C" w14:textId="2038FE03" w:rsidR="00783315" w:rsidRPr="00A17249" w:rsidRDefault="00783315" w:rsidP="00D11850">
      <w:pPr>
        <w:tabs>
          <w:tab w:val="center" w:pos="5940"/>
        </w:tabs>
        <w:jc w:val="both"/>
        <w:rPr>
          <w:rFonts w:eastAsia="Symbol" w:cs="Symbol"/>
          <w:sz w:val="22"/>
          <w:szCs w:val="22"/>
        </w:rPr>
      </w:pPr>
      <w:bookmarkStart w:id="7" w:name="_GoBack"/>
      <w:bookmarkEnd w:id="7"/>
    </w:p>
    <w:p w14:paraId="6D658CE1" w14:textId="77777777" w:rsidR="00783315" w:rsidRPr="00A17249" w:rsidRDefault="00783315">
      <w:pPr>
        <w:jc w:val="both"/>
        <w:rPr>
          <w:rFonts w:eastAsia="Symbol" w:cs="Symbol"/>
          <w:sz w:val="22"/>
          <w:szCs w:val="22"/>
        </w:rPr>
      </w:pPr>
    </w:p>
    <w:p w14:paraId="6BDA94C3" w14:textId="77777777" w:rsidR="00783315" w:rsidRPr="00A17249" w:rsidRDefault="00783315">
      <w:pPr>
        <w:jc w:val="both"/>
        <w:rPr>
          <w:sz w:val="22"/>
          <w:szCs w:val="22"/>
        </w:rPr>
      </w:pPr>
      <w:r w:rsidRPr="00A17249">
        <w:rPr>
          <w:rFonts w:eastAsia="Symbol" w:cs="Symbol"/>
          <w:b/>
          <w:i/>
          <w:sz w:val="22"/>
          <w:szCs w:val="22"/>
        </w:rPr>
        <w:t>Conclusions</w:t>
      </w:r>
    </w:p>
    <w:p w14:paraId="3B89F4F3" w14:textId="77777777" w:rsidR="00783315" w:rsidRPr="00A17249" w:rsidRDefault="00783315">
      <w:pPr>
        <w:jc w:val="both"/>
        <w:rPr>
          <w:rFonts w:eastAsia="Symbol" w:cs="Symbol"/>
          <w:sz w:val="22"/>
          <w:szCs w:val="22"/>
        </w:rPr>
      </w:pPr>
    </w:p>
    <w:p w14:paraId="6200CF87" w14:textId="77777777" w:rsidR="00D11850" w:rsidRDefault="00D11850">
      <w:pPr>
        <w:jc w:val="both"/>
        <w:rPr>
          <w:rFonts w:eastAsia="Symbol" w:cs="Symbol"/>
          <w:sz w:val="22"/>
          <w:szCs w:val="22"/>
        </w:rPr>
      </w:pPr>
    </w:p>
    <w:p w14:paraId="76EAB7D0" w14:textId="77777777" w:rsidR="00D11850" w:rsidRPr="00A17249" w:rsidRDefault="00D11850" w:rsidP="00D11850">
      <w:pPr>
        <w:tabs>
          <w:tab w:val="center" w:pos="5940"/>
        </w:tabs>
        <w:jc w:val="both"/>
        <w:rPr>
          <w:sz w:val="22"/>
          <w:szCs w:val="22"/>
        </w:rPr>
      </w:pPr>
      <w:r w:rsidRPr="00A17249">
        <w:rPr>
          <w:rFonts w:eastAsia="Symbol" w:cs="Symbol"/>
          <w:sz w:val="22"/>
          <w:szCs w:val="22"/>
        </w:rPr>
        <w:t>TODO: Relate to our previous work and cite it.</w:t>
      </w:r>
    </w:p>
    <w:p w14:paraId="259AA891" w14:textId="77777777" w:rsidR="00D11850" w:rsidRPr="00A17249" w:rsidRDefault="00D11850" w:rsidP="00D11850">
      <w:pPr>
        <w:jc w:val="both"/>
        <w:rPr>
          <w:rFonts w:eastAsia="Symbol" w:cs="Symbol"/>
          <w:sz w:val="22"/>
          <w:szCs w:val="22"/>
        </w:rPr>
      </w:pPr>
    </w:p>
    <w:p w14:paraId="54266195" w14:textId="77777777" w:rsidR="00D11850" w:rsidRDefault="00D11850">
      <w:pPr>
        <w:jc w:val="both"/>
        <w:rPr>
          <w:rFonts w:eastAsia="Symbol" w:cs="Symbol"/>
          <w:sz w:val="22"/>
          <w:szCs w:val="22"/>
        </w:rPr>
      </w:pPr>
    </w:p>
    <w:p w14:paraId="5F7A6E6A" w14:textId="77777777" w:rsidR="00D11850" w:rsidRPr="00A17249" w:rsidRDefault="00D11850">
      <w:pPr>
        <w:jc w:val="both"/>
        <w:rPr>
          <w:sz w:val="22"/>
          <w:szCs w:val="22"/>
        </w:rPr>
      </w:pPr>
    </w:p>
    <w:p w14:paraId="71808D30" w14:textId="77777777" w:rsidR="00783315" w:rsidRPr="00A17249" w:rsidRDefault="00783315">
      <w:pPr>
        <w:jc w:val="both"/>
        <w:rPr>
          <w:rFonts w:eastAsia="Symbol" w:cs="Symbol"/>
          <w:sz w:val="22"/>
          <w:szCs w:val="22"/>
        </w:rPr>
      </w:pPr>
    </w:p>
    <w:p w14:paraId="7255D254" w14:textId="77777777" w:rsidR="00490C5B" w:rsidRPr="00A17249" w:rsidRDefault="00490C5B" w:rsidP="00490C5B">
      <w:pPr>
        <w:jc w:val="both"/>
        <w:rPr>
          <w:sz w:val="22"/>
          <w:szCs w:val="22"/>
        </w:rPr>
      </w:pPr>
      <w:r w:rsidRPr="00A17249">
        <w:rPr>
          <w:rFonts w:eastAsia="Symbol" w:cs="Symbol"/>
          <w:sz w:val="22"/>
          <w:szCs w:val="22"/>
        </w:rPr>
        <w:t xml:space="preserve">wrong statement by Leibniz: “It is indeed an excellent privilege of the divine nature that it needs only its possibility or essence in order to actually exist, and this is precisely what we mean by an </w:t>
      </w:r>
      <w:r w:rsidRPr="00A17249">
        <w:rPr>
          <w:rFonts w:eastAsia="Symbol" w:cs="Symbol"/>
          <w:i/>
          <w:sz w:val="22"/>
          <w:szCs w:val="22"/>
        </w:rPr>
        <w:t>ens a se</w:t>
      </w:r>
      <w:r w:rsidRPr="00A17249">
        <w:rPr>
          <w:rFonts w:eastAsia="Symbol" w:cs="Symbol"/>
          <w:sz w:val="22"/>
          <w:szCs w:val="22"/>
        </w:rPr>
        <w:t>”. (Discourse on Metaphysics, page 490, 1686)</w:t>
      </w:r>
    </w:p>
    <w:p w14:paraId="613D399D" w14:textId="77777777" w:rsidR="00490C5B" w:rsidRPr="00A17249" w:rsidRDefault="00490C5B">
      <w:pPr>
        <w:jc w:val="both"/>
        <w:rPr>
          <w:rFonts w:eastAsia="Symbol" w:cs="Symbol"/>
          <w:sz w:val="22"/>
          <w:szCs w:val="22"/>
        </w:rPr>
      </w:pPr>
    </w:p>
    <w:p w14:paraId="0AF394E8" w14:textId="77777777" w:rsidR="00490C5B" w:rsidRPr="00A17249" w:rsidRDefault="00490C5B">
      <w:pPr>
        <w:jc w:val="both"/>
        <w:rPr>
          <w:rFonts w:eastAsia="Symbol" w:cs="Symbol"/>
          <w:sz w:val="22"/>
          <w:szCs w:val="22"/>
        </w:rPr>
      </w:pPr>
    </w:p>
    <w:p w14:paraId="0F3A30AA" w14:textId="020C40E5" w:rsidR="00783315" w:rsidRPr="00A17249" w:rsidRDefault="00490C5B" w:rsidP="00A17249">
      <w:pPr>
        <w:jc w:val="both"/>
        <w:rPr>
          <w:sz w:val="22"/>
          <w:szCs w:val="22"/>
        </w:rPr>
      </w:pPr>
      <w:r w:rsidRPr="00A17249">
        <w:rPr>
          <w:rFonts w:eastAsia="Symbol" w:cs="Symbol"/>
          <w:sz w:val="22"/>
          <w:szCs w:val="22"/>
        </w:rPr>
        <w:t>By modern standards, Leibniz’s argument is written in an unnecessarily convoluted way. For instance, step 5 of his argument is just an instance of the law of excluded middle, and a detour through a case distinction on this instance just makes the argument unnecessarily longer. Figure TODO shows a direct formal proof of the theorem, without detours:</w:t>
      </w:r>
    </w:p>
    <w:p w14:paraId="4669949E" w14:textId="77777777" w:rsidR="00783315" w:rsidRDefault="00783315">
      <w:pPr>
        <w:tabs>
          <w:tab w:val="center" w:pos="5940"/>
        </w:tabs>
        <w:jc w:val="both"/>
        <w:rPr>
          <w:rFonts w:eastAsia="Symbol" w:cs="Symbol"/>
        </w:rPr>
      </w:pPr>
    </w:p>
    <w:p w14:paraId="5B774757" w14:textId="77777777" w:rsidR="00783315" w:rsidRDefault="00783315">
      <w:pPr>
        <w:tabs>
          <w:tab w:val="center" w:pos="5940"/>
        </w:tabs>
        <w:jc w:val="both"/>
        <w:rPr>
          <w:rFonts w:eastAsia="Symbol" w:cs="Symbol"/>
        </w:rPr>
      </w:pPr>
    </w:p>
    <w:p w14:paraId="09F8BB90" w14:textId="77777777" w:rsidR="00783315" w:rsidRDefault="00783315">
      <w:pPr>
        <w:tabs>
          <w:tab w:val="center" w:pos="5940"/>
        </w:tabs>
        <w:jc w:val="both"/>
        <w:rPr>
          <w:rFonts w:eastAsia="Symbol" w:cs="Symbol"/>
        </w:rPr>
      </w:pPr>
    </w:p>
    <w:p w14:paraId="26402675" w14:textId="77777777" w:rsidR="00783315" w:rsidRDefault="00783315">
      <w:pPr>
        <w:pStyle w:val="Heading1"/>
      </w:pPr>
      <w:r>
        <w:rPr>
          <w:rFonts w:eastAsia="Symbol" w:cs="Symbol"/>
        </w:rPr>
        <w:t>Bibliography</w:t>
      </w:r>
    </w:p>
    <w:p w14:paraId="06101140" w14:textId="77777777" w:rsidR="00783315" w:rsidRDefault="00783315">
      <w:pPr>
        <w:pStyle w:val="Bibliography1"/>
        <w:ind w:left="720" w:hanging="720"/>
      </w:pPr>
      <w:r>
        <w:rPr>
          <w:rFonts w:eastAsia="Symbol" w:cs="Symbol"/>
          <w:lang w:val="en-US" w:eastAsia="en-US"/>
        </w:rPr>
        <w:t xml:space="preserve">Leibniz, G. W. (1678, January). Letter to Henning Huthmann. </w:t>
      </w:r>
      <w:r>
        <w:rPr>
          <w:rFonts w:eastAsia="Symbol" w:cs="Symbol"/>
          <w:i/>
          <w:iCs/>
          <w:lang w:val="en-US" w:eastAsia="en-US"/>
        </w:rPr>
        <w:t>Sämtliche Schriften und Briefe, 1(2006), 2</w:t>
      </w:r>
      <w:r>
        <w:rPr>
          <w:rFonts w:eastAsia="Symbol" w:cs="Symbol"/>
          <w:lang w:val="en-US" w:eastAsia="en-US"/>
        </w:rPr>
        <w:t>, 585--586. Akademie Verlag.</w:t>
      </w:r>
    </w:p>
    <w:p w14:paraId="33E2E04D" w14:textId="77777777" w:rsidR="00783315" w:rsidRDefault="00783315" w:rsidP="00490C5B">
      <w:pPr>
        <w:tabs>
          <w:tab w:val="center" w:pos="5940"/>
        </w:tabs>
      </w:pPr>
    </w:p>
    <w:sectPr w:rsidR="00783315">
      <w:footerReference w:type="default" r:id="rId15"/>
      <w:pgSz w:w="7920" w:h="12240"/>
      <w:pgMar w:top="1008" w:right="1008" w:bottom="1008" w:left="100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972DE8" w14:textId="77777777" w:rsidR="00A25AEB" w:rsidRDefault="00A25AEB">
      <w:r>
        <w:separator/>
      </w:r>
    </w:p>
  </w:endnote>
  <w:endnote w:type="continuationSeparator" w:id="0">
    <w:p w14:paraId="4DF52B8E" w14:textId="77777777" w:rsidR="00A25AEB" w:rsidRDefault="00A25A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FreeSans">
    <w:charset w:val="01"/>
    <w:family w:val="auto"/>
    <w:pitch w:val="variable"/>
  </w:font>
  <w:font w:name="Symbol">
    <w:panose1 w:val="05050102010706020507"/>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898CD" w14:textId="77777777" w:rsidR="00225FCF" w:rsidRDefault="00911E98">
    <w:pPr>
      <w:pStyle w:val="Footer"/>
      <w:ind w:firstLine="360"/>
    </w:pPr>
    <w:r>
      <w:rPr>
        <w:noProof/>
        <w:lang w:eastAsia="en-US"/>
      </w:rPr>
      <mc:AlternateContent>
        <mc:Choice Requires="wps">
          <w:drawing>
            <wp:anchor distT="0" distB="0" distL="0" distR="0" simplePos="0" relativeHeight="251657728" behindDoc="0" locked="0" layoutInCell="1" allowOverlap="1" wp14:anchorId="02127367" wp14:editId="18E1D9B6">
              <wp:simplePos x="0" y="0"/>
              <wp:positionH relativeFrom="margin">
                <wp:align>center</wp:align>
              </wp:positionH>
              <wp:positionV relativeFrom="paragraph">
                <wp:posOffset>635</wp:posOffset>
              </wp:positionV>
              <wp:extent cx="13970" cy="203200"/>
              <wp:effectExtent l="635" t="635" r="0" b="0"/>
              <wp:wrapSquare wrapText="larges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2032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739F3D" w14:textId="77777777" w:rsidR="00225FCF" w:rsidRDefault="00225FCF">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127367" id="_x0000_t202" coordsize="21600,21600" o:spt="202" path="m0,0l0,21600,21600,21600,21600,0xe">
              <v:stroke joinstyle="miter"/>
              <v:path gradientshapeok="t" o:connecttype="rect"/>
            </v:shapetype>
            <v:shape id="Text Box 1" o:spid="_x0000_s1026" type="#_x0000_t202" style="position:absolute;left:0;text-align:left;margin-left:0;margin-top:.05pt;width:1.1pt;height:16pt;z-index:25165772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" stroked="f">
              <v:fill opacity="0"/>
              <v:textbox inset="0,0,0,0">
                <w:txbxContent>
                  <w:p w14:paraId="33739F3D" w14:textId="77777777" w:rsidR="00225FCF" w:rsidRDefault="00225FCF">
                    <w:pPr>
                      <w:pStyle w:val="Footer"/>
                    </w:pPr>
                  </w:p>
                </w:txbxContent>
              </v:textbox>
              <w10:wrap type="square" side="largest"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0A3396" w14:textId="77777777" w:rsidR="00A25AEB" w:rsidRDefault="00A25AEB">
      <w:r>
        <w:separator/>
      </w:r>
    </w:p>
  </w:footnote>
  <w:footnote w:type="continuationSeparator" w:id="0">
    <w:p w14:paraId="270A324D" w14:textId="77777777" w:rsidR="00A25AEB" w:rsidRDefault="00A25AEB">
      <w:r>
        <w:continuationSeparator/>
      </w:r>
    </w:p>
  </w:footnote>
  <w:footnote w:id="1">
    <w:p w14:paraId="2B69E3CD" w14:textId="7DF28668" w:rsidR="00225FCF" w:rsidRDefault="00225FCF">
      <w:pPr>
        <w:pStyle w:val="FootnoteText"/>
      </w:pPr>
      <w:r>
        <w:rPr>
          <w:rStyle w:val="Funotenzeichen1"/>
        </w:rPr>
        <w:footnoteRef/>
      </w:r>
      <w:r w:rsidR="00A17249">
        <w:t xml:space="preserve"> </w:t>
      </w:r>
      <w:r>
        <w:rPr>
          <w:sz w:val="20"/>
          <w:szCs w:val="20"/>
        </w:rPr>
        <w:t>Author order is alphabetical by surname.</w:t>
      </w:r>
    </w:p>
  </w:footnote>
  <w:footnote w:id="2">
    <w:p w14:paraId="0D80345E" w14:textId="064002B2" w:rsidR="009531AD" w:rsidRPr="009531AD" w:rsidRDefault="009531AD">
      <w:pPr>
        <w:pStyle w:val="FootnoteText"/>
        <w:rPr>
          <w:sz w:val="20"/>
          <w:szCs w:val="20"/>
        </w:rPr>
      </w:pPr>
      <w:r>
        <w:rPr>
          <w:rStyle w:val="FootnoteReference"/>
        </w:rPr>
        <w:footnoteRef/>
      </w:r>
      <w:r>
        <w:t xml:space="preserve"> </w:t>
      </w:r>
      <w:r>
        <w:rPr>
          <w:sz w:val="20"/>
          <w:szCs w:val="20"/>
        </w:rPr>
        <w:t>Leibniz</w:t>
      </w:r>
      <w:r w:rsidR="00354D2A">
        <w:rPr>
          <w:sz w:val="20"/>
          <w:szCs w:val="20"/>
        </w:rPr>
        <w:t>’s works</w:t>
      </w:r>
      <w:r>
        <w:rPr>
          <w:sz w:val="20"/>
          <w:szCs w:val="20"/>
        </w:rPr>
        <w:t xml:space="preserve"> cited here can be found in </w:t>
      </w:r>
      <w:r w:rsidRPr="009531AD">
        <w:rPr>
          <w:noProof/>
          <w:sz w:val="20"/>
          <w:szCs w:val="20"/>
        </w:rPr>
        <w:t>(Leibniz, 1956)</w:t>
      </w:r>
      <w:r w:rsidR="00533CB2">
        <w:rPr>
          <w:noProof/>
          <w:sz w:val="20"/>
          <w:szCs w:val="20"/>
        </w:rPr>
        <w:t xml:space="preserve">, </w:t>
      </w:r>
      <w:r w:rsidR="00EE23D7" w:rsidRPr="00EE23D7">
        <w:rPr>
          <w:noProof/>
          <w:sz w:val="20"/>
          <w:szCs w:val="20"/>
        </w:rPr>
        <w:t>(Leibniz, Sämtliche Schriften und Briefe, 1999)</w:t>
      </w:r>
      <w:r w:rsidR="00AD21FA">
        <w:rPr>
          <w:noProof/>
          <w:sz w:val="20"/>
          <w:szCs w:val="20"/>
        </w:rPr>
        <w:t xml:space="preserve"> or</w:t>
      </w:r>
      <w:r w:rsidR="00EE23D7">
        <w:rPr>
          <w:noProof/>
          <w:sz w:val="20"/>
          <w:szCs w:val="20"/>
        </w:rPr>
        <w:t xml:space="preserve"> </w:t>
      </w:r>
      <w:r w:rsidR="00EE23D7" w:rsidRPr="00EE23D7">
        <w:rPr>
          <w:noProof/>
          <w:sz w:val="20"/>
          <w:szCs w:val="20"/>
        </w:rPr>
        <w:t>(Leibniz, Sämtliche Schriften und Briefe, 2006)</w:t>
      </w:r>
      <w:r w:rsidR="00AD21FA">
        <w:rPr>
          <w:noProof/>
          <w:sz w:val="20"/>
          <w:szCs w:val="20"/>
        </w:rPr>
        <w:t>.</w:t>
      </w:r>
    </w:p>
  </w:footnote>
  <w:footnote w:id="3">
    <w:p w14:paraId="1855014C" w14:textId="5683D618" w:rsidR="00225FCF" w:rsidRDefault="00225FCF" w:rsidP="00513006">
      <w:pPr>
        <w:pStyle w:val="FootnoteText"/>
        <w:jc w:val="both"/>
      </w:pPr>
      <w:r>
        <w:rPr>
          <w:rStyle w:val="Funotenzeichen1"/>
        </w:rPr>
        <w:footnoteRef/>
      </w:r>
      <w:r w:rsidR="00513006">
        <w:t xml:space="preserve"> </w:t>
      </w:r>
      <w:r>
        <w:rPr>
          <w:sz w:val="20"/>
          <w:szCs w:val="20"/>
        </w:rPr>
        <w:t>Our exposition of Leibniz formalism is based on (and agrees with) Lenzen’s</w:t>
      </w:r>
      <w:r w:rsidR="00F37771">
        <w:rPr>
          <w:sz w:val="20"/>
          <w:szCs w:val="20"/>
        </w:rPr>
        <w:t xml:space="preserve"> </w:t>
      </w:r>
      <w:r w:rsidR="00B37475" w:rsidRPr="00B37475">
        <w:rPr>
          <w:noProof/>
          <w:sz w:val="20"/>
          <w:szCs w:val="20"/>
        </w:rPr>
        <w:t>(Lenzen, Das System der Leibniz'schen Logik, 1990)</w:t>
      </w:r>
      <w:r>
        <w:rPr>
          <w:sz w:val="20"/>
          <w:szCs w:val="20"/>
        </w:rPr>
        <w:t>, unless explicitly stated otherwise.</w:t>
      </w:r>
    </w:p>
  </w:footnote>
  <w:footnote w:id="4">
    <w:p w14:paraId="101F8193" w14:textId="7A032CAA" w:rsidR="00225FCF" w:rsidRDefault="00225FCF" w:rsidP="00513006">
      <w:pPr>
        <w:pStyle w:val="FootnoteText"/>
        <w:jc w:val="both"/>
      </w:pPr>
      <w:r>
        <w:rPr>
          <w:rStyle w:val="Funotenzeichen1"/>
        </w:rPr>
        <w:footnoteRef/>
      </w:r>
      <w:r w:rsidR="00513006">
        <w:t xml:space="preserve"> </w:t>
      </w:r>
      <w:r>
        <w:rPr>
          <w:sz w:val="20"/>
          <w:szCs w:val="20"/>
        </w:rPr>
        <w:t xml:space="preserve">In Leibniz’s works, conjunction of two concept terms A and B is usually either denoted by simply concatenating them (i.e. AB) or by using the infix function symbol </w:t>
      </w:r>
      <w:r>
        <w:rPr>
          <w:rFonts w:ascii="Symbol" w:eastAsia="Symbol" w:hAnsi="Symbol" w:cs="Symbol"/>
          <w:sz w:val="20"/>
          <w:szCs w:val="20"/>
        </w:rPr>
        <w:t></w:t>
      </w:r>
      <w:r>
        <w:rPr>
          <w:rFonts w:eastAsia="Symbol" w:cs="Symbol"/>
          <w:sz w:val="20"/>
          <w:szCs w:val="20"/>
        </w:rPr>
        <w:t>.</w:t>
      </w:r>
    </w:p>
  </w:footnote>
  <w:footnote w:id="5">
    <w:p w14:paraId="23BAAA63" w14:textId="23974D16" w:rsidR="00225FCF" w:rsidRDefault="00225FCF" w:rsidP="00513006">
      <w:pPr>
        <w:pStyle w:val="FootnoteText"/>
        <w:jc w:val="both"/>
      </w:pPr>
      <w:r>
        <w:rPr>
          <w:rStyle w:val="Funotenzeichen1"/>
        </w:rPr>
        <w:footnoteRef/>
      </w:r>
      <w:r w:rsidR="00513006">
        <w:t xml:space="preserve"> </w:t>
      </w:r>
      <w:r>
        <w:rPr>
          <w:sz w:val="20"/>
          <w:szCs w:val="20"/>
        </w:rPr>
        <w:t>It is important to distinguish conjunction/negation of concepts from conjunction/negation of propositions.</w:t>
      </w:r>
    </w:p>
  </w:footnote>
  <w:footnote w:id="6">
    <w:p w14:paraId="4B276477" w14:textId="69C2F5E0" w:rsidR="00225FCF" w:rsidRDefault="00225FCF" w:rsidP="00513006">
      <w:pPr>
        <w:pStyle w:val="FootnoteText"/>
        <w:jc w:val="both"/>
      </w:pPr>
      <w:r>
        <w:rPr>
          <w:rStyle w:val="Funotenzeichen1"/>
        </w:rPr>
        <w:footnoteRef/>
      </w:r>
      <w:r w:rsidR="00513006">
        <w:t xml:space="preserve"> </w:t>
      </w:r>
      <w:r>
        <w:rPr>
          <w:sz w:val="20"/>
          <w:szCs w:val="20"/>
        </w:rPr>
        <w:t xml:space="preserve">Leibniz often adopts </w:t>
      </w:r>
      <w:r>
        <w:rPr>
          <w:i/>
          <w:sz w:val="20"/>
          <w:szCs w:val="20"/>
        </w:rPr>
        <w:t>equality</w:t>
      </w:r>
      <w:r>
        <w:rPr>
          <w:sz w:val="20"/>
          <w:szCs w:val="20"/>
        </w:rPr>
        <w:t>, depicted as “</w:t>
      </w:r>
      <w:r>
        <w:rPr>
          <w:rFonts w:ascii="Symbol" w:eastAsia="Symbol" w:hAnsi="Symbol" w:cs="Symbol"/>
          <w:sz w:val="20"/>
          <w:szCs w:val="20"/>
        </w:rPr>
        <w:t></w:t>
      </w:r>
      <w:r>
        <w:rPr>
          <w:rFonts w:eastAsia="Symbol" w:cs="Symbol"/>
          <w:sz w:val="20"/>
          <w:szCs w:val="20"/>
        </w:rPr>
        <w:t>” instead of “=”, as the primitive relation symbol, instead of containment. But equality and containment are inter-definable, and we follow Lenzen in choosing containment.</w:t>
      </w:r>
    </w:p>
  </w:footnote>
  <w:footnote w:id="7">
    <w:p w14:paraId="41461487" w14:textId="23F7FDF2" w:rsidR="00225FCF" w:rsidRDefault="00225FCF" w:rsidP="00513006">
      <w:pPr>
        <w:pStyle w:val="FootnoteText"/>
        <w:jc w:val="both"/>
      </w:pPr>
      <w:r>
        <w:rPr>
          <w:rStyle w:val="Funotenzeichen1"/>
        </w:rPr>
        <w:footnoteRef/>
      </w:r>
      <w:r w:rsidR="00513006">
        <w:t xml:space="preserve"> </w:t>
      </w:r>
      <w:r>
        <w:rPr>
          <w:sz w:val="20"/>
          <w:szCs w:val="20"/>
        </w:rPr>
        <w:t>Leibniz actually did not use symbols for the predicates of possibility and necessity, nor for the relation of containment. Such relations were written down in natural language.</w:t>
      </w:r>
    </w:p>
  </w:footnote>
  <w:footnote w:id="8">
    <w:p w14:paraId="388E5D14" w14:textId="50D79CCF" w:rsidR="00225FCF" w:rsidRDefault="00225FCF" w:rsidP="00513006">
      <w:pPr>
        <w:pStyle w:val="FootnoteText"/>
        <w:jc w:val="both"/>
      </w:pPr>
      <w:r>
        <w:rPr>
          <w:rStyle w:val="Funotenzeichen1"/>
        </w:rPr>
        <w:footnoteRef/>
      </w:r>
      <w:r w:rsidR="00C912E8">
        <w:t xml:space="preserve"> </w:t>
      </w:r>
      <w:r>
        <w:rPr>
          <w:sz w:val="20"/>
          <w:szCs w:val="20"/>
        </w:rPr>
        <w:t xml:space="preserve">The words “Theorem” and “Proof” and the numbering of steps are not in the original. Our numbering is the same as Lenzen’s </w:t>
      </w:r>
      <w:r w:rsidR="004F7D3A" w:rsidRPr="004F7D3A">
        <w:rPr>
          <w:noProof/>
          <w:sz w:val="20"/>
          <w:szCs w:val="20"/>
        </w:rPr>
        <w:t>(Lenzen, 2016)</w:t>
      </w:r>
      <w:r>
        <w:rPr>
          <w:sz w:val="20"/>
          <w:szCs w:val="20"/>
        </w:rPr>
        <w:t>.</w:t>
      </w:r>
    </w:p>
  </w:footnote>
  <w:footnote w:id="9">
    <w:p w14:paraId="4895A088" w14:textId="784C84E1" w:rsidR="00225FCF" w:rsidRDefault="00225FCF" w:rsidP="00513006">
      <w:pPr>
        <w:pStyle w:val="FootnoteText"/>
        <w:jc w:val="both"/>
      </w:pPr>
      <w:r>
        <w:rPr>
          <w:rStyle w:val="Funotenzeichen1"/>
        </w:rPr>
        <w:footnoteRef/>
      </w:r>
      <w:r w:rsidR="00513006">
        <w:t xml:space="preserve"> </w:t>
      </w:r>
      <w:r>
        <w:rPr>
          <w:sz w:val="20"/>
          <w:szCs w:val="20"/>
        </w:rPr>
        <w:t>Verb conjugation in Latin is richer than in English. In our translation (as in Lenzen’s), Leibniz’s uses of the subjunctive mood are lost, because we preferred to employ the indicative mood uniformly. For our purposes, this loss is harmless and even clarifying, because neither Leibniz’s algebra of concepts nor any mainstream modern logic has a language capable of expressing mood differences.</w:t>
      </w:r>
    </w:p>
  </w:footnote>
  <w:footnote w:id="10">
    <w:p w14:paraId="2F3C5A33" w14:textId="72EAFBBE" w:rsidR="00225FCF" w:rsidRDefault="00225FCF" w:rsidP="00513006">
      <w:pPr>
        <w:pStyle w:val="FootnoteText"/>
        <w:jc w:val="both"/>
      </w:pPr>
      <w:r>
        <w:rPr>
          <w:rStyle w:val="Funotenzeichen1"/>
        </w:rPr>
        <w:footnoteRef/>
      </w:r>
      <w:r w:rsidR="00513006">
        <w:t xml:space="preserve"> </w:t>
      </w:r>
      <w:r>
        <w:rPr>
          <w:sz w:val="20"/>
          <w:szCs w:val="20"/>
        </w:rPr>
        <w:t>The main difference between Lenzen’s translation and ours is that Lenzen translates “quicquid” as “whenever something” whereas we translate it as “for/of whatever”. Although Lenzen’s choice sounds more natural in modern English, we believe “for/of whatever” clearly conveys universal quantification, as intended by Leibniz, whereas the translated sentences with “whenever something” contain donkey pronouns and may suggest existential quantification to readers who are unaware of the pitfalls of donkey anaphora.</w:t>
      </w:r>
    </w:p>
  </w:footnote>
  <w:footnote w:id="11">
    <w:p w14:paraId="395D135F" w14:textId="3BC8ADC6" w:rsidR="00225FCF" w:rsidRDefault="00225FCF" w:rsidP="00513006">
      <w:pPr>
        <w:pStyle w:val="FootnoteText"/>
        <w:jc w:val="both"/>
      </w:pPr>
      <w:r>
        <w:rPr>
          <w:rStyle w:val="Funotenzeichen1"/>
        </w:rPr>
        <w:footnoteRef/>
      </w:r>
      <w:r>
        <w:t xml:space="preserve"> </w:t>
      </w:r>
      <w:r>
        <w:rPr>
          <w:sz w:val="20"/>
          <w:szCs w:val="20"/>
        </w:rPr>
        <w:t>When an impersonal Latin verb is translated to modern English, an auxiliary pronoun “it” has to be added. In our translation, all occurrences of such pronouns are stricken through, as “</w:t>
      </w:r>
      <w:r>
        <w:rPr>
          <w:strike/>
          <w:sz w:val="20"/>
          <w:szCs w:val="20"/>
        </w:rPr>
        <w:t>it</w:t>
      </w:r>
      <w:r>
        <w:rPr>
          <w:sz w:val="20"/>
          <w:szCs w:val="20"/>
        </w:rPr>
        <w:t>”.</w:t>
      </w:r>
    </w:p>
  </w:footnote>
  <w:footnote w:id="12">
    <w:p w14:paraId="42BCE9DF" w14:textId="1CBF582D" w:rsidR="00225FCF" w:rsidRDefault="00225FCF" w:rsidP="00513006">
      <w:pPr>
        <w:pStyle w:val="FootnoteText"/>
        <w:jc w:val="both"/>
      </w:pPr>
      <w:r>
        <w:rPr>
          <w:rStyle w:val="Funotenzeichen1"/>
        </w:rPr>
        <w:footnoteRef/>
      </w:r>
      <w:r>
        <w:t xml:space="preserve"> </w:t>
      </w:r>
      <w:r>
        <w:rPr>
          <w:sz w:val="20"/>
          <w:szCs w:val="20"/>
        </w:rPr>
        <w:t>In contrast to modern English, ellipsis of pronouns are common in Latin. We underline referring pronouns that have been inserted in the translation but omitted through ellipsis in the original.</w:t>
      </w:r>
    </w:p>
  </w:footnote>
  <w:footnote w:id="13">
    <w:p w14:paraId="6464D8FD" w14:textId="73A6889E" w:rsidR="00225FCF" w:rsidRDefault="00225FCF" w:rsidP="00513006">
      <w:pPr>
        <w:pStyle w:val="FootnoteText"/>
        <w:jc w:val="both"/>
      </w:pPr>
      <w:r>
        <w:rPr>
          <w:rStyle w:val="Funotenzeichen1"/>
        </w:rPr>
        <w:footnoteRef/>
      </w:r>
      <w:r>
        <w:t xml:space="preserve"> </w:t>
      </w:r>
      <w:r>
        <w:rPr>
          <w:sz w:val="20"/>
          <w:szCs w:val="20"/>
        </w:rPr>
        <w:t xml:space="preserve">We translate “non posse” and “non potest” to “cannot”, because “posse” and “potest” are conjugated forms of the verb “possum” (“can”). Nevertheless, an alternative translation for step 3, for instance, could be “… to say that </w:t>
      </w:r>
      <w:r>
        <w:rPr>
          <w:strike/>
          <w:sz w:val="20"/>
          <w:szCs w:val="20"/>
        </w:rPr>
        <w:t>it</w:t>
      </w:r>
      <w:r>
        <w:rPr>
          <w:sz w:val="20"/>
          <w:szCs w:val="20"/>
        </w:rPr>
        <w:t xml:space="preserve"> is not possible that </w:t>
      </w:r>
      <w:r>
        <w:rPr>
          <w:sz w:val="20"/>
          <w:szCs w:val="20"/>
          <w:u w:val="single"/>
        </w:rPr>
        <w:t>it</w:t>
      </w:r>
      <w:r>
        <w:rPr>
          <w:sz w:val="20"/>
          <w:szCs w:val="20"/>
        </w:rPr>
        <w:t xml:space="preserve"> doesn’t exist”. This alternative would be more similar to the formal language of Leibniz’s algebra of concepts, but less similar to his actual original text in Latin.</w:t>
      </w:r>
    </w:p>
  </w:footnote>
  <w:footnote w:id="14">
    <w:p w14:paraId="0BE55EF8" w14:textId="56D4002C" w:rsidR="00225FCF" w:rsidRDefault="00225FCF" w:rsidP="00FC1824">
      <w:pPr>
        <w:pStyle w:val="FootnoteText"/>
        <w:jc w:val="both"/>
      </w:pPr>
      <w:r>
        <w:rPr>
          <w:rStyle w:val="Funotenzeichen1"/>
        </w:rPr>
        <w:footnoteRef/>
      </w:r>
      <w:r>
        <w:t xml:space="preserve"> </w:t>
      </w:r>
      <w:r>
        <w:rPr>
          <w:sz w:val="20"/>
          <w:szCs w:val="20"/>
        </w:rPr>
        <w:t xml:space="preserve">“necesse” could also have been translated as “necessary”. However, we reserve “necessary” for translations of “necessarium”. Translating both as “necessary” would create confusion, especially considering that “necessarium” plays an important role in Leibniz’s argument and algebra of concepts, whereas this occurrence of “necesse” is negligible from a logical point of view. </w:t>
      </w:r>
    </w:p>
  </w:footnote>
  <w:footnote w:id="15">
    <w:p w14:paraId="3DC67BDE" w14:textId="61CED3C3" w:rsidR="007D2858" w:rsidRPr="00FC1824" w:rsidRDefault="007D2858" w:rsidP="00FC1824">
      <w:pPr>
        <w:pStyle w:val="FootnoteText"/>
        <w:jc w:val="both"/>
        <w:rPr>
          <w:sz w:val="20"/>
          <w:szCs w:val="20"/>
        </w:rPr>
      </w:pPr>
      <w:r>
        <w:rPr>
          <w:rStyle w:val="FootnoteReference"/>
        </w:rPr>
        <w:footnoteRef/>
      </w:r>
      <w:r>
        <w:t xml:space="preserve"> </w:t>
      </w:r>
      <w:r w:rsidR="00FC1824">
        <w:rPr>
          <w:sz w:val="20"/>
          <w:szCs w:val="20"/>
        </w:rPr>
        <w:t xml:space="preserve">Our axiomatization also states that the concept G is different from E and ~E. These extra axioms are not used in the proof shown in </w:t>
      </w:r>
      <w:r w:rsidR="00FC1824">
        <w:rPr>
          <w:sz w:val="20"/>
          <w:szCs w:val="20"/>
        </w:rPr>
        <w:fldChar w:fldCharType="begin"/>
      </w:r>
      <w:r w:rsidR="00FC1824">
        <w:rPr>
          <w:sz w:val="20"/>
          <w:szCs w:val="20"/>
        </w:rPr>
        <w:instrText xml:space="preserve"> REF _Ref459910260 \h </w:instrText>
      </w:r>
      <w:r w:rsidR="00FC1824">
        <w:rPr>
          <w:sz w:val="20"/>
          <w:szCs w:val="20"/>
        </w:rPr>
      </w:r>
      <w:r w:rsidR="00FC1824">
        <w:rPr>
          <w:sz w:val="20"/>
          <w:szCs w:val="20"/>
        </w:rPr>
        <w:instrText xml:space="preserve"> \* MERGEFORMAT </w:instrText>
      </w:r>
      <w:r w:rsidR="00FC1824">
        <w:rPr>
          <w:sz w:val="20"/>
          <w:szCs w:val="20"/>
        </w:rPr>
        <w:fldChar w:fldCharType="separate"/>
      </w:r>
      <w:r w:rsidR="00FC1824">
        <w:t>F</w:t>
      </w:r>
      <w:r w:rsidR="00FC1824" w:rsidRPr="00FC1824">
        <w:rPr>
          <w:sz w:val="20"/>
          <w:szCs w:val="20"/>
        </w:rPr>
        <w:t xml:space="preserve">igure </w:t>
      </w:r>
      <w:r w:rsidR="00FC1824" w:rsidRPr="00FC1824">
        <w:rPr>
          <w:noProof/>
          <w:sz w:val="20"/>
          <w:szCs w:val="20"/>
        </w:rPr>
        <w:t>5</w:t>
      </w:r>
      <w:r w:rsidR="00FC1824">
        <w:rPr>
          <w:sz w:val="20"/>
          <w:szCs w:val="20"/>
        </w:rPr>
        <w:fldChar w:fldCharType="end"/>
      </w:r>
      <w:r w:rsidR="000830D7">
        <w:rPr>
          <w:sz w:val="20"/>
          <w:szCs w:val="20"/>
        </w:rPr>
        <w:t>. They were</w:t>
      </w:r>
      <w:r w:rsidR="00FC1824">
        <w:rPr>
          <w:sz w:val="20"/>
          <w:szCs w:val="20"/>
        </w:rPr>
        <w:t xml:space="preserve"> added </w:t>
      </w:r>
      <w:r w:rsidR="000830D7">
        <w:rPr>
          <w:sz w:val="20"/>
          <w:szCs w:val="20"/>
        </w:rPr>
        <w:t xml:space="preserve">just </w:t>
      </w:r>
      <w:r w:rsidR="00FC1824">
        <w:rPr>
          <w:sz w:val="20"/>
          <w:szCs w:val="20"/>
        </w:rPr>
        <w:t>to prevent Nitpick from generating unnatural counter-models that identified these concepts.</w:t>
      </w:r>
    </w:p>
  </w:footnote>
  <w:footnote w:id="16">
    <w:p w14:paraId="7E4C1907" w14:textId="1EAD46CF" w:rsidR="00622F66" w:rsidRPr="00622F66" w:rsidRDefault="00622F66">
      <w:pPr>
        <w:pStyle w:val="FootnoteText"/>
        <w:rPr>
          <w:sz w:val="20"/>
          <w:szCs w:val="20"/>
        </w:rPr>
      </w:pPr>
      <w:r>
        <w:rPr>
          <w:rStyle w:val="FootnoteReference"/>
        </w:rPr>
        <w:footnoteRef/>
      </w:r>
      <w:r>
        <w:t xml:space="preserve"> </w:t>
      </w:r>
      <w:r w:rsidR="003D4C8A">
        <w:rPr>
          <w:sz w:val="20"/>
          <w:szCs w:val="20"/>
        </w:rPr>
        <w:t>This comment for discussion with Spinoza shows that the common attribution of the</w:t>
      </w:r>
      <w:r>
        <w:rPr>
          <w:sz w:val="20"/>
          <w:szCs w:val="20"/>
        </w:rPr>
        <w:t xml:space="preserve"> idea </w:t>
      </w:r>
      <w:r w:rsidR="003D4C8A">
        <w:rPr>
          <w:sz w:val="20"/>
          <w:szCs w:val="20"/>
        </w:rPr>
        <w:t>of possible worlds to Leibniz is a mistake.</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3"/>
    <w:lvl w:ilvl="0">
      <w:start w:val="1"/>
      <w:numFmt w:val="decimal"/>
      <w:lvlText w:val="%1)"/>
      <w:lvlJc w:val="left"/>
      <w:pPr>
        <w:tabs>
          <w:tab w:val="num" w:pos="0"/>
        </w:tabs>
        <w:ind w:left="720" w:hanging="360"/>
      </w:pPr>
      <w:rPr>
        <w:rFonts w:hint="default"/>
        <w:i/>
        <w:sz w:val="20"/>
        <w:szCs w:val="20"/>
      </w:rPr>
    </w:lvl>
  </w:abstractNum>
  <w:abstractNum w:abstractNumId="2">
    <w:nsid w:val="00000003"/>
    <w:multiLevelType w:val="singleLevel"/>
    <w:tmpl w:val="00000003"/>
    <w:name w:val="WW8Num4"/>
    <w:lvl w:ilvl="0">
      <w:start w:val="1"/>
      <w:numFmt w:val="decimal"/>
      <w:lvlText w:val="%1)"/>
      <w:lvlJc w:val="left"/>
      <w:pPr>
        <w:tabs>
          <w:tab w:val="num" w:pos="0"/>
        </w:tabs>
        <w:ind w:left="720" w:hanging="360"/>
      </w:pPr>
      <w:rPr>
        <w:i/>
        <w:sz w:val="20"/>
        <w:szCs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embedSystemFont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315"/>
    <w:rsid w:val="00081341"/>
    <w:rsid w:val="000830D7"/>
    <w:rsid w:val="00225FCF"/>
    <w:rsid w:val="00296234"/>
    <w:rsid w:val="002A1020"/>
    <w:rsid w:val="002D5F19"/>
    <w:rsid w:val="00304602"/>
    <w:rsid w:val="00340288"/>
    <w:rsid w:val="00354D2A"/>
    <w:rsid w:val="003902E1"/>
    <w:rsid w:val="003D4C8A"/>
    <w:rsid w:val="003F5F6E"/>
    <w:rsid w:val="003F68A2"/>
    <w:rsid w:val="0040306E"/>
    <w:rsid w:val="0042713B"/>
    <w:rsid w:val="00434AA2"/>
    <w:rsid w:val="004417CB"/>
    <w:rsid w:val="00490C5B"/>
    <w:rsid w:val="004A63EF"/>
    <w:rsid w:val="004F7D3A"/>
    <w:rsid w:val="00513006"/>
    <w:rsid w:val="005305D5"/>
    <w:rsid w:val="00533CB2"/>
    <w:rsid w:val="0055535C"/>
    <w:rsid w:val="005A3AB6"/>
    <w:rsid w:val="0061457E"/>
    <w:rsid w:val="00622F66"/>
    <w:rsid w:val="00694A74"/>
    <w:rsid w:val="006B07D4"/>
    <w:rsid w:val="00762004"/>
    <w:rsid w:val="00783315"/>
    <w:rsid w:val="007C355C"/>
    <w:rsid w:val="007D2858"/>
    <w:rsid w:val="00846AC9"/>
    <w:rsid w:val="00867168"/>
    <w:rsid w:val="00911E98"/>
    <w:rsid w:val="009438E6"/>
    <w:rsid w:val="009520BA"/>
    <w:rsid w:val="009531AD"/>
    <w:rsid w:val="00A17249"/>
    <w:rsid w:val="00A25AEB"/>
    <w:rsid w:val="00AB23F0"/>
    <w:rsid w:val="00AC5BC3"/>
    <w:rsid w:val="00AD21FA"/>
    <w:rsid w:val="00AF2135"/>
    <w:rsid w:val="00B37475"/>
    <w:rsid w:val="00B51CAE"/>
    <w:rsid w:val="00B8250E"/>
    <w:rsid w:val="00C756AD"/>
    <w:rsid w:val="00C912E8"/>
    <w:rsid w:val="00D11850"/>
    <w:rsid w:val="00D22CDF"/>
    <w:rsid w:val="00D40B70"/>
    <w:rsid w:val="00D531A7"/>
    <w:rsid w:val="00D7201E"/>
    <w:rsid w:val="00D77C91"/>
    <w:rsid w:val="00D95A0B"/>
    <w:rsid w:val="00E22D81"/>
    <w:rsid w:val="00EE23D7"/>
    <w:rsid w:val="00F12C94"/>
    <w:rsid w:val="00F37771"/>
    <w:rsid w:val="00F466D7"/>
    <w:rsid w:val="00FA713F"/>
    <w:rsid w:val="00FC1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41A8175"/>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uppressAutoHyphens/>
    </w:pPr>
    <w:rPr>
      <w:lang w:eastAsia="de-DE"/>
    </w:rPr>
  </w:style>
  <w:style w:type="paragraph" w:styleId="Heading1">
    <w:name w:val="heading 1"/>
    <w:basedOn w:val="Normal"/>
    <w:next w:val="Normal"/>
    <w:qFormat/>
    <w:pPr>
      <w:keepNext/>
      <w:numPr>
        <w:numId w:val="1"/>
      </w:numPr>
      <w:jc w:val="center"/>
      <w:outlineLv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hint="default"/>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DefaultParagraphFont1">
    <w:name w:val="Default Paragraph Font1"/>
  </w:style>
  <w:style w:type="character" w:styleId="PageNumber">
    <w:name w:val="page number"/>
    <w:basedOn w:val="DefaultParagraphFont1"/>
  </w:style>
  <w:style w:type="character" w:customStyle="1" w:styleId="FootnoteTextChar">
    <w:name w:val="Footnote Text Char"/>
  </w:style>
  <w:style w:type="character" w:customStyle="1" w:styleId="Funotenzeichen1">
    <w:name w:val="Fußnotenzeichen1"/>
    <w:rPr>
      <w:vertAlign w:val="superscript"/>
    </w:rPr>
  </w:style>
  <w:style w:type="character" w:customStyle="1" w:styleId="Heading1Char">
    <w:name w:val="Heading 1 Char"/>
  </w:style>
  <w:style w:type="character" w:styleId="Hyperlink">
    <w:name w:val="Hyperlink"/>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nzeichen1">
    <w:name w:val="Endnotenzeichen1"/>
  </w:style>
  <w:style w:type="paragraph" w:customStyle="1" w:styleId="berschrift">
    <w:name w:val="Überschrift"/>
    <w:basedOn w:val="Normal"/>
    <w:next w:val="BodyText"/>
    <w:pPr>
      <w:keepNext/>
      <w:spacing w:before="240" w:after="120"/>
    </w:p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style>
  <w:style w:type="paragraph" w:customStyle="1" w:styleId="Verzeichnis">
    <w:name w:val="Verzeichnis"/>
    <w:basedOn w:val="Normal"/>
    <w:pPr>
      <w:suppressLineNumbers/>
    </w:pPr>
    <w:rPr>
      <w:rFonts w:cs="FreeSans"/>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styleId="FootnoteText">
    <w:name w:val="footnote text"/>
    <w:basedOn w:val="Normal"/>
    <w:rPr>
      <w:sz w:val="24"/>
      <w:szCs w:val="24"/>
    </w:rPr>
  </w:style>
  <w:style w:type="paragraph" w:customStyle="1" w:styleId="Bibliography1">
    <w:name w:val="Bibliography1"/>
    <w:basedOn w:val="Normal"/>
    <w:next w:val="Normal"/>
  </w:style>
  <w:style w:type="paragraph" w:customStyle="1" w:styleId="Rahmeninhalt">
    <w:name w:val="Rahmeninhalt"/>
    <w:basedOn w:val="Normal"/>
  </w:style>
  <w:style w:type="character" w:styleId="FollowedHyperlink">
    <w:name w:val="FollowedHyperlink"/>
    <w:basedOn w:val="DefaultParagraphFont"/>
    <w:uiPriority w:val="99"/>
    <w:semiHidden/>
    <w:unhideWhenUsed/>
    <w:rsid w:val="00AD21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638505">
      <w:bodyDiv w:val="1"/>
      <w:marLeft w:val="0"/>
      <w:marRight w:val="0"/>
      <w:marTop w:val="0"/>
      <w:marBottom w:val="0"/>
      <w:divBdr>
        <w:top w:val="none" w:sz="0" w:space="0" w:color="auto"/>
        <w:left w:val="none" w:sz="0" w:space="0" w:color="auto"/>
        <w:bottom w:val="none" w:sz="0" w:space="0" w:color="auto"/>
        <w:right w:val="none" w:sz="0" w:space="0" w:color="auto"/>
      </w:divBdr>
    </w:div>
    <w:div w:id="384646562">
      <w:bodyDiv w:val="1"/>
      <w:marLeft w:val="0"/>
      <w:marRight w:val="0"/>
      <w:marTop w:val="0"/>
      <w:marBottom w:val="0"/>
      <w:divBdr>
        <w:top w:val="none" w:sz="0" w:space="0" w:color="auto"/>
        <w:left w:val="none" w:sz="0" w:space="0" w:color="auto"/>
        <w:bottom w:val="none" w:sz="0" w:space="0" w:color="auto"/>
        <w:right w:val="none" w:sz="0" w:space="0" w:color="auto"/>
      </w:divBdr>
    </w:div>
    <w:div w:id="457721025">
      <w:bodyDiv w:val="1"/>
      <w:marLeft w:val="0"/>
      <w:marRight w:val="0"/>
      <w:marTop w:val="0"/>
      <w:marBottom w:val="0"/>
      <w:divBdr>
        <w:top w:val="none" w:sz="0" w:space="0" w:color="auto"/>
        <w:left w:val="none" w:sz="0" w:space="0" w:color="auto"/>
        <w:bottom w:val="none" w:sz="0" w:space="0" w:color="auto"/>
        <w:right w:val="none" w:sz="0" w:space="0" w:color="auto"/>
      </w:divBdr>
    </w:div>
    <w:div w:id="719744537">
      <w:bodyDiv w:val="1"/>
      <w:marLeft w:val="0"/>
      <w:marRight w:val="0"/>
      <w:marTop w:val="0"/>
      <w:marBottom w:val="0"/>
      <w:divBdr>
        <w:top w:val="none" w:sz="0" w:space="0" w:color="auto"/>
        <w:left w:val="none" w:sz="0" w:space="0" w:color="auto"/>
        <w:bottom w:val="none" w:sz="0" w:space="0" w:color="auto"/>
        <w:right w:val="none" w:sz="0" w:space="0" w:color="auto"/>
      </w:divBdr>
    </w:div>
    <w:div w:id="730620115">
      <w:bodyDiv w:val="1"/>
      <w:marLeft w:val="0"/>
      <w:marRight w:val="0"/>
      <w:marTop w:val="0"/>
      <w:marBottom w:val="0"/>
      <w:divBdr>
        <w:top w:val="none" w:sz="0" w:space="0" w:color="auto"/>
        <w:left w:val="none" w:sz="0" w:space="0" w:color="auto"/>
        <w:bottom w:val="none" w:sz="0" w:space="0" w:color="auto"/>
        <w:right w:val="none" w:sz="0" w:space="0" w:color="auto"/>
      </w:divBdr>
    </w:div>
    <w:div w:id="950746199">
      <w:bodyDiv w:val="1"/>
      <w:marLeft w:val="0"/>
      <w:marRight w:val="0"/>
      <w:marTop w:val="0"/>
      <w:marBottom w:val="0"/>
      <w:divBdr>
        <w:top w:val="none" w:sz="0" w:space="0" w:color="auto"/>
        <w:left w:val="none" w:sz="0" w:space="0" w:color="auto"/>
        <w:bottom w:val="none" w:sz="0" w:space="0" w:color="auto"/>
        <w:right w:val="none" w:sz="0" w:space="0" w:color="auto"/>
      </w:divBdr>
    </w:div>
    <w:div w:id="1033967189">
      <w:bodyDiv w:val="1"/>
      <w:marLeft w:val="0"/>
      <w:marRight w:val="0"/>
      <w:marTop w:val="0"/>
      <w:marBottom w:val="0"/>
      <w:divBdr>
        <w:top w:val="none" w:sz="0" w:space="0" w:color="auto"/>
        <w:left w:val="none" w:sz="0" w:space="0" w:color="auto"/>
        <w:bottom w:val="none" w:sz="0" w:space="0" w:color="auto"/>
        <w:right w:val="none" w:sz="0" w:space="0" w:color="auto"/>
      </w:divBdr>
    </w:div>
    <w:div w:id="1105423262">
      <w:bodyDiv w:val="1"/>
      <w:marLeft w:val="0"/>
      <w:marRight w:val="0"/>
      <w:marTop w:val="0"/>
      <w:marBottom w:val="0"/>
      <w:divBdr>
        <w:top w:val="none" w:sz="0" w:space="0" w:color="auto"/>
        <w:left w:val="none" w:sz="0" w:space="0" w:color="auto"/>
        <w:bottom w:val="none" w:sz="0" w:space="0" w:color="auto"/>
        <w:right w:val="none" w:sz="0" w:space="0" w:color="auto"/>
      </w:divBdr>
    </w:div>
    <w:div w:id="1161431239">
      <w:bodyDiv w:val="1"/>
      <w:marLeft w:val="0"/>
      <w:marRight w:val="0"/>
      <w:marTop w:val="0"/>
      <w:marBottom w:val="0"/>
      <w:divBdr>
        <w:top w:val="none" w:sz="0" w:space="0" w:color="auto"/>
        <w:left w:val="none" w:sz="0" w:space="0" w:color="auto"/>
        <w:bottom w:val="none" w:sz="0" w:space="0" w:color="auto"/>
        <w:right w:val="none" w:sz="0" w:space="0" w:color="auto"/>
      </w:divBdr>
    </w:div>
    <w:div w:id="1361513232">
      <w:bodyDiv w:val="1"/>
      <w:marLeft w:val="0"/>
      <w:marRight w:val="0"/>
      <w:marTop w:val="0"/>
      <w:marBottom w:val="0"/>
      <w:divBdr>
        <w:top w:val="none" w:sz="0" w:space="0" w:color="auto"/>
        <w:left w:val="none" w:sz="0" w:space="0" w:color="auto"/>
        <w:bottom w:val="none" w:sz="0" w:space="0" w:color="auto"/>
        <w:right w:val="none" w:sz="0" w:space="0" w:color="auto"/>
      </w:divBdr>
    </w:div>
    <w:div w:id="1413895872">
      <w:bodyDiv w:val="1"/>
      <w:marLeft w:val="0"/>
      <w:marRight w:val="0"/>
      <w:marTop w:val="0"/>
      <w:marBottom w:val="0"/>
      <w:divBdr>
        <w:top w:val="none" w:sz="0" w:space="0" w:color="auto"/>
        <w:left w:val="none" w:sz="0" w:space="0" w:color="auto"/>
        <w:bottom w:val="none" w:sz="0" w:space="0" w:color="auto"/>
        <w:right w:val="none" w:sz="0" w:space="0" w:color="auto"/>
      </w:divBdr>
    </w:div>
    <w:div w:id="1573345731">
      <w:bodyDiv w:val="1"/>
      <w:marLeft w:val="0"/>
      <w:marRight w:val="0"/>
      <w:marTop w:val="0"/>
      <w:marBottom w:val="0"/>
      <w:divBdr>
        <w:top w:val="none" w:sz="0" w:space="0" w:color="auto"/>
        <w:left w:val="none" w:sz="0" w:space="0" w:color="auto"/>
        <w:bottom w:val="none" w:sz="0" w:space="0" w:color="auto"/>
        <w:right w:val="none" w:sz="0" w:space="0" w:color="auto"/>
      </w:divBdr>
    </w:div>
    <w:div w:id="1710915198">
      <w:bodyDiv w:val="1"/>
      <w:marLeft w:val="0"/>
      <w:marRight w:val="0"/>
      <w:marTop w:val="0"/>
      <w:marBottom w:val="0"/>
      <w:divBdr>
        <w:top w:val="none" w:sz="0" w:space="0" w:color="auto"/>
        <w:left w:val="none" w:sz="0" w:space="0" w:color="auto"/>
        <w:bottom w:val="none" w:sz="0" w:space="0" w:color="auto"/>
        <w:right w:val="none" w:sz="0" w:space="0" w:color="auto"/>
      </w:divBdr>
    </w:div>
    <w:div w:id="1813214515">
      <w:bodyDiv w:val="1"/>
      <w:marLeft w:val="0"/>
      <w:marRight w:val="0"/>
      <w:marTop w:val="0"/>
      <w:marBottom w:val="0"/>
      <w:divBdr>
        <w:top w:val="none" w:sz="0" w:space="0" w:color="auto"/>
        <w:left w:val="none" w:sz="0" w:space="0" w:color="auto"/>
        <w:bottom w:val="none" w:sz="0" w:space="0" w:color="auto"/>
        <w:right w:val="none" w:sz="0" w:space="0" w:color="auto"/>
      </w:divBdr>
    </w:div>
    <w:div w:id="1861162732">
      <w:bodyDiv w:val="1"/>
      <w:marLeft w:val="0"/>
      <w:marRight w:val="0"/>
      <w:marTop w:val="0"/>
      <w:marBottom w:val="0"/>
      <w:divBdr>
        <w:top w:val="none" w:sz="0" w:space="0" w:color="auto"/>
        <w:left w:val="none" w:sz="0" w:space="0" w:color="auto"/>
        <w:bottom w:val="none" w:sz="0" w:space="0" w:color="auto"/>
        <w:right w:val="none" w:sz="0" w:space="0" w:color="auto"/>
      </w:divBdr>
    </w:div>
    <w:div w:id="1910846844">
      <w:bodyDiv w:val="1"/>
      <w:marLeft w:val="0"/>
      <w:marRight w:val="0"/>
      <w:marTop w:val="0"/>
      <w:marBottom w:val="0"/>
      <w:divBdr>
        <w:top w:val="none" w:sz="0" w:space="0" w:color="auto"/>
        <w:left w:val="none" w:sz="0" w:space="0" w:color="auto"/>
        <w:bottom w:val="none" w:sz="0" w:space="0" w:color="auto"/>
        <w:right w:val="none" w:sz="0" w:space="0" w:color="auto"/>
      </w:divBdr>
    </w:div>
    <w:div w:id="2043163402">
      <w:bodyDiv w:val="1"/>
      <w:marLeft w:val="0"/>
      <w:marRight w:val="0"/>
      <w:marTop w:val="0"/>
      <w:marBottom w:val="0"/>
      <w:divBdr>
        <w:top w:val="none" w:sz="0" w:space="0" w:color="auto"/>
        <w:left w:val="none" w:sz="0" w:space="0" w:color="auto"/>
        <w:bottom w:val="none" w:sz="0" w:space="0" w:color="auto"/>
        <w:right w:val="none" w:sz="0" w:space="0" w:color="auto"/>
      </w:divBdr>
    </w:div>
    <w:div w:id="20990137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Got56</b:Tag>
    <b:SourceType>Book</b:SourceType>
    <b:Guid>{0AC026F5-3156-514F-A224-125CCB9F4697}</b:Guid>
    <b:Title>Philosophical Papers and Letters</b:Title>
    <b:Year>1956</b:Year>
    <b:City>Chicago</b:City>
    <b:StateProvince>Illinois</b:StateProvince>
    <b:CountryRegion>USA</b:CountryRegion>
    <b:Publisher>The University of Chicago Press</b:Publisher>
    <b:Volume>1 and 2</b:Volume>
    <b:Author>
      <b:Author>
        <b:NameList>
          <b:Person>
            <b:Last>Leibniz</b:Last>
            <b:First>Gottfried</b:First>
            <b:Middle>Wilhelm</b:Middle>
          </b:Person>
        </b:NameList>
      </b:Author>
      <b:Editor>
        <b:NameList>
          <b:Person>
            <b:Last>Loemker</b:Last>
            <b:First>Leroy</b:First>
            <b:Middle>E.</b:Middle>
          </b:Person>
        </b:NameList>
      </b:Editor>
      <b:Translator>
        <b:NameList>
          <b:Person>
            <b:Last>Loemker</b:Last>
            <b:First>Leroy</b:First>
            <b:Middle>E.</b:Middle>
          </b:Person>
        </b:NameList>
      </b:Translator>
    </b:Author>
    <b:NumberVolumes>2</b:NumberVolumes>
    <b:RefOrder>9</b:RefOrder>
  </b:Source>
  <b:Source>
    <b:Tag>Got99</b:Tag>
    <b:SourceType>Book</b:SourceType>
    <b:Guid>{2F5B7D94-05F7-7B44-B2CD-8278F4664BFF}</b:Guid>
    <b:Author>
      <b:Author>
        <b:NameList>
          <b:Person>
            <b:Last>Leibniz</b:Last>
            <b:First>Gottfried</b:First>
            <b:Middle>Wilhelm</b:Middle>
          </b:Person>
        </b:NameList>
      </b:Author>
      <b:Editor>
        <b:NameList>
          <b:Person>
            <b:Last>Schepers</b:Last>
            <b:First>Heinrich</b:First>
          </b:Person>
          <b:Person>
            <b:Last>Schneider</b:Last>
            <b:First>Martin</b:First>
          </b:Person>
          <b:Person>
            <b:Last>Biller</b:Last>
            <b:First>Gerhard</b:First>
          </b:Person>
          <b:Person>
            <b:Last>Franke</b:Last>
            <b:First>Ursula</b:First>
          </b:Person>
          <b:Person>
            <b:Last>Kliege-Biller</b:Last>
            <b:First>Herma</b:First>
          </b:Person>
        </b:NameList>
      </b:Editor>
    </b:Author>
    <b:Title>Sämtliche Schriften und Briefe</b:Title>
    <b:CountryRegion>Germany</b:CountryRegion>
    <b:Publisher>Akademie Verlag</b:Publisher>
    <b:Year>1999</b:Year>
    <b:Volume>4 (6th Series)</b:Volume>
    <b:RefOrder>4</b:RefOrder>
  </b:Source>
  <b:Source>
    <b:Tag>Got06</b:Tag>
    <b:SourceType>Book</b:SourceType>
    <b:Guid>{75AB2147-6EB6-A54D-B3DA-491CFDA859CA}</b:Guid>
    <b:Author>
      <b:Author>
        <b:NameList>
          <b:Person>
            <b:Last>Leibniz</b:Last>
            <b:First>Gottfried</b:First>
            <b:Middle>Wilhelm</b:Middle>
          </b:Person>
        </b:NameList>
      </b:Author>
      <b:Editor>
        <b:NameList>
          <b:Person>
            <b:Last>Schneider</b:Last>
            <b:First>Martin</b:First>
          </b:Person>
          <b:Person>
            <b:Last>Schepers</b:Last>
            <b:First>Heinrich</b:First>
          </b:Person>
          <b:Person>
            <b:Last>Beeley</b:Last>
            <b:First>Philip</b:First>
          </b:Person>
          <b:Person>
            <b:Last>Biller</b:Last>
            <b:First>Gerhard</b:First>
          </b:Person>
          <b:Person>
            <b:Last>Herma</b:Last>
            <b:First>Kliege-Biller</b:First>
          </b:Person>
          <b:Person>
            <b:Last>Lorenz</b:Last>
            <b:First>Stefan</b:First>
          </b:Person>
        </b:NameList>
      </b:Editor>
    </b:Author>
    <b:Title>Sämtliche Schriften und Briefe</b:Title>
    <b:CountryRegion>Germany</b:CountryRegion>
    <b:Publisher>Akademie Verlag</b:Publisher>
    <b:Year>2006</b:Year>
    <b:Volume>1 (2nd Series)</b:Volume>
    <b:RefOrder>10</b:RefOrder>
  </b:Source>
  <b:Source>
    <b:Tag>Ant09</b:Tag>
    <b:SourceType>Book</b:SourceType>
    <b:Guid>{A5C42726-67C4-684E-8FC8-FBC45C155403}</b:Guid>
    <b:Author>
      <b:Author>
        <b:NameList>
          <b:Person>
            <b:Last>Antognazza</b:Last>
            <b:First>Maria</b:First>
            <b:Middle>Rosa</b:Middle>
          </b:Person>
        </b:NameList>
      </b:Author>
    </b:Author>
    <b:Title>Leibniz: An Intellectual Biography</b:Title>
    <b:City>New York</b:City>
    <b:StateProvince>NY</b:StateProvince>
    <b:CountryRegion>USA</b:CountryRegion>
    <b:Publisher>Cambridge University Press</b:Publisher>
    <b:Year>2009</b:Year>
    <b:RefOrder>1</b:RefOrder>
  </b:Source>
  <b:Source>
    <b:Tag>deS77</b:Tag>
    <b:SourceType>Book</b:SourceType>
    <b:Guid>{ED103AC7-4D0D-DB4A-8866-D056180FCEA3}</b:Guid>
    <b:Author>
      <b:Author>
        <b:NameList>
          <b:Person>
            <b:Last>de Spinoza</b:Last>
            <b:First>Benedito</b:First>
          </b:Person>
        </b:NameList>
      </b:Author>
    </b:Author>
    <b:Title>Ethica: Ordine Geometrico Demonstrata</b:Title>
    <b:Year>1677</b:Year>
    <b:RefOrder>2</b:RefOrder>
  </b:Source>
  <b:Source>
    <b:Tag>Nob10</b:Tag>
    <b:SourceType>ArticleInAPeriodical</b:SourceType>
    <b:Guid>{458BD752-93A4-A44B-9948-A7842E130AD2}</b:Guid>
    <b:Author>
      <b:Author>
        <b:NameList>
          <b:Person>
            <b:Last>Noble</b:Last>
            <b:First>Christopher</b:First>
          </b:Person>
        </b:NameList>
      </b:Author>
    </b:Author>
    <b:Title>Leibniz's Comments on Spinoza's Philosophy</b:Title>
    <b:Year>2010</b:Year>
    <b:Comments>http://www.gwleibniz.com/lsna_houston/abstracts/noble.pdf</b:Comments>
    <b:PeriodicalTitle>Fourth Annual Conference of the Leibniz Society of North America</b:PeriodicalTitle>
    <b:RefOrder>3</b:RefOrder>
  </b:Source>
  <b:Source>
    <b:Tag>Len90</b:Tag>
    <b:SourceType>Book</b:SourceType>
    <b:Guid>{D7C05078-F5D5-B442-B3DD-F367C206241C}</b:Guid>
    <b:Author>
      <b:Author>
        <b:NameList>
          <b:Person>
            <b:Last>Lenzen</b:Last>
            <b:First>Wolfgang</b:First>
          </b:Person>
        </b:NameList>
      </b:Author>
    </b:Author>
    <b:Title>Das System der Leibniz'schen Logik</b:Title>
    <b:Publisher>de Gruyter</b:Publisher>
    <b:City>Berlin</b:City>
    <b:Year>1990</b:Year>
    <b:RefOrder>8</b:RefOrder>
  </b:Source>
  <b:Source>
    <b:Tag>Len16</b:Tag>
    <b:SourceType>JournalArticle</b:SourceType>
    <b:Guid>{2F5E40A0-30FC-7C4C-96A8-E8DA1420CED0}</b:Guid>
    <b:Author>
      <b:Author>
        <b:NameList>
          <b:Person>
            <b:Last>Lenzen</b:Last>
            <b:First>Wolfgang</b:First>
          </b:Person>
        </b:NameList>
      </b:Author>
      <b:Editor>
        <b:NameList>
          <b:Person>
            <b:Last>Silvestre</b:Last>
            <b:First>Ricardo</b:First>
          </b:Person>
        </b:NameList>
      </b:Editor>
    </b:Author>
    <b:Title>Leibniz's Ontological Proof of the Existence of God and the Problem of "Impossible Objects"</b:Title>
    <b:Year>2016</b:Year>
    <b:Publisher>Springer</b:Publisher>
    <b:Issue>Special Issue on Logic and Religion</b:Issue>
    <b:Comments>Forthcoming</b:Comments>
    <b:JournalName>Logica Universalis</b:JournalName>
    <b:RefOrder>5</b:RefOrder>
  </b:Source>
  <b:Source>
    <b:Tag>Lei10</b:Tag>
    <b:SourceType>Book</b:SourceType>
    <b:Guid>{9A215E1B-DD94-3D4F-9542-D22AC2B707DA}</b:Guid>
    <b:Author>
      <b:Author>
        <b:NameList>
          <b:Person>
            <b:Last>Leibniz</b:Last>
            <b:First>Gottfried</b:First>
            <b:Middle>Wilhelm</b:Middle>
          </b:Person>
        </b:NameList>
      </b:Author>
      <b:Translator>
        <b:NameList>
          <b:Person>
            <b:Last>Huggard</b:Last>
            <b:First>E.</b:First>
            <b:Middle>M.</b:Middle>
          </b:Person>
        </b:NameList>
      </b:Translator>
    </b:Author>
    <b:Title>Essais de Théodicée sur la Bonté de Dieu, la Liberté de l'Homme et l'Origine du Mal</b:Title>
    <b:Publisher>Project Gutenberg</b:Publisher>
    <b:Year>1710</b:Year>
    <b:ShortTitle>Theodicy</b:ShortTitle>
    <b:Comments>Released by Project Gutenberg in 2005.</b:Comments>
    <b:Edition>E-Book</b:Edition>
    <b:RefOrder>6</b:RefOrder>
  </b:Source>
  <b:Source>
    <b:Tag>Göd70</b:Tag>
    <b:SourceType>Misc</b:SourceType>
    <b:Guid>{9D630227-C333-9442-B0C3-03D1F4489626}</b:Guid>
    <b:Author>
      <b:Author>
        <b:NameList>
          <b:Person>
            <b:Last>Gödel</b:Last>
            <b:First>Kurt</b:First>
          </b:Person>
        </b:NameList>
      </b:Author>
    </b:Author>
    <b:Title>1970 Manuscript of the Ontological Argument</b:Title>
    <b:Publisher>Oxford University Press</b:Publisher>
    <b:Year>1970</b:Year>
    <b:Volume>3</b:Volume>
    <b:PublicationTitle>Collected Works: Unpublished Essays and Letters</b:PublicationTitle>
    <b:RefOrder>7</b:RefOrder>
  </b:Source>
</b:Sources>
</file>

<file path=customXml/itemProps1.xml><?xml version="1.0" encoding="utf-8"?>
<ds:datastoreItem xmlns:ds="http://schemas.openxmlformats.org/officeDocument/2006/customXml" ds:itemID="{D82F9252-8D65-FD40-A762-B80D1AC2C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18</Pages>
  <Words>3415</Words>
  <Characters>18239</Characters>
  <Application>Microsoft Macintosh Word</Application>
  <DocSecurity>0</DocSecurity>
  <Lines>521</Lines>
  <Paragraphs>124</Paragraphs>
  <ScaleCrop>false</ScaleCrop>
  <HeadingPairs>
    <vt:vector size="2" baseType="variant">
      <vt:variant>
        <vt:lpstr>Title</vt:lpstr>
      </vt:variant>
      <vt:variant>
        <vt:i4>1</vt:i4>
      </vt:variant>
    </vt:vector>
  </HeadingPairs>
  <TitlesOfParts>
    <vt:vector size="1" baseType="lpstr">
      <vt:lpstr>SEVEN BOOK PUBLICATION GUIDELINES</vt:lpstr>
    </vt:vector>
  </TitlesOfParts>
  <Company/>
  <LinksUpToDate>false</LinksUpToDate>
  <CharactersWithSpaces>21530</CharactersWithSpaces>
  <SharedDoc>false</SharedDoc>
  <HLinks>
    <vt:vector size="6" baseType="variant">
      <vt:variant>
        <vt:i4>3604541</vt:i4>
      </vt:variant>
      <vt:variant>
        <vt:i4>0</vt:i4>
      </vt:variant>
      <vt:variant>
        <vt:i4>0</vt:i4>
      </vt:variant>
      <vt:variant>
        <vt:i4>5</vt:i4>
      </vt:variant>
      <vt:variant>
        <vt:lpwstr>http://www.gwleibniz.com/lsna_houston/abstracts/noble.pdf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SEVEN BOOK PUBLICATION GUIDELINES</dc:title>
  <dc:subject/>
  <dc:creator>Charles Tandy</dc:creator>
  <cp:keywords/>
  <dc:description/>
  <cp:lastModifiedBy>Bruno Woltzenlogel Paleo</cp:lastModifiedBy>
  <cp:revision>14</cp:revision>
  <cp:lastPrinted>1601-01-01T00:00:00Z</cp:lastPrinted>
  <dcterms:created xsi:type="dcterms:W3CDTF">2016-08-25T06:30:00Z</dcterms:created>
  <dcterms:modified xsi:type="dcterms:W3CDTF">2016-08-26T06:34:00Z</dcterms:modified>
</cp:coreProperties>
</file>