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w:t>
      </w:r>
      <w:proofErr w:type="gramStart"/>
      <w:r w:rsidRPr="00A17249">
        <w:rPr>
          <w:sz w:val="22"/>
          <w:szCs w:val="22"/>
        </w:rPr>
        <w:t xml:space="preserve"> ..</w:t>
      </w:r>
      <w:proofErr w:type="gramEnd"/>
      <w:r w:rsidRPr="00A17249">
        <w:rPr>
          <w:sz w:val="22"/>
          <w:szCs w:val="22"/>
        </w:rPr>
        <w:t>]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7777777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Pr="00A17249">
        <w:rPr>
          <w:sz w:val="22"/>
          <w:szCs w:val="22"/>
        </w:rPr>
        <w:t xml:space="preserve">.   (TODO: cite “Introduction: Leibniz as Philosopher”, page 87, Confession of Nature against </w:t>
      </w:r>
      <w:proofErr w:type="gramStart"/>
      <w:r w:rsidRPr="00A17249">
        <w:rPr>
          <w:sz w:val="22"/>
          <w:szCs w:val="22"/>
        </w:rPr>
        <w:t>God )</w:t>
      </w:r>
      <w:proofErr w:type="gramEnd"/>
    </w:p>
    <w:p w14:paraId="78B5F415" w14:textId="77777777" w:rsidR="00783315" w:rsidRPr="00A17249" w:rsidRDefault="00783315">
      <w:pPr>
        <w:jc w:val="both"/>
        <w:rPr>
          <w:sz w:val="22"/>
          <w:szCs w:val="22"/>
        </w:rPr>
      </w:pPr>
    </w:p>
    <w:p w14:paraId="011BE201" w14:textId="54F0D58C" w:rsidR="005305D5" w:rsidRPr="00A17249" w:rsidRDefault="00783315" w:rsidP="005305D5">
      <w:pPr>
        <w:jc w:val="both"/>
        <w:rPr>
          <w:rFonts w:eastAsia="Symbol" w:cs="Symbol"/>
          <w:sz w:val="22"/>
          <w:szCs w:val="22"/>
        </w:rPr>
      </w:pPr>
      <w:r w:rsidRPr="00A17249">
        <w:rPr>
          <w:sz w:val="22"/>
          <w:szCs w:val="22"/>
        </w:rPr>
        <w:t xml:space="preserve">Between </w:t>
      </w:r>
      <w:proofErr w:type="gramStart"/>
      <w:r w:rsidRPr="00A17249">
        <w:rPr>
          <w:sz w:val="22"/>
          <w:szCs w:val="22"/>
        </w:rPr>
        <w:t>the  November</w:t>
      </w:r>
      <w:proofErr w:type="gramEnd"/>
      <w:r w:rsidRPr="00A17249">
        <w:rPr>
          <w:sz w:val="22"/>
          <w:szCs w:val="22"/>
        </w:rPr>
        <w:t xml:space="preserve"> 18 and 21 1676, Leibniz visited Spinoza in The Hague (TODO: cite biography page 177) and discussed, among other topics, Spinoza’s at that time still unpublished </w:t>
      </w:r>
      <w:proofErr w:type="spellStart"/>
      <w:r w:rsidRPr="00A17249">
        <w:rPr>
          <w:i/>
          <w:sz w:val="22"/>
          <w:szCs w:val="22"/>
        </w:rPr>
        <w:t>Ethica</w:t>
      </w:r>
      <w:proofErr w:type="spellEnd"/>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4B8FF545"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(TODO: cite Christopher Noble “Leibniz’s Comments on Spinoza’s Philosophy” </w:t>
      </w:r>
      <w:hyperlink r:id="rId8" w:history="1">
        <w:r w:rsidRPr="00A17249">
          <w:rPr>
            <w:rStyle w:val="Hyperlink"/>
            <w:sz w:val="22"/>
            <w:szCs w:val="22"/>
          </w:rPr>
          <w:t>http://www.gwleibniz.com/lsna_houston/abstracts/noble.pdf</w:t>
        </w:r>
      </w:hyperlink>
      <w:r w:rsidRPr="00A17249">
        <w:rPr>
          <w:sz w:val="22"/>
          <w:szCs w:val="22"/>
        </w:rPr>
        <w:t xml:space="preserve"> ).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(TODO: Cite biography page 178).</w:t>
      </w:r>
    </w:p>
    <w:p w14:paraId="7CC54AEB" w14:textId="77777777" w:rsidR="00783315" w:rsidRPr="00A17249" w:rsidRDefault="00783315">
      <w:pPr>
        <w:jc w:val="both"/>
        <w:rPr>
          <w:sz w:val="22"/>
          <w:szCs w:val="22"/>
        </w:rPr>
      </w:pPr>
    </w:p>
    <w:p w14:paraId="103D3652" w14:textId="5C1B4901"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(TODO: Cite collection of letters)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 xml:space="preserve">“I find that most people who take pleasure in the mathematical sciences shrink away from metaphysics, because they find light in </w:t>
      </w:r>
      <w:r w:rsidRPr="00A17249">
        <w:rPr>
          <w:sz w:val="22"/>
          <w:szCs w:val="22"/>
        </w:rPr>
        <w:lastRenderedPageBreak/>
        <w:t>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30B6E627"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2"/>
      </w:r>
      <w:r w:rsidRPr="00A17249">
        <w:rPr>
          <w:sz w:val="22"/>
          <w:szCs w:val="22"/>
        </w:rPr>
        <w:t xml:space="preserve"> to its most advanced stage in a series of papers from 1686 to 1687 (cf. TODO: Collected Works).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3"/>
      </w:r>
      <w:r w:rsidRPr="00A17249">
        <w:rPr>
          <w:sz w:val="22"/>
          <w:szCs w:val="22"/>
        </w:rPr>
        <w:t xml:space="preserve"> and </w:t>
      </w:r>
      <w:r w:rsidRPr="00A17249">
        <w:rPr>
          <w:i/>
          <w:sz w:val="22"/>
          <w:szCs w:val="22"/>
        </w:rPr>
        <w:t>negation</w:t>
      </w:r>
      <w:r w:rsidRPr="00A17249">
        <w:rPr>
          <w:rStyle w:val="Funotenzeichen1"/>
          <w:i/>
          <w:sz w:val="22"/>
          <w:szCs w:val="22"/>
        </w:rPr>
        <w:footnoteReference w:id="4"/>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5"/>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lastRenderedPageBreak/>
        <w:t>predicates</w:t>
      </w:r>
      <w:r w:rsidRPr="00A17249">
        <w:rPr>
          <w:rStyle w:val="Funotenzeichen1"/>
          <w:sz w:val="22"/>
          <w:szCs w:val="22"/>
        </w:rPr>
        <w:footnoteReference w:id="6"/>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Pr>
          <w:sz w:val="22"/>
          <w:szCs w:val="22"/>
        </w:rPr>
        <w:fldChar w:fldCharType="begin"/>
      </w:r>
      <w:r w:rsidR="007C355C">
        <w:rPr>
          <w:sz w:val="22"/>
          <w:szCs w:val="22"/>
        </w:rPr>
        <w:instrText xml:space="preserve"> REF _Ref459908224 \h </w:instrText>
      </w:r>
      <w:r w:rsidR="007C355C">
        <w:rPr>
          <w:sz w:val="22"/>
          <w:szCs w:val="22"/>
        </w:rPr>
      </w:r>
      <w:r w:rsidR="007C355C">
        <w:rPr>
          <w:sz w:val="22"/>
          <w:szCs w:val="22"/>
        </w:rPr>
        <w:fldChar w:fldCharType="separate"/>
      </w:r>
      <w:proofErr w:type="spellStart"/>
      <w:r w:rsidR="007C355C">
        <w:t>Figure</w:t>
      </w:r>
      <w:proofErr w:type="spellEnd"/>
      <w:r w:rsidR="007C355C">
        <w:t xml:space="preserve"> </w:t>
      </w:r>
      <w:r w:rsidR="007C355C">
        <w:rPr>
          <w:noProof/>
        </w:rPr>
        <w:t>1</w:t>
      </w:r>
      <w:r w:rsidR="007C355C">
        <w:rPr>
          <w:sz w:val="22"/>
          <w:szCs w:val="22"/>
        </w:rPr>
        <w:fldChar w:fldCharType="end"/>
      </w:r>
      <w:r w:rsidRPr="00A17249">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04BDB664" w:rsidR="00783315" w:rsidRPr="00A17249" w:rsidRDefault="00783315">
      <w:pPr>
        <w:jc w:val="both"/>
        <w:rPr>
          <w:sz w:val="22"/>
          <w:szCs w:val="22"/>
        </w:rPr>
      </w:pPr>
      <w:r w:rsidRPr="00A17249">
        <w:rPr>
          <w:sz w:val="22"/>
          <w:szCs w:val="22"/>
        </w:rPr>
        <w:t>The consistency of all axioms and definitions shown in Figure TODO</w:t>
      </w:r>
      <w:r w:rsidR="00B8250E" w:rsidRPr="00A17249">
        <w:rPr>
          <w:sz w:val="22"/>
          <w:szCs w:val="22"/>
        </w:rPr>
        <w:t>(Fig1</w:t>
      </w:r>
      <w:proofErr w:type="gramStart"/>
      <w:r w:rsidR="00B8250E" w:rsidRPr="00A17249">
        <w:rPr>
          <w:sz w:val="22"/>
          <w:szCs w:val="22"/>
        </w:rPr>
        <w:t>)</w:t>
      </w:r>
      <w:r w:rsidRPr="00A17249">
        <w:rPr>
          <w:sz w:val="22"/>
          <w:szCs w:val="22"/>
        </w:rPr>
        <w:t>:number</w:t>
      </w:r>
      <w:proofErr w:type="gramEnd"/>
      <w:r w:rsidRPr="00A17249">
        <w:rPr>
          <w:sz w:val="22"/>
          <w:szCs w:val="22"/>
        </w:rPr>
        <w:t xml:space="preserve"> can be shown by calling Nitpick, an automated model finder, as shown in Figure TODO</w:t>
      </w:r>
      <w:r w:rsidR="00B8250E" w:rsidRPr="00A17249">
        <w:rPr>
          <w:sz w:val="22"/>
          <w:szCs w:val="22"/>
        </w:rPr>
        <w:t xml:space="preserve">(Fig2):number 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r>
        <w:t xml:space="preserve">Figure </w:t>
      </w:r>
      <w:fldSimple w:instr=" SEQ Figure \* ARABIC ">
        <w:r>
          <w:rPr>
            <w:noProof/>
          </w:rPr>
          <w:t>2</w:t>
        </w:r>
      </w:fldSimple>
      <w:r>
        <w:t>: Consistency of Leibniz's Algebra of Concepts</w:t>
      </w:r>
    </w:p>
    <w:p w14:paraId="454A1200" w14:textId="77777777" w:rsidR="00E22D81" w:rsidRDefault="00E22D81">
      <w:pPr>
        <w:jc w:val="both"/>
      </w:pPr>
    </w:p>
    <w:p w14:paraId="20423381" w14:textId="77777777" w:rsidR="00E22D81" w:rsidRPr="00A17249" w:rsidRDefault="00783315">
      <w:pPr>
        <w:jc w:val="both"/>
        <w:rPr>
          <w:sz w:val="22"/>
          <w:szCs w:val="22"/>
        </w:rPr>
      </w:pPr>
      <w:r w:rsidRPr="00A17249">
        <w:rPr>
          <w:sz w:val="22"/>
          <w:szCs w:val="22"/>
        </w:rPr>
        <w:t>From the definitions and axioms shown in Figure TODO</w:t>
      </w:r>
      <w:r w:rsidR="009520BA" w:rsidRPr="00A17249">
        <w:rPr>
          <w:sz w:val="22"/>
          <w:szCs w:val="22"/>
        </w:rPr>
        <w:t>(Fig1</w:t>
      </w:r>
      <w:proofErr w:type="gramStart"/>
      <w:r w:rsidR="009520BA" w:rsidRPr="00A17249">
        <w:rPr>
          <w:sz w:val="22"/>
          <w:szCs w:val="22"/>
        </w:rPr>
        <w:t>)</w:t>
      </w:r>
      <w:r w:rsidRPr="00A17249">
        <w:rPr>
          <w:sz w:val="22"/>
          <w:szCs w:val="22"/>
        </w:rPr>
        <w:t>:number</w:t>
      </w:r>
      <w:proofErr w:type="gramEnd"/>
      <w:r w:rsidRPr="00A17249">
        <w:rPr>
          <w:sz w:val="22"/>
          <w:szCs w:val="22"/>
        </w:rPr>
        <w:t xml:space="preserve"> above, several useful lemmas can be proven, as listed in Figure TODO</w:t>
      </w:r>
      <w:r w:rsidR="009520BA" w:rsidRPr="00A17249">
        <w:rPr>
          <w:sz w:val="22"/>
          <w:szCs w:val="22"/>
        </w:rPr>
        <w:t>(Fig3)</w:t>
      </w:r>
      <w:r w:rsidRPr="00A17249">
        <w:rPr>
          <w:sz w:val="22"/>
          <w:szCs w:val="22"/>
        </w:rPr>
        <w:t>: number.</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r>
        <w:t xml:space="preserve">Figure </w:t>
      </w:r>
      <w:fldSimple w:instr=" SEQ Figure \* ARABIC ">
        <w:r>
          <w:rPr>
            <w:noProof/>
          </w:rPr>
          <w:t>3</w:t>
        </w:r>
      </w:fldSimple>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7"/>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77777777"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 xml:space="preserve">, 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7777777"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8"/>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proofErr w:type="spellStart"/>
      <w:r w:rsidRPr="00A17249">
        <w:rPr>
          <w:sz w:val="22"/>
          <w:szCs w:val="22"/>
        </w:rPr>
        <w:t>TODO:cite</w:t>
      </w:r>
      <w:proofErr w:type="spellEnd"/>
      <w:r w:rsidRPr="00A17249">
        <w:rPr>
          <w:sz w:val="22"/>
          <w:szCs w:val="22"/>
        </w:rPr>
        <w:t>) with some modifications</w:t>
      </w:r>
      <w:r w:rsidRPr="00A17249">
        <w:rPr>
          <w:rStyle w:val="Funotenzeichen1"/>
          <w:sz w:val="22"/>
          <w:szCs w:val="22"/>
        </w:rPr>
        <w:footnoteReference w:id="9"/>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0"/>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1"/>
      </w:r>
      <w:r>
        <w:rPr>
          <w:i/>
        </w:rPr>
        <w:t xml:space="preserve"> cannot</w:t>
      </w:r>
      <w:r>
        <w:rPr>
          <w:rStyle w:val="Funotenzeichen1"/>
          <w:i/>
        </w:rPr>
        <w:footnoteReference w:id="12"/>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3"/>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77777777"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77777777" w:rsidR="00783315" w:rsidRPr="00A17249" w:rsidRDefault="00783315">
      <w:pPr>
        <w:jc w:val="both"/>
        <w:rPr>
          <w:sz w:val="22"/>
          <w:szCs w:val="22"/>
        </w:rPr>
      </w:pPr>
      <w:r w:rsidRPr="00A17249">
        <w:rPr>
          <w:sz w:val="22"/>
          <w:szCs w:val="22"/>
        </w:rPr>
        <w:t>Our computer-assisted investigation revealed interesting surprises. Figure TODO</w:t>
      </w:r>
      <w:r w:rsidR="009520BA" w:rsidRPr="00A17249">
        <w:rPr>
          <w:sz w:val="22"/>
          <w:szCs w:val="22"/>
        </w:rPr>
        <w:t>(Fig4</w:t>
      </w:r>
      <w:proofErr w:type="gramStart"/>
      <w:r w:rsidR="009520BA" w:rsidRPr="00A17249">
        <w:rPr>
          <w:sz w:val="22"/>
          <w:szCs w:val="22"/>
        </w:rPr>
        <w:t>)</w:t>
      </w:r>
      <w:r w:rsidRPr="00A17249">
        <w:rPr>
          <w:sz w:val="22"/>
          <w:szCs w:val="22"/>
        </w:rPr>
        <w:t>:number</w:t>
      </w:r>
      <w:proofErr w:type="gramEnd"/>
      <w:r w:rsidRPr="00A17249">
        <w:rPr>
          <w:sz w:val="22"/>
          <w:szCs w:val="22"/>
        </w:rPr>
        <w:t xml:space="preserve"> shows that,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 for the seventh step in Leibniz’s argument.</w:t>
      </w:r>
      <w:r w:rsidR="009520BA" w:rsidRPr="00A17249">
        <w:rPr>
          <w:sz w:val="22"/>
          <w:szCs w:val="22"/>
        </w:rPr>
        <w:t xml:space="preserve"> The </w:t>
      </w:r>
      <w:proofErr w:type="spellStart"/>
      <w:r w:rsidR="009520BA" w:rsidRPr="00A17249">
        <w:rPr>
          <w:sz w:val="22"/>
          <w:szCs w:val="22"/>
        </w:rPr>
        <w:t>countermodel</w:t>
      </w:r>
      <w:proofErr w:type="spellEnd"/>
      <w:r w:rsidR="009520BA" w:rsidRPr="00A17249">
        <w:rPr>
          <w:sz w:val="22"/>
          <w:szCs w:val="22"/>
        </w:rPr>
        <w:t xml:space="preserve"> is of cardinality 4. No </w:t>
      </w:r>
      <w:proofErr w:type="spellStart"/>
      <w:r w:rsidR="009520BA" w:rsidRPr="00A17249">
        <w:rPr>
          <w:sz w:val="22"/>
          <w:szCs w:val="22"/>
        </w:rPr>
        <w:t>countermodels</w:t>
      </w:r>
      <w:proofErr w:type="spellEnd"/>
      <w:r w:rsidR="009520BA" w:rsidRPr="00A17249">
        <w:rPr>
          <w:sz w:val="22"/>
          <w:szCs w:val="22"/>
        </w:rPr>
        <w:t xml:space="preserve"> can be constructed for smaller cardinalities.</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r>
        <w:t xml:space="preserve">Figure </w:t>
      </w:r>
      <w:fldSimple w:instr=" SEQ Figure \* ARABIC ">
        <w:r>
          <w:rPr>
            <w:noProof/>
          </w:rPr>
          <w:t>4</w:t>
        </w:r>
      </w:fldSimple>
      <w:r>
        <w:t xml:space="preserve">: Counter-Model for </w:t>
      </w:r>
      <w:r>
        <w:rPr>
          <w:noProof/>
        </w:rPr>
        <w:t>Proof Attempt with Ens Necessarium</w:t>
      </w:r>
    </w:p>
    <w:p w14:paraId="24F2199A" w14:textId="77777777" w:rsidR="00783315" w:rsidRDefault="00783315">
      <w:pPr>
        <w:jc w:val="both"/>
      </w:pPr>
    </w:p>
    <w:p w14:paraId="76CCF8D1" w14:textId="77777777"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E)” as an axiom (where “sequitur” is understood as concept implication), the argument goes through. All of Leibniz’s steps are verified by Isabelle/HOL, as shown in Figure TODO</w:t>
      </w:r>
      <w:r w:rsidR="00225FCF" w:rsidRPr="00A17249">
        <w:rPr>
          <w:rFonts w:eastAsia="Symbol" w:cs="Symbol"/>
          <w:sz w:val="22"/>
          <w:szCs w:val="22"/>
        </w:rPr>
        <w:t>(Fig5)</w:t>
      </w:r>
      <w:r w:rsidRPr="00A17249">
        <w:rPr>
          <w:rFonts w:eastAsia="Symbol" w:cs="Symbol"/>
          <w:sz w:val="22"/>
          <w:szCs w:val="22"/>
        </w:rPr>
        <w:t>: number.</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r>
        <w:t xml:space="preserve">Figure </w:t>
      </w:r>
      <w:fldSimple w:instr=" SEQ Figure \* ARABIC ">
        <w:r>
          <w:rPr>
            <w:noProof/>
          </w:rPr>
          <w:t>5</w:t>
        </w:r>
      </w:fldSimple>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7777777" w:rsidR="00783315" w:rsidRPr="00A17249" w:rsidRDefault="00783315">
      <w:pPr>
        <w:jc w:val="both"/>
        <w:rPr>
          <w:sz w:val="22"/>
          <w:szCs w:val="22"/>
        </w:rPr>
      </w:pPr>
      <w:r w:rsidRPr="00A17249">
        <w:rPr>
          <w:rFonts w:eastAsia="Symbol" w:cs="Symbol"/>
          <w:sz w:val="22"/>
          <w:szCs w:val="22"/>
        </w:rPr>
        <w:t xml:space="preserve">Furthermore, it is possible to show that,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the proviso of possibility (in step 10) is not needed, as shown in Figure TODO</w:t>
      </w:r>
      <w:r w:rsidR="00D77C91" w:rsidRPr="00A17249">
        <w:rPr>
          <w:rFonts w:eastAsia="Symbol" w:cs="Symbol"/>
          <w:sz w:val="22"/>
          <w:szCs w:val="22"/>
        </w:rPr>
        <w:t>(Fig6</w:t>
      </w:r>
      <w:r w:rsidR="00AC5BC3" w:rsidRPr="00A17249">
        <w:rPr>
          <w:rFonts w:eastAsia="Symbol" w:cs="Symbol"/>
          <w:sz w:val="22"/>
          <w:szCs w:val="22"/>
        </w:rPr>
        <w:t>=Fig7</w:t>
      </w:r>
      <w:proofErr w:type="gramStart"/>
      <w:r w:rsidR="00D77C91" w:rsidRPr="00A17249">
        <w:rPr>
          <w:rFonts w:eastAsia="Symbol" w:cs="Symbol"/>
          <w:sz w:val="22"/>
          <w:szCs w:val="22"/>
        </w:rPr>
        <w:t>)</w:t>
      </w:r>
      <w:r w:rsidRPr="00A17249">
        <w:rPr>
          <w:rFonts w:eastAsia="Symbol" w:cs="Symbol"/>
          <w:sz w:val="22"/>
          <w:szCs w:val="22"/>
        </w:rPr>
        <w:t>:Number</w:t>
      </w:r>
      <w:proofErr w:type="gramEnd"/>
      <w:r w:rsidRPr="00A17249">
        <w:rPr>
          <w:rFonts w:eastAsia="Symbol" w:cs="Symbol"/>
          <w:sz w:val="22"/>
          <w:szCs w:val="22"/>
        </w:rPr>
        <w:t xml:space="preserve"> . Therefore, Leibniz’s criticism that the ontological arguments of Descartes and Anselm are incomplete because they do not establish </w:t>
      </w:r>
      <w:r w:rsidRPr="00A17249">
        <w:rPr>
          <w:rFonts w:eastAsia="Symbol" w:cs="Symbol"/>
          <w:sz w:val="22"/>
          <w:szCs w:val="22"/>
        </w:rPr>
        <w:lastRenderedPageBreak/>
        <w:t>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4">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r>
        <w:t xml:space="preserve">Figure </w:t>
      </w:r>
      <w:fldSimple w:instr=" SEQ Figure \* ARABIC ">
        <w:r>
          <w:rPr>
            <w:noProof/>
          </w:rPr>
          <w:t>6</w:t>
        </w:r>
      </w:fldSimple>
      <w:r>
        <w:t>: Observations about Possibility, Implication and Containment</w:t>
      </w:r>
    </w:p>
    <w:p w14:paraId="1F73956F" w14:textId="77777777" w:rsidR="00E22D81" w:rsidRDefault="00E22D81">
      <w:pPr>
        <w:jc w:val="both"/>
        <w:rPr>
          <w:rFonts w:eastAsia="Symbol" w:cs="Symbol"/>
        </w:rPr>
      </w:pPr>
    </w:p>
    <w:p w14:paraId="571AEB6D" w14:textId="52500E95"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one contains the other (cf. Figure TODO</w:t>
      </w:r>
      <w:r w:rsidR="002D5F19" w:rsidRPr="00A17249">
        <w:rPr>
          <w:rFonts w:eastAsia="Symbol" w:cs="Symbol"/>
          <w:sz w:val="22"/>
          <w:szCs w:val="22"/>
        </w:rPr>
        <w:t>(</w:t>
      </w:r>
      <w:r w:rsidR="00AC5BC3" w:rsidRPr="00A17249">
        <w:rPr>
          <w:rFonts w:eastAsia="Symbol" w:cs="Symbol"/>
          <w:sz w:val="22"/>
          <w:szCs w:val="22"/>
        </w:rPr>
        <w:t>Fig6=</w:t>
      </w:r>
      <w:r w:rsidR="002D5F19" w:rsidRPr="00A17249">
        <w:rPr>
          <w:rFonts w:eastAsia="Symbol" w:cs="Symbol"/>
          <w:sz w:val="22"/>
          <w:szCs w:val="22"/>
        </w:rPr>
        <w:t>Fig7</w:t>
      </w:r>
      <w:proofErr w:type="gramStart"/>
      <w:r w:rsidR="002D5F19" w:rsidRPr="00A17249">
        <w:rPr>
          <w:rFonts w:eastAsia="Symbol" w:cs="Symbol"/>
          <w:sz w:val="22"/>
          <w:szCs w:val="22"/>
        </w:rPr>
        <w:t>)</w:t>
      </w:r>
      <w:r w:rsidRPr="00A17249">
        <w:rPr>
          <w:rFonts w:eastAsia="Symbol" w:cs="Symbol"/>
          <w:sz w:val="22"/>
          <w:szCs w:val="22"/>
        </w:rPr>
        <w:t>:Number</w:t>
      </w:r>
      <w:proofErr w:type="gramEnd"/>
      <w:r w:rsidRPr="00A17249">
        <w:rPr>
          <w:rFonts w:eastAsia="Symbol" w:cs="Symbol"/>
          <w:sz w:val="22"/>
          <w:szCs w:val="22"/>
        </w:rPr>
        <w:t>). Therefore,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lastRenderedPageBreak/>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184D1C23" w:rsidR="00783315" w:rsidRDefault="00783315">
      <w:pPr>
        <w:jc w:val="both"/>
      </w:pPr>
      <w:r w:rsidRPr="00A17249">
        <w:rPr>
          <w:rFonts w:eastAsia="Symbol" w:cs="Symbol"/>
          <w:sz w:val="22"/>
          <w:szCs w:val="22"/>
        </w:rPr>
        <w:t xml:space="preserve">For the observations above to be valuable, it is important to establish that Leibniz’s algebra of concepts remains consistent when it is extended with the axiomatization for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For</w:t>
      </w:r>
      <w:r>
        <w:rPr>
          <w:rFonts w:eastAsia="Symbol" w:cs="Symbol"/>
        </w:rPr>
        <w:t xml:space="preserve"> otherwise, anything follow</w:t>
      </w:r>
      <w:r w:rsidR="00490C5B">
        <w:rPr>
          <w:rFonts w:eastAsia="Symbol" w:cs="Symbol"/>
        </w:rPr>
        <w:t>s</w:t>
      </w:r>
      <w:r>
        <w:rPr>
          <w:rFonts w:eastAsia="Symbol" w:cs="Symbol"/>
        </w:rPr>
        <w:t>. This can be done with Nitpick, as shown in Figure TODO</w:t>
      </w:r>
      <w:r w:rsidR="002D5F19">
        <w:rPr>
          <w:rFonts w:eastAsia="Symbol" w:cs="Symbol"/>
        </w:rPr>
        <w:t>(Fig8</w:t>
      </w:r>
      <w:proofErr w:type="gramStart"/>
      <w:r w:rsidR="002D5F19">
        <w:rPr>
          <w:rFonts w:eastAsia="Symbol" w:cs="Symbol"/>
        </w:rPr>
        <w:t>)</w:t>
      </w:r>
      <w:r>
        <w:rPr>
          <w:rFonts w:eastAsia="Symbol" w:cs="Symbol"/>
        </w:rPr>
        <w:t>:Number</w:t>
      </w:r>
      <w:proofErr w:type="gramEnd"/>
      <w:r>
        <w:rPr>
          <w:rFonts w:eastAsia="Symbol" w:cs="Symbol"/>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r>
        <w:t xml:space="preserve">Figure </w:t>
      </w:r>
      <w:fldSimple w:instr=" SEQ Figure \* ARABIC ">
        <w:r>
          <w:rPr>
            <w:noProof/>
          </w:rPr>
          <w:t>7</w:t>
        </w:r>
      </w:fldSimple>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44850C95" w14:textId="77777777" w:rsidR="00783315" w:rsidRPr="00A17249" w:rsidRDefault="00783315">
      <w:pPr>
        <w:jc w:val="both"/>
        <w:rPr>
          <w:sz w:val="22"/>
          <w:szCs w:val="22"/>
        </w:rPr>
      </w:pPr>
      <w:r w:rsidRPr="00A17249">
        <w:rPr>
          <w:rFonts w:eastAsia="Symbol" w:cs="Symbol"/>
          <w:sz w:val="22"/>
          <w:szCs w:val="22"/>
        </w:rPr>
        <w:t xml:space="preserve">Although the formal proofs shown before verified Leibniz’s argument step-by-step, Isabelle/HOL has automated methods that are already powerful enough to prove the final theorem without relying on intermediary lemmas. This is shown in Figure </w:t>
      </w:r>
      <w:proofErr w:type="spellStart"/>
      <w:proofErr w:type="gramStart"/>
      <w:r w:rsidRPr="00A17249">
        <w:rPr>
          <w:rFonts w:eastAsia="Symbol" w:cs="Symbol"/>
          <w:sz w:val="22"/>
          <w:szCs w:val="22"/>
        </w:rPr>
        <w:t>TODO:Number</w:t>
      </w:r>
      <w:proofErr w:type="spellEnd"/>
      <w:proofErr w:type="gramEnd"/>
      <w:r w:rsidRPr="00A17249">
        <w:rPr>
          <w:rFonts w:eastAsia="Symbol" w:cs="Symbol"/>
          <w:sz w:val="22"/>
          <w:szCs w:val="22"/>
        </w:rPr>
        <w:t>.</w:t>
      </w:r>
    </w:p>
    <w:p w14:paraId="3F407ECE" w14:textId="77777777" w:rsidR="00783315" w:rsidRPr="00A17249" w:rsidRDefault="00783315">
      <w:pPr>
        <w:jc w:val="both"/>
        <w:rPr>
          <w:rFonts w:eastAsia="Symbol" w:cs="Symbol"/>
          <w:sz w:val="22"/>
          <w:szCs w:val="22"/>
        </w:rPr>
      </w:pPr>
    </w:p>
    <w:p w14:paraId="284D7409" w14:textId="77777777" w:rsidR="00783315" w:rsidRPr="00A17249" w:rsidRDefault="00783315">
      <w:pPr>
        <w:jc w:val="both"/>
        <w:rPr>
          <w:sz w:val="22"/>
          <w:szCs w:val="22"/>
        </w:rPr>
      </w:pPr>
      <w:r w:rsidRPr="00A17249">
        <w:rPr>
          <w:rFonts w:eastAsia="Symbol" w:cs="Symbol"/>
          <w:sz w:val="22"/>
          <w:szCs w:val="22"/>
        </w:rPr>
        <w:t>TODO: Include screenshot</w:t>
      </w:r>
    </w:p>
    <w:p w14:paraId="3E6956E2" w14:textId="77777777" w:rsidR="00783315" w:rsidRPr="00A17249" w:rsidRDefault="00783315">
      <w:pPr>
        <w:jc w:val="both"/>
        <w:rPr>
          <w:rFonts w:eastAsia="Symbol" w:cs="Symbol"/>
          <w:sz w:val="22"/>
          <w:szCs w:val="22"/>
        </w:rPr>
      </w:pP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 xml:space="preserve">By modern standards, Leibniz’s argument is written in an unnecessarily convoluted way. For instance, step 5 of his argument </w:t>
      </w:r>
      <w:r w:rsidRPr="00A17249">
        <w:rPr>
          <w:rFonts w:eastAsia="Symbol" w:cs="Symbol"/>
          <w:sz w:val="22"/>
          <w:szCs w:val="22"/>
        </w:rPr>
        <w:lastRenderedPageBreak/>
        <w:t>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6"/>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CEFEC" w14:textId="77777777" w:rsidR="009E3055" w:rsidRDefault="009E3055">
      <w:r>
        <w:separator/>
      </w:r>
    </w:p>
  </w:endnote>
  <w:endnote w:type="continuationSeparator" w:id="0">
    <w:p w14:paraId="65418BAF" w14:textId="77777777" w:rsidR="009E3055" w:rsidRDefault="009E3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EDD1D" w14:textId="77777777" w:rsidR="009E3055" w:rsidRDefault="009E3055">
      <w:r>
        <w:separator/>
      </w:r>
    </w:p>
  </w:footnote>
  <w:footnote w:type="continuationSeparator" w:id="0">
    <w:p w14:paraId="5E3B4938" w14:textId="77777777" w:rsidR="009E3055" w:rsidRDefault="009E3055">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1855014C" w14:textId="595A6F2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boo</w:t>
      </w:r>
      <w:bookmarkStart w:id="0" w:name="_GoBack"/>
      <w:bookmarkEnd w:id="0"/>
      <w:r>
        <w:rPr>
          <w:sz w:val="20"/>
          <w:szCs w:val="20"/>
        </w:rPr>
        <w:t xml:space="preserve">k </w:t>
      </w:r>
      <w:r>
        <w:rPr>
          <w:i/>
          <w:sz w:val="20"/>
          <w:szCs w:val="20"/>
        </w:rPr>
        <w:t xml:space="preserve">Das System der </w:t>
      </w:r>
      <w:proofErr w:type="spellStart"/>
      <w:r>
        <w:rPr>
          <w:i/>
          <w:sz w:val="20"/>
          <w:szCs w:val="20"/>
        </w:rPr>
        <w:t>Leibniz’schen</w:t>
      </w:r>
      <w:proofErr w:type="spellEnd"/>
      <w:r>
        <w:rPr>
          <w:i/>
          <w:sz w:val="20"/>
          <w:szCs w:val="20"/>
        </w:rPr>
        <w:t xml:space="preserve"> </w:t>
      </w:r>
      <w:proofErr w:type="spellStart"/>
      <w:r>
        <w:rPr>
          <w:i/>
          <w:sz w:val="20"/>
          <w:szCs w:val="20"/>
        </w:rPr>
        <w:t>Logik</w:t>
      </w:r>
      <w:proofErr w:type="spellEnd"/>
      <w:r>
        <w:rPr>
          <w:sz w:val="20"/>
          <w:szCs w:val="20"/>
        </w:rPr>
        <w:t xml:space="preserve"> (1990), unless explicitly stated otherwise.</w:t>
      </w:r>
    </w:p>
  </w:footnote>
  <w:footnote w:id="3">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4">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5">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6">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7">
    <w:p w14:paraId="388E5D14" w14:textId="77777777"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proofErr w:type="spellStart"/>
      <w:proofErr w:type="gramStart"/>
      <w:r>
        <w:rPr>
          <w:sz w:val="20"/>
          <w:szCs w:val="20"/>
        </w:rPr>
        <w:t>TODO:cite</w:t>
      </w:r>
      <w:proofErr w:type="spellEnd"/>
      <w:proofErr w:type="gramEnd"/>
      <w:r>
        <w:rPr>
          <w:sz w:val="20"/>
          <w:szCs w:val="20"/>
        </w:rPr>
        <w:t xml:space="preserve"> .</w:t>
      </w:r>
    </w:p>
  </w:footnote>
  <w:footnote w:id="8">
    <w:p w14:paraId="4895A088" w14:textId="5A83862B"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xml:space="preserve">), Leibniz’s uses of the subjunctive mood are lost, because we (as </w:t>
      </w:r>
      <w:proofErr w:type="spellStart"/>
      <w:r>
        <w:rPr>
          <w:sz w:val="20"/>
          <w:szCs w:val="20"/>
        </w:rPr>
        <w:t>Lenzen</w:t>
      </w:r>
      <w:proofErr w:type="spellEnd"/>
      <w:r>
        <w:rPr>
          <w:sz w:val="20"/>
          <w:szCs w:val="20"/>
        </w:rPr>
        <w:t>) preferred to employ the indicative mood uniformly. For our purposes, this loss is harmless and even clarifying, because neither Leibniz’s algebra of concepts nor any mainstream modern logic has a language capable of expressing mood differences.</w:t>
      </w:r>
    </w:p>
  </w:footnote>
  <w:footnote w:id="9">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0">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1">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2">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3">
    <w:p w14:paraId="0BE55EF8" w14:textId="56D4002C" w:rsidR="00225FCF" w:rsidRDefault="00225FCF" w:rsidP="00513006">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225FCF"/>
    <w:rsid w:val="002A1020"/>
    <w:rsid w:val="002D5F19"/>
    <w:rsid w:val="003902E1"/>
    <w:rsid w:val="00490C5B"/>
    <w:rsid w:val="00513006"/>
    <w:rsid w:val="005305D5"/>
    <w:rsid w:val="0061457E"/>
    <w:rsid w:val="00783315"/>
    <w:rsid w:val="007C355C"/>
    <w:rsid w:val="00846AC9"/>
    <w:rsid w:val="00867168"/>
    <w:rsid w:val="00911E98"/>
    <w:rsid w:val="009520BA"/>
    <w:rsid w:val="009E3055"/>
    <w:rsid w:val="00A17249"/>
    <w:rsid w:val="00AC5BC3"/>
    <w:rsid w:val="00B51CAE"/>
    <w:rsid w:val="00B8250E"/>
    <w:rsid w:val="00C756AD"/>
    <w:rsid w:val="00C912E8"/>
    <w:rsid w:val="00D77C91"/>
    <w:rsid w:val="00E22D81"/>
    <w:rsid w:val="00F12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wleibniz.com/lsna_houston/abstracts/noble.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6F21FB-240B-1946-A4CB-9A7FBC0F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2841</Words>
  <Characters>15172</Characters>
  <Application>Microsoft Macintosh Word</Application>
  <DocSecurity>0</DocSecurity>
  <Lines>433</Lines>
  <Paragraphs>103</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17910</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4</cp:revision>
  <cp:lastPrinted>1601-01-01T00:00:00Z</cp:lastPrinted>
  <dcterms:created xsi:type="dcterms:W3CDTF">2016-08-25T06:30:00Z</dcterms:created>
  <dcterms:modified xsi:type="dcterms:W3CDTF">2016-08-25T07:37:00Z</dcterms:modified>
</cp:coreProperties>
</file>