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455E6CBC"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considered to be drafted already in 1668,</w:t>
      </w:r>
      <w:r>
        <w:rPr>
          <w:sz w:val="22"/>
          <w:szCs w:val="22"/>
        </w:rPr>
        <w:t xml:space="preserve">when he was just 22 years old, to write a collection of </w:t>
      </w:r>
      <w:r>
        <w:rPr>
          <w:sz w:val="22"/>
          <w:szCs w:val="22"/>
        </w:rPr>
        <w:t>Catholic Demonstrations</w:t>
      </w:r>
      <w:r>
        <w:rPr>
          <w:sz w:val="22"/>
          <w:szCs w:val="22"/>
        </w:rPr>
        <w:t xml:space="preserve">, which was to be organized in four parts with, respectively, demonstrations of: God’s Existence; the Immortality and Incorporeity of the Soul; the Possibility </w:t>
      </w:r>
      <w:r w:rsidR="00D7201E">
        <w:rPr>
          <w:sz w:val="22"/>
          <w:szCs w:val="22"/>
        </w:rPr>
        <w:t xml:space="preserve">of the Mysteries of the Christian Faith; the Authority of the Catholic Church and the Authority of the Scripture </w:t>
      </w:r>
      <w:sdt>
        <w:sdtPr>
          <w:rPr>
            <w:sz w:val="22"/>
            <w:szCs w:val="22"/>
          </w:rPr>
          <w:id w:val="898551452"/>
          <w:citation/>
        </w:sdt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D7201E">
        <w:rPr>
          <w:sz w:val="22"/>
          <w:szCs w:val="22"/>
        </w:rPr>
        <w:t>[page 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xml:space="preserve">. His texts about the topic remained informal and lacked the </w:t>
      </w:r>
      <w:proofErr w:type="spellStart"/>
      <w:r>
        <w:rPr>
          <w:sz w:val="22"/>
          <w:szCs w:val="22"/>
        </w:rPr>
        <w:t>rigour</w:t>
      </w:r>
      <w:proofErr w:type="spellEnd"/>
      <w:r>
        <w:rPr>
          <w:sz w:val="22"/>
          <w:szCs w:val="22"/>
        </w:rPr>
        <w:t xml:space="preserve"> that would be possible through his own logic.</w:t>
      </w:r>
    </w:p>
    <w:p w14:paraId="5513452C" w14:textId="77777777" w:rsidR="00D7201E" w:rsidRDefault="00D7201E">
      <w:pPr>
        <w:jc w:val="both"/>
        <w:rPr>
          <w:sz w:val="22"/>
          <w:szCs w:val="22"/>
        </w:rPr>
      </w:pPr>
    </w:p>
    <w:p w14:paraId="46A4F52F" w14:textId="0525D278" w:rsidR="00D7201E" w:rsidRDefault="00D40B70">
      <w:pPr>
        <w:jc w:val="both"/>
        <w:rPr>
          <w:sz w:val="22"/>
          <w:szCs w:val="22"/>
        </w:rPr>
      </w:pPr>
      <w:r>
        <w:rPr>
          <w:sz w:val="22"/>
          <w:szCs w:val="22"/>
        </w:rPr>
        <w:t>Today, 300 years after Leibniz’s death, celebrating his contributions to logic and his inspiring foresight of automated reasoning, we accomplish (part of) his goal by showing how one</w:t>
      </w:r>
      <w:r w:rsidR="00694A74">
        <w:rPr>
          <w:sz w:val="22"/>
          <w:szCs w:val="22"/>
        </w:rPr>
        <w:t xml:space="preserve"> (version of one)</w:t>
      </w:r>
      <w:r>
        <w:rPr>
          <w:sz w:val="22"/>
          <w:szCs w:val="22"/>
        </w:rPr>
        <w:t xml:space="preserve"> 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 xml:space="preserve">ur investigations reveal a few surprises about Leibniz’s </w:t>
      </w:r>
      <w:r w:rsidR="00694A74">
        <w:rPr>
          <w:sz w:val="22"/>
          <w:szCs w:val="22"/>
        </w:rPr>
        <w:t>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 xml:space="preserve">“Descartes’s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w:t>
      </w:r>
      <w:r w:rsidR="005305D5" w:rsidRPr="00A17249">
        <w:rPr>
          <w:rFonts w:eastAsia="Symbol" w:cs="Symbol"/>
          <w:sz w:val="22"/>
          <w:szCs w:val="22"/>
        </w:rPr>
        <w:lastRenderedPageBreak/>
        <w:t>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fldSimple w:instr=" SEQ Figure \* ARABIC ">
        <w:r>
          <w:rPr>
            <w:noProof/>
          </w:rPr>
          <w:t>2</w:t>
        </w:r>
      </w:fldSimple>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fldSimple w:instr=" SEQ Figure \* ARABIC ">
        <w:r>
          <w:rPr>
            <w:noProof/>
          </w:rPr>
          <w:t>3</w:t>
        </w:r>
      </w:fldSimple>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3" w:name="_Ref459910223"/>
      <w:r>
        <w:t xml:space="preserve">Figure </w:t>
      </w:r>
      <w:fldSimple w:instr=" SEQ Figure \* ARABIC ">
        <w:r>
          <w:rPr>
            <w:noProof/>
          </w:rPr>
          <w:t>4</w:t>
        </w:r>
      </w:fldSimple>
      <w:bookmarkEnd w:id="3"/>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4" w:name="_Ref459910260"/>
      <w:r>
        <w:t xml:space="preserve">Figure </w:t>
      </w:r>
      <w:fldSimple w:instr=" SEQ Figure \* ARABIC ">
        <w:r>
          <w:rPr>
            <w:noProof/>
          </w:rPr>
          <w:t>5</w:t>
        </w:r>
      </w:fldSimple>
      <w:bookmarkEnd w:id="4"/>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However, </w:t>
      </w:r>
      <w:bookmarkStart w:id="5" w:name="_GoBack"/>
      <w:bookmarkEnd w:id="5"/>
      <w:r w:rsidRPr="00A17249">
        <w:rPr>
          <w:rFonts w:eastAsia="Symbol" w:cs="Symbol"/>
          <w:sz w:val="22"/>
          <w:szCs w:val="22"/>
        </w:rPr>
        <w:t>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w:t>
      </w:r>
      <w:r w:rsidR="00296234">
        <w:rPr>
          <w:rFonts w:eastAsia="Symbol" w:cs="Symbol"/>
          <w:sz w:val="22"/>
          <w:szCs w:val="22"/>
        </w:rPr>
        <w:t>by definition of possibility</w:t>
      </w:r>
      <w:r w:rsidR="00296234">
        <w:rPr>
          <w:rFonts w:eastAsia="Symbol" w:cs="Symbol"/>
          <w:sz w:val="22"/>
          <w:szCs w:val="22"/>
        </w:rPr>
        <w:t>,</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xml:space="preserve">” (“necessary”). In his later algebra of concepts, “necessary” is clearly the dual of “possible”. In his ontological argument, however, he says that “necessary is what cannot not exist”. That is why occurrences of “it is necessary” in the </w:t>
      </w:r>
      <w:r w:rsidRPr="00A17249">
        <w:rPr>
          <w:rFonts w:eastAsia="Symbol" w:cs="Symbol"/>
          <w:sz w:val="22"/>
          <w:szCs w:val="22"/>
        </w:rPr>
        <w:lastRenderedPageBreak/>
        <w:t>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F</w:t>
      </w:r>
      <w:r>
        <w:rPr>
          <w:rFonts w:eastAsia="Symbol" w:cs="Symbol"/>
          <w:sz w:val="22"/>
          <w:szCs w:val="22"/>
        </w:rPr>
        <w:t>rom</w:t>
      </w:r>
      <w:r>
        <w:rPr>
          <w:rFonts w:eastAsia="Symbol" w:cs="Symbol"/>
          <w:sz w:val="22"/>
          <w:szCs w:val="22"/>
        </w:rPr>
        <w:t xml:space="preserve"> a</w:t>
      </w:r>
      <w:r>
        <w:rPr>
          <w:rFonts w:eastAsia="Symbol" w:cs="Symbol"/>
          <w:sz w:val="22"/>
          <w:szCs w:val="22"/>
        </w:rPr>
        <w:t xml:space="preserve"> technical </w:t>
      </w:r>
      <w:r>
        <w:rPr>
          <w:rFonts w:eastAsia="Symbol" w:cs="Symbol"/>
          <w:sz w:val="22"/>
          <w:szCs w:val="22"/>
        </w:rPr>
        <w:t xml:space="preserve">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w:t>
      </w:r>
      <w:proofErr w:type="spellStart"/>
      <w:r w:rsidR="009438E6">
        <w:rPr>
          <w:rFonts w:eastAsia="Symbol" w:cs="Symbol"/>
          <w:sz w:val="22"/>
          <w:szCs w:val="22"/>
        </w:rPr>
        <w:t>Huthmann</w:t>
      </w:r>
      <w:proofErr w:type="spellEnd"/>
      <w:r w:rsidR="009438E6">
        <w:rPr>
          <w:rFonts w:eastAsia="Symbol" w:cs="Symbol"/>
          <w:sz w:val="22"/>
          <w:szCs w:val="22"/>
        </w:rPr>
        <w:t xml:space="preserve">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6"/>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w:t>
      </w:r>
      <w:proofErr w:type="spellStart"/>
      <w:r w:rsidR="00783315" w:rsidRPr="00A17249">
        <w:rPr>
          <w:rFonts w:eastAsia="Symbol" w:cs="Symbol"/>
          <w:sz w:val="22"/>
          <w:szCs w:val="22"/>
        </w:rPr>
        <w:t>possibles</w:t>
      </w:r>
      <w:proofErr w:type="spellEnd"/>
      <w:r w:rsidR="00783315" w:rsidRPr="00A17249">
        <w:rPr>
          <w:rFonts w:eastAsia="Symbol" w:cs="Symbol"/>
          <w:sz w:val="22"/>
          <w:szCs w:val="22"/>
        </w:rPr>
        <w:t xml:space="preserve">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77777777"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ontological argument relying on possible worlds and on notions of necessity and possibility of propositions. The argument found in paragraphs 40 to 45 of his </w:t>
      </w:r>
      <w:proofErr w:type="spellStart"/>
      <w:r w:rsidR="005A3AB6">
        <w:rPr>
          <w:rFonts w:eastAsia="Symbol" w:cs="Symbol"/>
          <w:i/>
          <w:sz w:val="22"/>
          <w:szCs w:val="22"/>
        </w:rPr>
        <w:t>Monadology</w:t>
      </w:r>
      <w:proofErr w:type="spellEnd"/>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483ED54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the revival of possible worlds semantics,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w:t>
      </w:r>
      <w:proofErr w:type="spellStart"/>
      <w:r w:rsidR="00304602">
        <w:rPr>
          <w:rFonts w:eastAsia="Symbol" w:cs="Symbol"/>
          <w:sz w:val="22"/>
          <w:szCs w:val="22"/>
        </w:rPr>
        <w:t>Lenzen’s</w:t>
      </w:r>
      <w:proofErr w:type="spellEnd"/>
      <w:r w:rsidR="00304602">
        <w:rPr>
          <w:rFonts w:eastAsia="Symbol" w:cs="Symbol"/>
          <w:sz w:val="22"/>
          <w:szCs w:val="22"/>
        </w:rPr>
        <w:t xml:space="preserve"> ontological arguments </w:t>
      </w:r>
      <w:sdt>
        <w:sdtPr>
          <w:rPr>
            <w:rFonts w:eastAsia="Symbol" w:cs="Symbol"/>
            <w:sz w:val="22"/>
            <w:szCs w:val="22"/>
          </w:rPr>
          <w:id w:val="1137917487"/>
          <w:citation/>
        </w:sdt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xml:space="preserve">. However, for technical and historical reasons, the use of modern modal logics is probably better attributable to Gödel and </w:t>
      </w:r>
      <w:proofErr w:type="spellStart"/>
      <w:r w:rsidR="00304602">
        <w:rPr>
          <w:rFonts w:eastAsia="Symbol" w:cs="Symbol"/>
          <w:sz w:val="22"/>
          <w:szCs w:val="22"/>
        </w:rPr>
        <w:t>Lenzen</w:t>
      </w:r>
      <w:proofErr w:type="spellEnd"/>
      <w:r w:rsidR="00304602">
        <w:rPr>
          <w:rFonts w:eastAsia="Symbol" w:cs="Symbol"/>
          <w:sz w:val="22"/>
          <w:szCs w:val="22"/>
        </w:rPr>
        <w:t>,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7777777" w:rsidR="00D11850" w:rsidRDefault="00D11850">
      <w:pPr>
        <w:jc w:val="both"/>
        <w:rPr>
          <w:rFonts w:eastAsia="Symbol" w:cs="Symbol"/>
          <w:sz w:val="22"/>
          <w:szCs w:val="22"/>
        </w:rPr>
      </w:pPr>
    </w:p>
    <w:p w14:paraId="76EAB7D0" w14:textId="77777777" w:rsidR="00D11850" w:rsidRPr="00A17249" w:rsidRDefault="00D11850" w:rsidP="00D11850">
      <w:pPr>
        <w:tabs>
          <w:tab w:val="center" w:pos="5940"/>
        </w:tabs>
        <w:jc w:val="both"/>
        <w:rPr>
          <w:sz w:val="22"/>
          <w:szCs w:val="22"/>
        </w:rPr>
      </w:pPr>
      <w:r w:rsidRPr="00A17249">
        <w:rPr>
          <w:rFonts w:eastAsia="Symbol" w:cs="Symbol"/>
          <w:sz w:val="22"/>
          <w:szCs w:val="22"/>
        </w:rPr>
        <w:t>TODO: Relate to our previous work and cite it.</w:t>
      </w:r>
    </w:p>
    <w:p w14:paraId="259AA891" w14:textId="77777777" w:rsidR="00D11850" w:rsidRPr="00A17249" w:rsidRDefault="00D11850" w:rsidP="00D11850">
      <w:pPr>
        <w:jc w:val="both"/>
        <w:rPr>
          <w:rFonts w:eastAsia="Symbol" w:cs="Symbol"/>
          <w:sz w:val="22"/>
          <w:szCs w:val="22"/>
        </w:rPr>
      </w:pPr>
    </w:p>
    <w:p w14:paraId="54266195" w14:textId="77777777" w:rsidR="00D11850" w:rsidRDefault="00D11850">
      <w:pPr>
        <w:jc w:val="both"/>
        <w:rPr>
          <w:rFonts w:eastAsia="Symbol" w:cs="Symbol"/>
          <w:sz w:val="22"/>
          <w:szCs w:val="22"/>
        </w:rPr>
      </w:pPr>
    </w:p>
    <w:p w14:paraId="5F7A6E6A" w14:textId="77777777" w:rsidR="00D11850" w:rsidRPr="00A17249" w:rsidRDefault="00D11850">
      <w:pPr>
        <w:jc w:val="both"/>
        <w:rPr>
          <w:sz w:val="22"/>
          <w:szCs w:val="22"/>
        </w:rPr>
      </w:pP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lastRenderedPageBreak/>
        <w:t xml:space="preserve">wrong statement by Leibniz: “It is indeed an excellent privilege of the divine nature that it needs only its possibility or essence in order to actually exist, and this is precisely what we mean by an </w:t>
      </w:r>
      <w:proofErr w:type="spellStart"/>
      <w:r w:rsidRPr="00A17249">
        <w:rPr>
          <w:rFonts w:eastAsia="Symbol" w:cs="Symbol"/>
          <w:i/>
          <w:sz w:val="22"/>
          <w:szCs w:val="22"/>
        </w:rPr>
        <w:t>ens</w:t>
      </w:r>
      <w:proofErr w:type="spellEnd"/>
      <w:r w:rsidRPr="00A17249">
        <w:rPr>
          <w:rFonts w:eastAsia="Symbol" w:cs="Symbol"/>
          <w:i/>
          <w:sz w:val="22"/>
          <w:szCs w:val="22"/>
        </w:rPr>
        <w:t xml:space="preserve">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4BBF7" w14:textId="77777777" w:rsidR="00A8652D" w:rsidRDefault="00A8652D">
      <w:r>
        <w:separator/>
      </w:r>
    </w:p>
  </w:endnote>
  <w:endnote w:type="continuationSeparator" w:id="0">
    <w:p w14:paraId="1A870BC1" w14:textId="77777777" w:rsidR="00A8652D" w:rsidRDefault="00A86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21201" w14:textId="77777777" w:rsidR="00A8652D" w:rsidRDefault="00A8652D">
      <w:r>
        <w:separator/>
      </w:r>
    </w:p>
  </w:footnote>
  <w:footnote w:type="continuationSeparator" w:id="0">
    <w:p w14:paraId="283F4A76" w14:textId="77777777" w:rsidR="00A8652D" w:rsidRDefault="00A8652D">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0D80345E" w14:textId="064002B2" w:rsidR="009531AD" w:rsidRPr="009531AD" w:rsidRDefault="009531AD">
      <w:pPr>
        <w:pStyle w:val="FootnoteText"/>
        <w:rPr>
          <w:sz w:val="20"/>
          <w:szCs w:val="20"/>
        </w:rPr>
      </w:pPr>
      <w:r>
        <w:rPr>
          <w:rStyle w:val="FootnoteReference"/>
        </w:rPr>
        <w:footnoteRef/>
      </w:r>
      <w:r>
        <w:t xml:space="preserve"> </w:t>
      </w:r>
      <w:r>
        <w:rPr>
          <w:sz w:val="20"/>
          <w:szCs w:val="20"/>
        </w:rPr>
        <w:t>Leibniz</w:t>
      </w:r>
      <w:r w:rsidR="00354D2A">
        <w:rPr>
          <w:sz w:val="20"/>
          <w:szCs w:val="20"/>
        </w:rPr>
        <w:t>’s works</w:t>
      </w:r>
      <w:r>
        <w:rPr>
          <w:sz w:val="20"/>
          <w:szCs w:val="20"/>
        </w:rPr>
        <w:t xml:space="preserve"> cited here can be found in </w:t>
      </w:r>
      <w:r w:rsidRPr="009531AD">
        <w:rPr>
          <w:noProof/>
          <w:sz w:val="20"/>
          <w:szCs w:val="20"/>
        </w:rPr>
        <w:t>(Leibniz, 1956)</w:t>
      </w:r>
      <w:r w:rsidR="00533CB2">
        <w:rPr>
          <w:noProof/>
          <w:sz w:val="20"/>
          <w:szCs w:val="20"/>
        </w:rPr>
        <w:t xml:space="preserve">, </w:t>
      </w:r>
      <w:r w:rsidR="00EE23D7" w:rsidRPr="00EE23D7">
        <w:rPr>
          <w:noProof/>
          <w:sz w:val="20"/>
          <w:szCs w:val="20"/>
        </w:rPr>
        <w:t>(Leibniz, Sämtliche Schriften und Briefe, 1999)</w:t>
      </w:r>
      <w:r w:rsidR="00AD21FA">
        <w:rPr>
          <w:noProof/>
          <w:sz w:val="20"/>
          <w:szCs w:val="20"/>
        </w:rPr>
        <w:t xml:space="preserve"> or</w:t>
      </w:r>
      <w:r w:rsidR="00EE23D7">
        <w:rPr>
          <w:noProof/>
          <w:sz w:val="20"/>
          <w:szCs w:val="20"/>
        </w:rPr>
        <w:t xml:space="preserve"> </w:t>
      </w:r>
      <w:r w:rsidR="00EE23D7" w:rsidRPr="00EE23D7">
        <w:rPr>
          <w:noProof/>
          <w:sz w:val="20"/>
          <w:szCs w:val="20"/>
        </w:rPr>
        <w:t>(Leibniz, Sämtliche Schriften und Briefe, 2006)</w:t>
      </w:r>
      <w:r w:rsidR="00AD21FA">
        <w:rPr>
          <w:noProof/>
          <w:sz w:val="20"/>
          <w:szCs w:val="20"/>
        </w:rPr>
        <w:t>.</w:t>
      </w:r>
    </w:p>
  </w:footnote>
  <w:footnote w:id="3">
    <w:p w14:paraId="1855014C" w14:textId="5683D618" w:rsidR="00225FCF" w:rsidRDefault="00225FCF" w:rsidP="00513006">
      <w:pPr>
        <w:pStyle w:val="FootnoteText"/>
        <w:jc w:val="both"/>
      </w:pPr>
      <w:r>
        <w:rPr>
          <w:rStyle w:val="Funotenzeichen1"/>
        </w:rPr>
        <w:footnoteRef/>
      </w:r>
      <w:r w:rsidR="00513006">
        <w:t xml:space="preserve"> </w:t>
      </w:r>
      <w:r>
        <w:rPr>
          <w:sz w:val="20"/>
          <w:szCs w:val="20"/>
        </w:rPr>
        <w:t xml:space="preserve">Our exposition of Leibniz formalism is based on (and agrees with) </w:t>
      </w:r>
      <w:proofErr w:type="spellStart"/>
      <w:r>
        <w:rPr>
          <w:sz w:val="20"/>
          <w:szCs w:val="20"/>
        </w:rPr>
        <w:t>Lenzen’s</w:t>
      </w:r>
      <w:proofErr w:type="spellEnd"/>
      <w:r w:rsidR="00F37771">
        <w:rPr>
          <w:sz w:val="20"/>
          <w:szCs w:val="20"/>
        </w:rPr>
        <w:t xml:space="preserve"> </w:t>
      </w:r>
      <w:r w:rsidR="00B37475" w:rsidRPr="00B37475">
        <w:rPr>
          <w:noProof/>
          <w:sz w:val="20"/>
          <w:szCs w:val="20"/>
        </w:rPr>
        <w:t>(Lenzen, Das System der Leibniz'schen Logik, 1990)</w:t>
      </w:r>
      <w:r>
        <w:rPr>
          <w:sz w:val="20"/>
          <w:szCs w:val="20"/>
        </w:rPr>
        <w:t>, unless explicitly stated otherwise.</w:t>
      </w:r>
    </w:p>
  </w:footnote>
  <w:footnote w:id="4">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6">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004F7D3A" w:rsidRPr="004F7D3A">
        <w:rPr>
          <w:noProof/>
          <w:sz w:val="20"/>
          <w:szCs w:val="20"/>
        </w:rPr>
        <w:t>(Lenzen, 2016)</w:t>
      </w:r>
      <w:r>
        <w:rPr>
          <w:sz w:val="20"/>
          <w:szCs w:val="20"/>
        </w:rPr>
        <w:t>.</w:t>
      </w:r>
    </w:p>
  </w:footnote>
  <w:footnote w:id="9">
    <w:p w14:paraId="4895A088" w14:textId="784C84E1" w:rsidR="00225FCF" w:rsidRDefault="00225FCF" w:rsidP="00513006">
      <w:pPr>
        <w:pStyle w:val="FootnoteText"/>
        <w:jc w:val="both"/>
      </w:pPr>
      <w:r>
        <w:rPr>
          <w:rStyle w:val="Funotenzeichen1"/>
        </w:rPr>
        <w:footnoteRef/>
      </w:r>
      <w:r w:rsidR="00513006">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225FCF" w:rsidRDefault="00225FCF"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3">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225FCF" w:rsidRDefault="00225FCF"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0830D7">
        <w:rPr>
          <w:sz w:val="20"/>
          <w:szCs w:val="20"/>
        </w:rPr>
        <w:t>. They were</w:t>
      </w:r>
      <w:r w:rsidR="00FC1824">
        <w:rPr>
          <w:sz w:val="20"/>
          <w:szCs w:val="20"/>
        </w:rPr>
        <w:t xml:space="preserve"> added </w:t>
      </w:r>
      <w:r w:rsidR="000830D7">
        <w:rPr>
          <w:sz w:val="20"/>
          <w:szCs w:val="20"/>
        </w:rPr>
        <w:t xml:space="preserve">just </w:t>
      </w:r>
      <w:r w:rsidR="00FC1824">
        <w:rPr>
          <w:sz w:val="20"/>
          <w:szCs w:val="20"/>
        </w:rPr>
        <w:t>to prevent Nitpick from generating unnatural counter-models that identified these concepts.</w:t>
      </w:r>
    </w:p>
  </w:footnote>
  <w:footnote w:id="16">
    <w:p w14:paraId="7E4C1907" w14:textId="1EAD46CF" w:rsidR="00622F66" w:rsidRPr="00622F66" w:rsidRDefault="00622F66">
      <w:pPr>
        <w:pStyle w:val="FootnoteText"/>
        <w:rPr>
          <w:sz w:val="20"/>
          <w:szCs w:val="20"/>
        </w:rPr>
      </w:pPr>
      <w:r>
        <w:rPr>
          <w:rStyle w:val="FootnoteReference"/>
        </w:rPr>
        <w:footnoteRef/>
      </w:r>
      <w:r>
        <w:t xml:space="preserve"> </w:t>
      </w:r>
      <w:r w:rsidR="003D4C8A">
        <w:rPr>
          <w:sz w:val="20"/>
          <w:szCs w:val="20"/>
        </w:rPr>
        <w:t>This comment for discussion with Spinoza shows that the common attribution of the</w:t>
      </w:r>
      <w:r>
        <w:rPr>
          <w:sz w:val="20"/>
          <w:szCs w:val="20"/>
        </w:rPr>
        <w:t xml:space="preserve"> idea </w:t>
      </w:r>
      <w:r w:rsidR="003D4C8A">
        <w:rPr>
          <w:sz w:val="20"/>
          <w:szCs w:val="20"/>
        </w:rPr>
        <w:t>of possible worlds to Leibniz is a mistake.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225FCF"/>
    <w:rsid w:val="00296234"/>
    <w:rsid w:val="002A1020"/>
    <w:rsid w:val="002D5F19"/>
    <w:rsid w:val="00304602"/>
    <w:rsid w:val="00340288"/>
    <w:rsid w:val="00354D2A"/>
    <w:rsid w:val="003902E1"/>
    <w:rsid w:val="003D4C8A"/>
    <w:rsid w:val="003F5F6E"/>
    <w:rsid w:val="003F68A2"/>
    <w:rsid w:val="0040306E"/>
    <w:rsid w:val="0042713B"/>
    <w:rsid w:val="00434AA2"/>
    <w:rsid w:val="004417CB"/>
    <w:rsid w:val="00490C5B"/>
    <w:rsid w:val="004A63EF"/>
    <w:rsid w:val="004F7D3A"/>
    <w:rsid w:val="00513006"/>
    <w:rsid w:val="005305D5"/>
    <w:rsid w:val="00533CB2"/>
    <w:rsid w:val="0055535C"/>
    <w:rsid w:val="005A3AB6"/>
    <w:rsid w:val="0061457E"/>
    <w:rsid w:val="00622F66"/>
    <w:rsid w:val="00694A74"/>
    <w:rsid w:val="006B07D4"/>
    <w:rsid w:val="00762004"/>
    <w:rsid w:val="00783315"/>
    <w:rsid w:val="007C355C"/>
    <w:rsid w:val="007D2858"/>
    <w:rsid w:val="00846AC9"/>
    <w:rsid w:val="00867168"/>
    <w:rsid w:val="00911E98"/>
    <w:rsid w:val="009438E6"/>
    <w:rsid w:val="009520BA"/>
    <w:rsid w:val="009531AD"/>
    <w:rsid w:val="00A17249"/>
    <w:rsid w:val="00A8652D"/>
    <w:rsid w:val="00AB23F0"/>
    <w:rsid w:val="00AC5BC3"/>
    <w:rsid w:val="00AD21FA"/>
    <w:rsid w:val="00AF2135"/>
    <w:rsid w:val="00B37475"/>
    <w:rsid w:val="00B51CAE"/>
    <w:rsid w:val="00B8250E"/>
    <w:rsid w:val="00C756AD"/>
    <w:rsid w:val="00C912E8"/>
    <w:rsid w:val="00CC3321"/>
    <w:rsid w:val="00D11850"/>
    <w:rsid w:val="00D22CDF"/>
    <w:rsid w:val="00D40B70"/>
    <w:rsid w:val="00D531A7"/>
    <w:rsid w:val="00D7201E"/>
    <w:rsid w:val="00D77C91"/>
    <w:rsid w:val="00D95A0B"/>
    <w:rsid w:val="00E22D81"/>
    <w:rsid w:val="00EE23D7"/>
    <w:rsid w:val="00F12C94"/>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9</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10</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s>
</file>

<file path=customXml/itemProps1.xml><?xml version="1.0" encoding="utf-8"?>
<ds:datastoreItem xmlns:ds="http://schemas.openxmlformats.org/officeDocument/2006/customXml" ds:itemID="{C00112C5-3D77-A54E-A380-7B7592FB5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18</Pages>
  <Words>3383</Words>
  <Characters>18071</Characters>
  <Application>Microsoft Macintosh Word</Application>
  <DocSecurity>0</DocSecurity>
  <Lines>516</Lines>
  <Paragraphs>123</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21331</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15</cp:revision>
  <cp:lastPrinted>1601-01-01T00:00:00Z</cp:lastPrinted>
  <dcterms:created xsi:type="dcterms:W3CDTF">2016-08-25T06:30:00Z</dcterms:created>
  <dcterms:modified xsi:type="dcterms:W3CDTF">2016-08-26T06:40:00Z</dcterms:modified>
</cp:coreProperties>
</file>