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482e822303b336dbf14790eb20148c8f207853"/>
    <w:p>
      <w:pPr>
        <w:pStyle w:val="Heading1"/>
      </w:pPr>
      <w:r>
        <w:t xml:space="preserve">Force Generation Pipeline WG — Internal Read-Ahead</w:t>
      </w:r>
    </w:p>
    <w:p>
      <w:pPr>
        <w:pStyle w:val="FirstParagraph"/>
      </w:pPr>
      <w:r>
        <w:t xml:space="preserve">Document type: Internal briefing / agenda read-ahead</w:t>
      </w:r>
    </w:p>
    <w:p>
      <w:pPr>
        <w:pStyle w:val="BodyText"/>
      </w:pPr>
      <w:r>
        <w:t xml:space="preserve">For: PG 2030 Lead (LTCOL) — agenda review ahead of the working group</w:t>
      </w:r>
    </w:p>
    <w:p>
      <w:pPr>
        <w:pStyle w:val="BodyText"/>
      </w:pPr>
      <w:r>
        <w:t xml:space="preserve">Prepared: 2026-08-03</w:t>
      </w:r>
    </w:p>
    <w:p>
      <w:pPr>
        <w:pStyle w:val="BodyText"/>
      </w:pPr>
      <w:r>
        <w:t xml:space="preserve">Meeting: Chaired by PG J3, SBTDWS and PG J7 attending (date subject to change)</w:t>
      </w:r>
    </w:p>
    <w:bookmarkStart w:id="9" w:name="why-this-meeting-matters"/>
    <w:p>
      <w:pPr>
        <w:pStyle w:val="Heading2"/>
      </w:pPr>
      <w:r>
        <w:t xml:space="preserve">Why This Meeting Matters</w:t>
      </w:r>
    </w:p>
    <w:p>
      <w:pPr>
        <w:pStyle w:val="FirstParagraph"/>
      </w:pPr>
      <w:r>
        <w:t xml:space="preserve">This is the first working group of its kind — chaired by J3, bringing SBTDWS and J7 into the same room to discuss integration of validation, collective training and mission rehearsal functions. Nothing on this topic has been discussed outside SBTDWS before now.</w:t>
      </w:r>
    </w:p>
    <w:p>
      <w:pPr>
        <w:pStyle w:val="BodyText"/>
      </w:pPr>
      <w:r>
        <w:t xml:space="preserve">Agreeing this agenda closes D-02. Agreeing the approach below effectively satisfies Commander Decisions Register item D-02 — the Commandant’s decision to direct SBTDWS’s formal engagement with J3 and J7 on the Force Generation Pipeline ToR. This isn’t a separate signature step later; sign-off here, acting for the Commandant, is the act that closes it.</w:t>
      </w:r>
    </w:p>
    <w:p>
      <w:pPr>
        <w:pStyle w:val="BodyText"/>
      </w:pPr>
      <w:r>
        <w:t xml:space="preserve">The Force Generation Pipeline ToR (v0.1, drafted 2026-06-02) is the working document behind this discussion. It is still a draft — present it as a document to shape jointly with J3/J7, not one tabled for signature. Expect it to change after this discussion.</w:t>
      </w:r>
    </w:p>
    <w:bookmarkEnd w:id="9"/>
    <w:bookmarkStart w:id="10" w:name="recommended-opening-move"/>
    <w:p>
      <w:pPr>
        <w:pStyle w:val="Heading2"/>
      </w:pPr>
      <w:r>
        <w:t xml:space="preserve">Recommended Opening Move</w:t>
      </w:r>
    </w:p>
    <w:p>
      <w:pPr>
        <w:pStyle w:val="FirstParagraph"/>
      </w:pPr>
      <w:r>
        <w:t xml:space="preserve">Propose, rather than assume, this working group’s own remit: that it exists to develop the lane split, resourcing, and governance sections of the ToR under J3’s chairing authority. Confirm or adjust with J3 live — since even we’re not certain what J3 intends the forum’s scope to be, better to surface that question first than build the whole session on an assumption.</w:t>
      </w:r>
    </w:p>
    <w:bookmarkEnd w:id="10"/>
    <w:bookmarkStart w:id="14" w:name="Xba75a869a0d5d2fddb2a3498ab7630f21120564"/>
    <w:p>
      <w:pPr>
        <w:pStyle w:val="Heading2"/>
      </w:pPr>
      <w:r>
        <w:t xml:space="preserve">Full Item List — Raise Everything, Tagged by What This Room Can Do With It</w:t>
      </w:r>
    </w:p>
    <w:p>
      <w:pPr>
        <w:pStyle w:val="FirstParagraph"/>
      </w:pPr>
      <w:r>
        <w:t xml:space="preserve">Rather than pre-trimming to</w:t>
      </w:r>
      <w:r>
        <w:t xml:space="preserve"> </w:t>
      </w:r>
      <w:r>
        <w:t xml:space="preserve">“what we think matters most,”</w:t>
      </w:r>
      <w:r>
        <w:t xml:space="preserve"> </w:t>
      </w:r>
      <w:r>
        <w:t xml:space="preserve">raise the full landscape below and let J3 (chair) decide what gets worked now vs escalated vs parked.</w:t>
      </w:r>
    </w:p>
    <w:p>
      <w:pPr>
        <w:pStyle w:val="Compact"/>
        <w:numPr>
          <w:ilvl w:val="0"/>
          <w:numId w:val="1001"/>
        </w:numPr>
      </w:pPr>
      <w:r>
        <w:rPr>
          <w:b/>
          <w:bCs/>
        </w:rPr>
        <w:t xml:space="preserve">ACT</w:t>
      </w:r>
      <w:r>
        <w:t xml:space="preserve"> </w:t>
      </w:r>
      <w:r>
        <w:t xml:space="preserve">— this room can just agree it</w:t>
      </w:r>
    </w:p>
    <w:p>
      <w:pPr>
        <w:pStyle w:val="Compact"/>
        <w:numPr>
          <w:ilvl w:val="0"/>
          <w:numId w:val="1001"/>
        </w:numPr>
      </w:pPr>
      <w:r>
        <w:rPr>
          <w:b/>
          <w:bCs/>
        </w:rPr>
        <w:t xml:space="preserve">SHAPE</w:t>
      </w:r>
      <w:r>
        <w:t xml:space="preserve"> </w:t>
      </w:r>
      <w:r>
        <w:t xml:space="preserve">— J7’s present, so start the joint work even if final sign-off sits above this room</w:t>
      </w:r>
    </w:p>
    <w:p>
      <w:pPr>
        <w:pStyle w:val="Compact"/>
        <w:numPr>
          <w:ilvl w:val="0"/>
          <w:numId w:val="1001"/>
        </w:numPr>
      </w:pPr>
      <w:r>
        <w:rPr>
          <w:b/>
          <w:bCs/>
        </w:rPr>
        <w:t xml:space="preserve">ESCALATE</w:t>
      </w:r>
      <w:r>
        <w:t xml:space="preserve"> </w:t>
      </w:r>
      <w:r>
        <w:t xml:space="preserve">— name it for awareness; this room’s job is to register it, not resolve it</w:t>
      </w:r>
    </w:p>
    <w:bookmarkStart w:id="11" w:name="act"/>
    <w:p>
      <w:pPr>
        <w:pStyle w:val="Heading3"/>
      </w:pPr>
      <w:r>
        <w:t xml:space="preserve">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Detail</w:t>
            </w:r>
          </w:p>
        </w:tc>
        <w:tc>
          <w:tcPr/>
          <w:p>
            <w:pPr>
              <w:pStyle w:val="Compact"/>
            </w:pPr>
            <w:r>
              <w:t xml:space="preserve">Reference</w:t>
            </w:r>
          </w:p>
        </w:tc>
      </w:tr>
      <w:tr>
        <w:tc>
          <w:tcPr/>
          <w:p>
            <w:pPr>
              <w:pStyle w:val="Compact"/>
            </w:pPr>
            <w:r>
              <w:t xml:space="preserve">Lane split</w:t>
            </w:r>
          </w:p>
        </w:tc>
        <w:tc>
          <w:tcPr/>
          <w:p>
            <w:pPr>
              <w:pStyle w:val="Compact"/>
            </w:pPr>
            <w:r>
              <w:t xml:space="preserve">J7 owns exercise programme / LVC standards / OT accreditation / doctrine; SBTDWS owns exercise execution / scenario design / validation reporting / SAG 9-10 execution</w:t>
            </w:r>
          </w:p>
        </w:tc>
        <w:tc>
          <w:tcPr/>
          <w:p>
            <w:pPr>
              <w:pStyle w:val="Compact"/>
            </w:pPr>
            <w:r>
              <w:t xml:space="preserve">ToR Section 4</w:t>
            </w:r>
          </w:p>
        </w:tc>
      </w:tr>
      <w:tr>
        <w:tc>
          <w:tcPr/>
          <w:p>
            <w:pPr>
              <w:pStyle w:val="Compact"/>
            </w:pPr>
            <w:r>
              <w:t xml:space="preserve">Governance mechanics</w:t>
            </w:r>
          </w:p>
        </w:tc>
        <w:tc>
          <w:tcPr/>
          <w:p>
            <w:pPr>
              <w:pStyle w:val="Compact"/>
            </w:pPr>
            <w:r>
              <w:t xml:space="preserve">Meeting frequency (recommend quarterly), dispute ladder, annual review cadence</w:t>
            </w:r>
          </w:p>
        </w:tc>
        <w:tc>
          <w:tcPr/>
          <w:p>
            <w:pPr>
              <w:pStyle w:val="Compact"/>
            </w:pPr>
            <w:r>
              <w:t xml:space="preserve">ToR Section 7</w:t>
            </w:r>
          </w:p>
        </w:tc>
      </w:tr>
      <w:tr>
        <w:tc>
          <w:tcPr/>
          <w:p>
            <w:pPr>
              <w:pStyle w:val="Compact"/>
            </w:pPr>
            <w:r>
              <w:t xml:space="preserve">Resource-request logistics</w:t>
            </w:r>
          </w:p>
        </w:tc>
        <w:tc>
          <w:tcPr/>
          <w:p>
            <w:pPr>
              <w:pStyle w:val="Compact"/>
            </w:pPr>
            <w:r>
              <w:t xml:space="preserve">Recommend defaults: 45-day advance request, 10-day J7 confirmation, 14-day AAR turnaround</w:t>
            </w:r>
          </w:p>
        </w:tc>
        <w:tc>
          <w:tcPr/>
          <w:p>
            <w:pPr>
              <w:pStyle w:val="Compact"/>
            </w:pPr>
            <w:r>
              <w:t xml:space="preserve">ToR Section 4.3</w:t>
            </w:r>
          </w:p>
        </w:tc>
      </w:tr>
    </w:tbl>
    <w:bookmarkEnd w:id="11"/>
    <w:bookmarkStart w:id="12" w:name="shape"/>
    <w:p>
      <w:pPr>
        <w:pStyle w:val="Heading3"/>
      </w:pPr>
      <w:r>
        <w:t xml:space="preserve">SHAPE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Detail</w:t>
            </w:r>
          </w:p>
        </w:tc>
        <w:tc>
          <w:tcPr/>
          <w:p>
            <w:pPr>
              <w:pStyle w:val="Compact"/>
            </w:pPr>
            <w:r>
              <w:t xml:space="preserve">Reference</w:t>
            </w:r>
          </w:p>
        </w:tc>
      </w:tr>
      <w:tr>
        <w:tc>
          <w:tcPr/>
          <w:p>
            <w:pPr>
              <w:pStyle w:val="Compact"/>
            </w:pPr>
            <w:r>
              <w:t xml:space="preserve">J7 resource capacity check</w:t>
            </w:r>
          </w:p>
        </w:tc>
        <w:tc>
          <w:tcPr/>
          <w:p>
            <w:pPr>
              <w:pStyle w:val="Compact"/>
            </w:pPr>
            <w:r>
              <w:t xml:space="preserve">Can J7 actually deliver OPFOR, instrumentation, LVC sim access, a liaison officer?</w:t>
            </w:r>
          </w:p>
        </w:tc>
        <w:tc>
          <w:tcPr/>
          <w:p>
            <w:pPr>
              <w:pStyle w:val="Compact"/>
            </w:pPr>
            <w:r>
              <w:t xml:space="preserve">ToR Section 5</w:t>
            </w:r>
          </w:p>
        </w:tc>
      </w:tr>
      <w:tr>
        <w:tc>
          <w:tcPr/>
          <w:p>
            <w:pPr>
              <w:pStyle w:val="Compact"/>
            </w:pPr>
            <w:r>
              <w:t xml:space="preserve">J7 LVC architecture integration</w:t>
            </w:r>
          </w:p>
        </w:tc>
        <w:tc>
          <w:tcPr/>
          <w:p>
            <w:pPr>
              <w:pStyle w:val="Compact"/>
            </w:pPr>
            <w:r>
              <w:t xml:space="preserve">Start the design conversation for how OT/HICON/EXCON/Hameem nest inside J7’s LVC architecture</w:t>
            </w:r>
          </w:p>
        </w:tc>
        <w:tc>
          <w:tcPr/>
          <w:p>
            <w:pPr>
              <w:pStyle w:val="Compact"/>
            </w:pPr>
            <w:r>
              <w:t xml:space="preserve">—</w:t>
            </w:r>
          </w:p>
        </w:tc>
      </w:tr>
      <w:tr>
        <w:tc>
          <w:tcPr/>
          <w:p>
            <w:pPr>
              <w:pStyle w:val="Compact"/>
            </w:pPr>
            <w:r>
              <w:t xml:space="preserve">SAG 9/10 standards ownership</w:t>
            </w:r>
          </w:p>
        </w:tc>
        <w:tc>
          <w:tcPr/>
          <w:p>
            <w:pPr>
              <w:pStyle w:val="Compact"/>
            </w:pPr>
            <w:r>
              <w:t xml:space="preserve">J7 is one of three options on the table (SBTDWS drafts / J7 endorses); worth sounding out J7’s appetite directly</w:t>
            </w:r>
          </w:p>
        </w:tc>
        <w:tc>
          <w:tcPr/>
          <w:p>
            <w:pPr>
              <w:pStyle w:val="Compact"/>
            </w:pPr>
            <w:r>
              <w:t xml:space="preserve">D-06</w:t>
            </w:r>
          </w:p>
        </w:tc>
      </w:tr>
      <w:tr>
        <w:tc>
          <w:tcPr/>
          <w:p>
            <w:pPr>
              <w:pStyle w:val="Compact"/>
            </w:pPr>
            <w:r>
              <w:t xml:space="preserve">Reporting chain design</w:t>
            </w:r>
          </w:p>
        </w:tc>
        <w:tc>
          <w:tcPr/>
          <w:p>
            <w:pPr>
              <w:pStyle w:val="Compact"/>
            </w:pPr>
            <w:r>
              <w:t xml:space="preserve">Can shape the mechanics now; flag it’s built assuming validation authority SBTDWS doesn’t yet have</w:t>
            </w:r>
          </w:p>
        </w:tc>
        <w:tc>
          <w:tcPr/>
          <w:p>
            <w:pPr>
              <w:pStyle w:val="Compact"/>
            </w:pPr>
            <w:r>
              <w:t xml:space="preserve">ToR Section 6</w:t>
            </w:r>
          </w:p>
        </w:tc>
      </w:tr>
    </w:tbl>
    <w:bookmarkEnd w:id="12"/>
    <w:bookmarkStart w:id="13" w:name="escalate"/>
    <w:p>
      <w:pPr>
        <w:pStyle w:val="Heading3"/>
      </w:pPr>
      <w:r>
        <w:t xml:space="preserve">ESCALATE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Detail</w:t>
            </w:r>
          </w:p>
        </w:tc>
        <w:tc>
          <w:tcPr/>
          <w:p>
            <w:pPr>
              <w:pStyle w:val="Compact"/>
            </w:pPr>
            <w:r>
              <w:t xml:space="preserve">Reference</w:t>
            </w:r>
          </w:p>
        </w:tc>
      </w:tr>
      <w:tr>
        <w:tc>
          <w:tcPr/>
          <w:p>
            <w:pPr>
              <w:pStyle w:val="Compact"/>
            </w:pPr>
            <w:r>
              <w:t xml:space="preserve">Validation authority</w:t>
            </w:r>
          </w:p>
        </w:tc>
        <w:tc>
          <w:tcPr/>
          <w:p>
            <w:pPr>
              <w:pStyle w:val="Compact"/>
            </w:pPr>
            <w:r>
              <w:t xml:space="preserve">Certify/fail vs advisory only — Higher HQ decision</w:t>
            </w:r>
          </w:p>
        </w:tc>
        <w:tc>
          <w:tcPr/>
          <w:p>
            <w:pPr>
              <w:pStyle w:val="Compact"/>
            </w:pPr>
            <w:r>
              <w:t xml:space="preserve">D-05</w:t>
            </w:r>
          </w:p>
        </w:tc>
      </w:tr>
      <w:tr>
        <w:tc>
          <w:tcPr/>
          <w:p>
            <w:pPr>
              <w:pStyle w:val="Compact"/>
            </w:pPr>
            <w:r>
              <w:t xml:space="preserve">IW/UW boundary</w:t>
            </w:r>
          </w:p>
        </w:tc>
        <w:tc>
          <w:tcPr/>
          <w:p>
            <w:pPr>
              <w:pStyle w:val="Compact"/>
            </w:pPr>
            <w:r>
              <w:t xml:space="preserve">Higher HQ decision</w:t>
            </w:r>
          </w:p>
        </w:tc>
        <w:tc>
          <w:tcPr/>
          <w:p>
            <w:pPr>
              <w:pStyle w:val="Compact"/>
            </w:pPr>
            <w:r>
              <w:t xml:space="preserve">D-04</w:t>
            </w:r>
          </w:p>
        </w:tc>
      </w:tr>
      <w:tr>
        <w:tc>
          <w:tcPr/>
          <w:p>
            <w:pPr>
              <w:pStyle w:val="Compact"/>
            </w:pPr>
            <w:r>
              <w:t xml:space="preserve">J-Staff support model</w:t>
            </w:r>
          </w:p>
        </w:tc>
        <w:tc>
          <w:tcPr/>
          <w:p>
            <w:pPr>
              <w:pStyle w:val="Compact"/>
            </w:pPr>
            <w:r>
              <w:t xml:space="preserve">PG HQ decision, but directly relevant to J7 since they may need to backfill in the interim</w:t>
            </w:r>
          </w:p>
        </w:tc>
        <w:tc>
          <w:tcPr/>
          <w:p>
            <w:pPr>
              <w:pStyle w:val="Compact"/>
            </w:pPr>
            <w:r>
              <w:t xml:space="preserve">D-07</w:t>
            </w:r>
          </w:p>
        </w:tc>
      </w:tr>
      <w:tr>
        <w:tc>
          <w:tcPr/>
          <w:p>
            <w:pPr>
              <w:pStyle w:val="Compact"/>
            </w:pPr>
            <w:r>
              <w:t xml:space="preserve">ADWC vs MDWC naming</w:t>
            </w:r>
          </w:p>
        </w:tc>
        <w:tc>
          <w:tcPr/>
          <w:p>
            <w:pPr>
              <w:pStyle w:val="Compact"/>
            </w:pPr>
            <w:r>
              <w:t xml:space="preserve">Cheap, direct question for J7 given their own Six-Domain Study uses MDWC — raise live only, not in writing</w:t>
            </w:r>
          </w:p>
        </w:tc>
        <w:tc>
          <w:tcPr/>
          <w:p>
            <w:pPr>
              <w:pStyle w:val="Compact"/>
            </w:pPr>
            <w:r>
              <w:t xml:space="preserve">D-10</w:t>
            </w:r>
          </w:p>
        </w:tc>
      </w:tr>
      <w:tr>
        <w:tc>
          <w:tcPr/>
          <w:p>
            <w:pPr>
              <w:pStyle w:val="Compact"/>
            </w:pPr>
            <w:r>
              <w:t xml:space="preserve">Hameem capital/concept endorsement</w:t>
            </w:r>
          </w:p>
        </w:tc>
        <w:tc>
          <w:tcPr/>
          <w:p>
            <w:pPr>
              <w:pStyle w:val="Compact"/>
            </w:pPr>
            <w:r>
              <w:t xml:space="preserve">PG HQ decision; J7’s LVC requirement is a live input to the business case</w:t>
            </w:r>
          </w:p>
        </w:tc>
        <w:tc>
          <w:tcPr/>
          <w:p>
            <w:pPr>
              <w:pStyle w:val="Compact"/>
            </w:pPr>
            <w:r>
              <w:t xml:space="preserve">D-08</w:t>
            </w:r>
          </w:p>
        </w:tc>
      </w:tr>
      <w:tr>
        <w:tc>
          <w:tcPr/>
          <w:p>
            <w:pPr>
              <w:pStyle w:val="Compact"/>
            </w:pPr>
            <w:r>
              <w:t xml:space="preserve">J3 WDC boundary</w:t>
            </w:r>
          </w:p>
        </w:tc>
        <w:tc>
          <w:tcPr/>
          <w:p>
            <w:pPr>
              <w:pStyle w:val="Compact"/>
            </w:pPr>
            <w:r>
              <w:t xml:space="preserve">Different J3 function / governance track (tactical experimentation) — flag it exists, redirect if it starts pulling focus</w:t>
            </w:r>
          </w:p>
        </w:tc>
        <w:tc>
          <w:tcPr/>
          <w:p>
            <w:pPr>
              <w:pStyle w:val="Compact"/>
            </w:pPr>
            <w:r>
              <w:t xml:space="preserve">D-11</w:t>
            </w:r>
          </w:p>
        </w:tc>
      </w:tr>
    </w:tbl>
    <w:p>
      <w:pPr>
        <w:pStyle w:val="BodyText"/>
      </w:pPr>
      <w:r>
        <w:rPr>
          <w:b/>
          <w:bCs/>
        </w:rPr>
        <w:t xml:space="preserve">Strategic recommendation:</w:t>
      </w:r>
      <w:r>
        <w:t xml:space="preserve"> </w:t>
      </w:r>
      <w:r>
        <w:t xml:space="preserve">if the three parties can jointly agree the ESCALATE list, propose capturing it as a tri-party submission upward — this carries more weight than an SBTDWS-only ask. Worth floating as the working group’s first tangible output.</w:t>
      </w:r>
    </w:p>
    <w:bookmarkEnd w:id="13"/>
    <w:bookmarkEnd w:id="14"/>
    <w:bookmarkStart w:id="15" w:name="what-to-keep-out-of-this-room"/>
    <w:p>
      <w:pPr>
        <w:pStyle w:val="Heading2"/>
      </w:pPr>
      <w:r>
        <w:t xml:space="preserve">What to Keep Out of This Room</w:t>
      </w:r>
    </w:p>
    <w:p>
      <w:pPr>
        <w:pStyle w:val="Compact"/>
        <w:numPr>
          <w:ilvl w:val="0"/>
          <w:numId w:val="1002"/>
        </w:numPr>
      </w:pPr>
      <w:r>
        <w:t xml:space="preserve">Internal SBTDWS institutional issues (inflated pass rates, O5 resistance, contractor dependency) — not for this forum.</w:t>
      </w:r>
    </w:p>
    <w:p>
      <w:pPr>
        <w:pStyle w:val="Compact"/>
        <w:numPr>
          <w:ilvl w:val="0"/>
          <w:numId w:val="1002"/>
        </w:numPr>
      </w:pPr>
      <w:r>
        <w:t xml:space="preserve">D-01 and D-03 (three-wing design endorsement; committing to back the first adverse assessment) — these are the Commandant’s own internal actions, not J3/J7 business.</w:t>
      </w:r>
    </w:p>
    <w:p>
      <w:pPr>
        <w:pStyle w:val="Compact"/>
        <w:numPr>
          <w:ilvl w:val="0"/>
          <w:numId w:val="1002"/>
        </w:numPr>
      </w:pPr>
      <w:r>
        <w:t xml:space="preserve">Deep J3 WDC / Makhlab 1 detail — separate governance track (D-11); acknowledge and redirect if raised at length.</w:t>
      </w:r>
    </w:p>
    <w:bookmarkEnd w:id="15"/>
    <w:bookmarkStart w:id="16" w:name="companion-document"/>
    <w:p>
      <w:pPr>
        <w:pStyle w:val="Heading2"/>
      </w:pPr>
      <w:r>
        <w:t xml:space="preserve">Companion Document</w:t>
      </w:r>
    </w:p>
    <w:p>
      <w:pPr>
        <w:pStyle w:val="FirstParagraph"/>
      </w:pPr>
      <w:r>
        <w:t xml:space="preserve">An external, command-safe pre-read version of this material has been prepared separately for circulation to J7 ahead of the meeting.</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2026-08-03T07:16:17Z</dcterms:created>
  <dcterms:modified xsi:type="dcterms:W3CDTF">2026-08-03T07:16:17Z</dcterms:modified>
</cp:coreProperties>
</file>

<file path=docProps/custom.xml><?xml version="1.0" encoding="utf-8"?>
<Properties xmlns="http://schemas.openxmlformats.org/officeDocument/2006/custom-properties" xmlns:vt="http://schemas.openxmlformats.org/officeDocument/2006/docPropsVTypes"/>
</file>