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3f8a80e5ae725675abae5a6f1fae663f0bd46ce"/>
    <w:p>
      <w:pPr>
        <w:pStyle w:val="Heading1"/>
      </w:pPr>
      <w:r>
        <w:t xml:space="preserve">Force Generation Pipeline Working Group — Pre-Read for J7</w:t>
      </w:r>
    </w:p>
    <w:p>
      <w:pPr>
        <w:pStyle w:val="FirstParagraph"/>
      </w:pPr>
      <w:r>
        <w:t xml:space="preserve">Purpose: Read-ahead for PG J7 ahead of the working group, chaired by PG J3, covering integration of collective training, validation and mission rehearsal functions between SBTDWS and J7.</w:t>
      </w:r>
    </w:p>
    <w:bookmarkStart w:id="9" w:name="X4a58e9a109abd1e14644c16f3b2420869687a88"/>
    <w:p>
      <w:pPr>
        <w:pStyle w:val="Heading2"/>
      </w:pPr>
      <w:r>
        <w:t xml:space="preserve">Suggested Covering Note (copy/adapt for email)</w:t>
      </w:r>
    </w:p>
    <w:p>
      <w:pPr>
        <w:pStyle w:val="FirstParagraph"/>
      </w:pPr>
      <w:r>
        <w:t xml:space="preserve">Ahead of the upcoming working group, we wanted to share a short pre-read so the discussion can be as productive as possible. This is the first time SBTDWS and J7 have sat down together on this specific topic under J3’s chair, so we’ve kept this deliberately exploratory — a starting point for discussion, not a position we’re asking you to accept as-is. Happy to talk through any of it beforehand if useful.</w:t>
      </w:r>
    </w:p>
    <w:bookmarkEnd w:id="9"/>
    <w:bookmarkStart w:id="10" w:name="Xf138879fae1271eaef9980bc57f0248b6c404cb"/>
    <w:p>
      <w:pPr>
        <w:pStyle w:val="Heading2"/>
      </w:pPr>
      <w:r>
        <w:t xml:space="preserve">1. What We’d Like This Working Group to Cover</w:t>
      </w:r>
    </w:p>
    <w:p>
      <w:pPr>
        <w:pStyle w:val="FirstParagraph"/>
      </w:pPr>
      <w:r>
        <w:t xml:space="preserve">We see this as the forum to work out how SBTDWS’s collective training, validation and mission rehearsal role integrates with J7’s exercise programme and training architecture — practically, what each of us owns, how we support each other, and what governance keeps it running smoothly. We’d welcome J3 and J7’s view on whether that scope matches what you had in mind.</w:t>
      </w:r>
    </w:p>
    <w:bookmarkEnd w:id="10"/>
    <w:bookmarkStart w:id="11" w:name="a-starting-point-for-the-lane-split"/>
    <w:p>
      <w:pPr>
        <w:pStyle w:val="Heading2"/>
      </w:pPr>
      <w:r>
        <w:t xml:space="preserve">2. A Starting Point for the Lane Split</w:t>
      </w:r>
    </w:p>
    <w:p>
      <w:pPr>
        <w:pStyle w:val="FirstParagraph"/>
      </w:pPr>
      <w:r>
        <w:t xml:space="preserve">For discussion, not as a fixed position: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Proposed</w:t>
            </w:r>
          </w:p>
        </w:tc>
      </w:tr>
      <w:tr>
        <w:tc>
          <w:tcPr/>
          <w:p>
            <w:pPr>
              <w:pStyle w:val="Compact"/>
            </w:pPr>
            <w:r>
              <w:rPr>
                <w:b/>
                <w:bCs/>
              </w:rPr>
              <w:t xml:space="preserve">J7</w:t>
            </w:r>
          </w:p>
        </w:tc>
        <w:tc>
          <w:tcPr/>
          <w:p>
            <w:pPr>
              <w:pStyle w:val="Compact"/>
            </w:pPr>
            <w:r>
              <w:t xml:space="preserve">Exercise programme direction and scheduling; LVC architecture standards; OT accreditation standard; doctrine custodianship; lessons-learned system</w:t>
            </w:r>
          </w:p>
        </w:tc>
      </w:tr>
      <w:tr>
        <w:tc>
          <w:tcPr/>
          <w:p>
            <w:pPr>
              <w:pStyle w:val="Compact"/>
            </w:pPr>
            <w:r>
              <w:rPr>
                <w:b/>
                <w:bCs/>
              </w:rPr>
              <w:t xml:space="preserve">SBTDWS</w:t>
            </w:r>
          </w:p>
        </w:tc>
        <w:tc>
          <w:tcPr/>
          <w:p>
            <w:pPr>
              <w:pStyle w:val="Compact"/>
            </w:pPr>
            <w:r>
              <w:t xml:space="preserve">Exercise execution (EXCON/HICON/OT); scenario design; validation assessment and reporting; SAG 9/10 execution; mission rehearsal delivery at Hameem</w:t>
            </w:r>
          </w:p>
        </w:tc>
      </w:tr>
    </w:tbl>
    <w:bookmarkEnd w:id="11"/>
    <w:bookmarkStart w:id="12" w:name="specific-things-wed-value-j7s-input-on"/>
    <w:p>
      <w:pPr>
        <w:pStyle w:val="Heading2"/>
      </w:pPr>
      <w:r>
        <w:t xml:space="preserve">3. Specific Things We’d Value J7’s Input On</w:t>
      </w:r>
    </w:p>
    <w:p>
      <w:pPr>
        <w:pStyle w:val="Compact"/>
        <w:numPr>
          <w:ilvl w:val="0"/>
          <w:numId w:val="1001"/>
        </w:numPr>
      </w:pPr>
      <w:r>
        <w:rPr>
          <w:b/>
          <w:bCs/>
        </w:rPr>
        <w:t xml:space="preserve">Resourcing</w:t>
      </w:r>
      <w:r>
        <w:t xml:space="preserve"> </w:t>
      </w:r>
      <w:r>
        <w:t xml:space="preserve">— realistically, what can J7 make available to SBTDWS-led validation events (OPFOR, instrumentation, LVC simulation access, a liaison officer), and on what notice?</w:t>
      </w:r>
    </w:p>
    <w:p>
      <w:pPr>
        <w:pStyle w:val="Compact"/>
        <w:numPr>
          <w:ilvl w:val="0"/>
          <w:numId w:val="1001"/>
        </w:numPr>
      </w:pPr>
      <w:r>
        <w:rPr>
          <w:b/>
          <w:bCs/>
        </w:rPr>
        <w:t xml:space="preserve">LVC architecture</w:t>
      </w:r>
      <w:r>
        <w:t xml:space="preserve"> </w:t>
      </w:r>
      <w:r>
        <w:t xml:space="preserve">— we’d like to start early on how SBTDWS’s OT/HICON/EXCON and the future Hameem mission rehearsal site nest inside J7’s existing LVC architecture, rather than building anything in parallel.</w:t>
      </w:r>
    </w:p>
    <w:p>
      <w:pPr>
        <w:pStyle w:val="Compact"/>
        <w:numPr>
          <w:ilvl w:val="0"/>
          <w:numId w:val="1001"/>
        </w:numPr>
      </w:pPr>
      <w:r>
        <w:rPr>
          <w:b/>
          <w:bCs/>
        </w:rPr>
        <w:t xml:space="preserve">SAG 9/10 standards</w:t>
      </w:r>
      <w:r>
        <w:t xml:space="preserve"> </w:t>
      </w:r>
      <w:r>
        <w:t xml:space="preserve">— there are a few options for who drafts and endorses these validation standards. We’d value your view on what role J7 would want to play.</w:t>
      </w:r>
    </w:p>
    <w:p>
      <w:pPr>
        <w:pStyle w:val="Compact"/>
        <w:numPr>
          <w:ilvl w:val="0"/>
          <w:numId w:val="1001"/>
        </w:numPr>
      </w:pPr>
      <w:r>
        <w:rPr>
          <w:b/>
          <w:bCs/>
        </w:rPr>
        <w:t xml:space="preserve">Working group mechanics</w:t>
      </w:r>
      <w:r>
        <w:t xml:space="preserve"> </w:t>
      </w:r>
      <w:r>
        <w:t xml:space="preserve">— proposing a standing forum to meet regularly, deconflict scheduling, and review progress. Open to J7’s preference on frequency and format.</w:t>
      </w:r>
    </w:p>
    <w:bookmarkEnd w:id="12"/>
    <w:bookmarkStart w:id="13" w:name="X0d8bd2b4de784bd563449c1dab079c1e5a5faa9"/>
    <w:p>
      <w:pPr>
        <w:pStyle w:val="Heading2"/>
      </w:pPr>
      <w:r>
        <w:t xml:space="preserve">4. Items That Will Likely Need a Decision Above This Room</w:t>
      </w:r>
    </w:p>
    <w:p>
      <w:pPr>
        <w:pStyle w:val="FirstParagraph"/>
      </w:pPr>
      <w:r>
        <w:t xml:space="preserve">A few things will come up that sit above what this working group can resolve on its own — validation authority (can SBTDWS formally certify/fail units, or is it advisory), and Hameem’s capital/concept endorsement, among others. We think it’s worth this group agreeing what those are and raising them jointly, rather than each of us raising them separately later.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2026-08-03T07:16:18Z</dcterms:created>
  <dcterms:modified xsi:type="dcterms:W3CDTF">2026-08-03T07:16:18Z</dcterms:modified>
</cp:coreProperties>
</file>

<file path=docProps/custom.xml><?xml version="1.0" encoding="utf-8"?>
<Properties xmlns="http://schemas.openxmlformats.org/officeDocument/2006/custom-properties" xmlns:vt="http://schemas.openxmlformats.org/officeDocument/2006/docPropsVTypes"/>
</file>