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J3 Action Plan — Tactical Experimentation</w:t>
      </w:r>
    </w:p>
    <w:p>
      <w:pPr>
        <w:spacing w:after="40"/>
      </w:pPr>
      <w:r>
        <w:rPr>
          <w:b/>
        </w:rPr>
        <w:t xml:space="preserve">Format: </w:t>
      </w:r>
      <w:r>
        <w:rPr>
          <w:b w:val="0"/>
          <w:i w:val="0"/>
        </w:rPr>
        <w:t>J3 Action Plan</w:t>
      </w:r>
    </w:p>
    <w:p>
      <w:pPr>
        <w:spacing w:after="40"/>
      </w:pPr>
      <w:r>
        <w:rPr>
          <w:b/>
        </w:rPr>
        <w:t xml:space="preserve">Effort type: </w:t>
      </w:r>
      <w:r>
        <w:rPr>
          <w:b w:val="0"/>
          <w:i w:val="0"/>
        </w:rPr>
        <w:t>Main Effort</w:t>
      </w:r>
    </w:p>
    <w:p>
      <w:pPr>
        <w:spacing w:after="40"/>
      </w:pPr>
      <w:r>
        <w:rPr>
          <w:b/>
        </w:rPr>
        <w:t xml:space="preserve">Status: </w:t>
      </w:r>
      <w:r>
        <w:rPr>
          <w:b w:val="0"/>
          <w:i w:val="0"/>
        </w:rPr>
        <w:t>DRAFT — for Commandant review before tabling to J3</w:t>
      </w:r>
    </w:p>
    <w:p/>
    <w:p>
      <w:pPr>
        <w:spacing w:after="120" w:before="40"/>
        <w:ind w:left="576"/>
      </w:pPr>
      <w:r>
        <w:rPr>
          <w:b/>
          <w:i/>
          <w:color w:val="555555"/>
        </w:rPr>
        <w:t>Assumptions flagged, not resolved</w:t>
      </w:r>
    </w:p>
    <w:p>
      <w:pPr>
        <w:spacing w:after="160"/>
        <w:ind w:left="576"/>
      </w:pPr>
      <w:r>
        <w:rPr>
          <w:b w:val="0"/>
          <w:i/>
        </w:rPr>
        <w:t>Several objectives below depend on Commander decisions that are still PENDING. Each dependent objective is marked with a note naming the decision.</w:t>
      </w:r>
    </w:p>
    <w:p>
      <w:pPr>
        <w:pStyle w:val="Heading1"/>
      </w:pPr>
      <w:r>
        <w:t>1. Phases of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Now — Q3 2027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Foundations: experimentation cell established, J3 WDC governance operational, first governed Makhlab serial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Two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Q4 2027 — Q1 2029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Scale: thematic UxS exercise delivered, lessons exploitation mechanism operational, TTP library growing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Three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Q2 2029 — Q3 2030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Consolidate: experimentation programme routine and self-sustaining across land, air, and (if assessed viable) maritime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Phase One combines the PREP and Phase 1 stages of the detailed implementation plan.</w:t>
      </w:r>
    </w:p>
    <w:p>
      <w:pPr>
        <w:pStyle w:val="Heading1"/>
      </w:pPr>
      <w:r>
        <w:t>2. Defining Phased Objectives</w:t>
      </w:r>
    </w:p>
    <w:p>
      <w:pPr>
        <w:pStyle w:val="Heading2"/>
      </w:pPr>
      <w:r>
        <w:t>Phase One – 2026/2027</w:t>
      </w:r>
    </w:p>
    <w:p>
      <w:pPr>
        <w:spacing w:after="80"/>
      </w:pPr>
      <w:r>
        <w:rPr>
          <w:b/>
        </w:rPr>
        <w:t xml:space="preserve">1. </w:t>
      </w:r>
      <w:r>
        <w:rPr>
          <w:b/>
          <w:i w:val="0"/>
        </w:rPr>
        <w:t>Establish the J3 WDC experimentation governance framework.</w:t>
      </w:r>
      <w:r>
        <w:rPr>
          <w:b w:val="0"/>
          <w:i w:val="0"/>
        </w:rPr>
        <w:t xml:space="preserve"> Trigger, approval, reporting, and TTP transfer process defined by </w:t>
      </w:r>
      <w:r>
        <w:rPr>
          <w:b/>
          <w:i w:val="0"/>
        </w:rPr>
        <w:t>Q3 26</w:t>
      </w:r>
      <w:r>
        <w:rPr>
          <w:b w:val="0"/>
          <w:i w:val="0"/>
        </w:rPr>
        <w:t>; SBTDWS executes, J3 WDC owns priorities and outputs.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D-11 (PENDING)</w:t>
      </w:r>
    </w:p>
    <w:p>
      <w:pPr>
        <w:spacing w:after="160"/>
        <w:ind w:left="576"/>
      </w:pPr>
      <w:r>
        <w:rPr>
          <w:b w:val="0"/>
          <w:i/>
        </w:rPr>
        <w:t>Formal J3 WDC governance for tactical experimentation is not yet decided. Without it, Makhlab 1 and follow-on serials proceed informally and outputs are not institutionalised.</w:t>
      </w:r>
    </w:p>
    <w:p>
      <w:pPr>
        <w:spacing w:after="80"/>
      </w:pPr>
      <w:r>
        <w:rPr>
          <w:b/>
        </w:rPr>
        <w:t xml:space="preserve">2. </w:t>
      </w:r>
      <w:r>
        <w:rPr>
          <w:b/>
          <w:i w:val="0"/>
        </w:rPr>
        <w:t>Establish the SBTDWS experimentation cell.</w:t>
      </w:r>
      <w:r>
        <w:rPr>
          <w:b w:val="0"/>
          <w:i w:val="0"/>
        </w:rPr>
        <w:t xml:space="preserve"> 3–5 personnel in role and operational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 </w:t>
      </w:r>
      <w:r>
        <w:rPr>
          <w:b/>
          <w:i w:val="0"/>
        </w:rPr>
        <w:t>Deliver the first governed Makhlab 1 PoC serial.</w:t>
      </w:r>
      <w:r>
        <w:rPr>
          <w:b w:val="0"/>
          <w:i w:val="0"/>
        </w:rPr>
        <w:t xml:space="preserve"> UxS focus, data captured, AAR conducted, TTP recommendations drafted, by </w:t>
      </w:r>
      <w:r>
        <w:rPr>
          <w:b/>
          <w:i w:val="0"/>
        </w:rPr>
        <w:t>Q1 27</w:t>
      </w:r>
      <w:r>
        <w:rPr>
          <w:b w:val="0"/>
          <w:i w:val="0"/>
        </w:rPr>
        <w:t>, in partnership with Falcons Brigade.</w:t>
      </w:r>
    </w:p>
    <w:p>
      <w:pPr>
        <w:spacing w:after="80"/>
      </w:pPr>
      <w:r>
        <w:rPr>
          <w:b/>
        </w:rPr>
        <w:t xml:space="preserve">4. </w:t>
      </w:r>
      <w:r>
        <w:rPr>
          <w:b/>
          <w:i w:val="0"/>
        </w:rPr>
        <w:t>Complete the first TTP transfer test.</w:t>
      </w:r>
      <w:r>
        <w:rPr>
          <w:b w:val="0"/>
          <w:i w:val="0"/>
        </w:rPr>
        <w:t xml:space="preserve"> Makhlab 1 recommendations reviewed, refined, and formally handed to J3 WDC for unit adoption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5. </w:t>
      </w:r>
      <w:r>
        <w:rPr>
          <w:b/>
          <w:i w:val="0"/>
        </w:rPr>
        <w:t>Finalise the TEIW Standing Charter</w:t>
      </w:r>
      <w:r>
        <w:rPr>
          <w:b w:val="0"/>
          <w:i w:val="0"/>
        </w:rPr>
        <w:t xml:space="preserve"> (v0.2, FPV as Priority 1) and field the UxS portfolio (land and air)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pStyle w:val="Heading2"/>
      </w:pPr>
      <w:r>
        <w:t>Phase Two – 2028</w:t>
      </w:r>
    </w:p>
    <w:p>
      <w:pPr>
        <w:spacing w:after="80"/>
      </w:pPr>
      <w:r>
        <w:rPr>
          <w:b/>
        </w:rPr>
        <w:t xml:space="preserve">6. </w:t>
      </w:r>
      <w:r>
        <w:rPr>
          <w:b/>
          <w:i w:val="0"/>
        </w:rPr>
        <w:t>Deliver the thematic UxS Tactical Employment exercise.</w:t>
      </w:r>
      <w:r>
        <w:rPr>
          <w:b w:val="0"/>
          <w:i w:val="0"/>
        </w:rPr>
        <w:t xml:space="preserve"> Large-scale exercise integrating experimentation and validation, across 2028.</w:t>
      </w:r>
    </w:p>
    <w:p>
      <w:pPr>
        <w:spacing w:after="80"/>
      </w:pPr>
      <w:r>
        <w:rPr>
          <w:b/>
        </w:rPr>
        <w:t xml:space="preserve">7. </w:t>
      </w:r>
      <w:r>
        <w:rPr>
          <w:b/>
          <w:i w:val="0"/>
        </w:rPr>
        <w:t>Stand up the formal lessons exploitation mechanism.</w:t>
      </w:r>
      <w:r>
        <w:rPr>
          <w:b w:val="0"/>
          <w:i w:val="0"/>
        </w:rPr>
        <w:t xml:space="preserve"> Quarterly cycle: exercise observations and operational lessons → course review → TTP refinement → validation criteria update, operational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8. </w:t>
      </w:r>
      <w:r>
        <w:rPr>
          <w:b/>
          <w:i w:val="0"/>
        </w:rPr>
        <w:t>Establish the Makhlab follow-on serial cadence.</w:t>
      </w:r>
      <w:r>
        <w:rPr>
          <w:b w:val="0"/>
          <w:i w:val="0"/>
        </w:rPr>
        <w:t xml:space="preserve"> Annual or bi-annual governed experimentation serials, expanding UxS scope, from </w:t>
      </w:r>
      <w:r>
        <w:rPr>
          <w:b/>
          <w:i w:val="0"/>
        </w:rPr>
        <w:t>FY28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9. </w:t>
      </w:r>
      <w:r>
        <w:rPr>
          <w:b/>
          <w:i w:val="0"/>
        </w:rPr>
        <w:t>Assess maritime UxS scope and feasibility</w:t>
      </w:r>
      <w:r>
        <w:rPr>
          <w:b w:val="0"/>
          <w:i w:val="0"/>
        </w:rPr>
        <w:t>, 2028.</w:t>
      </w:r>
    </w:p>
    <w:p>
      <w:pPr>
        <w:pStyle w:val="Heading2"/>
      </w:pPr>
      <w:r>
        <w:t>Phase Three – 2029/2030</w:t>
      </w:r>
    </w:p>
    <w:p>
      <w:pPr>
        <w:spacing w:after="80"/>
      </w:pPr>
      <w:r>
        <w:rPr>
          <w:b/>
        </w:rPr>
        <w:t xml:space="preserve">10. </w:t>
      </w:r>
      <w:r>
        <w:rPr>
          <w:b/>
          <w:i w:val="0"/>
        </w:rPr>
        <w:t>Declare the experimentation programme routine and self-sustaining.</w:t>
      </w:r>
      <w:r>
        <w:rPr>
          <w:b w:val="0"/>
          <w:i w:val="0"/>
        </w:rPr>
        <w:t xml:space="preserve"> TEIW operating at scale across land, air, and (if assessed viable) maritime; TTP transfer to units embedded as standard cycle, by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D-09 (PENDING)</w:t>
      </w:r>
    </w:p>
    <w:p>
      <w:pPr>
        <w:spacing w:after="160"/>
        <w:ind w:left="576"/>
      </w:pPr>
      <w:r>
        <w:rPr>
          <w:b w:val="0"/>
          <w:i/>
        </w:rPr>
        <w:t>The CAPDEV → PGIC transition plan (what stays with SBTDWS under J3 WDC governance vs transfers to PG Innovation Command) is not yet decided. TEIW's long-term scope cannot be finalised until this boundary is confirmed.</w:t>
      </w:r>
    </w:p>
    <w:p>
      <w:pPr>
        <w:pStyle w:val="Heading1"/>
      </w:pPr>
      <w:r>
        <w:t>3. Identifying Requirements for Achieving Objectives</w:t>
      </w:r>
    </w:p>
    <w:p>
      <w:pPr>
        <w:pStyle w:val="ListBullet"/>
      </w:pPr>
      <w:r>
        <w:rPr>
          <w:b w:val="0"/>
          <w:i w:val="0"/>
        </w:rPr>
        <w:t>Formalise the J3 WDC experimentation governance framework (trigger, approval, reporting, TTP transfer) in writing — not assumed from the PG 2030 Directive alone.</w:t>
      </w:r>
    </w:p>
    <w:p>
      <w:pPr>
        <w:pStyle w:val="ListBullet"/>
      </w:pPr>
      <w:r>
        <w:rPr>
          <w:b w:val="0"/>
          <w:i w:val="0"/>
        </w:rPr>
        <w:t>Confirm SBTDWS's mandate as the PG's field execution arm for tactical experimentation, in writing.</w:t>
      </w:r>
    </w:p>
    <w:p>
      <w:pPr>
        <w:pStyle w:val="ListBullet"/>
      </w:pPr>
      <w:r>
        <w:rPr>
          <w:b w:val="0"/>
          <w:i w:val="0"/>
        </w:rPr>
        <w:t>Stand up and resource the experimentation cell (3–5 personnel with serial design, data capture, and TTP writing capacity).</w:t>
      </w:r>
    </w:p>
    <w:p>
      <w:pPr>
        <w:pStyle w:val="ListBullet"/>
      </w:pPr>
      <w:r>
        <w:rPr>
          <w:b w:val="0"/>
          <w:i w:val="0"/>
        </w:rPr>
        <w:t>Field the UxS portfolio: FPV drones (Priority 1 per TEIW charter), VTOL UxS, land UxS, data capture systems, simulation capacity.</w:t>
      </w:r>
    </w:p>
    <w:p>
      <w:pPr>
        <w:pStyle w:val="ListBullet"/>
      </w:pPr>
      <w:r>
        <w:rPr>
          <w:b w:val="0"/>
          <w:i w:val="0"/>
        </w:rPr>
        <w:t>Negotiate and sign the Makhlab 1 Memorandum of Agreement between J3 WDC and SBTDWS.</w:t>
      </w:r>
    </w:p>
    <w:p>
      <w:pPr>
        <w:pStyle w:val="ListBullet"/>
      </w:pPr>
      <w:r>
        <w:rPr>
          <w:b w:val="0"/>
          <w:i w:val="0"/>
        </w:rPr>
        <w:t>Define and confirm the CAPDEV → PG Innovation Command (PGIC) transition boundary.</w:t>
      </w:r>
    </w:p>
    <w:p>
      <w:pPr>
        <w:pStyle w:val="ListBullet"/>
      </w:pPr>
      <w:r>
        <w:rPr>
          <w:b w:val="0"/>
          <w:i w:val="0"/>
        </w:rPr>
        <w:t>Design and operationalise the lessons exploitation mechanism (J7 / J2 input into course design, TTP refinement, validation criteria).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