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RFI to PG HQ</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9" w:name="rfi-to-pg-hq"/>
    <w:p>
      <w:pPr>
        <w:pStyle w:val="Heading1"/>
      </w:pPr>
      <w:r>
        <w:t xml:space="preserve">RFI to PG HQ</w:t>
      </w:r>
    </w:p>
    <w:p>
      <w:pPr>
        <w:pStyle w:val="FirstParagraph"/>
      </w:pPr>
      <w:r>
        <w:rPr>
          <w:b/>
          <w:bCs/>
        </w:rPr>
        <w:t xml:space="preserve">SBTDWS / ADWC–MDWC Transformation — Consolidated Requests for Information</w:t>
      </w:r>
    </w:p>
    <w:p>
      <w:pPr>
        <w:pStyle w:val="BodyText"/>
      </w:pPr>
      <w:r>
        <w:rPr>
          <w:b/>
          <w:bCs/>
        </w:rPr>
        <w:t xml:space="preserve">28 July 2026 | DRAFT for advisor review</w:t>
      </w:r>
    </w:p>
    <w:bookmarkStart w:id="9" w:name="purpose"/>
    <w:p>
      <w:pPr>
        <w:pStyle w:val="Heading2"/>
      </w:pPr>
      <w:r>
        <w:t xml:space="preserve">Purpose</w:t>
      </w:r>
    </w:p>
    <w:p>
      <w:pPr>
        <w:pStyle w:val="FirstParagraph"/>
      </w:pPr>
      <w:r>
        <w:t xml:space="preserve">This paper consolidates outstanding questions for PG Headquarters raised across SBTDWS’s transformation planning work to date, including the Commander Decisions Register, the five-Line-of-Effort implementation brief, the J7-authored Six-Domain Study, the FIC (Functions, Institutions, Capabilities) analysis, the draft Force Generation Pipeline Terms of Reference, and the institutional barriers assessment.</w:t>
      </w:r>
    </w:p>
    <w:p>
      <w:pPr>
        <w:pStyle w:val="BodyText"/>
      </w:pPr>
      <w:r>
        <w:t xml:space="preserve">The purpose is to surface exactly what SBTDWS needs PG Headquarters to answer before planning and implementation can proceed with confidence — not a restatement of everything currently open, but the subset of items that are genuinely (a) a PG Headquarters or Higher Headquarters question, not an internal SBTDWS action, and (b) answerable.</w:t>
      </w:r>
    </w:p>
    <w:p>
      <w:pPr>
        <w:pStyle w:val="BodyText"/>
      </w:pPr>
      <w:r>
        <w:rPr>
          <w:b/>
          <w:bCs/>
        </w:rPr>
        <w:t xml:space="preserve">Scope note:</w:t>
      </w:r>
      <w:r>
        <w:t xml:space="preserve"> </w:t>
      </w:r>
      <w:r>
        <w:t xml:space="preserve">Three decisions already sit with SBTDWS’s own chain of command — endorsing the three-wing structural design, directing the Force Generation Pipeline ToR engagement with J3/J7, and committing in advance to backing the OT cadre’s first adverse assessment. These are not PG Headquarters questions and are excluded from the RFI proper; they are listed in the appendix for completeness.</w:t>
      </w:r>
    </w:p>
    <w:p>
      <w:r>
        <w:pict>
          <v:rect style="width:0;height:1.5pt" o:hralign="center" o:hrstd="t" o:hr="t"/>
        </w:pict>
      </w:r>
    </w:p>
    <w:bookmarkEnd w:id="9"/>
    <w:bookmarkStart w:id="10" w:name="summary-table"/>
    <w:p>
      <w:pPr>
        <w:pStyle w:val="Heading2"/>
      </w:pPr>
      <w:r>
        <w:t xml:space="preserve">Summary Table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Question (one line)</w:t>
            </w:r>
          </w:p>
        </w:tc>
        <w:tc>
          <w:tcPr/>
          <w:p>
            <w:pPr>
              <w:pStyle w:val="Compact"/>
            </w:pPr>
            <w:r>
              <w:t xml:space="preserve">Owner</w:t>
            </w:r>
          </w:p>
        </w:tc>
        <w:tc>
          <w:tcPr/>
          <w:p>
            <w:pPr>
              <w:pStyle w:val="Compact"/>
            </w:pPr>
            <w:r>
              <w:t xml:space="preserve">Priority</w:t>
            </w:r>
          </w:p>
        </w:tc>
        <w:tc>
          <w:tcPr/>
          <w:p>
            <w:pPr>
              <w:pStyle w:val="Compact"/>
            </w:pPr>
            <w:r>
              <w:t xml:space="preserve">Blocks</w:t>
            </w:r>
          </w:p>
        </w:tc>
      </w:tr>
      <w:tr>
        <w:tc>
          <w:tcPr/>
          <w:p>
            <w:pPr>
              <w:pStyle w:val="Compact"/>
            </w:pPr>
            <w:r>
              <w:t xml:space="preserve">RFI-1</w:t>
            </w:r>
          </w:p>
        </w:tc>
        <w:tc>
          <w:tcPr/>
          <w:p>
            <w:pPr>
              <w:pStyle w:val="Compact"/>
            </w:pPr>
            <w:r>
              <w:t xml:space="preserve">Is ADWC or MDWC the confirmed name, and is there one source-of-truth planning document?</w:t>
            </w:r>
          </w:p>
        </w:tc>
        <w:tc>
          <w:tcPr/>
          <w:p>
            <w:pPr>
              <w:pStyle w:val="Compact"/>
            </w:pPr>
            <w:r>
              <w:t xml:space="preserve">PG HQ</w:t>
            </w:r>
          </w:p>
        </w:tc>
        <w:tc>
          <w:tcPr/>
          <w:p>
            <w:pPr>
              <w:pStyle w:val="Compact"/>
            </w:pPr>
            <w:r>
              <w:t xml:space="preserve">P1</w:t>
            </w:r>
          </w:p>
        </w:tc>
        <w:tc>
          <w:tcPr/>
          <w:p>
            <w:pPr>
              <w:pStyle w:val="Compact"/>
            </w:pPr>
            <w:r>
              <w:t xml:space="preserve">Everything naming-dependent</w:t>
            </w:r>
          </w:p>
        </w:tc>
      </w:tr>
      <w:tr>
        <w:tc>
          <w:tcPr/>
          <w:p>
            <w:pPr>
              <w:pStyle w:val="Compact"/>
            </w:pPr>
            <w:r>
              <w:t xml:space="preserve">RFI-2</w:t>
            </w:r>
          </w:p>
        </w:tc>
        <w:tc>
          <w:tcPr/>
          <w:p>
            <w:pPr>
              <w:pStyle w:val="Compact"/>
            </w:pPr>
            <w:r>
              <w:t xml:space="preserve">What is our role in maritime, cyber, space and EMS — and can EMS capability planning start?</w:t>
            </w:r>
          </w:p>
        </w:tc>
        <w:tc>
          <w:tcPr/>
          <w:p>
            <w:pPr>
              <w:pStyle w:val="Compact"/>
            </w:pPr>
            <w:r>
              <w:t xml:space="preserve">PG HQ / Higher Authority</w:t>
            </w:r>
          </w:p>
        </w:tc>
        <w:tc>
          <w:tcPr/>
          <w:p>
            <w:pPr>
              <w:pStyle w:val="Compact"/>
            </w:pPr>
            <w:r>
              <w:t xml:space="preserve">P2</w:t>
            </w:r>
          </w:p>
        </w:tc>
        <w:tc>
          <w:tcPr/>
          <w:p>
            <w:pPr>
              <w:pStyle w:val="Compact"/>
            </w:pPr>
            <w:r>
              <w:t xml:space="preserve">Domain-scope planning, UxS T&amp;E credibility</w:t>
            </w:r>
          </w:p>
        </w:tc>
      </w:tr>
      <w:tr>
        <w:tc>
          <w:tcPr/>
          <w:p>
            <w:pPr>
              <w:pStyle w:val="Compact"/>
            </w:pPr>
            <w:r>
              <w:t xml:space="preserve">RFI-3</w:t>
            </w:r>
          </w:p>
        </w:tc>
        <w:tc>
          <w:tcPr/>
          <w:p>
            <w:pPr>
              <w:pStyle w:val="Compact"/>
            </w:pPr>
            <w:r>
              <w:t xml:space="preserve">Can SBTDWS certify / fail / recommend remediation, or is validation advisory only?</w:t>
            </w:r>
          </w:p>
        </w:tc>
        <w:tc>
          <w:tcPr/>
          <w:p>
            <w:pPr>
              <w:pStyle w:val="Compact"/>
            </w:pPr>
            <w:r>
              <w:t xml:space="preserve">PG HQ / Higher HQ</w:t>
            </w:r>
          </w:p>
        </w:tc>
        <w:tc>
          <w:tcPr/>
          <w:p>
            <w:pPr>
              <w:pStyle w:val="Compact"/>
            </w:pPr>
            <w:r>
              <w:t xml:space="preserve">P1</w:t>
            </w:r>
          </w:p>
        </w:tc>
        <w:tc>
          <w:tcPr/>
          <w:p>
            <w:pPr>
              <w:pStyle w:val="Compact"/>
            </w:pPr>
            <w:r>
              <w:t xml:space="preserve">OT cadre authority, honest assessment culture</w:t>
            </w:r>
          </w:p>
        </w:tc>
      </w:tr>
      <w:tr>
        <w:tc>
          <w:tcPr/>
          <w:p>
            <w:pPr>
              <w:pStyle w:val="Compact"/>
            </w:pPr>
            <w:r>
              <w:t xml:space="preserve">RFI-4</w:t>
            </w:r>
          </w:p>
        </w:tc>
        <w:tc>
          <w:tcPr/>
          <w:p>
            <w:pPr>
              <w:pStyle w:val="Compact"/>
            </w:pPr>
            <w:r>
              <w:t xml:space="preserve">Who owns and endorses SAG 9 / SAG 10 validation standards?</w:t>
            </w:r>
          </w:p>
        </w:tc>
        <w:tc>
          <w:tcPr/>
          <w:p>
            <w:pPr>
              <w:pStyle w:val="Compact"/>
            </w:pPr>
            <w:r>
              <w:t xml:space="preserve">PG HQ</w:t>
            </w:r>
          </w:p>
        </w:tc>
        <w:tc>
          <w:tcPr/>
          <w:p>
            <w:pPr>
              <w:pStyle w:val="Compact"/>
            </w:pPr>
            <w:r>
              <w:t xml:space="preserve">P1</w:t>
            </w:r>
          </w:p>
        </w:tc>
        <w:tc>
          <w:tcPr/>
          <w:p>
            <w:pPr>
              <w:pStyle w:val="Compact"/>
            </w:pPr>
            <w:r>
              <w:t xml:space="preserve">OT curriculum, IOC gate (Q2 27)</w:t>
            </w:r>
          </w:p>
        </w:tc>
      </w:tr>
      <w:tr>
        <w:tc>
          <w:tcPr/>
          <w:p>
            <w:pPr>
              <w:pStyle w:val="Compact"/>
            </w:pPr>
            <w:r>
              <w:t xml:space="preserve">RFI-5</w:t>
            </w:r>
          </w:p>
        </w:tc>
        <w:tc>
          <w:tcPr/>
          <w:p>
            <w:pPr>
              <w:pStyle w:val="Compact"/>
            </w:pPr>
            <w:r>
              <w:t xml:space="preserve">What is the formal IW / UW capability boundary?</w:t>
            </w:r>
          </w:p>
        </w:tc>
        <w:tc>
          <w:tcPr/>
          <w:p>
            <w:pPr>
              <w:pStyle w:val="Compact"/>
            </w:pPr>
            <w:r>
              <w:t xml:space="preserve">Higher HQ</w:t>
            </w:r>
          </w:p>
        </w:tc>
        <w:tc>
          <w:tcPr/>
          <w:p>
            <w:pPr>
              <w:pStyle w:val="Compact"/>
            </w:pPr>
            <w:r>
              <w:t xml:space="preserve">P1</w:t>
            </w:r>
          </w:p>
        </w:tc>
        <w:tc>
          <w:tcPr/>
          <w:p>
            <w:pPr>
              <w:pStyle w:val="Compact"/>
            </w:pPr>
            <w:r>
              <w:t xml:space="preserve">SAG 9 scope, OT curriculum, PGI/SOC planning</w:t>
            </w:r>
          </w:p>
        </w:tc>
      </w:tr>
      <w:tr>
        <w:tc>
          <w:tcPr/>
          <w:p>
            <w:pPr>
              <w:pStyle w:val="Compact"/>
            </w:pPr>
            <w:r>
              <w:t xml:space="preserve">RFI-6</w:t>
            </w:r>
          </w:p>
        </w:tc>
        <w:tc>
          <w:tcPr/>
          <w:p>
            <w:pPr>
              <w:pStyle w:val="Compact"/>
            </w:pPr>
            <w:r>
              <w:t xml:space="preserve">Organic, allocated, or liaison J-Staff support model?</w:t>
            </w:r>
          </w:p>
        </w:tc>
        <w:tc>
          <w:tcPr/>
          <w:p>
            <w:pPr>
              <w:pStyle w:val="Compact"/>
            </w:pPr>
            <w:r>
              <w:t xml:space="preserve">PG HQ</w:t>
            </w:r>
          </w:p>
        </w:tc>
        <w:tc>
          <w:tcPr/>
          <w:p>
            <w:pPr>
              <w:pStyle w:val="Compact"/>
            </w:pPr>
            <w:r>
              <w:t xml:space="preserve">P1</w:t>
            </w:r>
          </w:p>
        </w:tc>
        <w:tc>
          <w:tcPr/>
          <w:p>
            <w:pPr>
              <w:pStyle w:val="Compact"/>
            </w:pPr>
            <w:r>
              <w:t xml:space="preserve">Structural reorganisation (Q4 26)</w:t>
            </w:r>
          </w:p>
        </w:tc>
      </w:tr>
      <w:tr>
        <w:tc>
          <w:tcPr/>
          <w:p>
            <w:pPr>
              <w:pStyle w:val="Compact"/>
            </w:pPr>
            <w:r>
              <w:t xml:space="preserve">RFI-7</w:t>
            </w:r>
          </w:p>
        </w:tc>
        <w:tc>
          <w:tcPr/>
          <w:p>
            <w:pPr>
              <w:pStyle w:val="Compact"/>
            </w:pPr>
            <w:r>
              <w:t xml:space="preserve">Does PG HQ endorse Hameem as a mission rehearsal capability, and can FY27–30 capital planning begin?</w:t>
            </w:r>
          </w:p>
        </w:tc>
        <w:tc>
          <w:tcPr/>
          <w:p>
            <w:pPr>
              <w:pStyle w:val="Compact"/>
            </w:pPr>
            <w:r>
              <w:t xml:space="preserve">PG HQ</w:t>
            </w:r>
          </w:p>
        </w:tc>
        <w:tc>
          <w:tcPr/>
          <w:p>
            <w:pPr>
              <w:pStyle w:val="Compact"/>
            </w:pPr>
            <w:r>
              <w:t xml:space="preserve">P2</w:t>
            </w:r>
          </w:p>
        </w:tc>
        <w:tc>
          <w:tcPr/>
          <w:p>
            <w:pPr>
              <w:pStyle w:val="Compact"/>
            </w:pPr>
            <w:r>
              <w:t xml:space="preserve">Phase 2 / MLOC, LVC integration</w:t>
            </w:r>
          </w:p>
        </w:tc>
      </w:tr>
      <w:tr>
        <w:tc>
          <w:tcPr/>
          <w:p>
            <w:pPr>
              <w:pStyle w:val="Compact"/>
            </w:pPr>
            <w:r>
              <w:t xml:space="preserve">RFI-8</w:t>
            </w:r>
          </w:p>
        </w:tc>
        <w:tc>
          <w:tcPr/>
          <w:p>
            <w:pPr>
              <w:pStyle w:val="Compact"/>
            </w:pPr>
            <w:r>
              <w:t xml:space="preserve">Will PG HQ resource SBTDWS to carry all four concurrent functions, or should scope be phased?</w:t>
            </w:r>
          </w:p>
        </w:tc>
        <w:tc>
          <w:tcPr/>
          <w:p>
            <w:pPr>
              <w:pStyle w:val="Compact"/>
            </w:pPr>
            <w:r>
              <w:t xml:space="preserve">PG HQ / Steering Committee</w:t>
            </w:r>
          </w:p>
        </w:tc>
        <w:tc>
          <w:tcPr/>
          <w:p>
            <w:pPr>
              <w:pStyle w:val="Compact"/>
            </w:pPr>
            <w:r>
              <w:t xml:space="preserve">P2</w:t>
            </w:r>
          </w:p>
        </w:tc>
        <w:tc>
          <w:tcPr/>
          <w:p>
            <w:pPr>
              <w:pStyle w:val="Compact"/>
            </w:pPr>
            <w:r>
              <w:t xml:space="preserve">Consolidated resource submission</w:t>
            </w:r>
          </w:p>
        </w:tc>
      </w:tr>
      <w:tr>
        <w:tc>
          <w:tcPr/>
          <w:p>
            <w:pPr>
              <w:pStyle w:val="Compact"/>
            </w:pPr>
            <w:r>
              <w:t xml:space="preserve">RFI-9</w:t>
            </w:r>
          </w:p>
        </w:tc>
        <w:tc>
          <w:tcPr/>
          <w:p>
            <w:pPr>
              <w:pStyle w:val="Compact"/>
            </w:pPr>
            <w:r>
              <w:t xml:space="preserve">Will J7 and J3 engage on the (overdue) Force Generation Pipeline ToR, and can J7 confirm delivery capacity?</w:t>
            </w:r>
          </w:p>
        </w:tc>
        <w:tc>
          <w:tcPr/>
          <w:p>
            <w:pPr>
              <w:pStyle w:val="Compact"/>
            </w:pPr>
            <w:r>
              <w:t xml:space="preserve">J7 / J3</w:t>
            </w:r>
          </w:p>
        </w:tc>
        <w:tc>
          <w:tcPr/>
          <w:p>
            <w:pPr>
              <w:pStyle w:val="Compact"/>
            </w:pPr>
            <w:r>
              <w:t xml:space="preserve">P1</w:t>
            </w:r>
          </w:p>
        </w:tc>
        <w:tc>
          <w:tcPr/>
          <w:p>
            <w:pPr>
              <w:pStyle w:val="Compact"/>
            </w:pPr>
            <w:r>
              <w:t xml:space="preserve">Formal standing in PG force generation system</w:t>
            </w:r>
          </w:p>
        </w:tc>
      </w:tr>
      <w:tr>
        <w:tc>
          <w:tcPr/>
          <w:p>
            <w:pPr>
              <w:pStyle w:val="Compact"/>
            </w:pPr>
            <w:r>
              <w:t xml:space="preserve">RFI-10</w:t>
            </w:r>
          </w:p>
        </w:tc>
        <w:tc>
          <w:tcPr/>
          <w:p>
            <w:pPr>
              <w:pStyle w:val="Compact"/>
            </w:pPr>
            <w:r>
              <w:t xml:space="preserve">Can J3 formalise TEIW / J3 WDC governance before the first Makhlab 1 serial?</w:t>
            </w:r>
          </w:p>
        </w:tc>
        <w:tc>
          <w:tcPr/>
          <w:p>
            <w:pPr>
              <w:pStyle w:val="Compact"/>
            </w:pPr>
            <w:r>
              <w:t xml:space="preserve">J3</w:t>
            </w:r>
          </w:p>
        </w:tc>
        <w:tc>
          <w:tcPr/>
          <w:p>
            <w:pPr>
              <w:pStyle w:val="Compact"/>
            </w:pPr>
            <w:r>
              <w:t xml:space="preserve">P1</w:t>
            </w:r>
          </w:p>
        </w:tc>
        <w:tc>
          <w:tcPr/>
          <w:p>
            <w:pPr>
              <w:pStyle w:val="Compact"/>
            </w:pPr>
            <w:r>
              <w:t xml:space="preserve">Makhlab 1 (Q1 27)</w:t>
            </w:r>
          </w:p>
        </w:tc>
      </w:tr>
      <w:tr>
        <w:tc>
          <w:tcPr/>
          <w:p>
            <w:pPr>
              <w:pStyle w:val="Compact"/>
            </w:pPr>
            <w:r>
              <w:t xml:space="preserve">RFI-11</w:t>
            </w:r>
          </w:p>
        </w:tc>
        <w:tc>
          <w:tcPr/>
          <w:p>
            <w:pPr>
              <w:pStyle w:val="Compact"/>
            </w:pPr>
            <w:r>
              <w:t xml:space="preserve">What is the dispute-resolution mechanism between SBTDWS and PGI?</w:t>
            </w:r>
          </w:p>
        </w:tc>
        <w:tc>
          <w:tcPr/>
          <w:p>
            <w:pPr>
              <w:pStyle w:val="Compact"/>
            </w:pPr>
            <w:r>
              <w:t xml:space="preserve">PG HQ / PGI</w:t>
            </w:r>
          </w:p>
        </w:tc>
        <w:tc>
          <w:tcPr/>
          <w:p>
            <w:pPr>
              <w:pStyle w:val="Compact"/>
            </w:pPr>
            <w:r>
              <w:t xml:space="preserve">P3</w:t>
            </w:r>
          </w:p>
        </w:tc>
        <w:tc>
          <w:tcPr/>
          <w:p>
            <w:pPr>
              <w:pStyle w:val="Compact"/>
            </w:pPr>
            <w:r>
              <w:t xml:space="preserve">No live dispute yet — documented gap only</w:t>
            </w:r>
          </w:p>
        </w:tc>
      </w:tr>
      <w:tr>
        <w:tc>
          <w:tcPr/>
          <w:p>
            <w:pPr>
              <w:pStyle w:val="Compact"/>
            </w:pPr>
            <w:r>
              <w:t xml:space="preserve">RFI-12</w:t>
            </w:r>
          </w:p>
        </w:tc>
        <w:tc>
          <w:tcPr/>
          <w:p>
            <w:pPr>
              <w:pStyle w:val="Compact"/>
            </w:pPr>
            <w:r>
              <w:t xml:space="preserve">What is the CAPDEV to PGIC transition scope and timeline?</w:t>
            </w:r>
          </w:p>
        </w:tc>
        <w:tc>
          <w:tcPr/>
          <w:p>
            <w:pPr>
              <w:pStyle w:val="Compact"/>
            </w:pPr>
            <w:r>
              <w:t xml:space="preserve">PG HQ / SBTDWS</w:t>
            </w:r>
          </w:p>
        </w:tc>
        <w:tc>
          <w:tcPr/>
          <w:p>
            <w:pPr>
              <w:pStyle w:val="Compact"/>
            </w:pPr>
            <w:r>
              <w:t xml:space="preserve">P2</w:t>
            </w:r>
          </w:p>
        </w:tc>
        <w:tc>
          <w:tcPr/>
          <w:p>
            <w:pPr>
              <w:pStyle w:val="Compact"/>
            </w:pPr>
            <w:r>
              <w:t xml:space="preserve">TEIW scoping, staff clarity</w:t>
            </w:r>
          </w:p>
        </w:tc>
      </w:tr>
    </w:tbl>
    <w:p>
      <w:pPr>
        <w:pStyle w:val="BodyText"/>
      </w:pPr>
      <w:r>
        <w:rPr>
          <w:b/>
          <w:bCs/>
        </w:rPr>
        <w:t xml:space="preserve">Priority key:</w:t>
      </w:r>
      <w:r>
        <w:t xml:space="preserve"> </w:t>
      </w:r>
      <w:r>
        <w:t xml:space="preserve">P1 = blocks Phase 1 (now–Q4 26) or an imminent near-term gate. P2 = blocks Phase 2 or a specific downstream workstream, not immediately. P3 = documented gap, no active harm yet.</w:t>
      </w:r>
    </w:p>
    <w:p>
      <w:r>
        <w:pict>
          <v:rect style="width:0;height:1.5pt" o:hralign="center" o:hrstd="t" o:hr="t"/>
        </w:pict>
      </w:r>
    </w:p>
    <w:bookmarkEnd w:id="10"/>
    <w:bookmarkStart w:id="13" w:name="a.-institutional-identity-and-scope"/>
    <w:p>
      <w:pPr>
        <w:pStyle w:val="Heading2"/>
      </w:pPr>
      <w:r>
        <w:t xml:space="preserve">A. Institutional Identity and Scope</w:t>
      </w:r>
    </w:p>
    <w:bookmarkStart w:id="11" w:name="Xc3fbc50d08cd591f5f4e8023aa4492e9e6d3ead"/>
    <w:p>
      <w:pPr>
        <w:pStyle w:val="Heading3"/>
      </w:pPr>
      <w:r>
        <w:t xml:space="preserve">RFI-1 — Institutional name and source-of-truth document</w:t>
      </w:r>
    </w:p>
    <w:p>
      <w:pPr>
        <w:pStyle w:val="FirstParagraph"/>
      </w:pPr>
      <w:r>
        <w:rPr>
          <w:b/>
          <w:bCs/>
        </w:rPr>
        <w:t xml:space="preserve">Question:</w:t>
      </w:r>
      <w:r>
        <w:t xml:space="preserve"> </w:t>
      </w:r>
      <w:r>
        <w:t xml:space="preserve">Is</w:t>
      </w:r>
      <w:r>
        <w:t xml:space="preserve"> </w:t>
      </w:r>
      <w:r>
        <w:t xml:space="preserve">“All Domain Warfare Centre (ADWC)”</w:t>
      </w:r>
      <w:r>
        <w:t xml:space="preserve"> </w:t>
      </w:r>
      <w:r>
        <w:t xml:space="preserve">still the confirmed 2030 end-state name, or has it been superseded by</w:t>
      </w:r>
      <w:r>
        <w:t xml:space="preserve"> </w:t>
      </w:r>
      <w:r>
        <w:t xml:space="preserve">“Multi Domain Warfare Centre (MDWC)”</w:t>
      </w:r>
      <w:r>
        <w:t xml:space="preserve"> </w:t>
      </w:r>
      <w:r>
        <w:t xml:space="preserve">as used in the J7-authored Six-Domain Study (dated 28 July 2026)? If MDWC is now the working title, is there a single PG Headquarters-endorsed source-of-truth document SBTDWS should be planning against going forward?</w:t>
      </w:r>
    </w:p>
    <w:p>
      <w:pPr>
        <w:pStyle w:val="BodyText"/>
      </w:pPr>
      <w:r>
        <w:rPr>
          <w:b/>
          <w:bCs/>
        </w:rPr>
        <w:t xml:space="preserve">Why we’re asking:</w:t>
      </w:r>
      <w:r>
        <w:t xml:space="preserve"> </w:t>
      </w:r>
      <w:r>
        <w:t xml:space="preserve">Two products dated the same day — SBTDWS’s own Implementation Plan and J7’s Six-Domain Study — use two different institutional names, with the J7 document stating outright that ADWC is superseded. Neither is a formal decision. This is a live, observed example of two authorities planning against different names in parallel.</w:t>
      </w:r>
    </w:p>
    <w:p>
      <w:pPr>
        <w:pStyle w:val="BodyText"/>
      </w:pPr>
      <w:r>
        <w:rPr>
          <w:b/>
          <w:bCs/>
        </w:rPr>
        <w:t xml:space="preserve">What’s blocked without an answer:</w:t>
      </w:r>
      <w:r>
        <w:t xml:space="preserve"> </w:t>
      </w:r>
      <w:r>
        <w:t xml:space="preserve">External communications, the structural reorganisation announcement, the Arabic translation glossary work already underway, and every future briefing product risks using the wrong name.</w:t>
      </w:r>
    </w:p>
    <w:p>
      <w:pPr>
        <w:pStyle w:val="BodyText"/>
      </w:pPr>
      <w:r>
        <w:rPr>
          <w:b/>
          <w:bCs/>
        </w:rPr>
        <w:t xml:space="preserve">Priority:</w:t>
      </w:r>
      <w:r>
        <w:t xml:space="preserve"> </w:t>
      </w:r>
      <w:r>
        <w:t xml:space="preserve">P1 — cheap to answer, high cost of continued ambiguity.</w:t>
      </w:r>
    </w:p>
    <w:bookmarkEnd w:id="11"/>
    <w:bookmarkStart w:id="12" w:name="X59d17f29ec5f8ca9227d1d885a80aa8bc359e55"/>
    <w:p>
      <w:pPr>
        <w:pStyle w:val="Heading3"/>
      </w:pPr>
      <w:r>
        <w:t xml:space="preserve">RFI-2 — Domain scope: maritime, cyber, space, EMS</w:t>
      </w:r>
    </w:p>
    <w:p>
      <w:pPr>
        <w:pStyle w:val="FirstParagraph"/>
      </w:pPr>
      <w:r>
        <w:rPr>
          <w:b/>
          <w:bCs/>
        </w:rPr>
        <w:t xml:space="preserve">Question (three parts):</w:t>
      </w:r>
    </w:p>
    <w:p>
      <w:pPr>
        <w:pStyle w:val="Compact"/>
        <w:numPr>
          <w:ilvl w:val="0"/>
          <w:numId w:val="1001"/>
        </w:numPr>
      </w:pPr>
      <w:r>
        <w:t xml:space="preserve">Does SBTDWS have a maritime uncrewed-systems Test and Evaluation role under Force Design Concept Five (FDC5), or is maritime out of scope?</w:t>
      </w:r>
    </w:p>
    <w:p>
      <w:pPr>
        <w:pStyle w:val="Compact"/>
        <w:numPr>
          <w:ilvl w:val="0"/>
          <w:numId w:val="1001"/>
        </w:numPr>
      </w:pPr>
      <w:r>
        <w:t xml:space="preserve">Which organisation holds training authority for the cyber and space domains, and what coordination mechanism (not ownership) should SBTDWS establish with them?</w:t>
      </w:r>
    </w:p>
    <w:p>
      <w:pPr>
        <w:pStyle w:val="Compact"/>
        <w:numPr>
          <w:ilvl w:val="0"/>
          <w:numId w:val="1001"/>
        </w:numPr>
      </w:pPr>
      <w:r>
        <w:t xml:space="preserve">Can SBTDWS begin electromagnetic spectrum (EMS) capability planning for Hameem now — portable threat emulation systems, spectrum management plan, EW/EMS SME cadre — on the basis that EMS is a near-term MDWC/PG Headquarters shared responsibility, not a claim to full EMS warfare capability?</w:t>
      </w:r>
    </w:p>
    <w:p>
      <w:pPr>
        <w:pStyle w:val="FirstParagraph"/>
      </w:pPr>
      <w:r>
        <w:rPr>
          <w:b/>
          <w:bCs/>
        </w:rPr>
        <w:t xml:space="preserve">Why we’re asking:</w:t>
      </w:r>
      <w:r>
        <w:t xml:space="preserve"> </w:t>
      </w:r>
      <w:r>
        <w:t xml:space="preserve">Land and air are clear and already being resourced. The other four domains have never received explicit Headquarters confirmation, and two independent analyses — the five-LOE implementation brief and the Six-Domain Study — flagged the identical three gaps from different angles within the same week.</w:t>
      </w:r>
    </w:p>
    <w:p>
      <w:pPr>
        <w:pStyle w:val="BodyText"/>
      </w:pPr>
      <w:r>
        <w:rPr>
          <w:b/>
          <w:bCs/>
        </w:rPr>
        <w:t xml:space="preserve">What’s blocked without an answer:</w:t>
      </w:r>
      <w:r>
        <w:t xml:space="preserve"> </w:t>
      </w:r>
      <w:r>
        <w:t xml:space="preserve">Domain-scope planning generally; specifically, uncrewed-systems Test and Evaluation credibility is compromised without realistic EMS threat representation, which directly undermines every MAKHLAB/Makhlab 1 validation outcome.</w:t>
      </w:r>
    </w:p>
    <w:p>
      <w:pPr>
        <w:pStyle w:val="BodyText"/>
      </w:pPr>
      <w:r>
        <w:rPr>
          <w:b/>
          <w:bCs/>
        </w:rPr>
        <w:t xml:space="preserve">Priority:</w:t>
      </w:r>
      <w:r>
        <w:t xml:space="preserve"> </w:t>
      </w:r>
      <w:r>
        <w:t xml:space="preserve">P2 — does not block current Phase 1 land/air work, but EMS in particular cannot be deferred without cost to test credibility.</w:t>
      </w:r>
    </w:p>
    <w:p>
      <w:r>
        <w:pict>
          <v:rect style="width:0;height:1.5pt" o:hralign="center" o:hrstd="t" o:hr="t"/>
        </w:pict>
      </w:r>
    </w:p>
    <w:bookmarkEnd w:id="12"/>
    <w:bookmarkEnd w:id="13"/>
    <w:bookmarkStart w:id="17" w:name="b.-authority-and-standards"/>
    <w:p>
      <w:pPr>
        <w:pStyle w:val="Heading2"/>
      </w:pPr>
      <w:r>
        <w:t xml:space="preserve">B. Authority and Standards</w:t>
      </w:r>
    </w:p>
    <w:bookmarkStart w:id="14" w:name="rfi-3-validation-authority"/>
    <w:p>
      <w:pPr>
        <w:pStyle w:val="Heading3"/>
      </w:pPr>
      <w:r>
        <w:t xml:space="preserve">RFI-3 — Validation authority</w:t>
      </w:r>
    </w:p>
    <w:p>
      <w:pPr>
        <w:pStyle w:val="FirstParagraph"/>
      </w:pPr>
      <w:r>
        <w:rPr>
          <w:b/>
          <w:bCs/>
        </w:rPr>
        <w:t xml:space="preserve">Question:</w:t>
      </w:r>
      <w:r>
        <w:t xml:space="preserve"> </w:t>
      </w:r>
      <w:r>
        <w:t xml:space="preserve">Can SBTDWS certify (issue a formal readiness certificate), fail (record an adverse assessment with command consequences), and recommend remediation for units assessed under SAG 9/10 and Directed Military Task validation events — or is the function advisory only?</w:t>
      </w:r>
    </w:p>
    <w:p>
      <w:pPr>
        <w:pStyle w:val="BodyText"/>
      </w:pPr>
      <w:r>
        <w:rPr>
          <w:b/>
          <w:bCs/>
        </w:rPr>
        <w:t xml:space="preserve">Why we’re asking:</w:t>
      </w:r>
      <w:r>
        <w:t xml:space="preserve"> </w:t>
      </w:r>
      <w:r>
        <w:t xml:space="preserve">Everything downstream of standing up an Observer Trainer cadre assumes real consequence. Without an answer, the default is advisory, and Observer Trainers will self-censor rather than fail units they know command cannot back.</w:t>
      </w:r>
    </w:p>
    <w:p>
      <w:pPr>
        <w:pStyle w:val="BodyText"/>
      </w:pPr>
      <w:r>
        <w:rPr>
          <w:b/>
          <w:bCs/>
        </w:rPr>
        <w:t xml:space="preserve">What’s blocked without an answer:</w:t>
      </w:r>
      <w:r>
        <w:t xml:space="preserve"> </w:t>
      </w:r>
      <w:r>
        <w:t xml:space="preserve">Observer Trainer cadre authority and credibility, the adverse-assessment reporting chain drafted in the Force Generation Pipeline ToR, and the institutional-culture fix (honest assessment) that has to precede higher validation functions.</w:t>
      </w:r>
    </w:p>
    <w:p>
      <w:pPr>
        <w:pStyle w:val="BodyText"/>
      </w:pPr>
      <w:r>
        <w:rPr>
          <w:b/>
          <w:bCs/>
        </w:rPr>
        <w:t xml:space="preserve">Priority:</w:t>
      </w:r>
      <w:r>
        <w:t xml:space="preserve"> </w:t>
      </w:r>
      <w:r>
        <w:t xml:space="preserve">P1 — required before the first validation serial (targeted Q2 27); the Observer Trainer pipeline has no schedule slack.</w:t>
      </w:r>
    </w:p>
    <w:bookmarkEnd w:id="14"/>
    <w:bookmarkStart w:id="15" w:name="rfi-4-sag-9-sag-10-standards-ownership"/>
    <w:p>
      <w:pPr>
        <w:pStyle w:val="Heading3"/>
      </w:pPr>
      <w:r>
        <w:t xml:space="preserve">RFI-4 — SAG 9 / SAG 10 standards ownership</w:t>
      </w:r>
    </w:p>
    <w:p>
      <w:pPr>
        <w:pStyle w:val="FirstParagraph"/>
      </w:pPr>
      <w:r>
        <w:rPr>
          <w:b/>
          <w:bCs/>
        </w:rPr>
        <w:t xml:space="preserve">Question:</w:t>
      </w:r>
      <w:r>
        <w:t xml:space="preserve"> </w:t>
      </w:r>
      <w:r>
        <w:t xml:space="preserve">Who drafts, endorses, and owns the validation standards for SAG 9 (Combined Unconventional Warfare) and SAG 10 (Resilience and Capacity Building)? Three options currently on the table: SBTDWS drafts and J7 endorses; J3 Warfare Development Centre (WDC) drafts and PG Headquarters endorses; or the SAG-lead study group owners write the standard and hand it to SBTDWS for execution.</w:t>
      </w:r>
    </w:p>
    <w:p>
      <w:pPr>
        <w:pStyle w:val="BodyText"/>
      </w:pPr>
      <w:r>
        <w:rPr>
          <w:b/>
          <w:bCs/>
        </w:rPr>
        <w:t xml:space="preserve">Why we’re asking:</w:t>
      </w:r>
      <w:r>
        <w:t xml:space="preserve"> </w:t>
      </w:r>
      <w:r>
        <w:t xml:space="preserve">The SBTDWS analysis and assessment (SAT) cell cannot finalise All Domain Warfare competency profiles against an undefined standard, and this is already a named critical-path item.</w:t>
      </w:r>
    </w:p>
    <w:p>
      <w:pPr>
        <w:pStyle w:val="BodyText"/>
      </w:pPr>
      <w:r>
        <w:rPr>
          <w:b/>
          <w:bCs/>
        </w:rPr>
        <w:t xml:space="preserve">What’s blocked without an answer:</w:t>
      </w:r>
      <w:r>
        <w:t xml:space="preserve"> </w:t>
      </w:r>
      <w:r>
        <w:t xml:space="preserve">Observer Trainer curriculum design; the Phase 1 Initial Operating Capability gate, currently targeted Q2 27.</w:t>
      </w:r>
    </w:p>
    <w:p>
      <w:pPr>
        <w:pStyle w:val="BodyText"/>
      </w:pPr>
      <w:r>
        <w:rPr>
          <w:b/>
          <w:bCs/>
        </w:rPr>
        <w:t xml:space="preserve">Priority:</w:t>
      </w:r>
      <w:r>
        <w:t xml:space="preserve"> </w:t>
      </w:r>
      <w:r>
        <w:t xml:space="preserve">P1.</w:t>
      </w:r>
    </w:p>
    <w:bookmarkEnd w:id="15"/>
    <w:bookmarkStart w:id="16" w:name="rfi-5-iw-uw-capability-boundary"/>
    <w:p>
      <w:pPr>
        <w:pStyle w:val="Heading3"/>
      </w:pPr>
      <w:r>
        <w:t xml:space="preserve">RFI-5 — IW / UW capability boundary</w:t>
      </w:r>
    </w:p>
    <w:p>
      <w:pPr>
        <w:pStyle w:val="FirstParagraph"/>
      </w:pPr>
      <w:r>
        <w:rPr>
          <w:b/>
          <w:bCs/>
        </w:rPr>
        <w:t xml:space="preserve">Question:</w:t>
      </w:r>
      <w:r>
        <w:t xml:space="preserve"> </w:t>
      </w:r>
      <w:r>
        <w:t xml:space="preserve">What is the formal boundary between (a) the Irregular Warfare capability being grown across PG units through individual courses delivered by the Presidential Guard Institute / Irregular Warfare Training Centre, and (b) the Unconventional Warfare capability being handed off from Special Operations Command as a force-generation product to specialist sub-units?</w:t>
      </w:r>
    </w:p>
    <w:p>
      <w:pPr>
        <w:pStyle w:val="BodyText"/>
      </w:pPr>
      <w:r>
        <w:rPr>
          <w:b/>
          <w:bCs/>
        </w:rPr>
        <w:t xml:space="preserve">Why we’re asking:</w:t>
      </w:r>
      <w:r>
        <w:t xml:space="preserve"> </w:t>
      </w:r>
      <w:r>
        <w:t xml:space="preserve">This is the single most cited blocking dependency across the transformation planning work — it appears independently in the Commander Decisions Register, the FIC analysis, and the five-LOE brief’s PGI dispute question. SBTDWS cannot resolve it alone; it requires direction from Higher Headquarters, above PG Headquarters level.</w:t>
      </w:r>
    </w:p>
    <w:p>
      <w:pPr>
        <w:pStyle w:val="BodyText"/>
      </w:pPr>
      <w:r>
        <w:rPr>
          <w:b/>
          <w:bCs/>
        </w:rPr>
        <w:t xml:space="preserve">What’s blocked without an answer:</w:t>
      </w:r>
      <w:r>
        <w:t xml:space="preserve"> </w:t>
      </w:r>
      <w:r>
        <w:t xml:space="preserve">SAG 9 validation scope and standards, Observer Trainer curriculum design for SAG 9 tasks, PGI/IWTC scope and throughput requirements, and the Special Operations Command handover plan.</w:t>
      </w:r>
    </w:p>
    <w:p>
      <w:pPr>
        <w:pStyle w:val="BodyText"/>
      </w:pPr>
      <w:r>
        <w:rPr>
          <w:b/>
          <w:bCs/>
        </w:rPr>
        <w:t xml:space="preserve">Priority:</w:t>
      </w:r>
      <w:r>
        <w:t xml:space="preserve"> </w:t>
      </w:r>
      <w:r>
        <w:t xml:space="preserve">P1 — required by Q3 26 under the current plan, before Observer Trainer curriculum design can complete.</w:t>
      </w:r>
    </w:p>
    <w:p>
      <w:r>
        <w:pict>
          <v:rect style="width:0;height:1.5pt" o:hralign="center" o:hrstd="t" o:hr="t"/>
        </w:pict>
      </w:r>
    </w:p>
    <w:bookmarkEnd w:id="16"/>
    <w:bookmarkEnd w:id="17"/>
    <w:bookmarkStart w:id="21" w:name="c.-structure-and-resourcing"/>
    <w:p>
      <w:pPr>
        <w:pStyle w:val="Heading2"/>
      </w:pPr>
      <w:r>
        <w:t xml:space="preserve">C. Structure and Resourcing</w:t>
      </w:r>
    </w:p>
    <w:bookmarkStart w:id="18" w:name="rfi-6-j-staff-support-model"/>
    <w:p>
      <w:pPr>
        <w:pStyle w:val="Heading3"/>
      </w:pPr>
      <w:r>
        <w:t xml:space="preserve">RFI-6 — J-Staff support model</w:t>
      </w:r>
    </w:p>
    <w:p>
      <w:pPr>
        <w:pStyle w:val="FirstParagraph"/>
      </w:pPr>
      <w:r>
        <w:rPr>
          <w:b/>
          <w:bCs/>
        </w:rPr>
        <w:t xml:space="preserve">Question:</w:t>
      </w:r>
      <w:r>
        <w:t xml:space="preserve"> </w:t>
      </w:r>
      <w:r>
        <w:t xml:space="preserve">Will SBTDWS receive organic J-Staff (its own J2/J6/J8 minimum), PG Headquarters-allocated J-Staff on an exercise cycle, or embedded liaison officers into PG Headquarters J-Staff cells?</w:t>
      </w:r>
    </w:p>
    <w:p>
      <w:pPr>
        <w:pStyle w:val="BodyText"/>
      </w:pPr>
      <w:r>
        <w:rPr>
          <w:b/>
          <w:bCs/>
        </w:rPr>
        <w:t xml:space="preserve">Why we’re asking:</w:t>
      </w:r>
      <w:r>
        <w:t xml:space="preserve"> </w:t>
      </w:r>
      <w:r>
        <w:t xml:space="preserve">The structural reorganisation plan (targeted Q4 26) cannot be finalised without knowing which J-functions SBTDWS will own outright versus borrow.</w:t>
      </w:r>
    </w:p>
    <w:p>
      <w:pPr>
        <w:pStyle w:val="BodyText"/>
      </w:pPr>
      <w:r>
        <w:rPr>
          <w:b/>
          <w:bCs/>
        </w:rPr>
        <w:t xml:space="preserve">What’s blocked without an answer:</w:t>
      </w:r>
      <w:r>
        <w:t xml:space="preserve"> </w:t>
      </w:r>
      <w:r>
        <w:t xml:space="preserve">Structural design; EXCON and HICON planning, both of which require J2/J6/J7 support at minimum.</w:t>
      </w:r>
    </w:p>
    <w:p>
      <w:pPr>
        <w:pStyle w:val="BodyText"/>
      </w:pPr>
      <w:r>
        <w:rPr>
          <w:b/>
          <w:bCs/>
        </w:rPr>
        <w:t xml:space="preserve">Priority:</w:t>
      </w:r>
      <w:r>
        <w:t xml:space="preserve"> </w:t>
      </w:r>
      <w:r>
        <w:t xml:space="preserve">P1.</w:t>
      </w:r>
    </w:p>
    <w:bookmarkEnd w:id="18"/>
    <w:bookmarkStart w:id="19" w:name="Xdcb7585422dc3bf5c320810575df5c6130b39e8"/>
    <w:p>
      <w:pPr>
        <w:pStyle w:val="Heading3"/>
      </w:pPr>
      <w:r>
        <w:t xml:space="preserve">RFI-7 — Hameem concept of use and capital commitment</w:t>
      </w:r>
    </w:p>
    <w:p>
      <w:pPr>
        <w:pStyle w:val="FirstParagraph"/>
      </w:pPr>
      <w:r>
        <w:rPr>
          <w:b/>
          <w:bCs/>
        </w:rPr>
        <w:t xml:space="preserve">Question:</w:t>
      </w:r>
      <w:r>
        <w:t xml:space="preserve"> </w:t>
      </w:r>
      <w:r>
        <w:t xml:space="preserve">Does PG Headquarters endorse developing Hameem as a mission rehearsal capability (EXCON, LVC integration, instrumentation, security, digital connectivity) rather than a conventional training-site upgrade, and can FY27–30 capital planning begin on that basis?</w:t>
      </w:r>
    </w:p>
    <w:p>
      <w:pPr>
        <w:pStyle w:val="BodyText"/>
      </w:pPr>
      <w:r>
        <w:rPr>
          <w:b/>
          <w:bCs/>
        </w:rPr>
        <w:t xml:space="preserve">Why we’re asking:</w:t>
      </w:r>
      <w:r>
        <w:t xml:space="preserve"> </w:t>
      </w:r>
      <w:r>
        <w:t xml:space="preserve">Capital planning has long lead times; Headquarters endorsement of the concept of use is the precondition for starting it, not a parallel-track item.</w:t>
      </w:r>
    </w:p>
    <w:p>
      <w:pPr>
        <w:pStyle w:val="BodyText"/>
      </w:pPr>
      <w:r>
        <w:rPr>
          <w:b/>
          <w:bCs/>
        </w:rPr>
        <w:t xml:space="preserve">What’s blocked without an answer:</w:t>
      </w:r>
      <w:r>
        <w:t xml:space="preserve"> </w:t>
      </w:r>
      <w:r>
        <w:t xml:space="preserve">Phase 2 (Minimum Limited Operating Capability), formation-level mission rehearsal capability, LVC integration with J7.</w:t>
      </w:r>
    </w:p>
    <w:p>
      <w:pPr>
        <w:pStyle w:val="BodyText"/>
      </w:pPr>
      <w:r>
        <w:rPr>
          <w:b/>
          <w:bCs/>
        </w:rPr>
        <w:t xml:space="preserve">Priority:</w:t>
      </w:r>
      <w:r>
        <w:t xml:space="preserve"> </w:t>
      </w:r>
      <w:r>
        <w:t xml:space="preserve">P2 — required by Q2 27 (capital planning must begin before the FY27 budget cycle), not immediate, but the runway is not long.</w:t>
      </w:r>
    </w:p>
    <w:bookmarkEnd w:id="19"/>
    <w:bookmarkStart w:id="20" w:name="X59316d6f5117388585effb0c235050defca42c4"/>
    <w:p>
      <w:pPr>
        <w:pStyle w:val="Heading3"/>
      </w:pPr>
      <w:r>
        <w:t xml:space="preserve">RFI-8 — Resourcing commitment given concurrent single-point-of-failure risk</w:t>
      </w:r>
    </w:p>
    <w:p>
      <w:pPr>
        <w:pStyle w:val="FirstParagraph"/>
      </w:pPr>
      <w:r>
        <w:rPr>
          <w:b/>
          <w:bCs/>
        </w:rPr>
        <w:t xml:space="preserve">Question:</w:t>
      </w:r>
      <w:r>
        <w:t xml:space="preserve"> </w:t>
      </w:r>
      <w:r>
        <w:t xml:space="preserve">SAG 9/10 Senior Responsible Owner (SRO) accountability, UW-adjacent validation, FDC 5 tactical experimentation lead, and Hameem LVC delivery currently all sit on SBTDWS at once. Will PG Headquarters resource the school to carry all four functions concurrently at the scale implied (an estimated 30–45 additional personnel at Full Operating Capability), or should Headquarters direct a phased sequencing that protects whichever functions it considers highest priority?</w:t>
      </w:r>
    </w:p>
    <w:p>
      <w:pPr>
        <w:pStyle w:val="BodyText"/>
      </w:pPr>
      <w:r>
        <w:rPr>
          <w:b/>
          <w:bCs/>
        </w:rPr>
        <w:t xml:space="preserve">Why we’re asking:</w:t>
      </w:r>
      <w:r>
        <w:t xml:space="preserve"> </w:t>
      </w:r>
      <w:r>
        <w:t xml:space="preserve">This is the resourcing question SBTDWS cannot answer for itself — it needs an explicit ambition-versus-resourcing steer before the consolidated resource submission is finalised and tabled.</w:t>
      </w:r>
    </w:p>
    <w:p>
      <w:pPr>
        <w:pStyle w:val="BodyText"/>
      </w:pPr>
      <w:r>
        <w:rPr>
          <w:b/>
          <w:bCs/>
        </w:rPr>
        <w:t xml:space="preserve">What’s blocked without an answer:</w:t>
      </w:r>
      <w:r>
        <w:t xml:space="preserve"> </w:t>
      </w:r>
      <w:r>
        <w:t xml:space="preserve">The credibility of the resource submission; the risk that all four functions are simultaneously under-resourced if the ask is not backed.</w:t>
      </w:r>
    </w:p>
    <w:p>
      <w:pPr>
        <w:pStyle w:val="BodyText"/>
      </w:pPr>
      <w:r>
        <w:rPr>
          <w:b/>
          <w:bCs/>
        </w:rPr>
        <w:t xml:space="preserve">Priority:</w:t>
      </w:r>
      <w:r>
        <w:t xml:space="preserve"> </w:t>
      </w:r>
      <w:r>
        <w:t xml:space="preserve">P2.</w:t>
      </w:r>
    </w:p>
    <w:p>
      <w:r>
        <w:pict>
          <v:rect style="width:0;height:1.5pt" o:hralign="center" o:hrstd="t" o:hr="t"/>
        </w:pict>
      </w:r>
    </w:p>
    <w:bookmarkEnd w:id="20"/>
    <w:bookmarkEnd w:id="21"/>
    <w:bookmarkStart w:id="26" w:name="d.-governance-and-relationships"/>
    <w:p>
      <w:pPr>
        <w:pStyle w:val="Heading2"/>
      </w:pPr>
      <w:r>
        <w:t xml:space="preserve">D. Governance and Relationships</w:t>
      </w:r>
    </w:p>
    <w:bookmarkStart w:id="22" w:name="X8a9a484d68d75b74982b38c01b68e24949750d0"/>
    <w:p>
      <w:pPr>
        <w:pStyle w:val="Heading3"/>
      </w:pPr>
      <w:r>
        <w:t xml:space="preserve">RFI-9 — Force Generation Pipeline Terms of Reference: engagement and J7 delivery capacity</w:t>
      </w:r>
    </w:p>
    <w:p>
      <w:pPr>
        <w:pStyle w:val="FirstParagraph"/>
      </w:pPr>
      <w:r>
        <w:rPr>
          <w:b/>
          <w:bCs/>
        </w:rPr>
        <w:t xml:space="preserve">Question:</w:t>
      </w:r>
      <w:r>
        <w:t xml:space="preserve"> </w:t>
      </w:r>
      <w:r>
        <w:t xml:space="preserve">Can J7 and J3 confirm willingness to engage on the draft Force Generation Pipeline Terms of Reference (target signature was Q2 26; currently overdue)? Separately, can J7 confirm capacity to deliver the resource provisions listed in the draft ToR — OPFOR elements, instrumentation, LVC simulation access, a designated liaison officer — before the remaining timelines (advance-request windows, planning-cell meeting frequency, lessons-report turnaround) are finalised?</w:t>
      </w:r>
    </w:p>
    <w:p>
      <w:pPr>
        <w:pStyle w:val="BodyText"/>
      </w:pPr>
      <w:r>
        <w:rPr>
          <w:b/>
          <w:bCs/>
        </w:rPr>
        <w:t xml:space="preserve">Why we’re asking:</w:t>
      </w:r>
      <w:r>
        <w:t xml:space="preserve"> </w:t>
      </w:r>
      <w:r>
        <w:t xml:space="preserve">SBTDWS has no formal standing in the PG force generation system without this ToR. The draft is complete and awaiting direction to table it; the Commandant-side decision to direct the engagement is SBTDWS’s own action, but J7/J3’s willingness and capacity to actually deliver against it is a genuine open question, not assumed.</w:t>
      </w:r>
    </w:p>
    <w:p>
      <w:pPr>
        <w:pStyle w:val="BodyText"/>
      </w:pPr>
      <w:r>
        <w:rPr>
          <w:b/>
          <w:bCs/>
        </w:rPr>
        <w:t xml:space="preserve">What’s blocked without an answer:</w:t>
      </w:r>
      <w:r>
        <w:t xml:space="preserve"> </w:t>
      </w:r>
      <w:r>
        <w:t xml:space="preserve">Everything within the ToR’s scope — collective training integration into the J7 exercise programme, EXCON/HICON nesting inside J7 LVC architecture, formal recognition as a validation node.</w:t>
      </w:r>
    </w:p>
    <w:p>
      <w:pPr>
        <w:pStyle w:val="BodyText"/>
      </w:pPr>
      <w:r>
        <w:rPr>
          <w:b/>
          <w:bCs/>
        </w:rPr>
        <w:t xml:space="preserve">Priority:</w:t>
      </w:r>
      <w:r>
        <w:t xml:space="preserve"> </w:t>
      </w:r>
      <w:r>
        <w:t xml:space="preserve">P1 — already overdue.</w:t>
      </w:r>
    </w:p>
    <w:bookmarkEnd w:id="22"/>
    <w:bookmarkStart w:id="23" w:name="rfi-10-j3-wdc-experimentation-governance"/>
    <w:p>
      <w:pPr>
        <w:pStyle w:val="Heading3"/>
      </w:pPr>
      <w:r>
        <w:t xml:space="preserve">RFI-10 — J3 WDC experimentation governance</w:t>
      </w:r>
    </w:p>
    <w:p>
      <w:pPr>
        <w:pStyle w:val="FirstParagraph"/>
      </w:pPr>
      <w:r>
        <w:rPr>
          <w:b/>
          <w:bCs/>
        </w:rPr>
        <w:t xml:space="preserve">Question:</w:t>
      </w:r>
      <w:r>
        <w:t xml:space="preserve"> </w:t>
      </w:r>
      <w:r>
        <w:t xml:space="preserve">Can J3 formalise the SBTDWS Tactical Experimentation and Innovation Wing (TEIW) / J3 Warfare Development Centre relationship — experimentation trigger, approval process, findings and TTP ownership, and the governing agreement — before the first Makhlab 1 serial, currently targeted Q1 27?</w:t>
      </w:r>
    </w:p>
    <w:p>
      <w:pPr>
        <w:pStyle w:val="BodyText"/>
      </w:pPr>
      <w:r>
        <w:rPr>
          <w:b/>
          <w:bCs/>
        </w:rPr>
        <w:t xml:space="preserve">Why we’re asking:</w:t>
      </w:r>
      <w:r>
        <w:t xml:space="preserve"> </w:t>
      </w:r>
      <w:r>
        <w:t xml:space="preserve">Without formal governance, TEIW experiments run informally: outputs are demonstrated but not institutionalised, and lessons are not transferred to units in a governed way.</w:t>
      </w:r>
    </w:p>
    <w:p>
      <w:pPr>
        <w:pStyle w:val="BodyText"/>
      </w:pPr>
      <w:r>
        <w:rPr>
          <w:b/>
          <w:bCs/>
        </w:rPr>
        <w:t xml:space="preserve">What’s blocked without an answer:</w:t>
      </w:r>
      <w:r>
        <w:t xml:space="preserve"> </w:t>
      </w:r>
      <w:r>
        <w:t xml:space="preserve">The Makhlab 1 proof-of-concept serial and everything that depends on it being a governed, not informal, first sprint.</w:t>
      </w:r>
    </w:p>
    <w:p>
      <w:pPr>
        <w:pStyle w:val="BodyText"/>
      </w:pPr>
      <w:r>
        <w:rPr>
          <w:b/>
          <w:bCs/>
        </w:rPr>
        <w:t xml:space="preserve">Priority:</w:t>
      </w:r>
      <w:r>
        <w:t xml:space="preserve"> </w:t>
      </w:r>
      <w:r>
        <w:t xml:space="preserve">P1 — Q1 27 is close.</w:t>
      </w:r>
    </w:p>
    <w:bookmarkEnd w:id="23"/>
    <w:bookmarkStart w:id="24" w:name="rfi-11-pgi-dispute-resolution-mechanism"/>
    <w:p>
      <w:pPr>
        <w:pStyle w:val="Heading3"/>
      </w:pPr>
      <w:r>
        <w:t xml:space="preserve">RFI-11 — PGI dispute resolution mechanism</w:t>
      </w:r>
    </w:p>
    <w:p>
      <w:pPr>
        <w:pStyle w:val="FirstParagraph"/>
      </w:pPr>
      <w:r>
        <w:rPr>
          <w:b/>
          <w:bCs/>
        </w:rPr>
        <w:t xml:space="preserve">Question:</w:t>
      </w:r>
      <w:r>
        <w:t xml:space="preserve"> </w:t>
      </w:r>
      <w:r>
        <w:t xml:space="preserve">In the absence of a formal PGI–SBTDWS agreement, what is the mechanism for resolving disagreements between the two institutions — for example over course alignment, attendance tracking, or the individual-to-collective handover?</w:t>
      </w:r>
    </w:p>
    <w:p>
      <w:pPr>
        <w:pStyle w:val="BodyText"/>
      </w:pPr>
      <w:r>
        <w:rPr>
          <w:b/>
          <w:bCs/>
        </w:rPr>
        <w:t xml:space="preserve">Why we’re asking:</w:t>
      </w:r>
      <w:r>
        <w:t xml:space="preserve"> </w:t>
      </w:r>
      <w:r>
        <w:t xml:space="preserve">The draft Force Generation Pipeline ToR’s dispute-resolution clause covers only J7, SBTDWS, and J3. PGI is not a party to it, and no equivalent mechanism has ever been proposed. This item first surfaced as an unanswered line in the five-LOE brief’s decisions-needed section, with no existing owner.</w:t>
      </w:r>
    </w:p>
    <w:p>
      <w:pPr>
        <w:pStyle w:val="BodyText"/>
      </w:pPr>
      <w:r>
        <w:rPr>
          <w:b/>
          <w:bCs/>
        </w:rPr>
        <w:t xml:space="preserve">What’s blocked without an answer:</w:t>
      </w:r>
      <w:r>
        <w:t xml:space="preserve"> </w:t>
      </w:r>
      <w:r>
        <w:t xml:space="preserve">Nothing actively yet — no dispute has occurred — but this is a documented process gap PG Headquarters should be aware exists before one does.</w:t>
      </w:r>
    </w:p>
    <w:p>
      <w:pPr>
        <w:pStyle w:val="BodyText"/>
      </w:pPr>
      <w:r>
        <w:rPr>
          <w:b/>
          <w:bCs/>
        </w:rPr>
        <w:t xml:space="preserve">Priority:</w:t>
      </w:r>
      <w:r>
        <w:t xml:space="preserve"> </w:t>
      </w:r>
      <w:r>
        <w:t xml:space="preserve">P3.</w:t>
      </w:r>
    </w:p>
    <w:bookmarkEnd w:id="24"/>
    <w:bookmarkStart w:id="25" w:name="rfi-12-capdev-to-pgic-transition-plan"/>
    <w:p>
      <w:pPr>
        <w:pStyle w:val="Heading3"/>
      </w:pPr>
      <w:r>
        <w:t xml:space="preserve">RFI-12 — CAPDEV to PGIC transition plan</w:t>
      </w:r>
    </w:p>
    <w:p>
      <w:pPr>
        <w:pStyle w:val="FirstParagraph"/>
      </w:pPr>
      <w:r>
        <w:rPr>
          <w:b/>
          <w:bCs/>
        </w:rPr>
        <w:t xml:space="preserve">Question:</w:t>
      </w:r>
      <w:r>
        <w:t xml:space="preserve"> </w:t>
      </w:r>
      <w:r>
        <w:t xml:space="preserve">What is the scope and timeline for transferring the capability development (CAPDEV) cell to PG Innovation Command (PGIC) — specifically, what capabilities, personnel, and projects transfer; what tactical experimentation capability stays with SBTDWS under J3 WDC governance; when the transfer occurs; and whether a transition or dual-hat period is planned?</w:t>
      </w:r>
    </w:p>
    <w:p>
      <w:pPr>
        <w:pStyle w:val="BodyText"/>
      </w:pPr>
      <w:r>
        <w:rPr>
          <w:b/>
          <w:bCs/>
        </w:rPr>
        <w:t xml:space="preserve">Why we’re asking:</w:t>
      </w:r>
      <w:r>
        <w:t xml:space="preserve"> </w:t>
      </w:r>
      <w:r>
        <w:t xml:space="preserve">Without this, TEIW cannot be scoped correctly and SBTDWS staff do not know whether to develop CAPDEV skills or hand them off.</w:t>
      </w:r>
    </w:p>
    <w:p>
      <w:pPr>
        <w:pStyle w:val="BodyText"/>
      </w:pPr>
      <w:r>
        <w:rPr>
          <w:b/>
          <w:bCs/>
        </w:rPr>
        <w:t xml:space="preserve">What’s blocked without an answer:</w:t>
      </w:r>
      <w:r>
        <w:t xml:space="preserve"> </w:t>
      </w:r>
      <w:r>
        <w:t xml:space="preserve">TEIW scoping; risk of duplication and confusion between the wider innovation hub function and TEIW’s tactical experimentation function.</w:t>
      </w:r>
    </w:p>
    <w:p>
      <w:pPr>
        <w:pStyle w:val="BodyText"/>
      </w:pPr>
      <w:r>
        <w:rPr>
          <w:b/>
          <w:bCs/>
        </w:rPr>
        <w:t xml:space="preserve">Priority:</w:t>
      </w:r>
      <w:r>
        <w:t xml:space="preserve"> </w:t>
      </w:r>
      <w:r>
        <w:t xml:space="preserve">P2.</w:t>
      </w:r>
    </w:p>
    <w:p>
      <w:r>
        <w:pict>
          <v:rect style="width:0;height:1.5pt" o:hralign="center" o:hrstd="t" o:hr="t"/>
        </w:pict>
      </w:r>
    </w:p>
    <w:bookmarkEnd w:id="25"/>
    <w:bookmarkEnd w:id="26"/>
    <w:bookmarkStart w:id="27" w:name="e.-for-awareness-not-a-formal-rfi-item"/>
    <w:p>
      <w:pPr>
        <w:pStyle w:val="Heading2"/>
      </w:pPr>
      <w:r>
        <w:t xml:space="preserve">E. For Awareness (Not a Formal RFI Item)</w:t>
      </w:r>
    </w:p>
    <w:p>
      <w:pPr>
        <w:pStyle w:val="FirstParagraph"/>
      </w:pPr>
      <w:r>
        <w:rPr>
          <w:b/>
          <w:bCs/>
        </w:rPr>
        <w:t xml:space="preserve">Transformation timeline versus institutional floor.</w:t>
      </w:r>
      <w:r>
        <w:t xml:space="preserve"> </w:t>
      </w:r>
      <w:r>
        <w:t xml:space="preserve">Separate internal assessment work has documented real institutional issues — assessment credibility, instructor accountability, contractor dependency — that are cultural and take longer to fix than capability or infrastructure gaps. The current Initial Operating Capability target (Q2 27) assumes these can be fixed on the same clock as the capability build. It may be worth a separate, softly-framed check with PG Headquarters on whether the IOC date is firm or has flexibility if foundational work needs longer — using established command-safe framing (for example,</w:t>
      </w:r>
      <w:r>
        <w:t xml:space="preserve"> </w:t>
      </w:r>
      <w:r>
        <w:t xml:space="preserve">“strengthen assessment credibility”</w:t>
      </w:r>
      <w:r>
        <w:t xml:space="preserve"> </w:t>
      </w:r>
      <w:r>
        <w:t xml:space="preserve">rather than describing pass rates as inflated) rather than raising it as a formal numbered RFI item.</w:t>
      </w:r>
    </w:p>
    <w:p>
      <w:r>
        <w:pict>
          <v:rect style="width:0;height:1.5pt" o:hralign="center" o:hrstd="t" o:hr="t"/>
        </w:pict>
      </w:r>
    </w:p>
    <w:bookmarkEnd w:id="27"/>
    <w:bookmarkStart w:id="28" w:name="Xacaaa437626ebccdb55a22d192865d372928a5d"/>
    <w:p>
      <w:pPr>
        <w:pStyle w:val="Heading2"/>
      </w:pPr>
      <w:r>
        <w:t xml:space="preserve">Appendix — SBTDWS’s Own Outstanding Actions (Not RFI Items)</w:t>
      </w:r>
    </w:p>
    <w:p>
      <w:pPr>
        <w:pStyle w:val="FirstParagraph"/>
      </w:pPr>
      <w:r>
        <w:t xml:space="preserve">For completeness. These do not require a PG Headquarters answer — only action within SBTDWS’s own chain of command: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Action</w:t>
            </w:r>
          </w:p>
        </w:tc>
        <w:tc>
          <w:tcPr/>
          <w:p>
            <w:pPr>
              <w:pStyle w:val="Compact"/>
            </w:pPr>
            <w:r>
              <w:t xml:space="preserve">Status</w:t>
            </w:r>
          </w:p>
        </w:tc>
      </w:tr>
      <w:tr>
        <w:tc>
          <w:tcPr/>
          <w:p>
            <w:pPr>
              <w:pStyle w:val="Compact"/>
            </w:pPr>
            <w:r>
              <w:t xml:space="preserve">Endorse the three-wing structural design</w:t>
            </w:r>
          </w:p>
        </w:tc>
        <w:tc>
          <w:tcPr/>
          <w:p>
            <w:pPr>
              <w:pStyle w:val="Compact"/>
            </w:pPr>
            <w:r>
              <w:t xml:space="preserve">Pending — conceptual, no external dependency</w:t>
            </w:r>
          </w:p>
        </w:tc>
      </w:tr>
      <w:tr>
        <w:tc>
          <w:tcPr/>
          <w:p>
            <w:pPr>
              <w:pStyle w:val="Compact"/>
            </w:pPr>
            <w:r>
              <w:t xml:space="preserve">Direct the J3/J7 engagement on the Force Generation Pipeline ToR</w:t>
            </w:r>
          </w:p>
        </w:tc>
        <w:tc>
          <w:tcPr/>
          <w:p>
            <w:pPr>
              <w:pStyle w:val="Compact"/>
            </w:pPr>
            <w:r>
              <w:t xml:space="preserve">Pending — overdue, feeds RFI-9 above</w:t>
            </w:r>
          </w:p>
        </w:tc>
      </w:tr>
      <w:tr>
        <w:tc>
          <w:tcPr/>
          <w:p>
            <w:pPr>
              <w:pStyle w:val="Compact"/>
            </w:pPr>
            <w:r>
              <w:t xml:space="preserve">Commit, in advance, to backing the Observer Trainer cadre’s first adverse assessment</w:t>
            </w:r>
          </w:p>
        </w:tc>
        <w:tc>
          <w:tcPr/>
          <w:p>
            <w:pPr>
              <w:pStyle w:val="Compact"/>
            </w:pPr>
            <w:r>
              <w:t xml:space="preserve">Pending — hardest of the three, no external dependency</w:t>
            </w:r>
          </w:p>
        </w:tc>
      </w:tr>
    </w:tbl>
    <w:bookmarkEnd w:id="28"/>
    <w:bookmarkEnd w:id="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RFI to PG HQ</dc:title>
  <dc:creator/>
  <cp:keywords/>
  <dcterms:created xsi:type="dcterms:W3CDTF">2026-07-28T13:56:20Z</dcterms:created>
  <dcterms:modified xsi:type="dcterms:W3CDTF">2026-07-28T13:56:20Z</dcterms:modified>
</cp:coreProperties>
</file>

<file path=docProps/custom.xml><?xml version="1.0" encoding="utf-8"?>
<Properties xmlns="http://schemas.openxmlformats.org/officeDocument/2006/custom-properties" xmlns:vt="http://schemas.openxmlformats.org/officeDocument/2006/docPropsVTypes"/>
</file>