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TEIW Standing Charter</w:t>
      </w:r>
    </w:p>
    <w:bookmarkStart w:id="22" w:name="X7cc43f466fcfd394dec636ae3e371b630cc4a86"/>
    <w:p>
      <w:pPr>
        <w:pStyle w:val="Heading1"/>
      </w:pPr>
      <w:r>
        <w:t xml:space="preserve">Tactical Experimentation and Innovation Wing (TEIW)</w:t>
      </w:r>
    </w:p>
    <w:bookmarkStart w:id="9" w:name="standing-charter"/>
    <w:p>
      <w:pPr>
        <w:pStyle w:val="Heading2"/>
      </w:pPr>
      <w:r>
        <w:t xml:space="preserve">Standing Charter</w:t>
      </w:r>
    </w:p>
    <w:p>
      <w:pPr>
        <w:pStyle w:val="FirstParagraph"/>
      </w:pPr>
      <w:r>
        <w:rPr>
          <w:b/>
          <w:bCs/>
        </w:rPr>
        <w:t xml:space="preserve">Status:</w:t>
      </w:r>
      <w:r>
        <w:t xml:space="preserve"> </w:t>
      </w:r>
      <w:r>
        <w:t xml:space="preserve">Draft — for Commandant review and Force Design Concept 5 (Tactical Experimentation) endorsement</w:t>
      </w:r>
      <w:r>
        <w:t xml:space="preserve"> </w:t>
      </w:r>
      <w:r>
        <w:rPr>
          <w:b/>
          <w:bCs/>
        </w:rPr>
        <w:t xml:space="preserve">Authority:</w:t>
      </w:r>
      <w:r>
        <w:t xml:space="preserve"> </w:t>
      </w:r>
      <w:r>
        <w:t xml:space="preserve">Commandant SBTDWS, under the Force Design Concept 5 mandate</w:t>
      </w:r>
      <w:r>
        <w:t xml:space="preserve"> </w:t>
      </w:r>
      <w:r>
        <w:rPr>
          <w:b/>
          <w:bCs/>
        </w:rPr>
        <w:t xml:space="preserve">Review cycle:</w:t>
      </w:r>
      <w:r>
        <w:t xml:space="preserve"> </w:t>
      </w:r>
      <w:r>
        <w:t xml:space="preserve">Quarterly</w:t>
      </w:r>
    </w:p>
    <w:p>
      <w:r>
        <w:pict>
          <v:rect style="width:0;height:1.5pt" o:hralign="center" o:hrstd="t" o:hr="t"/>
        </w:pict>
      </w:r>
    </w:p>
    <w:bookmarkEnd w:id="9"/>
    <w:bookmarkStart w:id="10" w:name="purpose"/>
    <w:p>
      <w:pPr>
        <w:pStyle w:val="Heading2"/>
      </w:pPr>
      <w:r>
        <w:t xml:space="preserve">1. Purpose</w:t>
      </w:r>
    </w:p>
    <w:p>
      <w:pPr>
        <w:pStyle w:val="FirstParagraph"/>
      </w:pPr>
      <w:r>
        <w:t xml:space="preserve">The Tactical Experimentation and Innovation Wing (TEIW) converts observed operational problems into tested Tactics, Techniques and Procedures (TTPs) and capability recommendations. It runs governed experiments — not R&amp;D, not procurement, not capability development at scale.</w:t>
      </w:r>
    </w:p>
    <w:p>
      <w:pPr>
        <w:pStyle w:val="BodyText"/>
      </w:pPr>
      <w:r>
        <w:t xml:space="preserve">TEIW is the field-level execution node. Its outputs feed two recipients:</w:t>
      </w:r>
    </w:p>
    <w:p>
      <w:pPr>
        <w:pStyle w:val="Compact"/>
        <w:numPr>
          <w:ilvl w:val="0"/>
          <w:numId w:val="1001"/>
        </w:numPr>
      </w:pPr>
      <w:r>
        <w:rPr>
          <w:b/>
          <w:bCs/>
        </w:rPr>
        <w:t xml:space="preserve">The Collective Training, Validation and Mission Rehearsal (CTVMR) function</w:t>
      </w:r>
      <w:r>
        <w:t xml:space="preserve"> </w:t>
      </w:r>
      <w:r>
        <w:t xml:space="preserve">— validated TTPs inform the next exercise design and collective serial.</w:t>
      </w:r>
    </w:p>
    <w:p>
      <w:pPr>
        <w:pStyle w:val="Compact"/>
        <w:numPr>
          <w:ilvl w:val="0"/>
          <w:numId w:val="1001"/>
        </w:numPr>
      </w:pPr>
      <w:r>
        <w:rPr>
          <w:b/>
          <w:bCs/>
        </w:rPr>
        <w:t xml:space="preserve">The PG innovation-governance and capability-development chain</w:t>
      </w:r>
      <w:r>
        <w:t xml:space="preserve"> </w:t>
      </w:r>
      <w:r>
        <w:t xml:space="preserve">— experiment results provide the evidence base for capability investment decisions.</w:t>
      </w:r>
    </w:p>
    <w:p>
      <w:pPr>
        <w:pStyle w:val="FirstParagraph"/>
      </w:pPr>
      <w:r>
        <w:t xml:space="preserve">TEIW does not deliver capability to units. It delivers validated knowledge that enables others to do so.</w:t>
      </w:r>
    </w:p>
    <w:p>
      <w:r>
        <w:pict>
          <v:rect style="width:0;height:1.5pt" o:hralign="center" o:hrstd="t" o:hr="t"/>
        </w:pict>
      </w:r>
    </w:p>
    <w:bookmarkEnd w:id="10"/>
    <w:bookmarkStart w:id="11" w:name="what-teiw-does"/>
    <w:p>
      <w:pPr>
        <w:pStyle w:val="Heading2"/>
      </w:pPr>
      <w:r>
        <w:t xml:space="preserve">2. What TEIW Does</w:t>
      </w:r>
    </w:p>
    <w:p>
      <w:pPr>
        <w:pStyle w:val="FirstParagraph"/>
      </w:pPr>
      <w:r>
        <w:t xml:space="preserve">Five functions only.</w:t>
      </w:r>
    </w:p>
    <w:p>
      <w:pPr>
        <w:pStyle w:val="BodyText"/>
      </w:pPr>
      <w:r>
        <w:rPr>
          <w:b/>
          <w:bCs/>
        </w:rPr>
        <w:t xml:space="preserve">1. Receive problem statements from CTVMR After Action Reviews (AARs) and Force Design Concept 5 direction.</w:t>
      </w:r>
      <w:r>
        <w:t xml:space="preserve"> </w:t>
      </w:r>
      <w:r>
        <w:t xml:space="preserve">TEIW does not self-generate research questions. Every experiment traces back to a named exercise observation or a directed task.</w:t>
      </w:r>
    </w:p>
    <w:p>
      <w:pPr>
        <w:pStyle w:val="BodyText"/>
      </w:pPr>
      <w:r>
        <w:rPr>
          <w:b/>
          <w:bCs/>
        </w:rPr>
        <w:t xml:space="preserve">2. Design and run bounded experiments.</w:t>
      </w:r>
      <w:r>
        <w:t xml:space="preserve"> </w:t>
      </w:r>
      <w:r>
        <w:t xml:space="preserve">Each experiment has: a hypothesis, a measure of effectiveness (MOE), a time boundary (30–90 days), and a resource ceiling (within existing authority, no new budget). Experiments that cannot be scoped within these constraints are classified Tier 2 and submitted upward.</w:t>
      </w:r>
    </w:p>
    <w:p>
      <w:pPr>
        <w:pStyle w:val="BodyText"/>
      </w:pPr>
      <w:r>
        <w:rPr>
          <w:b/>
          <w:bCs/>
        </w:rPr>
        <w:t xml:space="preserve">3. Produce doctrine outputs.</w:t>
      </w:r>
      <w:r>
        <w:t xml:space="preserve"> </w:t>
      </w:r>
      <w:r>
        <w:t xml:space="preserve">Every completed experiment produces at minimum: a TTP recommendation, an equipment specification update (if applicable), and a training requirement delta. Experiments with no usable output are reviewed at the next quarterly cycle and either redesigned or closed.</w:t>
      </w:r>
    </w:p>
    <w:p>
      <w:pPr>
        <w:pStyle w:val="BodyText"/>
      </w:pPr>
      <w:r>
        <w:rPr>
          <w:b/>
          <w:bCs/>
        </w:rPr>
        <w:t xml:space="preserve">4. Feed CTVMR exercise design.</w:t>
      </w:r>
      <w:r>
        <w:t xml:space="preserve"> </w:t>
      </w:r>
      <w:r>
        <w:t xml:space="preserve">TEIW outputs inform the next collective exercise design. TEIW does not deliver capability — it delivers validated TTPs that CTVMR exercises against. The loop is: CTVMR observes a gap, TEIW tests a solution, CTVMR validates the TTP in the next serial.</w:t>
      </w:r>
    </w:p>
    <w:p>
      <w:pPr>
        <w:pStyle w:val="BodyText"/>
      </w:pPr>
      <w:r>
        <w:rPr>
          <w:b/>
          <w:bCs/>
        </w:rPr>
        <w:t xml:space="preserve">5. Prepare capital/scale submissions for Tier 2 projects.</w:t>
      </w:r>
      <w:r>
        <w:t xml:space="preserve"> </w:t>
      </w:r>
      <w:r>
        <w:t xml:space="preserve">When an experiment result warrants capital investment or scale, TEIW prepares a submission to the appropriate PG capability-development authority. TEIW does not own the project beyond that gate.</w:t>
      </w:r>
    </w:p>
    <w:p>
      <w:r>
        <w:pict>
          <v:rect style="width:0;height:1.5pt" o:hralign="center" o:hrstd="t" o:hr="t"/>
        </w:pict>
      </w:r>
    </w:p>
    <w:bookmarkEnd w:id="11"/>
    <w:bookmarkStart w:id="12" w:name="what-teiw-does-not-do"/>
    <w:p>
      <w:pPr>
        <w:pStyle w:val="Heading2"/>
      </w:pPr>
      <w:r>
        <w:t xml:space="preserve">3. What TEIW Does Not Do</w:t>
      </w:r>
    </w:p>
    <w:p>
      <w:pPr>
        <w:pStyle w:val="FirstParagraph"/>
      </w:pPr>
      <w:r>
        <w:t xml:space="preserve">These are hard exclusions. Any tasking in these categories is redirected.</w:t>
      </w:r>
    </w:p>
    <w:p>
      <w:pPr>
        <w:pStyle w:val="Compact"/>
        <w:numPr>
          <w:ilvl w:val="0"/>
          <w:numId w:val="1002"/>
        </w:numPr>
      </w:pPr>
      <w:r>
        <w:rPr>
          <w:b/>
          <w:bCs/>
        </w:rPr>
        <w:t xml:space="preserve">Not R&amp;D.</w:t>
      </w:r>
      <w:r>
        <w:t xml:space="preserve"> </w:t>
      </w:r>
      <w:r>
        <w:t xml:space="preserve">TEIW tests and evaluates existing or prototype technology in operational conditions. It does not develop new technology.</w:t>
      </w:r>
    </w:p>
    <w:p>
      <w:pPr>
        <w:pStyle w:val="Compact"/>
        <w:numPr>
          <w:ilvl w:val="0"/>
          <w:numId w:val="1002"/>
        </w:numPr>
      </w:pPr>
      <w:r>
        <w:rPr>
          <w:b/>
          <w:bCs/>
        </w:rPr>
        <w:t xml:space="preserve">Not procurement.</w:t>
      </w:r>
      <w:r>
        <w:t xml:space="preserve"> </w:t>
      </w:r>
      <w:r>
        <w:t xml:space="preserve">TEIW produces the evidence base for procurement decisions. It does not contract.</w:t>
      </w:r>
    </w:p>
    <w:p>
      <w:pPr>
        <w:pStyle w:val="Compact"/>
        <w:numPr>
          <w:ilvl w:val="0"/>
          <w:numId w:val="1002"/>
        </w:numPr>
      </w:pPr>
      <w:r>
        <w:rPr>
          <w:b/>
          <w:bCs/>
        </w:rPr>
        <w:t xml:space="preserve">Not capital development.</w:t>
      </w:r>
      <w:r>
        <w:t xml:space="preserve"> </w:t>
      </w:r>
      <w:r>
        <w:t xml:space="preserve">Capital projects and production runs beyond small-scale trials sit with the PG’s capability-development authority, not TEIW.</w:t>
      </w:r>
    </w:p>
    <w:p>
      <w:pPr>
        <w:pStyle w:val="Compact"/>
        <w:numPr>
          <w:ilvl w:val="0"/>
          <w:numId w:val="1002"/>
        </w:numPr>
      </w:pPr>
      <w:r>
        <w:rPr>
          <w:b/>
          <w:bCs/>
        </w:rPr>
        <w:t xml:space="preserve">Not speculative.</w:t>
      </w:r>
      <w:r>
        <w:t xml:space="preserve"> </w:t>
      </w:r>
      <w:r>
        <w:t xml:space="preserve">TEIW does not experiment on technologies without an operational sponsor and a named gap.</w:t>
      </w:r>
      <w:r>
        <w:t xml:space="preserve"> </w:t>
      </w:r>
      <w:r>
        <w:t xml:space="preserve">“Explore the potential of [technology]”</w:t>
      </w:r>
      <w:r>
        <w:t xml:space="preserve"> </w:t>
      </w:r>
      <w:r>
        <w:t xml:space="preserve">is not a valid problem statement.</w:t>
      </w:r>
    </w:p>
    <w:p>
      <w:pPr>
        <w:pStyle w:val="Compact"/>
        <w:numPr>
          <w:ilvl w:val="0"/>
          <w:numId w:val="1002"/>
        </w:numPr>
      </w:pPr>
      <w:r>
        <w:rPr>
          <w:b/>
          <w:bCs/>
        </w:rPr>
        <w:t xml:space="preserve">Not a CTVMR substitute.</w:t>
      </w:r>
      <w:r>
        <w:t xml:space="preserve"> </w:t>
      </w:r>
      <w:r>
        <w:t xml:space="preserve">Participation in a TEIW experiment does not constitute unit validation. CTVMR and TEIW are parallel functions.</w:t>
      </w:r>
    </w:p>
    <w:p>
      <w:pPr>
        <w:pStyle w:val="Compact"/>
        <w:numPr>
          <w:ilvl w:val="0"/>
          <w:numId w:val="1002"/>
        </w:numPr>
      </w:pPr>
      <w:r>
        <w:rPr>
          <w:b/>
          <w:bCs/>
        </w:rPr>
        <w:t xml:space="preserve">Not the permanent owner of OPFOR.</w:t>
      </w:r>
      <w:r>
        <w:t xml:space="preserve"> </w:t>
      </w:r>
      <w:r>
        <w:t xml:space="preserve">The OPFOR / Role Player Programme sits primarily under the CTVMR function. TEIW may request OPFOR support for specific experiment design but does not own or resource it.</w:t>
      </w:r>
    </w:p>
    <w:p>
      <w:r>
        <w:pict>
          <v:rect style="width:0;height:1.5pt" o:hralign="center" o:hrstd="t" o:hr="t"/>
        </w:pict>
      </w:r>
    </w:p>
    <w:bookmarkEnd w:id="12"/>
    <w:bookmarkStart w:id="13" w:name="experiment-entry-criteria"/>
    <w:p>
      <w:pPr>
        <w:pStyle w:val="Heading2"/>
      </w:pPr>
      <w:r>
        <w:t xml:space="preserve">4. Experiment Entry Criteria</w:t>
      </w:r>
    </w:p>
    <w:p>
      <w:pPr>
        <w:pStyle w:val="FirstParagraph"/>
      </w:pPr>
      <w:r>
        <w:t xml:space="preserve">Three questions. All three must be answered before an experiment is approved.</w:t>
      </w:r>
    </w:p>
    <w:p>
      <w:pPr>
        <w:pStyle w:val="BodyText"/>
      </w:pPr>
      <w:r>
        <w:rPr>
          <w:b/>
          <w:bCs/>
        </w:rPr>
        <w:t xml:space="preserve">Q1 — What is the gap?</w:t>
      </w:r>
      <w:r>
        <w:t xml:space="preserve"> </w:t>
      </w:r>
      <w:r>
        <w:t xml:space="preserve">Name the specific exercise serial, AAR finding, or directed task that generated this problem statement. A gap without a named observation is not ready for experimentation — it is a hypothesis, and is returned to the problem statement backlog.</w:t>
      </w:r>
    </w:p>
    <w:p>
      <w:pPr>
        <w:pStyle w:val="BodyText"/>
      </w:pPr>
      <w:r>
        <w:rPr>
          <w:b/>
          <w:bCs/>
        </w:rPr>
        <w:t xml:space="preserve">Q2 — What is the test?</w:t>
      </w:r>
      <w:r>
        <w:t xml:space="preserve"> </w:t>
      </w:r>
      <w:r>
        <w:t xml:space="preserve">One controlled change. One observable outcome. Defined pass/fail criteria against the measure of effectiveness. Resource ceiling confirmed (Tier 1: within existing authority; Tier 2: flag for capital review).</w:t>
      </w:r>
      <w:r>
        <w:t xml:space="preserve"> </w:t>
      </w:r>
      <w:r>
        <w:t xml:space="preserve">“We will test several variations”</w:t>
      </w:r>
      <w:r>
        <w:t xml:space="preserve"> </w:t>
      </w:r>
      <w:r>
        <w:t xml:space="preserve">is two experiments, not one.</w:t>
      </w:r>
    </w:p>
    <w:p>
      <w:pPr>
        <w:pStyle w:val="BodyText"/>
      </w:pPr>
      <w:r>
        <w:rPr>
          <w:b/>
          <w:bCs/>
        </w:rPr>
        <w:t xml:space="preserve">Q3 — What will we do with the result?</w:t>
      </w:r>
      <w:r>
        <w:t xml:space="preserve"> </w:t>
      </w:r>
      <w:r>
        <w:t xml:space="preserve">Name the downstream action for both a positive and a negative result — for a positive result, which TTP is produced and which exercise will validate it; for a negative result, what the failure rules out and whether the problem statement is revised or closed.</w:t>
      </w:r>
      <w:r>
        <w:t xml:space="preserve"> </w:t>
      </w:r>
      <w:r>
        <w:t xml:space="preserve">“We’ll see what happens”</w:t>
      </w:r>
      <w:r>
        <w:t xml:space="preserve"> </w:t>
      </w:r>
      <w:r>
        <w:t xml:space="preserve">is not an acceptable answer.</w:t>
      </w:r>
    </w:p>
    <w:p>
      <w:r>
        <w:pict>
          <v:rect style="width:0;height:1.5pt" o:hralign="center" o:hrstd="t" o:hr="t"/>
        </w:pict>
      </w:r>
    </w:p>
    <w:bookmarkEnd w:id="13"/>
    <w:bookmarkStart w:id="14" w:name="authority-two-tiers"/>
    <w:p>
      <w:pPr>
        <w:pStyle w:val="Heading2"/>
      </w:pPr>
      <w:r>
        <w:t xml:space="preserve">5. Authority — Two Tiers</w:t>
      </w:r>
    </w:p>
    <w:tbl>
      <w:tblPr>
        <w:tblStyle w:val="Table"/>
        <w:tblW w:type="pct" w:w="5000"/>
        <w:tblLayout w:type="fixed"/>
        <w:tblLook w:firstRow="1" w:lastRow="0" w:firstColumn="0" w:lastColumn="0" w:noHBand="0" w:noVBand="0" w:val="0020"/>
      </w:tblPr>
      <w:tblGrid>
        <w:gridCol w:w="720"/>
        <w:gridCol w:w="960"/>
        <w:gridCol w:w="2280"/>
        <w:gridCol w:w="2880"/>
        <w:gridCol w:w="1080"/>
      </w:tblGrid>
      <w:tr>
        <w:trPr>
          <w:tblHeader w:val="on"/>
        </w:trPr>
        <w:tc>
          <w:tcPr/>
          <w:p>
            <w:pPr>
              <w:pStyle w:val="Compact"/>
            </w:pPr>
            <w:r>
              <w:t xml:space="preserve">Tier</w:t>
            </w:r>
          </w:p>
        </w:tc>
        <w:tc>
          <w:tcPr/>
          <w:p>
            <w:pPr>
              <w:pStyle w:val="Compact"/>
            </w:pPr>
            <w:r>
              <w:t xml:space="preserve">Covers</w:t>
            </w:r>
          </w:p>
        </w:tc>
        <w:tc>
          <w:tcPr/>
          <w:p>
            <w:pPr>
              <w:pStyle w:val="Compact"/>
            </w:pPr>
            <w:r>
              <w:t xml:space="preserve">Current Approval</w:t>
            </w:r>
          </w:p>
        </w:tc>
        <w:tc>
          <w:tcPr/>
          <w:p>
            <w:pPr>
              <w:pStyle w:val="Compact"/>
            </w:pPr>
            <w:r>
              <w:t xml:space="preserve">Target-State Approval</w:t>
            </w:r>
          </w:p>
        </w:tc>
        <w:tc>
          <w:tcPr/>
          <w:p>
            <w:pPr>
              <w:pStyle w:val="Compact"/>
            </w:pPr>
            <w:r>
              <w:t xml:space="preserve">Timeline</w:t>
            </w:r>
          </w:p>
        </w:tc>
      </w:tr>
      <w:tr>
        <w:tc>
          <w:tcPr/>
          <w:p>
            <w:pPr>
              <w:pStyle w:val="Compact"/>
            </w:pPr>
            <w:r>
              <w:rPr>
                <w:b/>
                <w:bCs/>
              </w:rPr>
              <w:t xml:space="preserve">Tier 1 — Rapid Experiment</w:t>
            </w:r>
          </w:p>
        </w:tc>
        <w:tc>
          <w:tcPr/>
          <w:p>
            <w:pPr>
              <w:pStyle w:val="Compact"/>
            </w:pPr>
            <w:r>
              <w:t xml:space="preserve">Within existing resources; no new budget; no external contract</w:t>
            </w:r>
          </w:p>
        </w:tc>
        <w:tc>
          <w:tcPr/>
          <w:p>
            <w:pPr>
              <w:pStyle w:val="Compact"/>
            </w:pPr>
            <w:r>
              <w:t xml:space="preserve">Commandant</w:t>
            </w:r>
          </w:p>
        </w:tc>
        <w:tc>
          <w:tcPr/>
          <w:p>
            <w:pPr>
              <w:pStyle w:val="Compact"/>
            </w:pPr>
            <w:r>
              <w:t xml:space="preserve">Commandant (unchanged)</w:t>
            </w:r>
          </w:p>
        </w:tc>
        <w:tc>
          <w:tcPr/>
          <w:p>
            <w:pPr>
              <w:pStyle w:val="Compact"/>
            </w:pPr>
            <w:r>
              <w:t xml:space="preserve">30–90 days</w:t>
            </w:r>
          </w:p>
        </w:tc>
      </w:tr>
      <w:tr>
        <w:tc>
          <w:tcPr/>
          <w:p>
            <w:pPr>
              <w:pStyle w:val="Compact"/>
            </w:pPr>
            <w:r>
              <w:rPr>
                <w:b/>
                <w:bCs/>
              </w:rPr>
              <w:t xml:space="preserve">Tier 2 — Development Project</w:t>
            </w:r>
          </w:p>
        </w:tc>
        <w:tc>
          <w:tcPr/>
          <w:p>
            <w:pPr>
              <w:pStyle w:val="Compact"/>
            </w:pPr>
            <w:r>
              <w:t xml:space="preserve">Requires new budget, capital, external contract, or facility</w:t>
            </w:r>
          </w:p>
        </w:tc>
        <w:tc>
          <w:tcPr/>
          <w:p>
            <w:pPr>
              <w:pStyle w:val="Compact"/>
            </w:pPr>
            <w:r>
              <w:t xml:space="preserve">Commandant, escalated to higher command for a resource decision</w:t>
            </w:r>
          </w:p>
        </w:tc>
        <w:tc>
          <w:tcPr/>
          <w:p>
            <w:pPr>
              <w:pStyle w:val="Compact"/>
            </w:pPr>
            <w:r>
              <w:t xml:space="preserve">PG capability-development/innovation-governance authority</w:t>
            </w:r>
          </w:p>
        </w:tc>
        <w:tc>
          <w:tcPr/>
          <w:p>
            <w:pPr>
              <w:pStyle w:val="Compact"/>
            </w:pPr>
            <w:r>
              <w:t xml:space="preserve">90+ days</w:t>
            </w:r>
          </w:p>
        </w:tc>
      </w:tr>
    </w:tbl>
    <w:p>
      <w:pPr>
        <w:pStyle w:val="BodyText"/>
      </w:pPr>
      <w:r>
        <w:t xml:space="preserve">TEIW runs Tier 1 only. It prepares Tier 2 submissions but does not own or execute Tier 2 projects.</w:t>
      </w:r>
    </w:p>
    <w:p>
      <w:pPr>
        <w:pStyle w:val="BodyText"/>
      </w:pPr>
      <w:r>
        <w:t xml:space="preserve">Tier 1 approval is granted on a rolling basis at a monthly TEIW–CTVMR coordination meeting, not case by case. The TEIW Commander presents proposed experiments against the three entry criteria and the Commandant approves the agenda for the next 30–90 day window.</w:t>
      </w:r>
    </w:p>
    <w:p>
      <w:r>
        <w:pict>
          <v:rect style="width:0;height:1.5pt" o:hralign="center" o:hrstd="t" o:hr="t"/>
        </w:pict>
      </w:r>
    </w:p>
    <w:bookmarkEnd w:id="14"/>
    <w:bookmarkStart w:id="15" w:name="outputs"/>
    <w:p>
      <w:pPr>
        <w:pStyle w:val="Heading2"/>
      </w:pPr>
      <w:r>
        <w:t xml:space="preserve">6. Outputs</w:t>
      </w:r>
    </w:p>
    <w:p>
      <w:pPr>
        <w:pStyle w:val="FirstParagraph"/>
      </w:pPr>
      <w:r>
        <w:t xml:space="preserve">Every completed TEIW experiment produces entries in the following format:</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t xml:space="preserve">Output</w:t>
            </w:r>
          </w:p>
        </w:tc>
        <w:tc>
          <w:tcPr/>
          <w:p>
            <w:pPr>
              <w:pStyle w:val="Compact"/>
            </w:pPr>
            <w:r>
              <w:t xml:space="preserve">Format</w:t>
            </w:r>
          </w:p>
        </w:tc>
        <w:tc>
          <w:tcPr/>
          <w:p>
            <w:pPr>
              <w:pStyle w:val="Compact"/>
            </w:pPr>
            <w:r>
              <w:t xml:space="preserve">Recipient</w:t>
            </w:r>
          </w:p>
        </w:tc>
      </w:tr>
      <w:tr>
        <w:tc>
          <w:tcPr/>
          <w:p>
            <w:pPr>
              <w:pStyle w:val="Compact"/>
            </w:pPr>
            <w:r>
              <w:rPr>
                <w:b/>
                <w:bCs/>
              </w:rPr>
              <w:t xml:space="preserve">TTP Recommendation</w:t>
            </w:r>
          </w:p>
        </w:tc>
        <w:tc>
          <w:tcPr/>
          <w:p>
            <w:pPr>
              <w:pStyle w:val="Compact"/>
            </w:pPr>
            <w:r>
              <w:t xml:space="preserve">1–2 pages: hypothesis / method / finding / recommendation</w:t>
            </w:r>
          </w:p>
        </w:tc>
        <w:tc>
          <w:tcPr/>
          <w:p>
            <w:pPr>
              <w:pStyle w:val="Compact"/>
            </w:pPr>
            <w:r>
              <w:t xml:space="preserve">Doctrine integration cell</w:t>
            </w:r>
          </w:p>
        </w:tc>
      </w:tr>
      <w:tr>
        <w:tc>
          <w:tcPr/>
          <w:p>
            <w:pPr>
              <w:pStyle w:val="Compact"/>
            </w:pPr>
            <w:r>
              <w:rPr>
                <w:b/>
                <w:bCs/>
              </w:rPr>
              <w:t xml:space="preserve">Equipment Specification Delta</w:t>
            </w:r>
          </w:p>
        </w:tc>
        <w:tc>
          <w:tcPr/>
          <w:p>
            <w:pPr>
              <w:pStyle w:val="Compact"/>
            </w:pPr>
            <w:r>
              <w:t xml:space="preserve">What changed in the specification and why, including failure modes found</w:t>
            </w:r>
          </w:p>
        </w:tc>
        <w:tc>
          <w:tcPr/>
          <w:p>
            <w:pPr>
              <w:pStyle w:val="Compact"/>
            </w:pPr>
            <w:r>
              <w:t xml:space="preserve">Supply / procurement authority</w:t>
            </w:r>
          </w:p>
        </w:tc>
      </w:tr>
      <w:tr>
        <w:tc>
          <w:tcPr/>
          <w:p>
            <w:pPr>
              <w:pStyle w:val="Compact"/>
            </w:pPr>
            <w:r>
              <w:rPr>
                <w:b/>
                <w:bCs/>
              </w:rPr>
              <w:t xml:space="preserve">Training Requirement Delta</w:t>
            </w:r>
          </w:p>
        </w:tc>
        <w:tc>
          <w:tcPr/>
          <w:p>
            <w:pPr>
              <w:pStyle w:val="Compact"/>
            </w:pPr>
            <w:r>
              <w:t xml:space="preserve">What the exercise pipeline must add, remove, or change</w:t>
            </w:r>
          </w:p>
        </w:tc>
        <w:tc>
          <w:tcPr/>
          <w:p>
            <w:pPr>
              <w:pStyle w:val="Compact"/>
            </w:pPr>
            <w:r>
              <w:t xml:space="preserve">Exercise design cell</w:t>
            </w:r>
          </w:p>
        </w:tc>
      </w:tr>
      <w:tr>
        <w:tc>
          <w:tcPr/>
          <w:p>
            <w:pPr>
              <w:pStyle w:val="Compact"/>
            </w:pPr>
            <w:r>
              <w:rPr>
                <w:b/>
                <w:bCs/>
              </w:rPr>
              <w:t xml:space="preserve">Capital/Scale Submission</w:t>
            </w:r>
          </w:p>
        </w:tc>
        <w:tc>
          <w:tcPr/>
          <w:p>
            <w:pPr>
              <w:pStyle w:val="Compact"/>
            </w:pPr>
            <w:r>
              <w:t xml:space="preserve">Case with experiment evidence and capability-gap analysis</w:t>
            </w:r>
          </w:p>
        </w:tc>
        <w:tc>
          <w:tcPr/>
          <w:p>
            <w:pPr>
              <w:pStyle w:val="Compact"/>
            </w:pPr>
            <w:r>
              <w:t xml:space="preserve">PG capability-development/innovation authority</w:t>
            </w:r>
          </w:p>
        </w:tc>
      </w:tr>
      <w:tr>
        <w:tc>
          <w:tcPr/>
          <w:p>
            <w:pPr>
              <w:pStyle w:val="Compact"/>
            </w:pPr>
            <w:r>
              <w:rPr>
                <w:b/>
                <w:bCs/>
              </w:rPr>
              <w:t xml:space="preserve">Experiment Case Record</w:t>
            </w:r>
          </w:p>
        </w:tc>
        <w:tc>
          <w:tcPr/>
          <w:p>
            <w:pPr>
              <w:pStyle w:val="Compact"/>
            </w:pPr>
            <w:r>
              <w:t xml:space="preserve">Digital record, searchable by domain and outcome</w:t>
            </w:r>
          </w:p>
        </w:tc>
        <w:tc>
          <w:tcPr/>
          <w:p>
            <w:pPr>
              <w:pStyle w:val="Compact"/>
            </w:pPr>
            <w:r>
              <w:t xml:space="preserve">TEIW archive</w:t>
            </w:r>
          </w:p>
        </w:tc>
      </w:tr>
    </w:tbl>
    <w:p>
      <w:pPr>
        <w:pStyle w:val="BodyText"/>
      </w:pPr>
      <w:r>
        <w:t xml:space="preserve">Outputs are filed within 14 days of experiment close. Unfiled outputs are treated as incomplete experiments at the next quarterly review.</w:t>
      </w:r>
    </w:p>
    <w:p>
      <w:r>
        <w:pict>
          <v:rect style="width:0;height:1.5pt" o:hralign="center" o:hrstd="t" o:hr="t"/>
        </w:pict>
      </w:r>
    </w:p>
    <w:bookmarkEnd w:id="15"/>
    <w:bookmarkStart w:id="16" w:name="governance"/>
    <w:p>
      <w:pPr>
        <w:pStyle w:val="Heading2"/>
      </w:pPr>
      <w:r>
        <w:t xml:space="preserve">7. Governance</w:t>
      </w:r>
    </w:p>
    <w:p>
      <w:pPr>
        <w:pStyle w:val="FirstParagraph"/>
      </w:pPr>
      <w:r>
        <w:t xml:space="preserve">TEIW does not self-authorise its agenda.</w:t>
      </w:r>
    </w:p>
    <w:p>
      <w:pPr>
        <w:pStyle w:val="BodyText"/>
      </w:pPr>
      <w:r>
        <w:rPr>
          <w:b/>
          <w:bCs/>
        </w:rPr>
        <w:t xml:space="preserve">Current state (interim):</w:t>
      </w:r>
    </w:p>
    <w:p>
      <w:pPr>
        <w:pStyle w:val="Compact"/>
        <w:numPr>
          <w:ilvl w:val="0"/>
          <w:numId w:val="1003"/>
        </w:numPr>
      </w:pPr>
      <w:r>
        <w:rPr>
          <w:b/>
          <w:bCs/>
        </w:rPr>
        <w:t xml:space="preserve">Experiment agenda:</w:t>
      </w:r>
      <w:r>
        <w:t xml:space="preserve"> </w:t>
      </w:r>
      <w:r>
        <w:t xml:space="preserve">set by the Commandant, informed by CTVMR AAR findings and the CAPDEV portfolio review.</w:t>
      </w:r>
    </w:p>
    <w:p>
      <w:pPr>
        <w:pStyle w:val="Compact"/>
        <w:numPr>
          <w:ilvl w:val="0"/>
          <w:numId w:val="1003"/>
        </w:numPr>
      </w:pPr>
      <w:r>
        <w:rPr>
          <w:b/>
          <w:bCs/>
        </w:rPr>
        <w:t xml:space="preserve">Approval authority:</w:t>
      </w:r>
      <w:r>
        <w:t xml:space="preserve"> </w:t>
      </w:r>
      <w:r>
        <w:t xml:space="preserve">Commandant SBTDWS for all Tier 1 experiments. Tier 2 escalated to higher command through the normal chain.</w:t>
      </w:r>
    </w:p>
    <w:p>
      <w:pPr>
        <w:pStyle w:val="Compact"/>
        <w:numPr>
          <w:ilvl w:val="0"/>
          <w:numId w:val="1003"/>
        </w:numPr>
      </w:pPr>
      <w:r>
        <w:rPr>
          <w:b/>
          <w:bCs/>
        </w:rPr>
        <w:t xml:space="preserve">Doctrine integration:</w:t>
      </w:r>
      <w:r>
        <w:t xml:space="preserve"> </w:t>
      </w:r>
      <w:r>
        <w:t xml:space="preserve">routed through the SAT Cell as the current entry point for TTP outputs.</w:t>
      </w:r>
    </w:p>
    <w:p>
      <w:pPr>
        <w:pStyle w:val="Compact"/>
        <w:numPr>
          <w:ilvl w:val="0"/>
          <w:numId w:val="1003"/>
        </w:numPr>
      </w:pPr>
      <w:r>
        <w:rPr>
          <w:b/>
          <w:bCs/>
        </w:rPr>
        <w:t xml:space="preserve">Review cycle:</w:t>
      </w:r>
      <w:r>
        <w:t xml:space="preserve"> </w:t>
      </w:r>
      <w:r>
        <w:t xml:space="preserve">quarterly, chaired by the Commandant. The TEIW Commander briefs completed experiments, in-progress status, and the next-cycle agenda.</w:t>
      </w:r>
    </w:p>
    <w:p>
      <w:pPr>
        <w:pStyle w:val="FirstParagraph"/>
      </w:pPr>
      <w:r>
        <w:rPr>
          <w:b/>
          <w:bCs/>
        </w:rPr>
        <w:t xml:space="preserve">Target state (as PG-level governance structures mature):</w:t>
      </w:r>
    </w:p>
    <w:p>
      <w:pPr>
        <w:pStyle w:val="Compact"/>
        <w:numPr>
          <w:ilvl w:val="0"/>
          <w:numId w:val="1004"/>
        </w:numPr>
      </w:pPr>
      <w:r>
        <w:t xml:space="preserve">The PG’s tactical-experimentation mandate sets the experiment mandate; TEIW executes within it. Out-of-mandate experiments require a Commandant directive.</w:t>
      </w:r>
    </w:p>
    <w:p>
      <w:pPr>
        <w:pStyle w:val="Compact"/>
        <w:numPr>
          <w:ilvl w:val="0"/>
          <w:numId w:val="1004"/>
        </w:numPr>
      </w:pPr>
      <w:r>
        <w:t xml:space="preserve">The PG capability-development/innovation-governance authority receives Tier 2 submissions and reviews them at its own cycle.</w:t>
      </w:r>
    </w:p>
    <w:p>
      <w:pPr>
        <w:pStyle w:val="Compact"/>
        <w:numPr>
          <w:ilvl w:val="0"/>
          <w:numId w:val="1004"/>
        </w:numPr>
      </w:pPr>
      <w:r>
        <w:t xml:space="preserve">Tier 2 execution transitions to the appropriate PG capability-delivery function once established. TEIW hands off at the capital/scale gate.</w:t>
      </w:r>
    </w:p>
    <w:p>
      <w:pPr>
        <w:pStyle w:val="FirstParagraph"/>
      </w:pPr>
      <w:r>
        <w:t xml:space="preserve">The charter does not wait for these structures to mature. It runs under interim governance now and transitions as they stand up.</w:t>
      </w:r>
    </w:p>
    <w:p>
      <w:pPr>
        <w:pStyle w:val="BodyText"/>
      </w:pPr>
      <w:r>
        <w:rPr>
          <w:b/>
          <w:bCs/>
        </w:rPr>
        <w:t xml:space="preserve">Makhlab 1 — supported proof of concept, not the TEIW template.</w:t>
      </w:r>
      <w:r>
        <w:t xml:space="preserve"> </w:t>
      </w:r>
      <w:r>
        <w:t xml:space="preserve">SBTDWS has a supporting role in Makhlab 1 (Tactical Drones proof of concept), led externally. Makhlab 1 is not a TEIW-owned experiment and does not set the operating template for TEIW. SBTDWS delivers its support contribution as directed; TEIW observes and extracts any applicable lessons for its own programme. TEIW establishes its own operating template through its first owned experiment, drawn from the existing CAPDEV portfolio and governed under this charter’s entry criteria and approval process.</w:t>
      </w:r>
    </w:p>
    <w:p>
      <w:r>
        <w:pict>
          <v:rect style="width:0;height:1.5pt" o:hralign="center" o:hrstd="t" o:hr="t"/>
        </w:pict>
      </w:r>
    </w:p>
    <w:bookmarkEnd w:id="16"/>
    <w:bookmarkStart w:id="17" w:name="ctvmr-handoff-the-information-circuit"/>
    <w:p>
      <w:pPr>
        <w:pStyle w:val="Heading2"/>
      </w:pPr>
      <w:r>
        <w:t xml:space="preserve">8. CTVMR Handoff — The Information Circuit</w:t>
      </w:r>
    </w:p>
    <w:p>
      <w:pPr>
        <w:pStyle w:val="FirstParagraph"/>
      </w:pPr>
      <w:r>
        <w:t xml:space="preserve">TEIW and CTVMR share the same operational knowledge base; they do not compete for it.</w:t>
      </w:r>
    </w:p>
    <w:p>
      <w:pPr>
        <w:pStyle w:val="BodyText"/>
      </w:pPr>
      <w:r>
        <w:rPr>
          <w:b/>
          <w:bCs/>
        </w:rPr>
        <w:t xml:space="preserve">From CTVMR to TEIW:</w:t>
      </w:r>
      <w:r>
        <w:t xml:space="preserve"> </w:t>
      </w:r>
      <w:r>
        <w:t xml:space="preserve">AAR findings flag observed gaps, problem statements enter the TEIW backlog, TEIW prioritises by MOE clarity and resource fit.</w:t>
      </w:r>
    </w:p>
    <w:p>
      <w:pPr>
        <w:pStyle w:val="BodyText"/>
      </w:pPr>
      <w:r>
        <w:rPr>
          <w:b/>
          <w:bCs/>
        </w:rPr>
        <w:t xml:space="preserve">From TEIW to CTVMR:</w:t>
      </w:r>
      <w:r>
        <w:t xml:space="preserve"> </w:t>
      </w:r>
      <w:r>
        <w:t xml:space="preserve">validated TTPs go to the CTVMR exercise design cell and are embedded into the next collective serial as a trained standard.</w:t>
      </w:r>
    </w:p>
    <w:p>
      <w:pPr>
        <w:pStyle w:val="BodyText"/>
      </w:pPr>
      <w:r>
        <w:rPr>
          <w:b/>
          <w:bCs/>
        </w:rPr>
        <w:t xml:space="preserve">Coordination mechanism:</w:t>
      </w:r>
      <w:r>
        <w:t xml:space="preserve"> </w:t>
      </w:r>
      <w:r>
        <w:t xml:space="preserve">a monthly TEIW–CTVMR standing meeting (TEIW Commander, CTVMR exercise design lead, and one Observer-Controller/Trainer cadre representative). Agenda: review open experiment status, review AAR findings from the most recent CTVMR serial, confirm next-cycle priorities.</w:t>
      </w:r>
    </w:p>
    <w:p>
      <w:pPr>
        <w:pStyle w:val="BodyText"/>
      </w:pPr>
      <w:r>
        <w:rPr>
          <w:b/>
          <w:bCs/>
        </w:rPr>
        <w:t xml:space="preserve">Priority rule:</w:t>
      </w:r>
      <w:r>
        <w:t xml:space="preserve"> </w:t>
      </w:r>
      <w:r>
        <w:t xml:space="preserve">TEIW experiments that can be designed into a CTVMR exercise serial are prioritised over those that cannot. Experiments with no CTVMR integration path are deprioritised unless directed under the Force Design Concept 5 mandate.</w:t>
      </w:r>
    </w:p>
    <w:p>
      <w:r>
        <w:pict>
          <v:rect style="width:0;height:1.5pt" o:hralign="center" o:hrstd="t" o:hr="t"/>
        </w:pict>
      </w:r>
    </w:p>
    <w:bookmarkEnd w:id="17"/>
    <w:bookmarkStart w:id="18" w:name="capdev-portfolio-current-classification"/>
    <w:p>
      <w:pPr>
        <w:pStyle w:val="Heading2"/>
      </w:pPr>
      <w:r>
        <w:t xml:space="preserve">9. CAPDEV Portfolio — Current Classification</w:t>
      </w:r>
    </w:p>
    <w:p>
      <w:pPr>
        <w:pStyle w:val="FirstParagraph"/>
      </w:pPr>
      <w:r>
        <w:t xml:space="preserve">Existing capability-development projects are classified below. This classification is reviewable at each quarterly cycle.</w:t>
      </w:r>
    </w:p>
    <w:p>
      <w:pPr>
        <w:pStyle w:val="BodyText"/>
      </w:pPr>
      <w:r>
        <w:rPr>
          <w:b/>
          <w:bCs/>
        </w:rPr>
        <w:t xml:space="preserve">Supported proof-of-concept work (external lead — SBTDWS in a supporting role only):</w:t>
      </w:r>
    </w:p>
    <w:tbl>
      <w:tblPr>
        <w:tblStyle w:val="Table"/>
        <w:tblW w:type="pct" w:w="5000"/>
        <w:tblLayout w:type="fixed"/>
        <w:tblLook w:firstRow="1" w:lastRow="0" w:firstColumn="0" w:lastColumn="0" w:noHBand="0" w:noVBand="0" w:val="0020"/>
      </w:tblPr>
      <w:tblGrid>
        <w:gridCol w:w="2036"/>
        <w:gridCol w:w="1357"/>
        <w:gridCol w:w="2941"/>
        <w:gridCol w:w="1584"/>
      </w:tblGrid>
      <w:tr>
        <w:trPr>
          <w:tblHeader w:val="on"/>
        </w:trPr>
        <w:tc>
          <w:tcPr/>
          <w:p>
            <w:pPr>
              <w:pStyle w:val="Compact"/>
            </w:pPr>
            <w:r>
              <w:t xml:space="preserve">Project</w:t>
            </w:r>
          </w:p>
        </w:tc>
        <w:tc>
          <w:tcPr/>
          <w:p>
            <w:pPr>
              <w:pStyle w:val="Compact"/>
            </w:pPr>
            <w:r>
              <w:t xml:space="preserve">Lead</w:t>
            </w:r>
          </w:p>
        </w:tc>
        <w:tc>
          <w:tcPr/>
          <w:p>
            <w:pPr>
              <w:pStyle w:val="Compact"/>
            </w:pPr>
            <w:r>
              <w:t xml:space="preserve">SBTDWS Role</w:t>
            </w:r>
          </w:p>
        </w:tc>
        <w:tc>
          <w:tcPr/>
          <w:p>
            <w:pPr>
              <w:pStyle w:val="Compact"/>
            </w:pPr>
            <w:r>
              <w:t xml:space="preserve">Notes</w:t>
            </w:r>
          </w:p>
        </w:tc>
      </w:tr>
      <w:tr>
        <w:tc>
          <w:tcPr/>
          <w:p>
            <w:pPr>
              <w:pStyle w:val="Compact"/>
            </w:pPr>
            <w:r>
              <w:t xml:space="preserve">Makhlab 1 (Tactical Drones)</w:t>
            </w:r>
          </w:p>
        </w:tc>
        <w:tc>
          <w:tcPr/>
          <w:p>
            <w:pPr>
              <w:pStyle w:val="Compact"/>
            </w:pPr>
            <w:r>
              <w:t xml:space="preserve">External</w:t>
            </w:r>
          </w:p>
        </w:tc>
        <w:tc>
          <w:tcPr/>
          <w:p>
            <w:pPr>
              <w:pStyle w:val="Compact"/>
            </w:pPr>
            <w:r>
              <w:t xml:space="preserve">Supporting</w:t>
            </w:r>
          </w:p>
        </w:tc>
        <w:tc>
          <w:tcPr/>
          <w:p>
            <w:pPr>
              <w:pStyle w:val="Compact"/>
            </w:pPr>
            <w:r>
              <w:t xml:space="preserve">Not a TEIW-owned experiment. SBTDWS delivers support as directed; TEIW observes and extracts applicable lessons only.</w:t>
            </w:r>
          </w:p>
        </w:tc>
      </w:tr>
    </w:tbl>
    <w:p>
      <w:pPr>
        <w:pStyle w:val="BodyText"/>
      </w:pPr>
      <w:r>
        <w:rPr>
          <w:b/>
          <w:bCs/>
        </w:rPr>
        <w:t xml:space="preserve">TEIW-owned experiments (Tier 1 — Commandant authority):</w:t>
      </w:r>
    </w:p>
    <w:tbl>
      <w:tblPr>
        <w:tblStyle w:val="Table"/>
        <w:tblW w:type="pct" w:w="5000"/>
        <w:tblLayout w:type="fixed"/>
        <w:tblLook w:firstRow="1" w:lastRow="0" w:firstColumn="0" w:lastColumn="0" w:noHBand="0" w:noVBand="0" w:val="0020"/>
      </w:tblPr>
      <w:tblGrid>
        <w:gridCol w:w="2299"/>
        <w:gridCol w:w="2554"/>
        <w:gridCol w:w="3065"/>
      </w:tblGrid>
      <w:tr>
        <w:trPr>
          <w:tblHeader w:val="on"/>
        </w:trPr>
        <w:tc>
          <w:tcPr/>
          <w:p>
            <w:pPr>
              <w:pStyle w:val="Compact"/>
            </w:pPr>
            <w:r>
              <w:t xml:space="preserve">Project</w:t>
            </w:r>
          </w:p>
        </w:tc>
        <w:tc>
          <w:tcPr/>
          <w:p>
            <w:pPr>
              <w:pStyle w:val="Compact"/>
            </w:pPr>
            <w:r>
              <w:t xml:space="preserve">Priority</w:t>
            </w:r>
          </w:p>
        </w:tc>
        <w:tc>
          <w:tcPr/>
          <w:p>
            <w:pPr>
              <w:pStyle w:val="Compact"/>
            </w:pPr>
            <w:r>
              <w:t xml:space="preserve">Next Action</w:t>
            </w:r>
          </w:p>
        </w:tc>
      </w:tr>
      <w:tr>
        <w:tc>
          <w:tcPr/>
          <w:p>
            <w:pPr>
              <w:pStyle w:val="Compact"/>
            </w:pPr>
            <w:r>
              <w:t xml:space="preserve">FPV Drones</w:t>
            </w:r>
          </w:p>
        </w:tc>
        <w:tc>
          <w:tcPr/>
          <w:p>
            <w:pPr>
              <w:pStyle w:val="Compact"/>
            </w:pPr>
            <w:r>
              <w:t xml:space="preserve">1 — first owned experiment</w:t>
            </w:r>
          </w:p>
        </w:tc>
        <w:tc>
          <w:tcPr/>
          <w:p>
            <w:pPr>
              <w:pStyle w:val="Compact"/>
            </w:pPr>
            <w:r>
              <w:t xml:space="preserve">Define hypothesis and MOE. Link to CTVMR exercise series. This is the template for all subsequent TEIW experiments.</w:t>
            </w:r>
          </w:p>
        </w:tc>
      </w:tr>
      <w:tr>
        <w:tc>
          <w:tcPr/>
          <w:p>
            <w:pPr>
              <w:pStyle w:val="Compact"/>
            </w:pPr>
            <w:r>
              <w:t xml:space="preserve">Paramotor</w:t>
            </w:r>
          </w:p>
        </w:tc>
        <w:tc>
          <w:tcPr/>
          <w:p>
            <w:pPr>
              <w:pStyle w:val="Compact"/>
            </w:pPr>
            <w:r>
              <w:t xml:space="preserve">2</w:t>
            </w:r>
          </w:p>
        </w:tc>
        <w:tc>
          <w:tcPr/>
          <w:p>
            <w:pPr>
              <w:pStyle w:val="Compact"/>
            </w:pPr>
            <w:r>
              <w:t xml:space="preserve">Write experiment design; hypothesis on reconnaissance-reach extension over dismounted patrol; confirm MOE and CTVMR integration plan.</w:t>
            </w:r>
          </w:p>
        </w:tc>
      </w:tr>
      <w:tr>
        <w:tc>
          <w:tcPr/>
          <w:p>
            <w:pPr>
              <w:pStyle w:val="Compact"/>
            </w:pPr>
            <w:r>
              <w:t xml:space="preserve">Unmanned Ground Vehicle (UGV)</w:t>
            </w:r>
          </w:p>
        </w:tc>
        <w:tc>
          <w:tcPr/>
          <w:p>
            <w:pPr>
              <w:pStyle w:val="Compact"/>
            </w:pPr>
            <w:r>
              <w:t xml:space="preserve">3</w:t>
            </w:r>
          </w:p>
        </w:tc>
        <w:tc>
          <w:tcPr/>
          <w:p>
            <w:pPr>
              <w:pStyle w:val="Compact"/>
            </w:pPr>
            <w:r>
              <w:t xml:space="preserve">Define casualty-evacuation/resupply hypothesis; trial during next Collective Training Wing company exercise.</w:t>
            </w:r>
          </w:p>
        </w:tc>
      </w:tr>
      <w:tr>
        <w:tc>
          <w:tcPr/>
          <w:p>
            <w:pPr>
              <w:pStyle w:val="Compact"/>
            </w:pPr>
            <w:r>
              <w:t xml:space="preserve">Razor Ambulance</w:t>
            </w:r>
          </w:p>
        </w:tc>
        <w:tc>
          <w:tcPr/>
          <w:p>
            <w:pPr>
              <w:pStyle w:val="Compact"/>
            </w:pPr>
            <w:r>
              <w:t xml:space="preserve">3 (linked to UGV)</w:t>
            </w:r>
          </w:p>
        </w:tc>
        <w:tc>
          <w:tcPr/>
          <w:p>
            <w:pPr>
              <w:pStyle w:val="Compact"/>
            </w:pPr>
            <w:r>
              <w:t xml:space="preserve">Joint experiment with UGV: UGV extraction, Razor handover, run concurrently.</w:t>
            </w:r>
          </w:p>
        </w:tc>
      </w:tr>
      <w:tr>
        <w:tc>
          <w:tcPr/>
          <w:p>
            <w:pPr>
              <w:pStyle w:val="Compact"/>
            </w:pPr>
            <w:r>
              <w:t xml:space="preserve">Electric Bikes</w:t>
            </w:r>
          </w:p>
        </w:tc>
        <w:tc>
          <w:tcPr/>
          <w:p>
            <w:pPr>
              <w:pStyle w:val="Compact"/>
            </w:pPr>
            <w:r>
              <w:t xml:space="preserve">4</w:t>
            </w:r>
          </w:p>
        </w:tc>
        <w:tc>
          <w:tcPr/>
          <w:p>
            <w:pPr>
              <w:pStyle w:val="Compact"/>
            </w:pPr>
            <w:r>
              <w:t xml:space="preserve">Define mobility TTP and counter-detection hypothesis.</w:t>
            </w:r>
          </w:p>
        </w:tc>
      </w:tr>
      <w:tr>
        <w:tc>
          <w:tcPr/>
          <w:p>
            <w:pPr>
              <w:pStyle w:val="Compact"/>
            </w:pPr>
            <w:r>
              <w:t xml:space="preserve">Tactical Resupply Drone</w:t>
            </w:r>
          </w:p>
        </w:tc>
        <w:tc>
          <w:tcPr/>
          <w:p>
            <w:pPr>
              <w:pStyle w:val="Compact"/>
            </w:pPr>
            <w:r>
              <w:t xml:space="preserve">4</w:t>
            </w:r>
          </w:p>
        </w:tc>
        <w:tc>
          <w:tcPr/>
          <w:p>
            <w:pPr>
              <w:pStyle w:val="Compact"/>
            </w:pPr>
            <w:r>
              <w:t xml:space="preserve">Define autonomous logistics hypothesis at company level.</w:t>
            </w:r>
          </w:p>
        </w:tc>
      </w:tr>
      <w:tr>
        <w:tc>
          <w:tcPr/>
          <w:p>
            <w:pPr>
              <w:pStyle w:val="Compact"/>
            </w:pPr>
            <w:r>
              <w:t xml:space="preserve">Multi-Spectral Camouflage</w:t>
            </w:r>
          </w:p>
        </w:tc>
        <w:tc>
          <w:tcPr/>
          <w:p>
            <w:pPr>
              <w:pStyle w:val="Compact"/>
            </w:pPr>
            <w:r>
              <w:t xml:space="preserve">5</w:t>
            </w:r>
          </w:p>
        </w:tc>
        <w:tc>
          <w:tcPr/>
          <w:p>
            <w:pPr>
              <w:pStyle w:val="Compact"/>
            </w:pPr>
            <w:r>
              <w:t xml:space="preserve">Link experiment to counter-UAS serial in CTVMR; MOE is detection-range delta.</w:t>
            </w:r>
          </w:p>
        </w:tc>
      </w:tr>
      <w:tr>
        <w:tc>
          <w:tcPr/>
          <w:p>
            <w:pPr>
              <w:pStyle w:val="Compact"/>
            </w:pPr>
            <w:r>
              <w:t xml:space="preserve">Decoy Vehicles</w:t>
            </w:r>
          </w:p>
        </w:tc>
        <w:tc>
          <w:tcPr/>
          <w:p>
            <w:pPr>
              <w:pStyle w:val="Compact"/>
            </w:pPr>
            <w:r>
              <w:t xml:space="preserve">5</w:t>
            </w:r>
          </w:p>
        </w:tc>
        <w:tc>
          <w:tcPr/>
          <w:p>
            <w:pPr>
              <w:pStyle w:val="Compact"/>
            </w:pPr>
            <w:r>
              <w:t xml:space="preserve">Design as a CTVMR exercise inject; MOE is adversary sensor confusion in exercise.</w:t>
            </w:r>
          </w:p>
        </w:tc>
      </w:tr>
    </w:tbl>
    <w:p>
      <w:pPr>
        <w:pStyle w:val="BodyText"/>
      </w:pPr>
      <w:r>
        <w:rPr>
          <w:b/>
          <w:bCs/>
        </w:rPr>
        <w:t xml:space="preserve">CTVMR-owned (not TEIW):</w:t>
      </w:r>
    </w:p>
    <w:tbl>
      <w:tblPr>
        <w:tblStyle w:val="Table"/>
        <w:tblW w:type="pct" w:w="5000"/>
        <w:tblLayout w:type="fixed"/>
        <w:tblLook w:firstRow="1" w:lastRow="0" w:firstColumn="0" w:lastColumn="0" w:noHBand="0" w:noVBand="0" w:val="0020"/>
      </w:tblPr>
      <w:tblGrid>
        <w:gridCol w:w="3099"/>
        <w:gridCol w:w="2410"/>
        <w:gridCol w:w="2410"/>
      </w:tblGrid>
      <w:tr>
        <w:trPr>
          <w:tblHeader w:val="on"/>
        </w:trPr>
        <w:tc>
          <w:tcPr/>
          <w:p>
            <w:pPr>
              <w:pStyle w:val="Compact"/>
            </w:pPr>
            <w:r>
              <w:t xml:space="preserve">Project</w:t>
            </w:r>
          </w:p>
        </w:tc>
        <w:tc>
          <w:tcPr/>
          <w:p>
            <w:pPr>
              <w:pStyle w:val="Compact"/>
            </w:pPr>
            <w:r>
              <w:t xml:space="preserve">Owner</w:t>
            </w:r>
          </w:p>
        </w:tc>
        <w:tc>
          <w:tcPr/>
          <w:p>
            <w:pPr>
              <w:pStyle w:val="Compact"/>
            </w:pPr>
            <w:r>
              <w:t xml:space="preserve">Notes</w:t>
            </w:r>
          </w:p>
        </w:tc>
      </w:tr>
      <w:tr>
        <w:tc>
          <w:tcPr/>
          <w:p>
            <w:pPr>
              <w:pStyle w:val="Compact"/>
            </w:pPr>
            <w:r>
              <w:t xml:space="preserve">OPFOR / Role Player Programme</w:t>
            </w:r>
          </w:p>
        </w:tc>
        <w:tc>
          <w:tcPr/>
          <w:p>
            <w:pPr>
              <w:pStyle w:val="Compact"/>
            </w:pPr>
            <w:r>
              <w:t xml:space="preserve">CTVMR</w:t>
            </w:r>
          </w:p>
        </w:tc>
        <w:tc>
          <w:tcPr/>
          <w:p>
            <w:pPr>
              <w:pStyle w:val="Compact"/>
            </w:pPr>
            <w:r>
              <w:t xml:space="preserve">A CTVMR non-negotiable. TEIW requests support per experiment; does not own or resource it.</w:t>
            </w:r>
          </w:p>
        </w:tc>
      </w:tr>
    </w:tbl>
    <w:p>
      <w:pPr>
        <w:pStyle w:val="BodyText"/>
      </w:pPr>
      <w:r>
        <w:rPr>
          <w:b/>
          <w:bCs/>
        </w:rPr>
        <w:t xml:space="preserve">Tier 2 — requires capital/higher authority decision:</w:t>
      </w:r>
    </w:p>
    <w:tbl>
      <w:tblPr>
        <w:tblStyle w:val="Table"/>
        <w:tblW w:type="pct" w:w="5000"/>
        <w:tblLayout w:type="fixed"/>
        <w:tblLook w:firstRow="1" w:lastRow="0" w:firstColumn="0" w:lastColumn="0" w:noHBand="0" w:noVBand="0" w:val="0020"/>
      </w:tblPr>
      <w:tblGrid>
        <w:gridCol w:w="2970"/>
        <w:gridCol w:w="2640"/>
        <w:gridCol w:w="2310"/>
      </w:tblGrid>
      <w:tr>
        <w:trPr>
          <w:tblHeader w:val="on"/>
        </w:trPr>
        <w:tc>
          <w:tcPr/>
          <w:p>
            <w:pPr>
              <w:pStyle w:val="Compact"/>
            </w:pPr>
            <w:r>
              <w:t xml:space="preserve">Project</w:t>
            </w:r>
          </w:p>
        </w:tc>
        <w:tc>
          <w:tcPr/>
          <w:p>
            <w:pPr>
              <w:pStyle w:val="Compact"/>
            </w:pPr>
            <w:r>
              <w:t xml:space="preserve">Status</w:t>
            </w:r>
          </w:p>
        </w:tc>
        <w:tc>
          <w:tcPr/>
          <w:p>
            <w:pPr>
              <w:pStyle w:val="Compact"/>
            </w:pPr>
            <w:r>
              <w:t xml:space="preserve">Notes</w:t>
            </w:r>
          </w:p>
        </w:tc>
      </w:tr>
      <w:tr>
        <w:tc>
          <w:tcPr/>
          <w:p>
            <w:pPr>
              <w:pStyle w:val="Compact"/>
            </w:pPr>
            <w:r>
              <w:t xml:space="preserve">WaterGen</w:t>
            </w:r>
          </w:p>
        </w:tc>
        <w:tc>
          <w:tcPr/>
          <w:p>
            <w:pPr>
              <w:pStyle w:val="Compact"/>
            </w:pPr>
            <w:r>
              <w:t xml:space="preserve">Escalate to Commandant, then higher command</w:t>
            </w:r>
          </w:p>
        </w:tc>
        <w:tc>
          <w:tcPr/>
          <w:p>
            <w:pPr>
              <w:pStyle w:val="Compact"/>
            </w:pPr>
            <w:r>
              <w:t xml:space="preserve">Capital dependency. Package submission with experiment evidence. Cannot run as Tier 1.</w:t>
            </w:r>
          </w:p>
        </w:tc>
      </w:tr>
      <w:tr>
        <w:tc>
          <w:tcPr/>
          <w:p>
            <w:pPr>
              <w:pStyle w:val="Compact"/>
            </w:pPr>
            <w:r>
              <w:t xml:space="preserve">Vehicle Simulator</w:t>
            </w:r>
          </w:p>
        </w:tc>
        <w:tc>
          <w:tcPr/>
          <w:p>
            <w:pPr>
              <w:pStyle w:val="Compact"/>
            </w:pPr>
            <w:r>
              <w:t xml:space="preserve">Escalate to Commandant, then relevant staff decision</w:t>
            </w:r>
          </w:p>
        </w:tc>
        <w:tc>
          <w:tcPr/>
          <w:p>
            <w:pPr>
              <w:pStyle w:val="Compact"/>
            </w:pPr>
            <w:r>
              <w:t xml:space="preserve">Architecture decision beyond TEIW’s authority. TEIW prepares the capability case; does not own the project.</w:t>
            </w:r>
          </w:p>
        </w:tc>
      </w:tr>
    </w:tbl>
    <w:p>
      <w:pPr>
        <w:pStyle w:val="BodyText"/>
      </w:pPr>
      <w:r>
        <w:rPr>
          <w:b/>
          <w:bCs/>
        </w:rPr>
        <w:t xml:space="preserve">Out of scope: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Project</w:t>
            </w:r>
          </w:p>
        </w:tc>
        <w:tc>
          <w:tcPr/>
          <w:p>
            <w:pPr>
              <w:pStyle w:val="Compact"/>
            </w:pPr>
            <w:r>
              <w:t xml:space="preserve">Disposition</w:t>
            </w:r>
          </w:p>
        </w:tc>
      </w:tr>
      <w:tr>
        <w:tc>
          <w:tcPr/>
          <w:p>
            <w:pPr>
              <w:pStyle w:val="Compact"/>
            </w:pPr>
            <w:r>
              <w:t xml:space="preserve">Rollover Trainer</w:t>
            </w:r>
          </w:p>
        </w:tc>
        <w:tc>
          <w:tcPr/>
          <w:p>
            <w:pPr>
              <w:pStyle w:val="Compact"/>
            </w:pPr>
            <w:r>
              <w:t xml:space="preserve">Existing infrastructure project, not an experiment. Handled through normal procurement/maintenance chain.</w:t>
            </w:r>
          </w:p>
        </w:tc>
      </w:tr>
    </w:tbl>
    <w:p>
      <w:r>
        <w:pict>
          <v:rect style="width:0;height:1.5pt" o:hralign="center" o:hrstd="t" o:hr="t"/>
        </w:pict>
      </w:r>
    </w:p>
    <w:bookmarkEnd w:id="18"/>
    <w:bookmarkStart w:id="19" w:name="staffing"/>
    <w:p>
      <w:pPr>
        <w:pStyle w:val="Heading2"/>
      </w:pPr>
      <w:r>
        <w:t xml:space="preserve">10. Staffing</w:t>
      </w:r>
    </w:p>
    <w:p>
      <w:pPr>
        <w:pStyle w:val="FirstParagraph"/>
      </w:pPr>
      <w:r>
        <w:t xml:space="preserve">TEIW is not a large formation. The charter does not require new billets; it requires the right people in the right roles.</w:t>
      </w:r>
    </w:p>
    <w:p>
      <w:pPr>
        <w:pStyle w:val="BodyText"/>
      </w:pPr>
      <w:r>
        <w:rPr>
          <w:b/>
          <w:bCs/>
        </w:rPr>
        <w:t xml:space="preserve">Minimum viable TEIW (aligned to Makhlab 1 timeline):</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t xml:space="preserve">Role</w:t>
            </w:r>
          </w:p>
        </w:tc>
        <w:tc>
          <w:tcPr/>
          <w:p>
            <w:pPr>
              <w:pStyle w:val="Compact"/>
            </w:pPr>
            <w:r>
              <w:t xml:space="preserve">Source</w:t>
            </w:r>
          </w:p>
        </w:tc>
        <w:tc>
          <w:tcPr/>
          <w:p>
            <w:pPr>
              <w:pStyle w:val="Compact"/>
            </w:pPr>
            <w:r>
              <w:t xml:space="preserve">Function</w:t>
            </w:r>
          </w:p>
        </w:tc>
      </w:tr>
      <w:tr>
        <w:tc>
          <w:tcPr/>
          <w:p>
            <w:pPr>
              <w:pStyle w:val="Compact"/>
            </w:pPr>
            <w:r>
              <w:t xml:space="preserve">TEIW Commander</w:t>
            </w:r>
          </w:p>
        </w:tc>
        <w:tc>
          <w:tcPr/>
          <w:p>
            <w:pPr>
              <w:pStyle w:val="Compact"/>
            </w:pPr>
            <w:r>
              <w:t xml:space="preserve">OF-4 or senior OF-3</w:t>
            </w:r>
          </w:p>
        </w:tc>
        <w:tc>
          <w:tcPr/>
          <w:p>
            <w:pPr>
              <w:pStyle w:val="Compact"/>
            </w:pPr>
            <w:r>
              <w:t xml:space="preserve">Runs the Force Design Concept 5 relationship; approves experiment designs; briefs the Commandant</w:t>
            </w:r>
          </w:p>
        </w:tc>
      </w:tr>
      <w:tr>
        <w:tc>
          <w:tcPr/>
          <w:p>
            <w:pPr>
              <w:pStyle w:val="Compact"/>
            </w:pPr>
            <w:r>
              <w:t xml:space="preserve">Experiment Cell (×2–3)</w:t>
            </w:r>
          </w:p>
        </w:tc>
        <w:tc>
          <w:tcPr/>
          <w:p>
            <w:pPr>
              <w:pStyle w:val="Compact"/>
            </w:pPr>
            <w:r>
              <w:t xml:space="preserve">Existing CAPDEV Cell staff</w:t>
            </w:r>
          </w:p>
        </w:tc>
        <w:tc>
          <w:tcPr/>
          <w:p>
            <w:pPr>
              <w:pStyle w:val="Compact"/>
            </w:pPr>
            <w:r>
              <w:t xml:space="preserve">Designs and executes individual experiments; files outputs</w:t>
            </w:r>
          </w:p>
        </w:tc>
      </w:tr>
      <w:tr>
        <w:tc>
          <w:tcPr/>
          <w:p>
            <w:pPr>
              <w:pStyle w:val="Compact"/>
            </w:pPr>
            <w:r>
              <w:t xml:space="preserve">Doctrine Liaison (×1)</w:t>
            </w:r>
          </w:p>
        </w:tc>
        <w:tc>
          <w:tcPr/>
          <w:p>
            <w:pPr>
              <w:pStyle w:val="Compact"/>
            </w:pPr>
            <w:r>
              <w:t xml:space="preserve">SAT Cell link</w:t>
            </w:r>
          </w:p>
        </w:tc>
        <w:tc>
          <w:tcPr/>
          <w:p>
            <w:pPr>
              <w:pStyle w:val="Compact"/>
            </w:pPr>
            <w:r>
              <w:t xml:space="preserve">Routes TTP outputs into the doctrine process</w:t>
            </w:r>
          </w:p>
        </w:tc>
      </w:tr>
      <w:tr>
        <w:tc>
          <w:tcPr/>
          <w:p>
            <w:pPr>
              <w:pStyle w:val="Compact"/>
            </w:pPr>
            <w:r>
              <w:t xml:space="preserve">CTVMR Liaison (×1, part-time)</w:t>
            </w:r>
          </w:p>
        </w:tc>
        <w:tc>
          <w:tcPr/>
          <w:p>
            <w:pPr>
              <w:pStyle w:val="Compact"/>
            </w:pPr>
            <w:r>
              <w:t xml:space="preserve">Observer-Controller/Trainer cadre rotation</w:t>
            </w:r>
          </w:p>
        </w:tc>
        <w:tc>
          <w:tcPr/>
          <w:p>
            <w:pPr>
              <w:pStyle w:val="Compact"/>
            </w:pPr>
            <w:r>
              <w:t xml:space="preserve">Closes the AAR-experiment-TTP loop; attends the monthly coordination meeting</w:t>
            </w:r>
          </w:p>
        </w:tc>
      </w:tr>
    </w:tbl>
    <w:p>
      <w:pPr>
        <w:pStyle w:val="BodyText"/>
      </w:pPr>
      <w:r>
        <w:rPr>
          <w:b/>
          <w:bCs/>
        </w:rPr>
        <w:t xml:space="preserve">Full TEIW (at Final Operating Capability):</w:t>
      </w:r>
      <w:r>
        <w:t xml:space="preserve"> </w:t>
      </w:r>
      <w:r>
        <w:t xml:space="preserve">scales as the PG’s capital-delivery capacity matures. Once established, TEIW transitions to a pure Tier 1 function; Tier 2 execution moves to the appropriate PG delivery organisation. Until then, TEIW holds both roles within the Tier 1 ceiling.</w:t>
      </w:r>
    </w:p>
    <w:p>
      <w:r>
        <w:pict>
          <v:rect style="width:0;height:1.5pt" o:hralign="center" o:hrstd="t" o:hr="t"/>
        </w:pict>
      </w:r>
    </w:p>
    <w:bookmarkEnd w:id="19"/>
    <w:bookmarkStart w:id="20" w:name="Xb1ec1e1026402c468a629401b87cc87c8652068"/>
    <w:p>
      <w:pPr>
        <w:pStyle w:val="Heading2"/>
      </w:pPr>
      <w:r>
        <w:t xml:space="preserve">11. Manufacturing / Prototyping — An Idea for Consideration</w:t>
      </w:r>
    </w:p>
    <w:p>
      <w:pPr>
        <w:pStyle w:val="FirstParagraph"/>
      </w:pPr>
      <w:r>
        <w:t xml:space="preserve">SBTDWS has previously proposed incorporating a small manufacturing/prototyping element (fabrication, prototype assembly, limited repair capacity) into TEIW, rather than as a standalone structure. This is raised as an idea for the wider PG innovation-governance discussion, not a decision or an existing capability, and is acknowledged as contested — an alternative view is that UAE industry should build this capability rather than the PG holding it internally.</w:t>
      </w:r>
    </w:p>
    <w:p>
      <w:r>
        <w:pict>
          <v:rect style="width:0;height:1.5pt" o:hralign="center" o:hrstd="t" o:hr="t"/>
        </w:pict>
      </w:r>
    </w:p>
    <w:bookmarkEnd w:id="20"/>
    <w:bookmarkStart w:id="21" w:name="charter-review"/>
    <w:p>
      <w:pPr>
        <w:pStyle w:val="Heading2"/>
      </w:pPr>
      <w:r>
        <w:t xml:space="preserve">12. Charter Review</w:t>
      </w:r>
    </w:p>
    <w:p>
      <w:pPr>
        <w:pStyle w:val="FirstParagraph"/>
      </w:pPr>
      <w:r>
        <w:t xml:space="preserve">This charter is reviewed at each quarterly cycle. Amendment requires Commandant endorsement.</w:t>
      </w:r>
    </w:p>
    <w:p>
      <w:pPr>
        <w:pStyle w:val="BodyText"/>
      </w:pPr>
      <w:r>
        <w:t xml:space="preserve">The charter is designed to narrow over time, not widen: as PG-level capital-delivery and innovation-governance structures are established, Tier 2 functions are handed off, and TEIW becomes a leaner, better-defined function rather than a growing one.</w:t>
      </w:r>
    </w:p>
    <w:p>
      <w:pPr>
        <w:pStyle w:val="BodyText"/>
      </w:pPr>
      <w:r>
        <w:t xml:space="preserve">First review: Q4 2026, following Makhlab 1 sprint completion.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TEIW Standing Charter</dc:title>
  <dc:creator/>
  <cp:keywords/>
  <dcterms:created xsi:type="dcterms:W3CDTF">2026-08-14T11:41:37Z</dcterms:created>
  <dcterms:modified xsi:type="dcterms:W3CDTF">2026-08-14T11:41:37Z</dcterms:modified>
</cp:coreProperties>
</file>

<file path=docProps/custom.xml><?xml version="1.0" encoding="utf-8"?>
<Properties xmlns="http://schemas.openxmlformats.org/officeDocument/2006/custom-properties" xmlns:vt="http://schemas.openxmlformats.org/officeDocument/2006/docPropsVTypes"/>
</file>