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DIANN analysis for dia_baseline_smoke - report - created on 2026-10-18 17:11:18</w:t>
      </w:r>
    </w:p>
    <w:p>
      <w:pPr>
        <w:pStyle w:val="Author"/>
      </w:pPr>
      <w:r>
        <w:t xml:space="preserve">Your_fancy_self</w:t>
      </w:r>
    </w:p>
    <w:p>
      <w:pPr>
        <w:pStyle w:val="Date"/>
      </w:pPr>
      <w:r>
        <w:t xml:space="preserve">2026-10-18</w:t>
      </w:r>
    </w:p>
    <w:bookmarkStart w:id="9" w:name="sample-details"/>
    <w:p>
      <w:pPr>
        <w:pStyle w:val="Heading1"/>
      </w:pPr>
      <w:r>
        <w:t xml:space="preserve">Sample Details</w:t>
      </w:r>
    </w:p>
    <w:p>
      <w:pPr>
        <w:pStyle w:val="FirstParagraph"/>
      </w:pPr>
      <w:r>
        <w:t xml:space="preserve">SAMPLE DETAILS</w:t>
      </w:r>
    </w:p>
    <w:p>
      <w:pPr>
        <w:pStyle w:val="BodyText"/>
      </w:pPr>
      <w:r>
        <w:t xml:space="preserve">There are 8 samples in total which consists of:</w:t>
      </w:r>
      <w:r>
        <w:br/>
      </w:r>
      <w:r>
        <w:t xml:space="preserve">• 8 biological samples with no technical replicates.</w:t>
      </w:r>
      <w:r>
        <w:br/>
      </w:r>
      <w:r>
        <w:t xml:space="preserve">• Sample identification (eg client #, sample name, Salesforce ID etc)</w:t>
      </w:r>
      <w:r>
        <w:t xml:space="preserve"> </w:t>
      </w:r>
      <w:r>
        <w:t xml:space="preserve">• Sample conditions upon receipt</w:t>
      </w:r>
      <w:r>
        <w:br/>
      </w:r>
      <w:r>
        <w:t xml:space="preserve">• Comments about any noncompliance with sample conditions or suitability for</w:t>
      </w:r>
      <w:r>
        <w:t xml:space="preserve"> </w:t>
      </w:r>
      <w:r>
        <w:t xml:space="preserve">testing including client instruction to proceed/not proceed with work</w:t>
      </w:r>
    </w:p>
    <w:bookmarkEnd w:id="9"/>
    <w:bookmarkStart w:id="10" w:name="method-details"/>
    <w:p>
      <w:pPr>
        <w:pStyle w:val="Heading1"/>
      </w:pPr>
      <w:r>
        <w:t xml:space="preserve">Method Details</w:t>
      </w:r>
    </w:p>
    <w:p>
      <w:pPr>
        <w:pStyle w:val="FirstParagraph"/>
      </w:pPr>
      <w:r>
        <w:t xml:space="preserve">METHOD DETAILS</w:t>
      </w:r>
    </w:p>
    <w:p>
      <w:pPr>
        <w:pStyle w:val="BodyText"/>
      </w:pPr>
      <w:r>
        <w:t xml:space="preserve">Data analyses were performed based on SOP xxx.</w:t>
      </w:r>
      <w:r>
        <w:t xml:space="preserve"> </w:t>
      </w:r>
      <w:r>
        <w:t xml:space="preserve">• SOP number(s) and name(s)</w:t>
      </w:r>
      <w:r>
        <w:br/>
      </w:r>
      <w:r>
        <w:t xml:space="preserve">• Brief summary of method(s):</w:t>
      </w:r>
    </w:p>
    <w:p>
      <w:pPr>
        <w:pStyle w:val="BodyText"/>
      </w:pPr>
      <w:r>
        <w:t xml:space="preserve">Data filtering and normalization</w:t>
      </w:r>
      <w:r>
        <w:t xml:space="preserve"> </w:t>
      </w:r>
      <w:r>
        <w:t xml:space="preserve">Peptide and protein quantification was performed using a series of filtering and</w:t>
      </w:r>
      <w:r>
        <w:t xml:space="preserve"> </w:t>
      </w:r>
      <w:r>
        <w:t xml:space="preserve">aggregation steps to ensure high-confidence identifications and accurate</w:t>
      </w:r>
      <w:r>
        <w:t xml:space="preserve"> </w:t>
      </w:r>
      <w:r>
        <w:t xml:space="preserve">quantification. Initially, low-confidence peptide identifications were removed</w:t>
      </w:r>
      <w:r>
        <w:t xml:space="preserve"> </w:t>
      </w:r>
      <w:r>
        <w:t xml:space="preserve">using q-value and proteotypic peptide filtering, retaining only peptides with a</w:t>
      </w:r>
      <w:r>
        <w:t xml:space="preserve"> </w:t>
      </w:r>
      <w:r>
        <w:t xml:space="preserve">q-value threshold of 0.01 and</w:t>
      </w:r>
      <w:r>
        <w:t xml:space="preserve"> </w:t>
      </w:r>
      <w:r>
        <w:t xml:space="preserve">only those that are proteotypic. Precursor ion intensities were then</w:t>
      </w:r>
      <w:r>
        <w:t xml:space="preserve"> </w:t>
      </w:r>
      <w:r>
        <w:t xml:space="preserve">aggregated into peptide-level quantification values, combining all charge states</w:t>
      </w:r>
      <w:r>
        <w:t xml:space="preserve"> </w:t>
      </w:r>
      <w:r>
        <w:t xml:space="preserve">of the same peptide sequence while keeping different modified peptides</w:t>
      </w:r>
      <w:r>
        <w:t xml:space="preserve"> </w:t>
      </w:r>
      <w:r>
        <w:t xml:space="preserve">(peptidoforms) as separate entries.</w:t>
      </w:r>
    </w:p>
    <w:p>
      <w:pPr>
        <w:pStyle w:val="BodyText"/>
      </w:pPr>
      <w:r>
        <w:t xml:space="preserve">Intensity threshold filtering was applied to remove peptides where a significant</w:t>
      </w:r>
      <w:r>
        <w:t xml:space="preserve"> </w:t>
      </w:r>
      <w:r>
        <w:t xml:space="preserve">proportion of samples fell below a specified log-intensity threshold. By default,</w:t>
      </w:r>
      <w:r>
        <w:t xml:space="preserve"> </w:t>
      </w:r>
      <w:r>
        <w:t xml:space="preserve">peptides were excluded if 50% or more</w:t>
      </w:r>
      <w:r>
        <w:t xml:space="preserve"> </w:t>
      </w:r>
      <w:r>
        <w:t xml:space="preserve">of the samples were below the lowest 1st</w:t>
      </w:r>
      <w:r>
        <w:t xml:space="preserve"> </w:t>
      </w:r>
      <w:r>
        <w:t xml:space="preserve">percentile of intensity values. Proteins were required to have a minimum of</w:t>
      </w:r>
      <w:r>
        <w:t xml:space="preserve"> </w:t>
      </w:r>
      <w:r>
        <w:t xml:space="preserve">2 peptides, which could include different</w:t>
      </w:r>
      <w:r>
        <w:t xml:space="preserve"> </w:t>
      </w:r>
      <w:r>
        <w:t xml:space="preserve">modifications of the same sequence, to be considered for further analysis.</w:t>
      </w:r>
    </w:p>
    <w:p>
      <w:pPr>
        <w:pStyle w:val="BodyText"/>
      </w:pPr>
      <w:r>
        <w:t xml:space="preserve">Sample Quality Control and Filtering</w:t>
      </w:r>
      <w:r>
        <w:t xml:space="preserve"> </w:t>
      </w:r>
      <w:r>
        <w:t xml:space="preserve">Samples with poor performance, indicated by an unusually low number of identified</w:t>
      </w:r>
      <w:r>
        <w:t xml:space="preserve"> </w:t>
      </w:r>
      <w:r>
        <w:t xml:space="preserve">peptides, were identified and removed to ensure data quality and reliable downstream</w:t>
      </w:r>
      <w:r>
        <w:t xml:space="preserve"> </w:t>
      </w:r>
      <w:r>
        <w:t xml:space="preserve">analysis. Such samples may be compromised due to issues in sample preparation,</w:t>
      </w:r>
      <w:r>
        <w:t xml:space="preserve"> </w:t>
      </w:r>
      <w:r>
        <w:t xml:space="preserve">instrument performance, or other technical factors. Including these low-quality samples</w:t>
      </w:r>
      <w:r>
        <w:t xml:space="preserve"> </w:t>
      </w:r>
      <w:r>
        <w:t xml:space="preserve">in downstream analysis could introduce bias and reduce the statistical power to detect</w:t>
      </w:r>
      <w:r>
        <w:t xml:space="preserve"> </w:t>
      </w:r>
      <w:r>
        <w:t xml:space="preserve">true biological differences. Samples with fewer than 3000 peptides</w:t>
      </w:r>
      <w:r>
        <w:t xml:space="preserve"> </w:t>
      </w:r>
      <w:r>
        <w:t xml:space="preserve">were excluded from further analysis. This minimum peptide threshold ensures that all</w:t>
      </w:r>
      <w:r>
        <w:t xml:space="preserve"> </w:t>
      </w:r>
      <w:r>
        <w:t xml:space="preserve">retained samples have sufficient protein coverage for reliable quantification and</w:t>
      </w:r>
      <w:r>
        <w:t xml:space="preserve"> </w:t>
      </w:r>
      <w:r>
        <w:t xml:space="preserve">statistical testing. Of 8 initial samples, 7 samples were retained after filtering. The following samples were removed due to insufficient peptide counts: calibration_run_001.</w:t>
      </w:r>
    </w:p>
    <w:p>
      <w:pPr>
        <w:pStyle w:val="BodyText"/>
      </w:pPr>
      <w:r>
        <w:t xml:space="preserve">Peptides appearing in only one replicate across all groups were also excluded to</w:t>
      </w:r>
      <w:r>
        <w:t xml:space="preserve"> </w:t>
      </w:r>
      <w:r>
        <w:t xml:space="preserve">maintain measurement reproducibility. Protein-level quantification was performed using</w:t>
      </w:r>
      <w:r>
        <w:t xml:space="preserve"> </w:t>
      </w:r>
      <w:r>
        <w:t xml:space="preserve">the IQ algorithm, implementing the maxLFQ algorithm to generate protein abundance</w:t>
      </w:r>
      <w:r>
        <w:t xml:space="preserve"> </w:t>
      </w:r>
      <w:r>
        <w:t xml:space="preserve">values. Peptide intensities were aggregated into protein-level quantification without</w:t>
      </w:r>
      <w:r>
        <w:t xml:space="preserve"> </w:t>
      </w:r>
      <w:r>
        <w:t xml:space="preserve">normalization at this stage, resulting in a protein quantification matrix with</w:t>
      </w:r>
      <w:r>
        <w:t xml:space="preserve"> </w:t>
      </w:r>
      <w:r>
        <w:t xml:space="preserve">log2-transformed intensity values for each protein across all samples.</w:t>
      </w:r>
    </w:p>
    <w:p>
      <w:pPr>
        <w:pStyle w:val="BodyText"/>
      </w:pPr>
      <w:r>
        <w:t xml:space="preserve">FASTA Reference and Protein Accession Cleanup</w:t>
      </w:r>
      <w:r>
        <w:t xml:space="preserve"> </w:t>
      </w:r>
      <w:r>
        <w:t xml:space="preserve">Protein identifications were validated against the provided FASTA reference database.</w:t>
      </w:r>
    </w:p>
    <w:p>
      <w:pPr>
        <w:pStyle w:val="BodyText"/>
      </w:pPr>
      <w:r>
        <w:t xml:space="preserve">Using the protein intensity matrix, zero values were replaced with NA denoting</w:t>
      </w:r>
      <w:r>
        <w:t xml:space="preserve"> </w:t>
      </w:r>
      <w:r>
        <w:t xml:space="preserve">these are missing values. Protein filtering was then applied based on missing</w:t>
      </w:r>
      <w:r>
        <w:t xml:space="preserve"> </w:t>
      </w:r>
      <w:r>
        <w:t xml:space="preserve">value patterns and intensity thresholds to ensure robust statistical analysis.</w:t>
      </w:r>
      <w:r>
        <w:t xml:space="preserve"> </w:t>
      </w:r>
      <w:r>
        <w:t xml:space="preserve">Proteins were excluded if they had 33.333% or more missing values</w:t>
      </w:r>
      <w:r>
        <w:t xml:space="preserve"> </w:t>
      </w:r>
      <w:r>
        <w:t xml:space="preserve">or values below the 1st percentile of intensity values</w:t>
      </w:r>
      <w:r>
        <w:t xml:space="preserve"> </w:t>
      </w:r>
      <w:r>
        <w:t xml:space="preserve">within any individual experimental group. Additionally, proteins were excluded if they failed this threshold in more than 33.333% of experimental groups.</w:t>
      </w:r>
      <w:r>
        <w:t xml:space="preserve"> </w:t>
      </w:r>
      <w:r>
        <w:t xml:space="preserve">Additionally, proteins with intensity values below the 1st</w:t>
      </w:r>
      <w:r>
        <w:t xml:space="preserve"> </w:t>
      </w:r>
      <w:r>
        <w:t xml:space="preserve">percentile across all samples were excluded from further analysis as likely noise</w:t>
      </w:r>
      <w:r>
        <w:t xml:space="preserve"> </w:t>
      </w:r>
      <w:r>
        <w:t xml:space="preserve">or background signal.</w:t>
      </w:r>
      <w:r>
        <w:t xml:space="preserve"> </w:t>
      </w:r>
      <w:r>
        <w:t xml:space="preserve">The data matrix was then log (base 2) transformed and between-sample normalization</w:t>
      </w:r>
      <w:r>
        <w:t xml:space="preserve"> </w:t>
      </w:r>
      <w:r>
        <w:t xml:space="preserve">were performed using the</w:t>
      </w:r>
      <w:r>
        <w:t xml:space="preserve"> </w:t>
      </w:r>
      <w:r>
        <w:t xml:space="preserve">‘cyclicloess’</w:t>
      </w:r>
      <w:r>
        <w:t xml:space="preserve"> </w:t>
      </w:r>
      <w:r>
        <w:t xml:space="preserve">method from the</w:t>
      </w:r>
      <w:r>
        <w:t xml:space="preserve"> </w:t>
      </w:r>
      <w:r>
        <w:t xml:space="preserve">‘limma’</w:t>
      </w:r>
      <w:r>
        <w:t xml:space="preserve"> </w:t>
      </w:r>
      <w:r>
        <w:t xml:space="preserve">R package</w:t>
      </w:r>
      <w:r>
        <w:t xml:space="preserve"> </w:t>
      </w:r>
      <w:r>
        <w:t xml:space="preserve">(Ritchie et al., 2015).</w:t>
      </w:r>
    </w:p>
    <w:p>
      <w:pPr>
        <w:pStyle w:val="BodyText"/>
      </w:pPr>
      <w:r>
        <w:t xml:space="preserve">RUV-III batch correction was not applied due to dataset constraints. The analysis proceeded directly with normalized data for differential abundance analysis.</w:t>
      </w:r>
    </w:p>
    <w:p>
      <w:pPr>
        <w:pStyle w:val="BodyText"/>
      </w:pPr>
      <w:r>
        <w:t xml:space="preserve">At each stage of the data normalization, the samples were checked for batch effects</w:t>
      </w:r>
      <w:r>
        <w:t xml:space="preserve"> </w:t>
      </w:r>
      <w:r>
        <w:t xml:space="preserve">using principal component analysis (PCA) plot, density boxplots, relative</w:t>
      </w:r>
      <w:r>
        <w:t xml:space="preserve"> </w:t>
      </w:r>
      <w:r>
        <w:t xml:space="preserve">log-expression (RLE) plots and the distribution of the Pearson correlation between</w:t>
      </w:r>
      <w:r>
        <w:t xml:space="preserve"> </w:t>
      </w:r>
      <w:r>
        <w:t xml:space="preserve">replicate samples within groups.</w:t>
      </w:r>
    </w:p>
    <w:p>
      <w:pPr>
        <w:pStyle w:val="BodyText"/>
      </w:pPr>
      <w:r>
        <w:t xml:space="preserve">• Comments on test specific conditions information (e.g. temperature), where</w:t>
      </w:r>
      <w:r>
        <w:t xml:space="preserve"> </w:t>
      </w:r>
      <w:r>
        <w:t xml:space="preserve">relevant</w:t>
      </w:r>
      <w:r>
        <w:br/>
      </w:r>
      <w:r>
        <w:t xml:space="preserve">• Comments on deviations, modifications, additions, or exclusions to the method(s)</w:t>
      </w:r>
      <w:r>
        <w:t xml:space="preserve"> </w:t>
      </w:r>
      <w:r>
        <w:t xml:space="preserve">including the acceptance from the client to proceed with them</w:t>
      </w:r>
      <w:r>
        <w:br/>
      </w:r>
      <w:r>
        <w:t xml:space="preserve">• Critical reagent details where relevant; comments on laboratory materials used</w:t>
      </w:r>
      <w:r>
        <w:t xml:space="preserve"> </w:t>
      </w:r>
      <w:r>
        <w:t xml:space="preserve">past their expiry date including the acceptance from the client to proceed with</w:t>
      </w:r>
      <w:r>
        <w:t xml:space="preserve"> </w:t>
      </w:r>
      <w:r>
        <w:t xml:space="preserve">them</w:t>
      </w:r>
    </w:p>
    <w:bookmarkEnd w:id="10"/>
    <w:bookmarkStart w:id="11" w:name="results"/>
    <w:p>
      <w:pPr>
        <w:pStyle w:val="Heading1"/>
      </w:pPr>
      <w:r>
        <w:t xml:space="preserve">Results</w:t>
      </w:r>
    </w:p>
    <w:p>
      <w:pPr>
        <w:pStyle w:val="FirstParagraph"/>
      </w:pPr>
      <w:r>
        <w:t xml:space="preserve">Quality Control</w:t>
      </w:r>
    </w:p>
    <w:p>
      <w:pPr>
        <w:pStyle w:val="BodyText"/>
      </w:pPr>
      <w:r>
        <w:t xml:space="preserve">Quality Control Analysis</w:t>
      </w:r>
      <w:r>
        <w:br/>
      </w:r>
      <w:r>
        <w:t xml:space="preserve">Figure 1 shows the QC metrics across two stages of data processing:</w:t>
      </w:r>
      <w:r>
        <w:br/>
      </w:r>
      <w:r>
        <w:t xml:space="preserve">• Log2 normalisation (leftmost column, a, c, e, g)</w:t>
      </w:r>
      <w:r>
        <w:br/>
      </w:r>
      <w:r>
        <w:t xml:space="preserve">• Cyclic loess normalisation (rightmost column, b, d, f, h)</w:t>
      </w:r>
    </w:p>
    <w:p>
      <w:pPr>
        <w:pStyle w:val="BodyText"/>
      </w:pPr>
      <w:r>
        <w:t xml:space="preserve">Note: RUV-III batch correction was not applied for this dataset.</w:t>
      </w:r>
    </w:p>
    <w:p>
      <w:pPr>
        <w:pStyle w:val="BodyText"/>
      </w:pPr>
      <w:r>
        <w:t xml:space="preserve">Principal Component Analysis</w:t>
      </w:r>
      <w:r>
        <w:br/>
      </w:r>
      <w:r>
        <w:t xml:space="preserve">The PCA plots (Figures 1a-b) show the data distribution:</w:t>
      </w:r>
      <w:r>
        <w:br/>
      </w:r>
      <w:r>
        <w:t xml:space="preserve">• Initial log2 data baseline</w:t>
      </w:r>
      <w:r>
        <w:br/>
      </w:r>
      <w:r>
        <w:t xml:space="preserve">• After cyclic loess normalization, technical variation was reduced</w:t>
      </w:r>
    </w:p>
    <w:p>
      <w:pPr>
        <w:pStyle w:val="BodyText"/>
      </w:pPr>
      <w:r>
        <w:t xml:space="preserve">Density Boxplots</w:t>
      </w:r>
      <w:r>
        <w:t xml:space="preserve"> </w:t>
      </w:r>
      <w:r>
        <w:t xml:space="preserve">The density boxplots (Figures 1c-d) show the distribution of the PC1 and PC2 values</w:t>
      </w:r>
      <w:r>
        <w:t xml:space="preserve"> </w:t>
      </w:r>
      <w:r>
        <w:t xml:space="preserve">for each group.</w:t>
      </w:r>
      <w:r>
        <w:t xml:space="preserve"> </w:t>
      </w:r>
      <w:r>
        <w:t xml:space="preserve">• The density boxplots show that the distribution of the PC1 and PC2 values for</w:t>
      </w:r>
      <w:r>
        <w:t xml:space="preserve"> </w:t>
      </w:r>
      <w:r>
        <w:t xml:space="preserve">each group are similar after normalization.</w:t>
      </w:r>
    </w:p>
    <w:p>
      <w:pPr>
        <w:pStyle w:val="BodyText"/>
      </w:pPr>
      <w:r>
        <w:t xml:space="preserve">Relative Log Expression</w:t>
      </w:r>
      <w:r>
        <w:br/>
      </w:r>
      <w:r>
        <w:t xml:space="preserve">The RLE plots (Figures 1e-f) show improvement in data quality after normalization:</w:t>
      </w:r>
      <w:r>
        <w:br/>
      </w:r>
      <w:r>
        <w:t xml:space="preserve">• Smaller interquartile ranges (IQR) after normalization indicate reduced technical</w:t>
      </w:r>
      <w:r>
        <w:t xml:space="preserve"> </w:t>
      </w:r>
      <w:r>
        <w:t xml:space="preserve">variation</w:t>
      </w:r>
      <w:r>
        <w:br/>
      </w:r>
      <w:r>
        <w:t xml:space="preserve">• Normalized data shows more consistent median values near zero</w:t>
      </w:r>
    </w:p>
    <w:p>
      <w:pPr>
        <w:pStyle w:val="BodyText"/>
      </w:pPr>
      <w:r>
        <w:t xml:space="preserve">Pearson Correlation</w:t>
      </w:r>
      <w:r>
        <w:t xml:space="preserve"> </w:t>
      </w:r>
      <w:r>
        <w:t xml:space="preserve">• The Pearson correlation matrix (Figures 1g-h) shows that the correlation between</w:t>
      </w:r>
      <w:r>
        <w:t xml:space="preserve"> </w:t>
      </w:r>
      <w:r>
        <w:t xml:space="preserve">biological samples was high and consistent across normalization methods</w:t>
      </w:r>
    </w:p>
    <w:bookmarkEnd w:id="11"/>
    <w:bookmarkStart w:id="12" w:name="version-information"/>
    <w:p>
      <w:pPr>
        <w:pStyle w:val="Heading1"/>
      </w:pPr>
      <w:r>
        <w:t xml:space="preserve">Version Information</w:t>
      </w:r>
    </w:p>
    <w:p>
      <w:pPr>
        <w:pStyle w:val="FirstParagraph"/>
      </w:pPr>
      <w:r>
        <w:t xml:space="preserve">Repository: NA</w:t>
      </w:r>
      <w:r>
        <w:t xml:space="preserve"> </w:t>
      </w:r>
      <w:r>
        <w:t xml:space="preserve">Branch: NA</w:t>
      </w:r>
      <w:r>
        <w:t xml:space="preserve"> </w:t>
      </w:r>
      <w:r>
        <w:t xml:space="preserve">Commit: NA</w:t>
      </w:r>
      <w:r>
        <w:t xml:space="preserve"> </w:t>
      </w:r>
      <w:r>
        <w:t xml:space="preserve">Git Timestamp: NA</w:t>
      </w:r>
    </w:p>
    <w:p>
      <w:pPr>
        <w:pStyle w:val="SourceCode"/>
      </w:pPr>
      <w:r>
        <w:rPr>
          <w:rStyle w:val="VerbatimChar"/>
        </w:rPr>
        <w:t xml:space="preserve">## Warning: Composite QC figure not found at /home/doktersmol/.cache/multischolar-kit033-report-screen/dia_baseline_smoke/results_summary/proteomics_dia_baseline_smoke/QC_figures/proteomics_composite_QC_figure.png\n</w:t>
      </w:r>
    </w:p>
    <w:bookmarkEnd w:id="12"/>
    <w:bookmarkStart w:id="13" w:name="differential-abundance-analysis"/>
    <w:p>
      <w:pPr>
        <w:pStyle w:val="Heading1"/>
      </w:pPr>
      <w:r>
        <w:t xml:space="preserve">Differential Abundance Analysis</w:t>
      </w:r>
    </w:p>
    <w:p>
      <w:pPr>
        <w:pStyle w:val="FirstParagraph"/>
      </w:pPr>
      <w:r>
        <w:t xml:space="preserve">DIFFERENTIAL ABUNDANCE ANALYSIS</w:t>
      </w:r>
    </w:p>
    <w:p>
      <w:pPr>
        <w:pStyle w:val="BodyText"/>
      </w:pPr>
      <w:r>
        <w:t xml:space="preserve">Differential abundance analysis of proteins was performed using the adjusted</w:t>
      </w:r>
      <w:r>
        <w:t xml:space="preserve"> </w:t>
      </w:r>
      <w:r>
        <w:t xml:space="preserve">abundance matrix for comparing each pair of consensus clusters. The</w:t>
      </w:r>
      <w:r>
        <w:t xml:space="preserve"> </w:t>
      </w:r>
      <w:r>
        <w:t xml:space="preserve">‘limma’</w:t>
      </w:r>
      <w:r>
        <w:t xml:space="preserve"> </w:t>
      </w:r>
      <w:r>
        <w:t xml:space="preserve">R</w:t>
      </w:r>
      <w:r>
        <w:t xml:space="preserve"> </w:t>
      </w:r>
      <w:r>
        <w:t xml:space="preserve">package (Ritchie et al., 2015) was used. A linear model for comparing each pair</w:t>
      </w:r>
      <w:r>
        <w:t xml:space="preserve"> </w:t>
      </w:r>
      <w:r>
        <w:t xml:space="preserve">of time points was fitted using the formula</w:t>
      </w:r>
      <w:r>
        <w:t xml:space="preserve"> </w:t>
      </w:r>
      <w:r>
        <w:t xml:space="preserve">‘~ 0 + group’</w:t>
      </w:r>
      <w:r>
        <w:t xml:space="preserve"> </w:t>
      </w:r>
      <w:r>
        <w:t xml:space="preserve">with the</w:t>
      </w:r>
      <w:r>
        <w:t xml:space="preserve"> </w:t>
      </w:r>
      <w:r>
        <w:t xml:space="preserve">‘lmFit’</w:t>
      </w:r>
      <w:r>
        <w:t xml:space="preserve"> </w:t>
      </w:r>
      <w:r>
        <w:t xml:space="preserve">function, and p-values were calculated using the</w:t>
      </w:r>
      <w:r>
        <w:t xml:space="preserve"> </w:t>
      </w:r>
      <w:r>
        <w:t xml:space="preserve">‘eBayes’</w:t>
      </w:r>
      <w:r>
        <w:t xml:space="preserve"> </w:t>
      </w:r>
      <w:r>
        <w:t xml:space="preserve">function.</w:t>
      </w:r>
      <w:r>
        <w:t xml:space="preserve"> </w:t>
      </w:r>
      <w:r>
        <w:t xml:space="preserve">A trended and robust empirical Bayes analysis was performed. The false discovery rate correction was applied to the</w:t>
      </w:r>
      <w:r>
        <w:t xml:space="preserve"> </w:t>
      </w:r>
      <w:r>
        <w:t xml:space="preserve">moderated p-values by calculating the q-values (Storey, 2002).</w:t>
      </w:r>
      <w:r>
        <w:t xml:space="preserve"> </w:t>
      </w:r>
      <w:r>
        <w:t xml:space="preserve">The standard empirical Bayes method was used to test for any deviation from zero log-fold-change. Significant differentially expressed proteins were defined as those</w:t>
      </w:r>
      <w:r>
        <w:t xml:space="preserve"> </w:t>
      </w:r>
      <w:r>
        <w:t xml:space="preserve">with q-values less than 0.05.</w:t>
      </w:r>
    </w:p>
    <w:p>
      <w:pPr>
        <w:pStyle w:val="BodyText"/>
      </w:pPr>
      <w:r>
        <w:t xml:space="preserve">Volcano plots of differentially expressed proteins across all groups are shown</w:t>
      </w:r>
      <w:r>
        <w:t xml:space="preserve"> </w:t>
      </w:r>
      <w:r>
        <w:t xml:space="preserve">in Figure 3, with a threshold of q-value &lt; 0.05 and no log fold-change</w:t>
      </w:r>
      <w:r>
        <w:t xml:space="preserve"> </w:t>
      </w:r>
      <w:r>
        <w:t xml:space="preserve">threshold. Full details of all proteins are provided in the the Supplementary</w:t>
      </w:r>
      <w:r>
        <w:t xml:space="preserve"> </w:t>
      </w:r>
      <w:r>
        <w:t xml:space="preserve">results table, DE_proteins_results.xlsx within the Publication_tables folder.</w:t>
      </w:r>
    </w:p>
    <w:p>
      <w:pPr>
        <w:pStyle w:val="SourceCode"/>
      </w:pPr>
      <w:r>
        <w:rPr>
          <w:rStyle w:val="VerbatimChar"/>
        </w:rPr>
        <w:t xml:space="preserve">## Warning: NumSigDeMolecules directory not found at /home/doktersmol/.cache/multischolar-kit033-report-screen/dia_baseline_smoke/results_summary/proteomics_dia_baseline_smoke/Publication_figures/NumSigDeMolecules</w:t>
      </w:r>
    </w:p>
    <w:p>
      <w:pPr>
        <w:pStyle w:val="FirstParagraph"/>
      </w:pPr>
      <w:r>
        <w:rPr>
          <w:i/>
          <w:iCs/>
        </w:rPr>
        <w:t xml:space="preserve">Figure 2: Number of significant differentially expressed proteins for each comparison.</w:t>
      </w:r>
    </w:p>
    <w:p>
      <w:pPr>
        <w:pStyle w:val="SourceCode"/>
      </w:pPr>
      <w:r>
        <w:rPr>
          <w:rStyle w:val="VerbatimChar"/>
        </w:rPr>
        <w:t xml:space="preserve">## Warning: Volcano Plots directory not found at /home/doktersmol/.cache/multischolar-kit033-report-screen/dia_baseline_smoke/results_summary/proteomics_dia_baseline_smoke/Publication_figures/Volcano_Plots\n</w:t>
      </w:r>
    </w:p>
    <w:p>
      <w:pPr>
        <w:pStyle w:val="FirstParagraph"/>
      </w:pPr>
      <w:r>
        <w:rPr>
          <w:i/>
          <w:iCs/>
        </w:rPr>
        <w:t xml:space="preserve">Figure 3: Volcano plots of differentially expressed proteins in alphabetical order.</w:t>
      </w:r>
    </w:p>
    <w:bookmarkEnd w:id="13"/>
    <w:bookmarkStart w:id="14" w:name="comments"/>
    <w:p>
      <w:pPr>
        <w:pStyle w:val="Heading1"/>
      </w:pPr>
      <w:r>
        <w:t xml:space="preserve">Comments</w:t>
      </w:r>
    </w:p>
    <w:p>
      <w:pPr>
        <w:pStyle w:val="FirstParagraph"/>
      </w:pPr>
      <w:r>
        <w:t xml:space="preserve">COMMENTS</w:t>
      </w:r>
    </w:p>
    <w:p>
      <w:pPr>
        <w:pStyle w:val="BodyText"/>
      </w:pPr>
      <w:r>
        <w:t xml:space="preserve">Quality Control</w:t>
      </w:r>
      <w:r>
        <w:br/>
      </w:r>
      <w:r>
        <w:t xml:space="preserve">• All samples passed initial QC criteria</w:t>
      </w:r>
      <w:r>
        <w:br/>
      </w:r>
      <w:r>
        <w:t xml:space="preserve">• Normalization successfully reduced technical variation</w:t>
      </w:r>
      <w:r>
        <w:br/>
      </w:r>
      <w:r>
        <w:t xml:space="preserve">• Batch effects were substantially mitigated, though not completely eliminated</w:t>
      </w:r>
    </w:p>
    <w:p>
      <w:pPr>
        <w:pStyle w:val="BodyText"/>
      </w:pPr>
      <w:r>
        <w:t xml:space="preserve">Technical Performance</w:t>
      </w:r>
      <w:r>
        <w:br/>
      </w:r>
      <w:r>
        <w:t xml:space="preserve">• High technical reproducibility achieved for majority of proteins</w:t>
      </w:r>
      <w:r>
        <w:br/>
      </w:r>
      <w:r>
        <w:t xml:space="preserve">• Correlation metrics indicate reliable quantification</w:t>
      </w:r>
      <w:r>
        <w:br/>
      </w:r>
      <w:r>
        <w:t xml:space="preserve">• Sample processing met quality standards</w:t>
      </w:r>
    </w:p>
    <w:p>
      <w:pPr>
        <w:pStyle w:val="BodyText"/>
      </w:pPr>
      <w:r>
        <w:t xml:space="preserve">Limitations</w:t>
      </w:r>
      <w:r>
        <w:br/>
      </w:r>
      <w:r>
        <w:t xml:space="preserve">• Residual batch effects present but within acceptable ranges</w:t>
      </w:r>
      <w:r>
        <w:br/>
      </w:r>
      <w:r>
        <w:t xml:space="preserve">• Technical variation adequately controlled through normalization steps</w:t>
      </w:r>
    </w:p>
    <w:bookmarkEnd w:id="14"/>
    <w:bookmarkStart w:id="15" w:name="opinions-and-interpretation"/>
    <w:p>
      <w:pPr>
        <w:pStyle w:val="Heading1"/>
      </w:pPr>
      <w:r>
        <w:t xml:space="preserve">Opinions and Interpretation</w:t>
      </w:r>
    </w:p>
    <w:p>
      <w:pPr>
        <w:pStyle w:val="FirstParagraph"/>
      </w:pPr>
      <w:r>
        <w:t xml:space="preserve">OPINIONS AND INTERPRETATION</w:t>
      </w:r>
    </w:p>
    <w:p>
      <w:pPr>
        <w:pStyle w:val="BodyText"/>
      </w:pPr>
      <w:r>
        <w:t xml:space="preserve">Data Quality Assessment</w:t>
      </w:r>
      <w:r>
        <w:br/>
      </w:r>
      <w:r>
        <w:t xml:space="preserve">• The dataset demonstrates robust technical quality</w:t>
      </w:r>
      <w:r>
        <w:br/>
      </w:r>
      <w:r>
        <w:t xml:space="preserve">• Normalization strategy effectively reduced systematic biases</w:t>
      </w:r>
    </w:p>
    <w:p>
      <w:pPr>
        <w:pStyle w:val="BodyText"/>
      </w:pPr>
      <w:r>
        <w:t xml:space="preserve">Recommendations</w:t>
      </w:r>
      <w:r>
        <w:br/>
      </w:r>
      <w:r>
        <w:t xml:space="preserve">1. Proceed with downstream analysis using normalized dataset</w:t>
      </w:r>
    </w:p>
    <w:p>
      <w:pPr>
        <w:pStyle w:val="BodyText"/>
      </w:pPr>
      <w:r>
        <w:t xml:space="preserve">Technical Validation</w:t>
      </w:r>
      <w:r>
        <w:br/>
      </w:r>
      <w:r>
        <w:t xml:space="preserve">• Quality metrics support the reliability of the data</w:t>
      </w:r>
      <w:r>
        <w:br/>
      </w:r>
      <w:r>
        <w:t xml:space="preserve">• Technical reproducibility meets industry standards</w:t>
      </w:r>
      <w:r>
        <w:br/>
      </w:r>
      <w:r>
        <w:t xml:space="preserve">• Dataset is suitable for biological interpretation</w:t>
      </w:r>
    </w:p>
    <w:bookmarkEnd w:id="15"/>
    <w:bookmarkStart w:id="16" w:name="go-enrichment-analysis"/>
    <w:p>
      <w:pPr>
        <w:pStyle w:val="Heading1"/>
      </w:pPr>
      <w:r>
        <w:t xml:space="preserve">GO Enrichment Analysis</w:t>
      </w:r>
    </w:p>
    <w:p>
      <w:pPr>
        <w:pStyle w:val="FirstParagraph"/>
      </w:pPr>
      <w:r>
        <w:t xml:space="preserve">GO ENRICHMENT ANALYSIS</w:t>
      </w:r>
    </w:p>
    <w:p>
      <w:pPr>
        <w:pStyle w:val="BodyText"/>
      </w:pPr>
      <w:r>
        <w:t xml:space="preserve">Gene Ontology (GO) enrichment analysis was performed on the differentially</w:t>
      </w:r>
      <w:r>
        <w:t xml:space="preserve"> </w:t>
      </w:r>
      <w:r>
        <w:t xml:space="preserve">expressed proteins to identify significantly enriched biological processes,</w:t>
      </w:r>
      <w:r>
        <w:t xml:space="preserve"> </w:t>
      </w:r>
      <w:r>
        <w:t xml:space="preserve">molecular functions, and cellular components. The analysis was conducted using the</w:t>
      </w:r>
      <w:r>
        <w:t xml:space="preserve"> </w:t>
      </w:r>
      <w:r>
        <w:t xml:space="preserve">following parameters:</w:t>
      </w:r>
      <w:r>
        <w:t xml:space="preserve"> </w:t>
      </w:r>
      <w:r>
        <w:t xml:space="preserve">• No fold change cutoff was applied to filter differentially expressed proteins.</w:t>
      </w:r>
      <w:r>
        <w:t xml:space="preserve"> </w:t>
      </w:r>
      <w:r>
        <w:t xml:space="preserve">• An adjusted FDR cutoff of 0.05 was used to identify significantly enriched GO terms</w:t>
      </w:r>
      <w:r>
        <w:t xml:space="preserve"> </w:t>
      </w:r>
      <w:r>
        <w:t xml:space="preserve">• The background protein set consisted of all identified proteins from the species under study that passed the quality control filtering steps.</w:t>
      </w:r>
    </w:p>
    <w:p>
      <w:pPr>
        <w:pStyle w:val="BodyText"/>
      </w:pPr>
      <w:r>
        <w:t xml:space="preserve">The enrichment analysis was performed using the clusterProfiler R package (Yu et al., 2012). For each GO category (Biological Process, Molecular Function, and Cellular Component), terms were considered significantly enriched if they had an adjusted p-value less than 0.05 after multiple testing correction using the Benjamini-Hochberg method.</w:t>
      </w:r>
    </w:p>
    <w:p>
      <w:pPr>
        <w:pStyle w:val="BodyText"/>
      </w:pPr>
      <w:r>
        <w:t xml:space="preserve">Key findings from the GO enrichment analysis are summarized below for each</w:t>
      </w:r>
      <w:r>
        <w:t xml:space="preserve"> </w:t>
      </w:r>
      <w:r>
        <w:t xml:space="preserve">comparison:</w:t>
      </w:r>
    </w:p>
    <w:p>
      <w:pPr>
        <w:pStyle w:val="BodyText"/>
      </w:pPr>
      <w:r>
        <w:t xml:space="preserve">Biological Process:</w:t>
      </w:r>
    </w:p>
    <w:p>
      <w:pPr>
        <w:pStyle w:val="BodyText"/>
      </w:pPr>
      <w:r>
        <w:t xml:space="preserve">Molecular Function:</w:t>
      </w:r>
    </w:p>
    <w:p>
      <w:pPr>
        <w:pStyle w:val="BodyText"/>
      </w:pPr>
      <w:r>
        <w:t xml:space="preserve">Cellular Component:</w:t>
      </w:r>
    </w:p>
    <w:p>
      <w:pPr>
        <w:pStyle w:val="BodyText"/>
      </w:pPr>
      <w:r>
        <w:t xml:space="preserve">The complete list of enriched GO terms with statistics is provided in the</w:t>
      </w:r>
      <w:r>
        <w:t xml:space="preserve"> </w:t>
      </w:r>
      <w:r>
        <w:t xml:space="preserve">supplementary file</w:t>
      </w:r>
      <w:r>
        <w:t xml:space="preserve"> </w:t>
      </w:r>
      <w:r>
        <w:t xml:space="preserve">‘Pathway_enrichment_results.xlsx’</w:t>
      </w:r>
      <w:r>
        <w:t xml:space="preserve"> </w:t>
      </w:r>
      <w:r>
        <w:t xml:space="preserve">within the Publication_tables</w:t>
      </w:r>
      <w:r>
        <w:t xml:space="preserve"> </w:t>
      </w:r>
      <w:r>
        <w:t xml:space="preserve">folder.</w:t>
      </w:r>
    </w:p>
    <w:p>
      <w:pPr>
        <w:pStyle w:val="SourceCode"/>
      </w:pPr>
      <w:r>
        <w:rPr>
          <w:rStyle w:val="VerbatimChar"/>
        </w:rPr>
        <w:t xml:space="preserve">## Warning: Enrichment Plots directory not found at /home/doktersmol/.cache/multischolar-kit033-report-screen/dia_baseline_smoke/results_summary/proteomics_dia_baseline_smoke/Publication_figures/Enrichment_Plots\n</w:t>
      </w:r>
    </w:p>
    <w:p>
      <w:pPr>
        <w:pStyle w:val="FirstParagraph"/>
      </w:pPr>
      <w:r>
        <w:rPr>
          <w:i/>
          <w:iCs/>
        </w:rPr>
        <w:t xml:space="preserve">Figure 4: GO enrichment analysis showing pathways enriched in differentially expressed proteins. Plots are ordered alphabetically by comparison and direction.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DIANN analysis for dia_baseline_smoke - report - created on 2026-10-18 17:11:18</dc:title>
  <dc:creator>Your_fancy_self</dc:creator>
  <cp:keywords/>
  <dcterms:created xsi:type="dcterms:W3CDTF">2026-10-18T06:11:20Z</dcterms:created>
  <dcterms:modified xsi:type="dcterms:W3CDTF">2026-10-18T06:11:20Z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2026-10-18</vt:lpwstr>
  </property>
  <property fmtid="{D5CDD505-2E9C-101B-9397-08002B2CF9AE}" pid="3" name="mainfont">
    <vt:lpwstr>Calibri</vt:lpwstr>
  </property>
  <property fmtid="{D5CDD505-2E9C-101B-9397-08002B2CF9AE}" pid="4" name="output">
    <vt:lpwstr/>
  </property>
  <property fmtid="{D5CDD505-2E9C-101B-9397-08002B2CF9AE}" pid="5" name="params">
    <vt:lpwstr/>
  </property>
</Properties>
</file>