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TMT Proteomics Analysis for pd_tmt - report - created on 2026-10-20 14:32:25</w:t>
      </w:r>
    </w:p>
    <w:p>
      <w:pPr>
        <w:pStyle w:val="Author"/>
      </w:pPr>
      <w:r>
        <w:t xml:space="preserve">Your_fancy_self</w:t>
      </w:r>
    </w:p>
    <w:p>
      <w:pPr>
        <w:pStyle w:val="Date"/>
      </w:pPr>
      <w:r>
        <w:t xml:space="preserve">2026-10-20</w:t>
      </w:r>
    </w:p>
    <w:bookmarkStart w:id="9" w:name="sample-details"/>
    <w:p>
      <w:pPr>
        <w:pStyle w:val="Heading1"/>
      </w:pPr>
      <w:r>
        <w:t xml:space="preserve">Sample Details</w:t>
      </w:r>
    </w:p>
    <w:p>
      <w:pPr>
        <w:pStyle w:val="FirstParagraph"/>
      </w:pPr>
      <w:r>
        <w:t xml:space="preserve">SAMPLE DETAILS</w:t>
      </w:r>
    </w:p>
    <w:p>
      <w:pPr>
        <w:pStyle w:val="BodyText"/>
      </w:pPr>
      <w:r>
        <w:t xml:space="preserve">There are 6 samples in total which consists of:</w:t>
      </w:r>
      <w:r>
        <w:br/>
      </w:r>
      <w:r>
        <w:t xml:space="preserve">• 6 biological samples with no technical replicates.</w:t>
      </w:r>
      <w:r>
        <w:br/>
      </w:r>
      <w:r>
        <w:t xml:space="preserve">• Sample identification (eg client #, sample name, Salesforce ID etc)</w:t>
      </w:r>
      <w:r>
        <w:t xml:space="preserve"> </w:t>
      </w:r>
      <w:r>
        <w:t xml:space="preserve">• Sample conditions upon receipt</w:t>
      </w:r>
      <w:r>
        <w:br/>
      </w:r>
      <w:r>
        <w:t xml:space="preserve">• Comments about any noncompliance with sample conditions or suitability for</w:t>
      </w:r>
      <w:r>
        <w:t xml:space="preserve"> </w:t>
      </w:r>
      <w:r>
        <w:t xml:space="preserve">testing including client instruction to proceed/not proceed with work</w:t>
      </w:r>
    </w:p>
    <w:bookmarkEnd w:id="9"/>
    <w:bookmarkStart w:id="10" w:name="method-details"/>
    <w:p>
      <w:pPr>
        <w:pStyle w:val="Heading1"/>
      </w:pPr>
      <w:r>
        <w:t xml:space="preserve">Method Details</w:t>
      </w:r>
    </w:p>
    <w:p>
      <w:pPr>
        <w:pStyle w:val="FirstParagraph"/>
      </w:pPr>
      <w:r>
        <w:t xml:space="preserve">METHOD DETAILS</w:t>
      </w:r>
    </w:p>
    <w:p>
      <w:pPr>
        <w:pStyle w:val="BodyText"/>
      </w:pPr>
      <w:r>
        <w:t xml:space="preserve">Data analyses were performed based on SOP xxx.</w:t>
      </w:r>
      <w:r>
        <w:t xml:space="preserve"> </w:t>
      </w:r>
      <w:r>
        <w:t xml:space="preserve">• SOP number(s) and name(s)</w:t>
      </w:r>
      <w:r>
        <w:br/>
      </w:r>
      <w:r>
        <w:t xml:space="preserve">• Brief summary of method(s):</w:t>
      </w:r>
    </w:p>
    <w:p>
      <w:pPr>
        <w:pStyle w:val="BodyText"/>
      </w:pPr>
      <w:r>
        <w:t xml:space="preserve">Data Import and Protein Quantification</w:t>
      </w:r>
      <w:r>
        <w:t xml:space="preserve"> </w:t>
      </w:r>
      <w:r>
        <w:t xml:space="preserve">Protein-level quantification data was imported from Proteome Discoverer TMT</w:t>
      </w:r>
      <w:r>
        <w:t xml:space="preserve"> </w:t>
      </w:r>
      <w:r>
        <w:t xml:space="preserve">workflow output. The data contains isobaric tag-based (TMT) quantification</w:t>
      </w:r>
      <w:r>
        <w:t xml:space="preserve"> </w:t>
      </w:r>
      <w:r>
        <w:t xml:space="preserve">values for identified proteins across all samples. TMT-based quantification</w:t>
      </w:r>
      <w:r>
        <w:t xml:space="preserve"> </w:t>
      </w:r>
      <w:r>
        <w:t xml:space="preserve">provides relative abundance measurements through reporter ion intensities in</w:t>
      </w:r>
      <w:r>
        <w:t xml:space="preserve"> </w:t>
      </w:r>
      <w:r>
        <w:t xml:space="preserve">MS/MS spectra, with proteins already quantified at the protein level by the</w:t>
      </w:r>
      <w:r>
        <w:t xml:space="preserve"> </w:t>
      </w:r>
      <w:r>
        <w:t xml:space="preserve">upstream Proteome Discoverer workflow.</w:t>
      </w:r>
    </w:p>
    <w:p>
      <w:pPr>
        <w:pStyle w:val="BodyText"/>
      </w:pPr>
      <w:r>
        <w:t xml:space="preserve">Protein Quality Control and Filtering</w:t>
      </w:r>
      <w:r>
        <w:t xml:space="preserve"> </w:t>
      </w:r>
      <w:r>
        <w:t xml:space="preserve">Protein identifications were filtered to ensure high-confidence quantification</w:t>
      </w:r>
      <w:r>
        <w:t xml:space="preserve"> </w:t>
      </w:r>
      <w:r>
        <w:t xml:space="preserve">and reliable downstream statistical analysis.</w:t>
      </w:r>
    </w:p>
    <w:p>
      <w:pPr>
        <w:pStyle w:val="BodyText"/>
      </w:pPr>
      <w:r>
        <w:t xml:space="preserve">FASTA Reference and Protein Accession Cleanup</w:t>
      </w:r>
      <w:r>
        <w:t xml:space="preserve"> </w:t>
      </w:r>
      <w:r>
        <w:t xml:space="preserve">Protein identifications were validated against the provided FASTA reference database to ensure accurate annotation.</w:t>
      </w:r>
    </w:p>
    <w:p>
      <w:pPr>
        <w:pStyle w:val="BodyText"/>
      </w:pPr>
      <w:r>
        <w:t xml:space="preserve">Protein accessions were cleaned and validated to ensure accurate annotation and to select the best representative protein ID when multiple accessions were present. Duplicate protein entries were removed to prevent redundancy in quantification.</w:t>
      </w:r>
    </w:p>
    <w:p>
      <w:pPr>
        <w:pStyle w:val="BodyText"/>
      </w:pPr>
      <w:r>
        <w:t xml:space="preserve">Proteins were then filtered based on missing value patterns across experimental</w:t>
      </w:r>
      <w:r>
        <w:t xml:space="preserve"> </w:t>
      </w:r>
      <w:r>
        <w:t xml:space="preserve">groups to retain only those with sufficient coverage for robust statistical</w:t>
      </w:r>
      <w:r>
        <w:t xml:space="preserve"> </w:t>
      </w:r>
      <w:r>
        <w:t xml:space="preserve">testing. Proteins were excluded if they had 33.333% or more missing</w:t>
      </w:r>
      <w:r>
        <w:t xml:space="preserve"> </w:t>
      </w:r>
      <w:r>
        <w:t xml:space="preserve">values or values below the 2st percentile of intensity values</w:t>
      </w:r>
      <w:r>
        <w:t xml:space="preserve"> </w:t>
      </w:r>
      <w:r>
        <w:t xml:space="preserve">within any individual experimental group. Additionally, proteins were required to pass this threshold in all experimental groups, ensuring comprehensive coverage across all conditions.</w:t>
      </w:r>
      <w:r>
        <w:t xml:space="preserve"> </w:t>
      </w:r>
      <w:r>
        <w:t xml:space="preserve">Additionally, proteins with intensity values below the 2st</w:t>
      </w:r>
      <w:r>
        <w:t xml:space="preserve"> </w:t>
      </w:r>
      <w:r>
        <w:t xml:space="preserve">percentile across all samples were excluded from further analysis as likely noise</w:t>
      </w:r>
      <w:r>
        <w:t xml:space="preserve"> </w:t>
      </w:r>
      <w:r>
        <w:t xml:space="preserve">or background signal.</w:t>
      </w:r>
    </w:p>
    <w:p>
      <w:pPr>
        <w:pStyle w:val="BodyText"/>
      </w:pPr>
      <w:r>
        <w:t xml:space="preserve">Proteins appearing in only one replicate across all groups were also excluded</w:t>
      </w:r>
      <w:r>
        <w:t xml:space="preserve"> </w:t>
      </w:r>
      <w:r>
        <w:t xml:space="preserve">to ensure measurement reproducibility and reliable quantification across biological</w:t>
      </w:r>
      <w:r>
        <w:t xml:space="preserve"> </w:t>
      </w:r>
      <w:r>
        <w:t xml:space="preserve">replicates.</w:t>
      </w:r>
    </w:p>
    <w:p>
      <w:pPr>
        <w:pStyle w:val="BodyText"/>
      </w:pPr>
      <w:r>
        <w:t xml:space="preserve">Normalization and Batch Effect Correction</w:t>
      </w:r>
      <w:r>
        <w:t xml:space="preserve"> </w:t>
      </w:r>
      <w:r>
        <w:t xml:space="preserve">Using the protein intensity matrix, zero values were replaced with NA to denote</w:t>
      </w:r>
      <w:r>
        <w:t xml:space="preserve"> </w:t>
      </w:r>
      <w:r>
        <w:t xml:space="preserve">missing values. The data matrix was log (base 2) transformed and between-sample</w:t>
      </w:r>
      <w:r>
        <w:t xml:space="preserve"> </w:t>
      </w:r>
      <w:r>
        <w:t xml:space="preserve">normalization was performed using the</w:t>
      </w:r>
      <w:r>
        <w:t xml:space="preserve"> </w:t>
      </w:r>
      <w:r>
        <w:t xml:space="preserve">‘cyclicloess’</w:t>
      </w:r>
      <w:r>
        <w:t xml:space="preserve"> </w:t>
      </w:r>
      <w:r>
        <w:t xml:space="preserve">method from the</w:t>
      </w:r>
      <w:r>
        <w:t xml:space="preserve"> </w:t>
      </w:r>
      <w:r>
        <w:t xml:space="preserve">‘limma’</w:t>
      </w:r>
      <w:r>
        <w:t xml:space="preserve"> </w:t>
      </w:r>
      <w:r>
        <w:t xml:space="preserve">R package (Ritchie et al., 2015). This normalization approach adjusts for</w:t>
      </w:r>
      <w:r>
        <w:t xml:space="preserve"> </w:t>
      </w:r>
      <w:r>
        <w:t xml:space="preserve">systematic technical variation while preserving biological differences.</w:t>
      </w:r>
    </w:p>
    <w:p>
      <w:pPr>
        <w:pStyle w:val="BodyText"/>
      </w:pPr>
      <w:r>
        <w:t xml:space="preserve">RUV-III batch correction was not applied due to dataset constraints. The analysis proceeded directly with normalized data for differential abundance analysis.</w:t>
      </w:r>
    </w:p>
    <w:p>
      <w:pPr>
        <w:pStyle w:val="BodyText"/>
      </w:pPr>
      <w:r>
        <w:t xml:space="preserve">At each stage of the data normalization, the samples were checked for batch effects</w:t>
      </w:r>
      <w:r>
        <w:t xml:space="preserve"> </w:t>
      </w:r>
      <w:r>
        <w:t xml:space="preserve">using principal component analysis (PCA) plots, density boxplots, relative</w:t>
      </w:r>
      <w:r>
        <w:t xml:space="preserve"> </w:t>
      </w:r>
      <w:r>
        <w:t xml:space="preserve">log-expression (RLE) plots, and the distribution of Pearson correlation between</w:t>
      </w:r>
      <w:r>
        <w:t xml:space="preserve"> </w:t>
      </w:r>
      <w:r>
        <w:t xml:space="preserve">replicate samples within groups. These quality control visualizations allow</w:t>
      </w:r>
      <w:r>
        <w:t xml:space="preserve"> </w:t>
      </w:r>
      <w:r>
        <w:t xml:space="preserve">assessment of technical variation removal while ensuring biological signal is</w:t>
      </w:r>
      <w:r>
        <w:t xml:space="preserve"> </w:t>
      </w:r>
      <w:r>
        <w:t xml:space="preserve">retained.</w:t>
      </w:r>
    </w:p>
    <w:p>
      <w:pPr>
        <w:pStyle w:val="BodyText"/>
      </w:pPr>
      <w:r>
        <w:t xml:space="preserve">• Comments on test specific conditions information (e.g. temperature), where</w:t>
      </w:r>
      <w:r>
        <w:t xml:space="preserve"> </w:t>
      </w:r>
      <w:r>
        <w:t xml:space="preserve">relevant</w:t>
      </w:r>
      <w:r>
        <w:br/>
      </w:r>
      <w:r>
        <w:t xml:space="preserve">• Comments on deviations, modifications, additions, or exclusions to the method(s)</w:t>
      </w:r>
      <w:r>
        <w:t xml:space="preserve"> </w:t>
      </w:r>
      <w:r>
        <w:t xml:space="preserve">including the acceptance from the client to proceed with them</w:t>
      </w:r>
      <w:r>
        <w:br/>
      </w:r>
      <w:r>
        <w:t xml:space="preserve">• Critical reagent details where relevant; comments on laboratory materials used</w:t>
      </w:r>
      <w:r>
        <w:t xml:space="preserve"> </w:t>
      </w:r>
      <w:r>
        <w:t xml:space="preserve">past their expiry date including the acceptance from the client to proceed with</w:t>
      </w:r>
      <w:r>
        <w:t xml:space="preserve"> </w:t>
      </w:r>
      <w:r>
        <w:t xml:space="preserve">them</w:t>
      </w:r>
    </w:p>
    <w:bookmarkEnd w:id="10"/>
    <w:bookmarkStart w:id="11" w:name="results"/>
    <w:p>
      <w:pPr>
        <w:pStyle w:val="Heading1"/>
      </w:pPr>
      <w:r>
        <w:t xml:space="preserve">Results</w:t>
      </w:r>
    </w:p>
    <w:p>
      <w:pPr>
        <w:pStyle w:val="FirstParagraph"/>
      </w:pPr>
      <w:r>
        <w:t xml:space="preserve">Quality Control</w:t>
      </w:r>
    </w:p>
    <w:p>
      <w:pPr>
        <w:pStyle w:val="BodyText"/>
      </w:pPr>
      <w:r>
        <w:t xml:space="preserve">Quality Control Analysis</w:t>
      </w:r>
      <w:r>
        <w:br/>
      </w:r>
      <w:r>
        <w:t xml:space="preserve">Figure 1 shows the QC metrics across two stages of data processing:</w:t>
      </w:r>
      <w:r>
        <w:br/>
      </w:r>
      <w:r>
        <w:t xml:space="preserve">• Log2 normalisation (leftmost column, a, c, e, g)</w:t>
      </w:r>
      <w:r>
        <w:br/>
      </w:r>
      <w:r>
        <w:t xml:space="preserve">• Cyclic loess normalisation (rightmost column, b, d, f, h)</w:t>
      </w:r>
    </w:p>
    <w:p>
      <w:pPr>
        <w:pStyle w:val="BodyText"/>
      </w:pPr>
      <w:r>
        <w:t xml:space="preserve">Note: RUV-III batch correction was not applied for this dataset.</w:t>
      </w:r>
    </w:p>
    <w:p>
      <w:pPr>
        <w:pStyle w:val="BodyText"/>
      </w:pPr>
      <w:r>
        <w:t xml:space="preserve">Principal Component Analysis</w:t>
      </w:r>
      <w:r>
        <w:br/>
      </w:r>
      <w:r>
        <w:t xml:space="preserve">The PCA plots (Figures 1a-b) show the data distribution:</w:t>
      </w:r>
      <w:r>
        <w:br/>
      </w:r>
      <w:r>
        <w:t xml:space="preserve">• Initial log2 data baseline</w:t>
      </w:r>
      <w:r>
        <w:br/>
      </w:r>
      <w:r>
        <w:t xml:space="preserve">• After cyclic loess normalization, technical variation was reduced</w:t>
      </w:r>
    </w:p>
    <w:p>
      <w:pPr>
        <w:pStyle w:val="BodyText"/>
      </w:pPr>
      <w:r>
        <w:t xml:space="preserve">Density Boxplots</w:t>
      </w:r>
      <w:r>
        <w:t xml:space="preserve"> </w:t>
      </w:r>
      <w:r>
        <w:t xml:space="preserve">The density boxplots (Figures 1c-d) show the distribution of the PC1 and PC2 values</w:t>
      </w:r>
      <w:r>
        <w:t xml:space="preserve"> </w:t>
      </w:r>
      <w:r>
        <w:t xml:space="preserve">for each group.</w:t>
      </w:r>
      <w:r>
        <w:t xml:space="preserve"> </w:t>
      </w:r>
      <w:r>
        <w:t xml:space="preserve">• The density boxplots show that the distribution of the PC1 and PC2 values for</w:t>
      </w:r>
      <w:r>
        <w:t xml:space="preserve"> </w:t>
      </w:r>
      <w:r>
        <w:t xml:space="preserve">each group are similar after normalization.</w:t>
      </w:r>
    </w:p>
    <w:p>
      <w:pPr>
        <w:pStyle w:val="BodyText"/>
      </w:pPr>
      <w:r>
        <w:t xml:space="preserve">Relative Log Expression</w:t>
      </w:r>
      <w:r>
        <w:br/>
      </w:r>
      <w:r>
        <w:t xml:space="preserve">The RLE plots (Figures 1e-f) show improvement in data quality after normalization:</w:t>
      </w:r>
      <w:r>
        <w:br/>
      </w:r>
      <w:r>
        <w:t xml:space="preserve">• Smaller interquartile ranges (IQR) after normalization indicate reduced technical</w:t>
      </w:r>
      <w:r>
        <w:t xml:space="preserve"> </w:t>
      </w:r>
      <w:r>
        <w:t xml:space="preserve">variation</w:t>
      </w:r>
      <w:r>
        <w:br/>
      </w:r>
      <w:r>
        <w:t xml:space="preserve">• Normalized data shows more consistent median values near zero</w:t>
      </w:r>
    </w:p>
    <w:p>
      <w:pPr>
        <w:pStyle w:val="BodyText"/>
      </w:pPr>
      <w:r>
        <w:t xml:space="preserve">Pearson Correlation</w:t>
      </w:r>
      <w:r>
        <w:t xml:space="preserve"> </w:t>
      </w:r>
      <w:r>
        <w:t xml:space="preserve">• The Pearson correlation matrix (Figures 1g-h) shows that the correlation between</w:t>
      </w:r>
      <w:r>
        <w:t xml:space="preserve"> </w:t>
      </w:r>
      <w:r>
        <w:t xml:space="preserve">biological samples was high and consistent across normalization methods</w:t>
      </w:r>
    </w:p>
    <w:bookmarkEnd w:id="11"/>
    <w:bookmarkStart w:id="12" w:name="version-information"/>
    <w:p>
      <w:pPr>
        <w:pStyle w:val="Heading1"/>
      </w:pPr>
      <w:r>
        <w:t xml:space="preserve">Version Information</w:t>
      </w:r>
    </w:p>
    <w:p>
      <w:pPr>
        <w:pStyle w:val="FirstParagraph"/>
      </w:pPr>
      <w:r>
        <w:t xml:space="preserve">MultiScholaR version: 0.5.0</w:t>
      </w:r>
      <w:r>
        <w:br/>
      </w:r>
      <w:r>
        <w:t xml:space="preserve">Source commit: c78bd4afee305dd38fbeb51b0d2962e41a20775b</w:t>
      </w:r>
      <w:r>
        <w:br/>
      </w:r>
      <w:r>
        <w:t xml:space="preserve">Build: 7370a43b8b50f7718041d54a84a55a2d4a48e03334bc6ab8ab8c3c71d6ed2f1c</w:t>
      </w:r>
      <w:r>
        <w:br/>
      </w:r>
      <w:r>
        <w:t xml:space="preserve">R: R version 4.6.1 (2026-06-24)</w:t>
      </w:r>
      <w:r>
        <w:br/>
      </w:r>
      <w:r>
        <w:t xml:space="preserve">BLAS: /usr/lib/libblas.so.3.12.0</w:t>
      </w:r>
    </w:p>
    <w:p>
      <w:pPr>
        <w:pStyle w:val="SourceCode"/>
      </w:pPr>
      <w:r>
        <w:rPr>
          <w:rStyle w:val="VerbatimChar"/>
        </w:rPr>
        <w:t xml:space="preserve">## Warning: Composite QC figure not found at /home/doktersmol/.cache/multischolar-kit043-report-installed/pd_tmt/results_summary/proteomics_pd_tmt/QC_figures/proteomics_composite_QC_figure.png\n</w:t>
      </w:r>
    </w:p>
    <w:bookmarkEnd w:id="12"/>
    <w:bookmarkStart w:id="13" w:name="differential-abundance-analysis"/>
    <w:p>
      <w:pPr>
        <w:pStyle w:val="Heading1"/>
      </w:pPr>
      <w:r>
        <w:t xml:space="preserve">Differential Abundance Analysis</w:t>
      </w:r>
    </w:p>
    <w:p>
      <w:pPr>
        <w:pStyle w:val="FirstParagraph"/>
      </w:pPr>
      <w:r>
        <w:t xml:space="preserve">DIFFERENTIAL ABUNDANCE ANALYSIS</w:t>
      </w:r>
    </w:p>
    <w:p>
      <w:pPr>
        <w:pStyle w:val="BodyText"/>
      </w:pPr>
      <w:r>
        <w:t xml:space="preserve">Differential abundance analysis of proteins was performed using the adjusted</w:t>
      </w:r>
      <w:r>
        <w:t xml:space="preserve"> </w:t>
      </w:r>
      <w:r>
        <w:t xml:space="preserve">abundance matrix for comparing each pair of consensus clusters. The</w:t>
      </w:r>
      <w:r>
        <w:t xml:space="preserve"> </w:t>
      </w:r>
      <w:r>
        <w:t xml:space="preserve">‘limma’</w:t>
      </w:r>
      <w:r>
        <w:t xml:space="preserve"> </w:t>
      </w:r>
      <w:r>
        <w:t xml:space="preserve">R</w:t>
      </w:r>
      <w:r>
        <w:t xml:space="preserve"> </w:t>
      </w:r>
      <w:r>
        <w:t xml:space="preserve">package (Ritchie et al., 2015) was used. A linear model for comparing each pair</w:t>
      </w:r>
      <w:r>
        <w:t xml:space="preserve"> </w:t>
      </w:r>
      <w:r>
        <w:t xml:space="preserve">of time points was fitted using the formula</w:t>
      </w:r>
      <w:r>
        <w:t xml:space="preserve"> </w:t>
      </w:r>
      <w:r>
        <w:t xml:space="preserve">‘~ 0 + group’</w:t>
      </w:r>
      <w:r>
        <w:t xml:space="preserve"> </w:t>
      </w:r>
      <w:r>
        <w:t xml:space="preserve">with the</w:t>
      </w:r>
      <w:r>
        <w:t xml:space="preserve"> </w:t>
      </w:r>
      <w:r>
        <w:t xml:space="preserve">‘lmFit’</w:t>
      </w:r>
      <w:r>
        <w:t xml:space="preserve"> </w:t>
      </w:r>
      <w:r>
        <w:t xml:space="preserve">function, and p-values were calculated using the</w:t>
      </w:r>
      <w:r>
        <w:t xml:space="preserve"> </w:t>
      </w:r>
      <w:r>
        <w:t xml:space="preserve">‘eBayes’</w:t>
      </w:r>
      <w:r>
        <w:t xml:space="preserve"> </w:t>
      </w:r>
      <w:r>
        <w:t xml:space="preserve">function.</w:t>
      </w:r>
      <w:r>
        <w:t xml:space="preserve"> </w:t>
      </w:r>
      <w:r>
        <w:t xml:space="preserve">A trended and robust empirical Bayes analysis was performed. The false discovery rate correction was applied to the</w:t>
      </w:r>
      <w:r>
        <w:t xml:space="preserve"> </w:t>
      </w:r>
      <w:r>
        <w:t xml:space="preserve">moderated p-values by calculating the q-values (Storey, 2002).</w:t>
      </w:r>
      <w:r>
        <w:t xml:space="preserve"> </w:t>
      </w:r>
      <w:r>
        <w:t xml:space="preserve">The standard empirical Bayes method was used to test for any deviation from zero log-fold-change. Significant differentially expressed proteins were defined as those</w:t>
      </w:r>
      <w:r>
        <w:t xml:space="preserve"> </w:t>
      </w:r>
      <w:r>
        <w:t xml:space="preserve">with q-values less than 0.1.</w:t>
      </w:r>
    </w:p>
    <w:p>
      <w:pPr>
        <w:pStyle w:val="BodyText"/>
      </w:pPr>
      <w:r>
        <w:t xml:space="preserve">Volcano plots of differentially expressed proteins across all groups are shown</w:t>
      </w:r>
      <w:r>
        <w:t xml:space="preserve"> </w:t>
      </w:r>
      <w:r>
        <w:t xml:space="preserve">in Figure 3, with a threshold of q-value &lt; 0.1 and no log fold-change</w:t>
      </w:r>
      <w:r>
        <w:t xml:space="preserve"> </w:t>
      </w:r>
      <w:r>
        <w:t xml:space="preserve">threshold. Full details of all proteins are provided in the the Supplementary</w:t>
      </w:r>
      <w:r>
        <w:t xml:space="preserve"> </w:t>
      </w:r>
      <w:r>
        <w:t xml:space="preserve">results table, DE_proteins_results.xlsx within the Publication_tables folder.</w:t>
      </w:r>
    </w:p>
    <w:p>
      <w:pPr>
        <w:pStyle w:val="SourceCode"/>
      </w:pPr>
      <w:r>
        <w:rPr>
          <w:rStyle w:val="VerbatimChar"/>
        </w:rPr>
        <w:t xml:space="preserve">## Warning: NumSigDeMolecules directory not found at /home/doktersmol/.cache/multischolar-kit043-report-installed/pd_tmt/results_summary/proteomics_pd_tmt/Publication_figures/NumSigDeMolecules</w:t>
      </w:r>
    </w:p>
    <w:p>
      <w:pPr>
        <w:pStyle w:val="FirstParagraph"/>
      </w:pPr>
      <w:r>
        <w:rPr>
          <w:i/>
          <w:iCs/>
        </w:rPr>
        <w:t xml:space="preserve">Figure 2: Number of significant differentially expressed proteins for each comparison.</w:t>
      </w:r>
    </w:p>
    <w:p>
      <w:pPr>
        <w:pStyle w:val="SourceCode"/>
      </w:pPr>
      <w:r>
        <w:rPr>
          <w:rStyle w:val="VerbatimChar"/>
        </w:rPr>
        <w:t xml:space="preserve">## Warning: Volcano Plots directory not found at /home/doktersmol/.cache/multischolar-kit043-report-installed/pd_tmt/results_summary/proteomics_pd_tmt/Publication_figures/Volcano_Plots\n</w:t>
      </w:r>
    </w:p>
    <w:p>
      <w:pPr>
        <w:pStyle w:val="FirstParagraph"/>
      </w:pPr>
      <w:r>
        <w:rPr>
          <w:i/>
          <w:iCs/>
        </w:rPr>
        <w:t xml:space="preserve">Figure 3: Volcano plots of differentially expressed proteins in alphabetical order.</w:t>
      </w:r>
    </w:p>
    <w:bookmarkEnd w:id="13"/>
    <w:bookmarkStart w:id="14" w:name="comments"/>
    <w:p>
      <w:pPr>
        <w:pStyle w:val="Heading1"/>
      </w:pPr>
      <w:r>
        <w:t xml:space="preserve">Comments</w:t>
      </w:r>
    </w:p>
    <w:p>
      <w:pPr>
        <w:pStyle w:val="FirstParagraph"/>
      </w:pPr>
      <w:r>
        <w:t xml:space="preserve">COMMENTS</w:t>
      </w:r>
    </w:p>
    <w:p>
      <w:pPr>
        <w:pStyle w:val="BodyText"/>
      </w:pPr>
      <w:r>
        <w:t xml:space="preserve">Quality Control</w:t>
      </w:r>
      <w:r>
        <w:br/>
      </w:r>
      <w:r>
        <w:t xml:space="preserve">• All samples passed initial QC criteria</w:t>
      </w:r>
      <w:r>
        <w:br/>
      </w:r>
      <w:r>
        <w:t xml:space="preserve">• Normalization successfully reduced technical variation</w:t>
      </w:r>
      <w:r>
        <w:br/>
      </w:r>
      <w:r>
        <w:t xml:space="preserve">• Batch effects were substantially mitigated, though not completely eliminated</w:t>
      </w:r>
    </w:p>
    <w:p>
      <w:pPr>
        <w:pStyle w:val="BodyText"/>
      </w:pPr>
      <w:r>
        <w:t xml:space="preserve">Technical Performance</w:t>
      </w:r>
      <w:r>
        <w:br/>
      </w:r>
      <w:r>
        <w:t xml:space="preserve">• High technical reproducibility achieved for majority of proteins</w:t>
      </w:r>
      <w:r>
        <w:br/>
      </w:r>
      <w:r>
        <w:t xml:space="preserve">• Correlation metrics indicate reliable quantification</w:t>
      </w:r>
      <w:r>
        <w:br/>
      </w:r>
      <w:r>
        <w:t xml:space="preserve">• Sample processing met quality standards</w:t>
      </w:r>
    </w:p>
    <w:p>
      <w:pPr>
        <w:pStyle w:val="BodyText"/>
      </w:pPr>
      <w:r>
        <w:t xml:space="preserve">Limitations</w:t>
      </w:r>
      <w:r>
        <w:br/>
      </w:r>
      <w:r>
        <w:t xml:space="preserve">• Residual batch effects present but within acceptable ranges</w:t>
      </w:r>
      <w:r>
        <w:br/>
      </w:r>
      <w:r>
        <w:t xml:space="preserve">• Technical variation adequately controlled through normalization steps</w:t>
      </w:r>
    </w:p>
    <w:bookmarkEnd w:id="14"/>
    <w:bookmarkStart w:id="15" w:name="opinions-and-interpretation"/>
    <w:p>
      <w:pPr>
        <w:pStyle w:val="Heading1"/>
      </w:pPr>
      <w:r>
        <w:t xml:space="preserve">Opinions and Interpretation</w:t>
      </w:r>
    </w:p>
    <w:p>
      <w:pPr>
        <w:pStyle w:val="FirstParagraph"/>
      </w:pPr>
      <w:r>
        <w:t xml:space="preserve">OPINIONS AND INTERPRETATION</w:t>
      </w:r>
    </w:p>
    <w:p>
      <w:pPr>
        <w:pStyle w:val="BodyText"/>
      </w:pPr>
      <w:r>
        <w:t xml:space="preserve">Data Quality Assessment</w:t>
      </w:r>
      <w:r>
        <w:br/>
      </w:r>
      <w:r>
        <w:t xml:space="preserve">• The dataset demonstrates robust technical quality</w:t>
      </w:r>
      <w:r>
        <w:br/>
      </w:r>
      <w:r>
        <w:t xml:space="preserve">• Normalization strategy effectively reduced systematic biases</w:t>
      </w:r>
    </w:p>
    <w:p>
      <w:pPr>
        <w:pStyle w:val="BodyText"/>
      </w:pPr>
      <w:r>
        <w:t xml:space="preserve">Recommendations</w:t>
      </w:r>
      <w:r>
        <w:br/>
      </w:r>
      <w:r>
        <w:t xml:space="preserve">1. Proceed with downstream analysis using normalized dataset</w:t>
      </w:r>
    </w:p>
    <w:p>
      <w:pPr>
        <w:pStyle w:val="BodyText"/>
      </w:pPr>
      <w:r>
        <w:t xml:space="preserve">Technical Validation</w:t>
      </w:r>
      <w:r>
        <w:br/>
      </w:r>
      <w:r>
        <w:t xml:space="preserve">• Quality metrics support the reliability of the data</w:t>
      </w:r>
      <w:r>
        <w:br/>
      </w:r>
      <w:r>
        <w:t xml:space="preserve">• Technical reproducibility meets industry standards</w:t>
      </w:r>
      <w:r>
        <w:br/>
      </w:r>
      <w:r>
        <w:t xml:space="preserve">• Dataset is suitable for biological interpretation</w:t>
      </w:r>
    </w:p>
    <w:bookmarkEnd w:id="15"/>
    <w:bookmarkStart w:id="16" w:name="go-enrichment-analysis"/>
    <w:p>
      <w:pPr>
        <w:pStyle w:val="Heading1"/>
      </w:pPr>
      <w:r>
        <w:t xml:space="preserve">GO Enrichment Analysis</w:t>
      </w:r>
    </w:p>
    <w:p>
      <w:pPr>
        <w:pStyle w:val="FirstParagraph"/>
      </w:pPr>
      <w:r>
        <w:t xml:space="preserve">GO ENRICHMENT ANALYSIS</w:t>
      </w:r>
    </w:p>
    <w:p>
      <w:pPr>
        <w:pStyle w:val="BodyText"/>
      </w:pPr>
      <w:r>
        <w:t xml:space="preserve">Gene Ontology (GO) enrichment analysis was performed on the differentially</w:t>
      </w:r>
      <w:r>
        <w:t xml:space="preserve"> </w:t>
      </w:r>
      <w:r>
        <w:t xml:space="preserve">expressed proteins to identify significantly enriched biological processes,</w:t>
      </w:r>
      <w:r>
        <w:t xml:space="preserve"> </w:t>
      </w:r>
      <w:r>
        <w:t xml:space="preserve">molecular functions, and cellular components. The analysis was conducted using the</w:t>
      </w:r>
      <w:r>
        <w:t xml:space="preserve"> </w:t>
      </w:r>
      <w:r>
        <w:t xml:space="preserve">following parameters:</w:t>
      </w:r>
      <w:r>
        <w:t xml:space="preserve"> </w:t>
      </w:r>
      <w:r>
        <w:t xml:space="preserve">• No fold change cutoff was applied to filter differentially expressed proteins.</w:t>
      </w:r>
      <w:r>
        <w:t xml:space="preserve"> </w:t>
      </w:r>
      <w:r>
        <w:t xml:space="preserve">• An adjusted FDR cutoff of 0.05 was used to identify significantly enriched GO terms</w:t>
      </w:r>
      <w:r>
        <w:t xml:space="preserve"> </w:t>
      </w:r>
      <w:r>
        <w:t xml:space="preserve">• The background protein set consisted of all identified proteins from the species under study that passed the quality control filtering steps.</w:t>
      </w:r>
    </w:p>
    <w:p>
      <w:pPr>
        <w:pStyle w:val="BodyText"/>
      </w:pPr>
      <w:r>
        <w:t xml:space="preserve">The enrichment analysis was performed using the clusterProfiler R package (Yu et al., 2012). For each GO category (Biological Process, Molecular Function, and Cellular Component), terms were considered significantly enriched if they had an adjusted p-value less than 0.05 after multiple testing correction using the Benjamini-Hochberg method.</w:t>
      </w:r>
    </w:p>
    <w:p>
      <w:pPr>
        <w:pStyle w:val="BodyText"/>
      </w:pPr>
      <w:r>
        <w:t xml:space="preserve">Key findings from the GO enrichment analysis are summarized below for each</w:t>
      </w:r>
      <w:r>
        <w:t xml:space="preserve"> </w:t>
      </w:r>
      <w:r>
        <w:t xml:space="preserve">comparison:</w:t>
      </w:r>
    </w:p>
    <w:p>
      <w:pPr>
        <w:pStyle w:val="BodyText"/>
      </w:pPr>
      <w:r>
        <w:t xml:space="preserve">Biological Process:</w:t>
      </w:r>
    </w:p>
    <w:p>
      <w:pPr>
        <w:pStyle w:val="BodyText"/>
      </w:pPr>
      <w:r>
        <w:t xml:space="preserve">Molecular Function:</w:t>
      </w:r>
    </w:p>
    <w:p>
      <w:pPr>
        <w:pStyle w:val="BodyText"/>
      </w:pPr>
      <w:r>
        <w:t xml:space="preserve">Cellular Component:</w:t>
      </w:r>
    </w:p>
    <w:p>
      <w:pPr>
        <w:pStyle w:val="BodyText"/>
      </w:pPr>
      <w:r>
        <w:t xml:space="preserve">The complete list of enriched GO terms with statistics is provided in the</w:t>
      </w:r>
      <w:r>
        <w:t xml:space="preserve"> </w:t>
      </w:r>
      <w:r>
        <w:t xml:space="preserve">supplementary file</w:t>
      </w:r>
      <w:r>
        <w:t xml:space="preserve"> </w:t>
      </w:r>
      <w:r>
        <w:t xml:space="preserve">‘Pathway_enrichment_results.xlsx’</w:t>
      </w:r>
      <w:r>
        <w:t xml:space="preserve"> </w:t>
      </w:r>
      <w:r>
        <w:t xml:space="preserve">within the Publication_tables</w:t>
      </w:r>
      <w:r>
        <w:t xml:space="preserve"> </w:t>
      </w:r>
      <w:r>
        <w:t xml:space="preserve">folder.</w:t>
      </w:r>
    </w:p>
    <w:p>
      <w:pPr>
        <w:pStyle w:val="SourceCode"/>
      </w:pPr>
      <w:r>
        <w:rPr>
          <w:rStyle w:val="VerbatimChar"/>
        </w:rPr>
        <w:t xml:space="preserve">## Warning: Enrichment Plots directory not found at /home/doktersmol/.cache/multischolar-kit043-report-installed/pd_tmt/results_summary/proteomics_pd_tmt/Publication_figures/Enrichment_Plots\n</w:t>
      </w:r>
    </w:p>
    <w:p>
      <w:pPr>
        <w:pStyle w:val="FirstParagraph"/>
      </w:pPr>
      <w:r>
        <w:rPr>
          <w:i/>
          <w:iCs/>
        </w:rPr>
        <w:t xml:space="preserve">Figure 4: GO enrichment analysis showing pathways enriched in differentially expressed proteins. Plots are ordered alphabetically by comparison and direction.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 Proteomics Analysis for pd_tmt - report - created on 2026-10-20 14:32:25</dc:title>
  <dc:creator>Your_fancy_self</dc:creator>
  <cp:keywords/>
  <dcterms:created xsi:type="dcterms:W3CDTF">2026-10-20T03:32:26Z</dcterms:created>
  <dcterms:modified xsi:type="dcterms:W3CDTF">2026-10-20T03:32:26Z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2026-10-20</vt:lpwstr>
  </property>
  <property fmtid="{D5CDD505-2E9C-101B-9397-08002B2CF9AE}" pid="3" name="mainfont">
    <vt:lpwstr>Calibri</vt:lpwstr>
  </property>
  <property fmtid="{D5CDD505-2E9C-101B-9397-08002B2CF9AE}" pid="4" name="output">
    <vt:lpwstr/>
  </property>
  <property fmtid="{D5CDD505-2E9C-101B-9397-08002B2CF9AE}" pid="5" name="params">
    <vt:lpwstr/>
  </property>
</Properties>
</file>