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DIANN analysis for DIA - report - created on 2026-10-23 17:43:54</w:t>
      </w:r>
    </w:p>
    <w:p>
      <w:pPr>
        <w:pStyle w:val="Author"/>
      </w:pPr>
      <w:r>
        <w:t xml:space="preserve">Prepared with MultiScholaR; analyst: [to be completed]</w:t>
      </w:r>
    </w:p>
    <w:p>
      <w:pPr>
        <w:pStyle w:val="Date"/>
      </w:pPr>
      <w:r>
        <w:t xml:space="preserve">2026-10-23</w:t>
      </w:r>
    </w:p>
    <w:bookmarkStart w:id="9" w:name="sample-details"/>
    <w:p>
      <w:pPr>
        <w:pStyle w:val="Heading1"/>
      </w:pPr>
      <w:r>
        <w:t xml:space="preserve">Sample Details</w:t>
      </w:r>
    </w:p>
    <w:p>
      <w:pPr>
        <w:pStyle w:val="FirstParagraph"/>
      </w:pPr>
      <w:r>
        <w:t xml:space="preserve">SAMPLE DETAILS</w:t>
      </w:r>
    </w:p>
    <w:p>
      <w:pPr>
        <w:pStyle w:val="BodyText"/>
      </w:pPr>
      <w:r>
        <w:t xml:space="preserve">There are 8 samples in total which consists of:</w:t>
      </w:r>
      <w:r>
        <w:br/>
      </w:r>
      <w:r>
        <w:t xml:space="preserve">• 8 biological samples with no technical replicates.</w:t>
      </w:r>
      <w:r>
        <w:br/>
      </w:r>
      <w:r>
        <w:t xml:space="preserve">• Sample identification, conditions upon receipt and any non-compliance notes: [to be completed by the analyst]</w:t>
      </w:r>
    </w:p>
    <w:bookmarkEnd w:id="9"/>
    <w:bookmarkStart w:id="10" w:name="method-details"/>
    <w:p>
      <w:pPr>
        <w:pStyle w:val="Heading1"/>
      </w:pPr>
      <w:r>
        <w:t xml:space="preserve">Method Details</w:t>
      </w:r>
    </w:p>
    <w:p>
      <w:pPr>
        <w:pStyle w:val="FirstParagraph"/>
      </w:pPr>
      <w:r>
        <w:t xml:space="preserve">METHOD DETAILS</w:t>
      </w:r>
    </w:p>
    <w:p>
      <w:pPr>
        <w:pStyle w:val="BodyText"/>
      </w:pPr>
      <w:r>
        <w:t xml:space="preserve">Data analyses were performed with MultiScholaR; the software version and build are listed under</w:t>
      </w:r>
      <w:r>
        <w:t xml:space="preserve"> </w:t>
      </w:r>
      <w:r>
        <w:t xml:space="preserve">‘Software and build’</w:t>
      </w:r>
      <w:r>
        <w:t xml:space="preserve">.</w:t>
      </w:r>
      <w:r>
        <w:t xml:space="preserve"> </w:t>
      </w:r>
      <w:r>
        <w:t xml:space="preserve">SOP reference: [to be completed by the analyst].</w:t>
      </w:r>
    </w:p>
    <w:p>
      <w:pPr>
        <w:pStyle w:val="BodyText"/>
      </w:pPr>
      <w:r>
        <w:rPr>
          <w:b/>
          <w:bCs/>
        </w:rPr>
        <w:t xml:space="preserve">Data import, filtering and quantification</w:t>
      </w:r>
    </w:p>
    <w:p>
      <w:pPr>
        <w:pStyle w:val="BodyText"/>
      </w:pPr>
      <w:r>
        <w:t xml:space="preserve">Precursor-level identifications and quantities were imported from the DIA-NN main report</w:t>
      </w:r>
      <w:r>
        <w:t xml:space="preserve"> </w:t>
      </w:r>
      <w:r>
        <w:t xml:space="preserve">(one row per precursor and run). Low-confidence peptide identifications were removed</w:t>
      </w:r>
      <w:r>
        <w:t xml:space="preserve"> </w:t>
      </w:r>
      <w:r>
        <w:t xml:space="preserve">using q-value and proteotypic peptide filtering, retaining only peptides with a</w:t>
      </w:r>
      <w:r>
        <w:t xml:space="preserve"> </w:t>
      </w:r>
      <w:r>
        <w:t xml:space="preserve">q-value threshold of 0.01 and only those that are proteotypic. Precursor ion intensities were then</w:t>
      </w:r>
      <w:r>
        <w:t xml:space="preserve"> </w:t>
      </w:r>
      <w:r>
        <w:t xml:space="preserve">aggregated into peptide-level quantification values, combining all charge states</w:t>
      </w:r>
      <w:r>
        <w:t xml:space="preserve"> </w:t>
      </w:r>
      <w:r>
        <w:t xml:space="preserve">of the same peptide sequence while keeping different modified peptides</w:t>
      </w:r>
      <w:r>
        <w:t xml:space="preserve"> </w:t>
      </w:r>
      <w:r>
        <w:t xml:space="preserve">(peptidoforms) as separate entries. The peptide quantities were arranged as a</w:t>
      </w:r>
      <w:r>
        <w:t xml:space="preserve"> </w:t>
      </w:r>
      <w:r>
        <w:t xml:space="preserve">peptide-by-sample matrix and log2 transformed (values at or below zero treated as</w:t>
      </w:r>
      <w:r>
        <w:t xml:space="preserve"> </w:t>
      </w:r>
      <w:r>
        <w:t xml:space="preserve">missing); one protein accession was chosen per protein group from the FASTA</w:t>
      </w:r>
      <w:r>
        <w:t xml:space="preserve"> </w:t>
      </w:r>
      <w:r>
        <w:t xml:space="preserve">metadata and duplicate peptides of a resolved group were aggregated.</w:t>
      </w:r>
    </w:p>
    <w:p>
      <w:pPr>
        <w:pStyle w:val="BodyText"/>
      </w:pPr>
      <w:r>
        <w:t xml:space="preserve">Protein-level quantification was performed with the limpa package’s Detection</w:t>
      </w:r>
      <w:r>
        <w:t xml:space="preserve"> </w:t>
      </w:r>
      <w:r>
        <w:t xml:space="preserve">Probability Curve method, DPC-Quant (Li et al., 2025), on the</w:t>
      </w:r>
      <w:r>
        <w:t xml:space="preserve"> </w:t>
      </w:r>
      <w:r>
        <w:t xml:space="preserve">‘limpa’</w:t>
      </w:r>
      <w:r>
        <w:t xml:space="preserve"> </w:t>
      </w:r>
      <w:r>
        <w:t xml:space="preserve">engine (version 1.4.2).</w:t>
      </w:r>
      <w:r>
        <w:t xml:space="preserve"> </w:t>
      </w:r>
      <w:r>
        <w:t xml:space="preserve">Unlike roll-up approaches that first aggregate peptides to proteins and then impute</w:t>
      </w:r>
      <w:r>
        <w:t xml:space="preserve"> </w:t>
      </w:r>
      <w:r>
        <w:t xml:space="preserve">missing values, DPC-Quant quantifies proteins and handles missing values in one</w:t>
      </w:r>
      <w:r>
        <w:t xml:space="preserve"> </w:t>
      </w:r>
      <w:r>
        <w:t xml:space="preserve">statistical model: a detection probability curve fitted on the peptide matrix (fitted intercept 0.264, slope 0.012: nearly random missing)</w:t>
      </w:r>
      <w:r>
        <w:t xml:space="preserve"> </w:t>
      </w:r>
      <w:r>
        <w:t xml:space="preserve">relates peptide intensity to the probability of detection, and maximum posterior</w:t>
      </w:r>
      <w:r>
        <w:t xml:space="preserve"> </w:t>
      </w:r>
      <w:r>
        <w:t xml:space="preserve">estimates with standard errors are returned for every protein in every sample.</w:t>
      </w:r>
      <w:r>
        <w:t xml:space="preserve"> </w:t>
      </w:r>
      <w:r>
        <w:t xml:space="preserve">Proteins were required to have at least 1 unique peptide(s) and 2</w:t>
      </w:r>
      <w:r>
        <w:t xml:space="preserve"> </w:t>
      </w:r>
      <w:r>
        <w:t xml:space="preserve">peptidoform(s) to be considered for further analysis. No protein-level missing-value</w:t>
      </w:r>
      <w:r>
        <w:t xml:space="preserve"> </w:t>
      </w:r>
      <w:r>
        <w:t xml:space="preserve">filter applies: the quantified matrix is complete. No between-sample normalisation was applied to the quantified log2 matrix (the limpa workflow’s default).</w:t>
      </w:r>
    </w:p>
    <w:p>
      <w:pPr>
        <w:pStyle w:val="BodyText"/>
      </w:pPr>
      <w:r>
        <w:t xml:space="preserve">To account for unwanted variation, RUV-III (Molania et al., 2019) was fitted on the quantified protein matrix using a set of endogenous negative control proteins chosen by a negative-control sweep (4% of proteins, 100 controls; replicate structure: group). The 1 estimated factor(s) of unwanted variation (W) were appended to the design as covariates of the differential abundance model; the protein matrix itself was not corrected (the RUV-adjusted matrix is used for quality-control plots only).</w:t>
      </w:r>
    </w:p>
    <w:p>
      <w:pPr>
        <w:pStyle w:val="BodyText"/>
      </w:pPr>
      <w:r>
        <w:t xml:space="preserve">At each stage, the samples were checked for batch effects using principal component</w:t>
      </w:r>
      <w:r>
        <w:t xml:space="preserve"> </w:t>
      </w:r>
      <w:r>
        <w:t xml:space="preserve">analysis (PCA) plots, density boxplots, relative log-expression (RLE) plots and the</w:t>
      </w:r>
      <w:r>
        <w:t xml:space="preserve"> </w:t>
      </w:r>
      <w:r>
        <w:t xml:space="preserve">distribution of the Pearson correlation between replicate samples within groups;</w:t>
      </w:r>
      <w:r>
        <w:t xml:space="preserve"> </w:t>
      </w:r>
      <w:r>
        <w:t xml:space="preserve">samples whose correlation with their group fell below the configured threshold were removed.</w:t>
      </w:r>
    </w:p>
    <w:p>
      <w:pPr>
        <w:pStyle w:val="BodyText"/>
      </w:pPr>
      <w:r>
        <w:t xml:space="preserve">Test conditions, deviations from the method and critical reagent details: [to be completed by the analyst].</w:t>
      </w:r>
    </w:p>
    <w:bookmarkEnd w:id="10"/>
    <w:bookmarkStart w:id="11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Quality Control</w:t>
      </w:r>
    </w:p>
    <w:p>
      <w:pPr>
        <w:pStyle w:val="BodyText"/>
      </w:pPr>
      <w:r>
        <w:t xml:space="preserve">Figure 1 shows four quality-control views at three stages of processing: after log2 transformation</w:t>
      </w:r>
      <w:r>
        <w:t xml:space="preserve"> </w:t>
      </w:r>
      <w:r>
        <w:t xml:space="preserve">(left column: panels a, d, g, j), after between-sample normalisation (centre column: b, e, h, k) and</w:t>
      </w:r>
      <w:r>
        <w:t xml:space="preserve"> </w:t>
      </w:r>
      <w:r>
        <w:t xml:space="preserve">for the RUV-III-adjusted matrix (drawn for quality control only; the differential abundance model carried the RUV-III factors as covariates) (right column: c, f, i, l).</w:t>
      </w:r>
      <w:r>
        <w:br/>
      </w:r>
      <w:r>
        <w:t xml:space="preserve">• Principal component analysis (panels a-c): samples plotted on the first two principal components,</w:t>
      </w:r>
      <w:r>
        <w:t xml:space="preserve"> </w:t>
      </w:r>
      <w:r>
        <w:t xml:space="preserve">coloured by experimental group.</w:t>
      </w:r>
      <w:r>
        <w:br/>
      </w:r>
      <w:r>
        <w:t xml:space="preserve">• Density plots (panels d-f): the distribution of protein intensities per sample.</w:t>
      </w:r>
      <w:r>
        <w:br/>
      </w:r>
      <w:r>
        <w:t xml:space="preserve">• Relative log expression (panels g-i): per-sample deviations from the protein-wise median.</w:t>
      </w:r>
      <w:r>
        <w:br/>
      </w:r>
      <w:r>
        <w:t xml:space="preserve">• Pearson correlation (panels j-l): the distribution of between-sample correlations within groups.</w:t>
      </w:r>
    </w:p>
    <w:p>
      <w:pPr>
        <w:pStyle w:val="BodyText"/>
      </w:pPr>
      <w:r>
        <w:t xml:space="preserve">Whether technical variation was reduced and biological signal retained is assessed from these panels</w:t>
      </w:r>
      <w:r>
        <w:t xml:space="preserve"> </w:t>
      </w:r>
      <w:r>
        <w:t xml:space="preserve">by the analyst; this report draws no automated conclusion from them.</w:t>
      </w:r>
    </w:p>
    <w:bookmarkEnd w:id="11"/>
    <w:bookmarkStart w:id="15" w:name="differential-abundance-analysis"/>
    <w:p>
      <w:pPr>
        <w:pStyle w:val="Heading1"/>
      </w:pPr>
      <w:r>
        <w:t xml:space="preserve">Differential Abundance Analysis</w:t>
      </w:r>
    </w:p>
    <w:p>
      <w:pPr>
        <w:pStyle w:val="FirstParagraph"/>
      </w:pPr>
      <w:r>
        <w:t xml:space="preserve">DIFFERENTIAL ABUNDANCE ANALYSIS</w:t>
      </w:r>
    </w:p>
    <w:p>
      <w:pPr>
        <w:pStyle w:val="BodyText"/>
      </w:pPr>
      <w:r>
        <w:t xml:space="preserve">Differential abundance analysis of proteins was performed on the DPC-quantified</w:t>
      </w:r>
      <w:r>
        <w:t xml:space="preserve"> </w:t>
      </w:r>
      <w:r>
        <w:t xml:space="preserve">protein abundances for the comparisons defined in the contrast table. The limpa R</w:t>
      </w:r>
      <w:r>
        <w:t xml:space="preserve"> </w:t>
      </w:r>
      <w:r>
        <w:t xml:space="preserve">package’s</w:t>
      </w:r>
      <w:r>
        <w:t xml:space="preserve"> </w:t>
      </w:r>
      <w:r>
        <w:t xml:space="preserve">‘dpcDE’</w:t>
      </w:r>
      <w:r>
        <w:t xml:space="preserve"> </w:t>
      </w:r>
      <w:r>
        <w:t xml:space="preserve">function (Li et al., 2025) fitted a linear model using the formula</w:t>
      </w:r>
      <w:r>
        <w:t xml:space="preserve"> </w:t>
      </w:r>
      <w:r>
        <w:t xml:space="preserve">‘~ 0 + group + W1’</w:t>
      </w:r>
      <w:r>
        <w:t xml:space="preserve">, weighting each observation by the uncertainty of its DPC-Quant estimate</w:t>
      </w:r>
      <w:r>
        <w:t xml:space="preserve"> </w:t>
      </w:r>
      <w:r>
        <w:t xml:space="preserve">(imputed values down-weighted), with the</w:t>
      </w:r>
      <w:r>
        <w:t xml:space="preserve"> </w:t>
      </w:r>
      <w:r>
        <w:t xml:space="preserve">‘limma’</w:t>
      </w:r>
      <w:r>
        <w:t xml:space="preserve"> </w:t>
      </w:r>
      <w:r>
        <w:t xml:space="preserve">R package (Ritchie et al., 2015)</w:t>
      </w:r>
      <w:r>
        <w:t xml:space="preserve"> </w:t>
      </w:r>
      <w:r>
        <w:t xml:space="preserve">underneath. The 1 RUV-III factor(s) of unwanted variation (W) entered the model as covariates. Contrasts were applied with</w:t>
      </w:r>
      <w:r>
        <w:t xml:space="preserve"> </w:t>
      </w:r>
      <w:r>
        <w:t xml:space="preserve">‘contrasts.fit’</w:t>
      </w:r>
      <w:r>
        <w:t xml:space="preserve"> </w:t>
      </w:r>
      <w:r>
        <w:t xml:space="preserve">and p-values</w:t>
      </w:r>
      <w:r>
        <w:t xml:space="preserve"> </w:t>
      </w:r>
      <w:r>
        <w:t xml:space="preserve">were calculated using the</w:t>
      </w:r>
      <w:r>
        <w:t xml:space="preserve"> </w:t>
      </w:r>
      <w:r>
        <w:t xml:space="preserve">‘eBayes’</w:t>
      </w:r>
      <w:r>
        <w:t xml:space="preserve"> </w:t>
      </w:r>
      <w:r>
        <w:t xml:space="preserve">function. A trended and robust empirical Bayes analysis was performed. The false discovery rate</w:t>
      </w:r>
      <w:r>
        <w:t xml:space="preserve"> </w:t>
      </w:r>
      <w:r>
        <w:t xml:space="preserve">correction was applied to the moderated p-values by calculating the q-values (Storey, 2002).</w:t>
      </w:r>
      <w:r>
        <w:t xml:space="preserve"> </w:t>
      </w:r>
      <w:r>
        <w:t xml:space="preserve">No log-fold-change threshold (TREAT) applies on this model. Significant differentially</w:t>
      </w:r>
      <w:r>
        <w:t xml:space="preserve"> </w:t>
      </w:r>
      <w:r>
        <w:t xml:space="preserve">expressed proteins were defined as those with q-values less than 0.05.</w:t>
      </w:r>
    </w:p>
    <w:p>
      <w:pPr>
        <w:pStyle w:val="BodyText"/>
      </w:pPr>
      <w:r>
        <w:t xml:space="preserve">Volcano plots of differentially expressed proteins across all groups are shown</w:t>
      </w:r>
      <w:r>
        <w:t xml:space="preserve"> </w:t>
      </w:r>
      <w:r>
        <w:t xml:space="preserve">in Figure 2, with a threshold of q-value &lt; 0.05 and no log fold-change</w:t>
      </w:r>
      <w:r>
        <w:t xml:space="preserve"> </w:t>
      </w:r>
      <w:r>
        <w:t xml:space="preserve">threshold. Full details of all proteins are provided in the supplementary results</w:t>
      </w:r>
      <w:r>
        <w:t xml:space="preserve"> </w:t>
      </w:r>
      <w:r>
        <w:t xml:space="preserve">table DA_results_proteomics.xlsx within the Publication_tables folder.</w:t>
      </w:r>
    </w:p>
    <w:p>
      <w:pPr>
        <w:pStyle w:val="BodyText"/>
      </w:pPr>
      <w:r>
        <w:drawing>
          <wp:inline>
            <wp:extent cx="2613660" cy="261366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tmp/claude-1000/-home-doktersmol-Projects-APAF-MultiScholaR/7f1e37b6-a376-45ae-a5c8-0904bea4e8a0/scratchpad/kit053-report-stage/candidate-1/project/dia_baseline_smoke/results_summary/proteomics/DIANN_limpa_report_proteomics_dia_baseline_smoke_files/6f36e97cc2f8ed6fc1e7759f8d363ac06e62f57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2: Volcano plots of differentially expressed proteins one per comparison.</w:t>
      </w:r>
    </w:p>
    <w:bookmarkEnd w:id="15"/>
    <w:bookmarkStart w:id="16" w:name="analyst-interpretation"/>
    <w:p>
      <w:pPr>
        <w:pStyle w:val="Heading1"/>
      </w:pPr>
      <w:r>
        <w:t xml:space="preserve">Analyst interpretation</w:t>
      </w:r>
    </w:p>
    <w:p>
      <w:pPr>
        <w:pStyle w:val="FirstParagraph"/>
      </w:pPr>
      <w:r>
        <w:t xml:space="preserve">ANALYST INTERPRETATION</w:t>
      </w:r>
    </w:p>
    <w:p>
      <w:pPr>
        <w:pStyle w:val="BodyText"/>
      </w:pPr>
      <w:r>
        <w:t xml:space="preserve">[To be completed by the analyst: quality-control assessment from Figure 1, technical performance,</w:t>
      </w:r>
      <w:r>
        <w:t xml:space="preserve"> </w:t>
      </w:r>
      <w:r>
        <w:t xml:space="preserve">limitations of this dataset, and recommendations for downstream analysis. Nothing in this section is</w:t>
      </w:r>
      <w:r>
        <w:t xml:space="preserve"> </w:t>
      </w:r>
      <w:r>
        <w:t xml:space="preserve">generated automatically.]</w:t>
      </w:r>
    </w:p>
    <w:bookmarkEnd w:id="16"/>
    <w:bookmarkStart w:id="17" w:name="go-enrichment-analysis"/>
    <w:p>
      <w:pPr>
        <w:pStyle w:val="Heading1"/>
      </w:pPr>
      <w:r>
        <w:t xml:space="preserve">GO Enrichment Analysis</w:t>
      </w:r>
    </w:p>
    <w:p>
      <w:pPr>
        <w:pStyle w:val="FirstParagraph"/>
      </w:pPr>
      <w:r>
        <w:t xml:space="preserve">No enrichment analysis was run for this project.</w:t>
      </w:r>
    </w:p>
    <w:bookmarkEnd w:id="17"/>
    <w:bookmarkStart w:id="18" w:name="software-and-build"/>
    <w:p>
      <w:pPr>
        <w:pStyle w:val="Heading1"/>
      </w:pPr>
      <w:r>
        <w:t xml:space="preserve">Software and build</w:t>
      </w:r>
    </w:p>
    <w:p>
      <w:pPr>
        <w:pStyle w:val="FirstParagraph"/>
      </w:pPr>
      <w:r>
        <w:t xml:space="preserve">MultiScholaR version: 0.5.0</w:t>
      </w:r>
      <w:r>
        <w:br/>
      </w:r>
      <w:r>
        <w:t xml:space="preserve">Source commit: 81a69944b832d2aed460a96ad381dd5b1ff4dc25</w:t>
      </w:r>
      <w:r>
        <w:br/>
      </w:r>
      <w:r>
        <w:t xml:space="preserve">Build: fc6d8f66a7104c5bfe2ddd469c748c87c3368a6f9800919ea8d0f1a962fcff83</w:t>
      </w:r>
      <w:r>
        <w:br/>
      </w:r>
      <w:r>
        <w:t xml:space="preserve">R: R version 4.6.1 (2026-06-24)</w:t>
      </w:r>
      <w:r>
        <w:br/>
      </w:r>
      <w:r>
        <w:t xml:space="preserve">BLAS: /usr/lib/libblas.so.3.12.0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DIANN analysis for DIA - report - created on 2026-10-23 17:43:54</dc:title>
  <dc:creator>Prepared with MultiScholaR; analyst: [to be completed]</dc:creator>
  <cp:keywords/>
  <dcterms:created xsi:type="dcterms:W3CDTF">2026-10-23T06:43:55Z</dcterms:created>
  <dcterms:modified xsi:type="dcterms:W3CDTF">2026-10-23T06:43:55Z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  <property fmtid="{D5CDD505-2E9C-101B-9397-08002B2CF9AE}" pid="3" name="mainfont">
    <vt:lpwstr>Calibri</vt:lpwstr>
  </property>
  <property fmtid="{D5CDD505-2E9C-101B-9397-08002B2CF9AE}" pid="4" name="output">
    <vt:lpwstr/>
  </property>
  <property fmtid="{D5CDD505-2E9C-101B-9397-08002B2CF9AE}" pid="5" name="params">
    <vt:lpwstr/>
  </property>
</Properties>
</file>