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rsidP="008E14CE">
            <w:pPr>
              <w:keepLines w:val="0"/>
              <w:numPr>
                <w:ilvl w:val="0"/>
                <w:numId w:val="36"/>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rsidP="008E14CE">
            <w:pPr>
              <w:keepLines w:val="0"/>
              <w:numPr>
                <w:ilvl w:val="0"/>
                <w:numId w:val="3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rsidP="008E14CE">
            <w:pPr>
              <w:keepLines w:val="0"/>
              <w:numPr>
                <w:ilvl w:val="0"/>
                <w:numId w:val="3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rsidP="008E14CE">
            <w:pPr>
              <w:keepLines w:val="0"/>
              <w:numPr>
                <w:ilvl w:val="0"/>
                <w:numId w:val="39"/>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rsidP="008E14CE">
            <w:pPr>
              <w:keepLines w:val="0"/>
              <w:numPr>
                <w:ilvl w:val="0"/>
                <w:numId w:val="40"/>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rsidP="008E14CE">
            <w:pPr>
              <w:keepLines w:val="0"/>
              <w:numPr>
                <w:ilvl w:val="0"/>
                <w:numId w:val="41"/>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rsidP="000957C0">
      <w:pPr>
        <w:pStyle w:val="ListParagraph"/>
        <w:numPr>
          <w:ilvl w:val="0"/>
          <w:numId w:val="35"/>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rsidP="000957C0">
      <w:pPr>
        <w:pStyle w:val="ListParagraph"/>
        <w:numPr>
          <w:ilvl w:val="0"/>
          <w:numId w:val="35"/>
        </w:numPr>
        <w:spacing w:line="360" w:lineRule="auto"/>
      </w:pPr>
      <w:r w:rsidRPr="007267F5">
        <w:t>Execute test cases, document test results, and report defects following the established test plan.</w:t>
      </w:r>
    </w:p>
    <w:p w14:paraId="25368DEA" w14:textId="77777777" w:rsidR="000957C0" w:rsidRPr="007267F5" w:rsidRDefault="000957C0" w:rsidP="000957C0">
      <w:pPr>
        <w:pStyle w:val="ListParagraph"/>
        <w:numPr>
          <w:ilvl w:val="0"/>
          <w:numId w:val="35"/>
        </w:numPr>
        <w:spacing w:line="360" w:lineRule="auto"/>
      </w:pPr>
      <w:r w:rsidRPr="007267F5">
        <w:t>Create test cases, test scripts, and test data that cover different scenarios and use cases.</w:t>
      </w:r>
    </w:p>
    <w:p w14:paraId="38EF1CA8" w14:textId="77777777" w:rsidR="000957C0" w:rsidRPr="007267F5" w:rsidRDefault="000957C0" w:rsidP="000957C0">
      <w:pPr>
        <w:pStyle w:val="ListParagraph"/>
        <w:numPr>
          <w:ilvl w:val="0"/>
          <w:numId w:val="35"/>
        </w:numPr>
        <w:spacing w:line="360" w:lineRule="auto"/>
      </w:pPr>
      <w:r w:rsidRPr="007267F5">
        <w:t>Log and track defects, communicate issues to the development team, and verify fixes.</w:t>
      </w:r>
    </w:p>
    <w:p w14:paraId="482B19EB" w14:textId="77777777" w:rsidR="000957C0" w:rsidRPr="007267F5" w:rsidRDefault="000957C0" w:rsidP="000957C0">
      <w:pPr>
        <w:pStyle w:val="ListParagraph"/>
        <w:numPr>
          <w:ilvl w:val="0"/>
          <w:numId w:val="35"/>
        </w:numPr>
        <w:spacing w:line="360" w:lineRule="auto"/>
      </w:pPr>
      <w:r w:rsidRPr="007267F5">
        <w:t>Maintain detailed documentation of test cases, test results, and any issues discovered.</w:t>
      </w:r>
    </w:p>
    <w:p w14:paraId="388E31C0" w14:textId="77777777" w:rsidR="000957C0" w:rsidRPr="007267F5" w:rsidRDefault="000957C0" w:rsidP="000957C0">
      <w:pPr>
        <w:pStyle w:val="ListParagraph"/>
        <w:numPr>
          <w:ilvl w:val="0"/>
          <w:numId w:val="35"/>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88AD" w14:textId="77777777" w:rsidR="000D72E0" w:rsidRDefault="000D72E0" w:rsidP="000612CB">
      <w:r>
        <w:separator/>
      </w:r>
    </w:p>
    <w:p w14:paraId="6AC94790" w14:textId="77777777" w:rsidR="000D72E0" w:rsidRDefault="000D72E0"/>
  </w:endnote>
  <w:endnote w:type="continuationSeparator" w:id="0">
    <w:p w14:paraId="7DE378E8" w14:textId="77777777" w:rsidR="000D72E0" w:rsidRDefault="000D72E0" w:rsidP="000612CB">
      <w:r>
        <w:continuationSeparator/>
      </w:r>
    </w:p>
    <w:p w14:paraId="1AA2681A" w14:textId="77777777" w:rsidR="000D72E0" w:rsidRDefault="000D7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EDDC" w14:textId="77777777" w:rsidR="000D72E0" w:rsidRDefault="000D72E0" w:rsidP="000612CB">
      <w:r>
        <w:separator/>
      </w:r>
    </w:p>
    <w:p w14:paraId="6D89E690" w14:textId="77777777" w:rsidR="000D72E0" w:rsidRDefault="000D72E0"/>
  </w:footnote>
  <w:footnote w:type="continuationSeparator" w:id="0">
    <w:p w14:paraId="0085AD42" w14:textId="77777777" w:rsidR="000D72E0" w:rsidRDefault="000D72E0" w:rsidP="000612CB">
      <w:r>
        <w:continuationSeparator/>
      </w:r>
    </w:p>
    <w:p w14:paraId="23545DCC" w14:textId="77777777" w:rsidR="000D72E0" w:rsidRDefault="000D7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5"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0"/>
  </w:num>
  <w:num w:numId="4" w16cid:durableId="1607926750">
    <w:abstractNumId w:val="26"/>
  </w:num>
  <w:num w:numId="5" w16cid:durableId="1521166072">
    <w:abstractNumId w:val="18"/>
  </w:num>
  <w:num w:numId="6" w16cid:durableId="1247107566">
    <w:abstractNumId w:val="13"/>
  </w:num>
  <w:num w:numId="7" w16cid:durableId="807893448">
    <w:abstractNumId w:val="34"/>
  </w:num>
  <w:num w:numId="8" w16cid:durableId="1394235353">
    <w:abstractNumId w:val="38"/>
  </w:num>
  <w:num w:numId="9" w16cid:durableId="1522165648">
    <w:abstractNumId w:val="10"/>
  </w:num>
  <w:num w:numId="10" w16cid:durableId="1984238148">
    <w:abstractNumId w:val="16"/>
  </w:num>
  <w:num w:numId="11" w16cid:durableId="1173884986">
    <w:abstractNumId w:val="11"/>
  </w:num>
  <w:num w:numId="12" w16cid:durableId="1075279359">
    <w:abstractNumId w:val="28"/>
  </w:num>
  <w:num w:numId="13" w16cid:durableId="708260734">
    <w:abstractNumId w:val="35"/>
  </w:num>
  <w:num w:numId="14" w16cid:durableId="23019937">
    <w:abstractNumId w:val="37"/>
  </w:num>
  <w:num w:numId="15" w16cid:durableId="837502512">
    <w:abstractNumId w:val="22"/>
  </w:num>
  <w:num w:numId="16" w16cid:durableId="374893192">
    <w:abstractNumId w:val="40"/>
  </w:num>
  <w:num w:numId="17" w16cid:durableId="863634349">
    <w:abstractNumId w:val="23"/>
  </w:num>
  <w:num w:numId="18" w16cid:durableId="1075201194">
    <w:abstractNumId w:val="19"/>
  </w:num>
  <w:num w:numId="19" w16cid:durableId="1634754310">
    <w:abstractNumId w:val="39"/>
  </w:num>
  <w:num w:numId="20" w16cid:durableId="951790756">
    <w:abstractNumId w:val="30"/>
  </w:num>
  <w:num w:numId="21" w16cid:durableId="702365349">
    <w:abstractNumId w:val="9"/>
  </w:num>
  <w:num w:numId="22" w16cid:durableId="511072269">
    <w:abstractNumId w:val="5"/>
  </w:num>
  <w:num w:numId="23" w16cid:durableId="616719995">
    <w:abstractNumId w:val="6"/>
  </w:num>
  <w:num w:numId="24" w16cid:durableId="1888642134">
    <w:abstractNumId w:val="24"/>
  </w:num>
  <w:num w:numId="25" w16cid:durableId="2133866742">
    <w:abstractNumId w:val="17"/>
  </w:num>
  <w:num w:numId="26" w16cid:durableId="2067364465">
    <w:abstractNumId w:val="32"/>
  </w:num>
  <w:num w:numId="27" w16cid:durableId="1599824741">
    <w:abstractNumId w:val="2"/>
  </w:num>
  <w:num w:numId="28" w16cid:durableId="1996765272">
    <w:abstractNumId w:val="36"/>
  </w:num>
  <w:num w:numId="29" w16cid:durableId="945113710">
    <w:abstractNumId w:val="33"/>
  </w:num>
  <w:num w:numId="30" w16cid:durableId="277875153">
    <w:abstractNumId w:val="31"/>
  </w:num>
  <w:num w:numId="31" w16cid:durableId="678579842">
    <w:abstractNumId w:val="3"/>
  </w:num>
  <w:num w:numId="32" w16cid:durableId="1299798920">
    <w:abstractNumId w:val="21"/>
  </w:num>
  <w:num w:numId="33" w16cid:durableId="1818766332">
    <w:abstractNumId w:val="14"/>
  </w:num>
  <w:num w:numId="34" w16cid:durableId="399787473">
    <w:abstractNumId w:val="15"/>
  </w:num>
  <w:num w:numId="35" w16cid:durableId="942106322">
    <w:abstractNumId w:val="27"/>
  </w:num>
  <w:num w:numId="36" w16cid:durableId="968629275">
    <w:abstractNumId w:val="12"/>
  </w:num>
  <w:num w:numId="37" w16cid:durableId="2001153758">
    <w:abstractNumId w:val="29"/>
  </w:num>
  <w:num w:numId="38" w16cid:durableId="1102729235">
    <w:abstractNumId w:val="4"/>
  </w:num>
  <w:num w:numId="39" w16cid:durableId="954212878">
    <w:abstractNumId w:val="7"/>
  </w:num>
  <w:num w:numId="40" w16cid:durableId="1038510149">
    <w:abstractNumId w:val="8"/>
  </w:num>
  <w:num w:numId="41" w16cid:durableId="184932515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185</TotalTime>
  <Pages>1</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26</cp:revision>
  <cp:lastPrinted>2012-05-30T05:01:00Z</cp:lastPrinted>
  <dcterms:created xsi:type="dcterms:W3CDTF">2019-01-07T09:22:00Z</dcterms:created>
  <dcterms:modified xsi:type="dcterms:W3CDTF">2023-09-05T12:22:00Z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