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9A68CB">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9A68CB">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9A68CB">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9A68CB">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9A68CB">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9A68CB">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9A68CB">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9A68CB">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9A68CB">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9A68CB">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9A68CB">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9A68CB">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9A68CB">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9A68CB">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w:t>
      </w:r>
      <w:proofErr w:type="gramStart"/>
      <w:r w:rsidRPr="00FF57BA">
        <w:rPr>
          <w:rFonts w:cs="Arial"/>
        </w:rPr>
        <w:t>The</w:t>
      </w:r>
      <w:proofErr w:type="gramEnd"/>
      <w:r w:rsidRPr="00FF57BA">
        <w:rPr>
          <w:rFonts w:cs="Arial"/>
        </w:rPr>
        <w:t xml:space="preserv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4F75A6C7" w:rsidR="008D438D" w:rsidRDefault="008D438D" w:rsidP="008D438D">
      <w:pPr>
        <w:pStyle w:val="Heading2"/>
      </w:pPr>
      <w:bookmarkStart w:id="8" w:name="_Toc144573366"/>
      <w:r>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lastRenderedPageBreak/>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lastRenderedPageBreak/>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 xml:space="preserve">Business </w:t>
            </w:r>
            <w:r w:rsidRPr="00462A1F">
              <w:rPr>
                <w:rFonts w:eastAsia="Times New Roman" w:cs="Arial"/>
                <w:lang w:val="en-US" w:eastAsia="en-PH"/>
              </w:rPr>
              <w:lastRenderedPageBreak/>
              <w:t>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 xml:space="preserve">Test </w:t>
            </w:r>
            <w:proofErr w:type="spellStart"/>
            <w:r>
              <w:rPr>
                <w:rFonts w:eastAsia="Times New Roman" w:cs="Arial"/>
                <w:lang w:val="en-US" w:eastAsia="en-PH"/>
              </w:rPr>
              <w:t>TeamT</w:t>
            </w:r>
            <w:proofErr w:type="spellEnd"/>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6DAFDF0E" w14:textId="5491916B" w:rsidR="008D438D" w:rsidRDefault="008D438D" w:rsidP="004843DD">
      <w:pPr>
        <w:pStyle w:val="Heading2"/>
        <w:ind w:left="491"/>
      </w:pPr>
      <w:bookmarkStart w:id="13" w:name="_Toc144573371"/>
      <w:r w:rsidRPr="008D438D">
        <w:t>Test Effort Estimate</w:t>
      </w:r>
      <w:bookmarkEnd w:id="13"/>
    </w:p>
    <w:p w14:paraId="1A4C5DC8" w14:textId="77777777" w:rsidR="008D438D" w:rsidRPr="008D438D" w:rsidRDefault="008D438D" w:rsidP="004843DD"/>
    <w:p w14:paraId="3B635D4B" w14:textId="77777777" w:rsidR="00FF3453" w:rsidRPr="003B1796" w:rsidRDefault="00FF3453" w:rsidP="004843DD">
      <w:pPr>
        <w:rPr>
          <w:rFonts w:cs="Arial"/>
        </w:rPr>
      </w:pPr>
    </w:p>
    <w:p w14:paraId="6DFEE39B" w14:textId="77777777" w:rsidR="009647F5" w:rsidRPr="003B1796" w:rsidRDefault="009647F5" w:rsidP="004843DD">
      <w:pPr>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5401BDD0" w14:textId="7B146E2A" w:rsidR="008D438D" w:rsidRDefault="008D438D" w:rsidP="004843DD">
      <w:pPr>
        <w:pStyle w:val="Heading2"/>
        <w:ind w:left="491"/>
      </w:pPr>
      <w:bookmarkStart w:id="17" w:name="_Toc144573375"/>
      <w:r>
        <w:t>Validation and Defect Management</w:t>
      </w:r>
      <w:bookmarkEnd w:id="17"/>
    </w:p>
    <w:p w14:paraId="61DBC421" w14:textId="5B9AF7D2" w:rsidR="008D438D" w:rsidRDefault="008D438D" w:rsidP="004843DD">
      <w:pPr>
        <w:pStyle w:val="Heading2"/>
        <w:ind w:left="491"/>
      </w:pPr>
      <w:bookmarkStart w:id="18" w:name="_Toc144573376"/>
      <w:r>
        <w:t>Test Metrics</w:t>
      </w:r>
      <w:bookmarkEnd w:id="18"/>
      <w:r>
        <w:tab/>
      </w:r>
    </w:p>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Test preparation &amp;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update this either daily or weekly (optional)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 xml:space="preserve">Project Weekly </w:t>
            </w:r>
            <w:r w:rsidRPr="009A68CB">
              <w:rPr>
                <w:rFonts w:eastAsia="Times New Roman" w:cs="Arial"/>
                <w:lang w:val="en-US" w:eastAsia="en-PH"/>
              </w:rPr>
              <w:lastRenderedPageBreak/>
              <w:t>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lastRenderedPageBreak/>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 xml:space="preserve">This will be done weekly if needed, </w:t>
            </w:r>
            <w:r w:rsidRPr="009A68CB">
              <w:rPr>
                <w:rFonts w:eastAsia="Times New Roman" w:cs="Arial"/>
                <w:lang w:val="en-US" w:eastAsia="en-PH"/>
              </w:rPr>
              <w:lastRenderedPageBreak/>
              <w:t>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lastRenderedPageBreak/>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2E4DD" w14:textId="77777777" w:rsidR="004843DD" w:rsidRPr="004843DD" w:rsidRDefault="004843DD" w:rsidP="004843DD"/>
    <w:p w14:paraId="3D7936F0"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 xml:space="preserve">Test Risks and Mitigation Factors (Jake &amp; </w:t>
      </w:r>
      <w:proofErr w:type="spellStart"/>
      <w:r w:rsidRPr="007D1D5F">
        <w:rPr>
          <w:rFonts w:ascii="Cambria" w:eastAsia="Times New Roman" w:hAnsi="Cambria" w:cs="Segoe UI"/>
          <w:b/>
          <w:bCs/>
          <w:color w:val="365F91"/>
          <w:sz w:val="24"/>
          <w:szCs w:val="24"/>
          <w:lang w:val="en-US"/>
        </w:rPr>
        <w:t>Rark</w:t>
      </w:r>
      <w:proofErr w:type="spellEnd"/>
      <w:r w:rsidRPr="007D1D5F">
        <w:rPr>
          <w:rFonts w:ascii="Cambria" w:eastAsia="Times New Roman" w:hAnsi="Cambria" w:cs="Segoe UI"/>
          <w:b/>
          <w:bCs/>
          <w:color w:val="365F91"/>
          <w:sz w:val="24"/>
          <w:szCs w:val="24"/>
          <w:lang w:val="en-US"/>
        </w:rPr>
        <w:t>)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lastRenderedPageBreak/>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bookmarkStart w:id="32" w:name="_GoBack"/>
      <w:bookmarkEnd w:id="32"/>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573390"/>
      <w:r>
        <w:rPr>
          <w:rFonts w:ascii="Arial" w:hAnsi="Arial" w:cs="Arial"/>
        </w:rPr>
        <w:lastRenderedPageBreak/>
        <w:t>TEST ENVIRONMENT</w:t>
      </w:r>
      <w:bookmarkEnd w:id="33"/>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4" w:name="_Toc144573391"/>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FA1C2" w14:textId="77777777" w:rsidR="0073217E" w:rsidRDefault="0073217E" w:rsidP="000612CB">
      <w:r>
        <w:separator/>
      </w:r>
    </w:p>
    <w:p w14:paraId="47ED9287" w14:textId="77777777" w:rsidR="0073217E" w:rsidRDefault="0073217E"/>
  </w:endnote>
  <w:endnote w:type="continuationSeparator" w:id="0">
    <w:p w14:paraId="2B71164B" w14:textId="77777777" w:rsidR="0073217E" w:rsidRDefault="0073217E" w:rsidP="000612CB">
      <w:r>
        <w:continuationSeparator/>
      </w:r>
    </w:p>
    <w:p w14:paraId="2C70FEC2" w14:textId="77777777" w:rsidR="0073217E" w:rsidRDefault="007321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87570" w14:textId="0950833D" w:rsidR="009A68CB" w:rsidRDefault="009A68CB"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r>
      <w:t>, by Guru99</w:t>
    </w:r>
    <w:r>
      <w:tab/>
    </w:r>
    <w:r w:rsidRPr="00D40574">
      <w:t xml:space="preserve">Page </w:t>
    </w:r>
    <w:r>
      <w:rPr>
        <w:noProof/>
      </w:rPr>
      <w:fldChar w:fldCharType="begin"/>
    </w:r>
    <w:r>
      <w:rPr>
        <w:noProof/>
      </w:rPr>
      <w:instrText xml:space="preserve"> PAGE   \* MERGEFORMAT </w:instrText>
    </w:r>
    <w:r>
      <w:rPr>
        <w:noProof/>
      </w:rPr>
      <w:fldChar w:fldCharType="separate"/>
    </w:r>
    <w:r>
      <w:rPr>
        <w:noProof/>
      </w:rPr>
      <w:t>20</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7ADFC" w14:textId="77777777" w:rsidR="0073217E" w:rsidRDefault="0073217E" w:rsidP="000612CB">
      <w:r>
        <w:separator/>
      </w:r>
    </w:p>
    <w:p w14:paraId="159A3D71" w14:textId="77777777" w:rsidR="0073217E" w:rsidRDefault="0073217E"/>
  </w:footnote>
  <w:footnote w:type="continuationSeparator" w:id="0">
    <w:p w14:paraId="37553AB3" w14:textId="77777777" w:rsidR="0073217E" w:rsidRDefault="0073217E" w:rsidP="000612CB">
      <w:r>
        <w:continuationSeparator/>
      </w:r>
    </w:p>
    <w:p w14:paraId="5BB9C96E" w14:textId="77777777" w:rsidR="0073217E" w:rsidRDefault="007321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4ED3C" w14:textId="4BEA5786" w:rsidR="009A68CB" w:rsidRPr="00D40574" w:rsidRDefault="009A68CB"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C770" w14:textId="5DE1394A" w:rsidR="009A68CB" w:rsidRDefault="009A68CB">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30461"/>
    <w:multiLevelType w:val="multilevel"/>
    <w:tmpl w:val="44E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9"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1"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3"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ECB2303"/>
    <w:multiLevelType w:val="multilevel"/>
    <w:tmpl w:val="AFC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13"/>
  </w:num>
  <w:num w:numId="4">
    <w:abstractNumId w:val="17"/>
  </w:num>
  <w:num w:numId="5">
    <w:abstractNumId w:val="11"/>
  </w:num>
  <w:num w:numId="6">
    <w:abstractNumId w:val="8"/>
  </w:num>
  <w:num w:numId="7">
    <w:abstractNumId w:val="22"/>
  </w:num>
  <w:num w:numId="8">
    <w:abstractNumId w:val="26"/>
  </w:num>
  <w:num w:numId="9">
    <w:abstractNumId w:val="6"/>
  </w:num>
  <w:num w:numId="10">
    <w:abstractNumId w:val="9"/>
  </w:num>
  <w:num w:numId="11">
    <w:abstractNumId w:val="7"/>
  </w:num>
  <w:num w:numId="12">
    <w:abstractNumId w:val="18"/>
  </w:num>
  <w:num w:numId="13">
    <w:abstractNumId w:val="23"/>
  </w:num>
  <w:num w:numId="14">
    <w:abstractNumId w:val="25"/>
  </w:num>
  <w:num w:numId="15">
    <w:abstractNumId w:val="14"/>
  </w:num>
  <w:num w:numId="16">
    <w:abstractNumId w:val="28"/>
  </w:num>
  <w:num w:numId="17">
    <w:abstractNumId w:val="15"/>
  </w:num>
  <w:num w:numId="18">
    <w:abstractNumId w:val="12"/>
  </w:num>
  <w:num w:numId="19">
    <w:abstractNumId w:val="27"/>
  </w:num>
  <w:num w:numId="20">
    <w:abstractNumId w:val="19"/>
  </w:num>
  <w:num w:numId="21">
    <w:abstractNumId w:val="5"/>
  </w:num>
  <w:num w:numId="22">
    <w:abstractNumId w:val="3"/>
  </w:num>
  <w:num w:numId="23">
    <w:abstractNumId w:val="4"/>
  </w:num>
  <w:num w:numId="24">
    <w:abstractNumId w:val="16"/>
  </w:num>
  <w:num w:numId="25">
    <w:abstractNumId w:val="10"/>
  </w:num>
  <w:num w:numId="26">
    <w:abstractNumId w:val="20"/>
  </w:num>
  <w:num w:numId="27">
    <w:abstractNumId w:val="2"/>
  </w:num>
  <w:num w:numId="28">
    <w:abstractNumId w:val="24"/>
  </w:num>
  <w:num w:numId="29">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177</TotalTime>
  <Pages>19</Pages>
  <Words>3013</Words>
  <Characters>17179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Princess Joy Ferrer</cp:lastModifiedBy>
  <cp:revision>16</cp:revision>
  <cp:lastPrinted>2012-05-30T05:01:00Z</cp:lastPrinted>
  <dcterms:created xsi:type="dcterms:W3CDTF">2019-01-07T09:22:00Z</dcterms:created>
  <dcterms:modified xsi:type="dcterms:W3CDTF">2023-09-05T08:53:00Z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