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451050A1"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r w:rsidR="00607CFC">
        <w:rPr>
          <w:rFonts w:asciiTheme="minorHAnsi" w:hAnsiTheme="minorHAnsi"/>
          <w:smallCaps/>
          <w:sz w:val="28"/>
          <w:szCs w:val="28"/>
        </w:rPr>
        <w:t xml:space="preserve"> (Dale)</w:t>
      </w:r>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 xml:space="preserve">What information will be communicated—to include the level of detail and </w:t>
      </w:r>
      <w:proofErr w:type="gramStart"/>
      <w:r w:rsidRPr="004B0083">
        <w:rPr>
          <w:color w:val="008000"/>
        </w:rPr>
        <w:t>format</w:t>
      </w:r>
      <w:proofErr w:type="gramEnd"/>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 xml:space="preserve">When information will be distributed—the frequency of project communications both formal and </w:t>
      </w:r>
      <w:proofErr w:type="gramStart"/>
      <w:r w:rsidRPr="004B0083">
        <w:rPr>
          <w:color w:val="008000"/>
        </w:rPr>
        <w:t>informal</w:t>
      </w:r>
      <w:proofErr w:type="gramEnd"/>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 xml:space="preserve">How any sensitive or confidential information is communicated and who must authorize </w:t>
      </w:r>
      <w:proofErr w:type="gramStart"/>
      <w:r w:rsidRPr="004B0083">
        <w:rPr>
          <w:color w:val="008000"/>
        </w:rPr>
        <w:t>this</w:t>
      </w:r>
      <w:proofErr w:type="gramEnd"/>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 xml:space="preserve">Any constraints, internal or external, which affect project </w:t>
      </w:r>
      <w:proofErr w:type="gramStart"/>
      <w:r w:rsidRPr="004B0083">
        <w:rPr>
          <w:color w:val="008000"/>
        </w:rPr>
        <w:t>communications</w:t>
      </w:r>
      <w:proofErr w:type="gramEnd"/>
    </w:p>
    <w:p w14:paraId="53D5005E" w14:textId="77777777" w:rsidR="004B0083" w:rsidRPr="004B0083" w:rsidRDefault="004B0083" w:rsidP="004B0083">
      <w:pPr>
        <w:numPr>
          <w:ilvl w:val="0"/>
          <w:numId w:val="1"/>
        </w:numPr>
        <w:rPr>
          <w:color w:val="008000"/>
        </w:rPr>
      </w:pPr>
      <w:r w:rsidRPr="004B0083">
        <w:rPr>
          <w:color w:val="008000"/>
        </w:rPr>
        <w:t xml:space="preserve">Any standard templates, formats, or documents the project must use for </w:t>
      </w:r>
      <w:proofErr w:type="gramStart"/>
      <w:r w:rsidRPr="004B0083">
        <w:rPr>
          <w:color w:val="008000"/>
        </w:rPr>
        <w:t>communicating</w:t>
      </w:r>
      <w:proofErr w:type="gramEnd"/>
    </w:p>
    <w:p w14:paraId="2D7BE978" w14:textId="77777777" w:rsidR="004B0083" w:rsidRPr="004B0083" w:rsidRDefault="004B0083" w:rsidP="004B0083">
      <w:pPr>
        <w:numPr>
          <w:ilvl w:val="0"/>
          <w:numId w:val="1"/>
        </w:numPr>
        <w:rPr>
          <w:color w:val="008000"/>
        </w:rPr>
      </w:pPr>
      <w:r w:rsidRPr="004B0083">
        <w:rPr>
          <w:color w:val="008000"/>
        </w:rPr>
        <w:t xml:space="preserve">An escalation process for resolving any communication-based conflicts or </w:t>
      </w:r>
      <w:proofErr w:type="gramStart"/>
      <w:r w:rsidRPr="004B0083">
        <w:rPr>
          <w:color w:val="008000"/>
        </w:rPr>
        <w:t>issues</w:t>
      </w:r>
      <w:proofErr w:type="gramEnd"/>
    </w:p>
    <w:p w14:paraId="17AE51E7" w14:textId="77777777" w:rsidR="004B0083" w:rsidRPr="004B0083" w:rsidRDefault="004B0083" w:rsidP="004B0083"/>
    <w:p w14:paraId="1588D626" w14:textId="2C25BBBA"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r w:rsidR="00607CFC">
        <w:rPr>
          <w:rFonts w:asciiTheme="minorHAnsi" w:hAnsiTheme="minorHAnsi"/>
          <w:smallCaps/>
          <w:sz w:val="28"/>
          <w:szCs w:val="28"/>
        </w:rPr>
        <w:t xml:space="preserve"> (Dale)</w:t>
      </w:r>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4D8B3D4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BA23D9E" w14:textId="77777777" w:rsidR="00426FF5" w:rsidRDefault="00426FF5" w:rsidP="004B0083">
      <w:pPr>
        <w:rPr>
          <w:color w:val="008000"/>
        </w:rPr>
      </w:pPr>
    </w:p>
    <w:p w14:paraId="5DD70874" w14:textId="77777777" w:rsidR="007D5347" w:rsidRPr="007D5347" w:rsidRDefault="007D5347" w:rsidP="007D5347">
      <w:pPr>
        <w:jc w:val="both"/>
        <w:rPr>
          <w:color w:val="000000" w:themeColor="text1"/>
        </w:rPr>
      </w:pPr>
      <w:r w:rsidRPr="007D5347">
        <w:rPr>
          <w:color w:val="000000" w:themeColor="text1"/>
        </w:rPr>
        <w:t xml:space="preserve">In the Barangay South Signal Village Web Application project, the Communication Management Constraints are essential in the project management plan for the entire project team, including </w:t>
      </w:r>
      <w:r w:rsidRPr="007D5347">
        <w:rPr>
          <w:color w:val="000000" w:themeColor="text1"/>
        </w:rPr>
        <w:lastRenderedPageBreak/>
        <w:t>the project sponsor. These constraints are crucial factors in the project management strategy, which applies to the whole project team, including the project sponsor.</w:t>
      </w:r>
    </w:p>
    <w:p w14:paraId="1D6C458D" w14:textId="77777777" w:rsidR="007D5347" w:rsidRPr="007D5347" w:rsidRDefault="007D5347" w:rsidP="007D5347">
      <w:pPr>
        <w:pStyle w:val="ListParagraph"/>
        <w:jc w:val="both"/>
        <w:rPr>
          <w:color w:val="000000" w:themeColor="text1"/>
        </w:rPr>
      </w:pPr>
    </w:p>
    <w:p w14:paraId="5DB4EBEA" w14:textId="77777777" w:rsidR="007D5347" w:rsidRPr="007D5347" w:rsidRDefault="007D5347" w:rsidP="007D5347">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00CB6AF8" w14:textId="77777777" w:rsidR="007D5347" w:rsidRPr="007D5347" w:rsidRDefault="007D5347" w:rsidP="007D5347">
      <w:pPr>
        <w:pStyle w:val="ListParagraph"/>
        <w:jc w:val="both"/>
        <w:rPr>
          <w:color w:val="000000" w:themeColor="text1"/>
        </w:rPr>
      </w:pPr>
    </w:p>
    <w:p w14:paraId="16D36258" w14:textId="77777777" w:rsidR="007D5347" w:rsidRPr="007D5347" w:rsidRDefault="007D5347" w:rsidP="007D5347">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467090ED" w14:textId="77777777" w:rsidR="007D5347" w:rsidRPr="007D5347" w:rsidRDefault="007D5347" w:rsidP="007D5347">
      <w:pPr>
        <w:pStyle w:val="ListParagraph"/>
        <w:jc w:val="both"/>
        <w:rPr>
          <w:color w:val="000000" w:themeColor="text1"/>
        </w:rPr>
      </w:pPr>
    </w:p>
    <w:p w14:paraId="6774B9F6"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040EFD12" w14:textId="14B2B93B" w:rsidR="007D5347" w:rsidRPr="007D5347" w:rsidRDefault="007D5347" w:rsidP="007D5347">
      <w:pPr>
        <w:pStyle w:val="ListParagraph"/>
        <w:ind w:firstLine="60"/>
        <w:jc w:val="both"/>
        <w:rPr>
          <w:color w:val="000000" w:themeColor="text1"/>
        </w:rPr>
      </w:pPr>
    </w:p>
    <w:p w14:paraId="4E0F41D4"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3A5D34E3" w14:textId="6A586402" w:rsidR="007D5347" w:rsidRPr="007D5347" w:rsidRDefault="007D5347" w:rsidP="007D5347">
      <w:pPr>
        <w:pStyle w:val="ListParagraph"/>
        <w:ind w:firstLine="60"/>
        <w:jc w:val="both"/>
        <w:rPr>
          <w:color w:val="000000" w:themeColor="text1"/>
        </w:rPr>
      </w:pPr>
    </w:p>
    <w:p w14:paraId="24C2BE42" w14:textId="5C019337" w:rsidR="007D5347" w:rsidRPr="007D5347" w:rsidRDefault="007D5347" w:rsidP="007D5347">
      <w:pPr>
        <w:pStyle w:val="ListParagraph"/>
        <w:ind w:firstLine="60"/>
        <w:jc w:val="both"/>
        <w:rPr>
          <w:color w:val="000000" w:themeColor="text1"/>
        </w:rPr>
      </w:pPr>
    </w:p>
    <w:p w14:paraId="5E09C2FD"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378A5C05" w14:textId="428DC339" w:rsidR="007D5347" w:rsidRPr="007D5347" w:rsidRDefault="007D5347" w:rsidP="007D5347">
      <w:pPr>
        <w:pStyle w:val="ListParagraph"/>
        <w:ind w:firstLine="60"/>
        <w:jc w:val="both"/>
        <w:rPr>
          <w:color w:val="000000" w:themeColor="text1"/>
        </w:rPr>
      </w:pPr>
    </w:p>
    <w:p w14:paraId="398005F6" w14:textId="51F90C2C" w:rsidR="009001EC" w:rsidRPr="007D5347" w:rsidRDefault="007D5347" w:rsidP="007D5347">
      <w:pPr>
        <w:pStyle w:val="ListParagraph"/>
        <w:numPr>
          <w:ilvl w:val="0"/>
          <w:numId w:val="7"/>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013F4ED6" w14:textId="77777777" w:rsidR="007D5347" w:rsidRPr="007D5347" w:rsidRDefault="007D5347" w:rsidP="007D5347">
      <w:pPr>
        <w:jc w:val="both"/>
        <w:rPr>
          <w:b/>
          <w:bCs/>
        </w:rPr>
      </w:pPr>
    </w:p>
    <w:p w14:paraId="01B99D8E" w14:textId="6D556D2D"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 w14:paraId="04C30859" w14:textId="77777777" w:rsidR="0028293B" w:rsidRDefault="0028293B" w:rsidP="0028293B">
      <w:pPr>
        <w:jc w:val="both"/>
      </w:pPr>
      <w:r>
        <w:t xml:space="preserve">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w:t>
      </w:r>
      <w:r>
        <w:lastRenderedPageBreak/>
        <w:t>recognizing and satisfying the stipulated needs for communication among stakeholders, the project team can actively manage expectations, establish trust, and promote collaboration.</w:t>
      </w:r>
    </w:p>
    <w:p w14:paraId="4923E465" w14:textId="77777777" w:rsidR="0028293B" w:rsidRDefault="0028293B" w:rsidP="0028293B">
      <w:pPr>
        <w:pStyle w:val="ListParagraph"/>
        <w:jc w:val="both"/>
      </w:pPr>
    </w:p>
    <w:p w14:paraId="00FDDB06" w14:textId="77777777" w:rsidR="0028293B" w:rsidRDefault="0028293B" w:rsidP="0028293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25C830F9" w14:textId="77777777" w:rsidR="0028293B" w:rsidRDefault="0028293B" w:rsidP="0028293B">
      <w:pPr>
        <w:pStyle w:val="ListParagraph"/>
        <w:jc w:val="both"/>
      </w:pPr>
    </w:p>
    <w:p w14:paraId="33E07625" w14:textId="1315C718" w:rsidR="0028293B" w:rsidRDefault="0028293B" w:rsidP="0028293B">
      <w:pPr>
        <w:pStyle w:val="ListParagraph"/>
        <w:numPr>
          <w:ilvl w:val="0"/>
          <w:numId w:val="9"/>
        </w:numPr>
        <w:jc w:val="both"/>
      </w:pPr>
      <w:r w:rsidRPr="0028293B">
        <w:rPr>
          <w:b/>
          <w:bCs/>
        </w:rPr>
        <w:t>Project Updates</w:t>
      </w:r>
      <w:r>
        <w:t xml:space="preserve"> - Stakeholders should be </w:t>
      </w:r>
      <w:r>
        <w:t>provided with</w:t>
      </w:r>
      <w:r>
        <w:t xml:space="preserve"> regular updates by the team to inform them of the project's progress, milestones, and any changes or issues encountered. </w:t>
      </w:r>
    </w:p>
    <w:p w14:paraId="15064F7E" w14:textId="77777777" w:rsidR="0028293B" w:rsidRDefault="0028293B" w:rsidP="0028293B">
      <w:pPr>
        <w:pStyle w:val="ListParagraph"/>
        <w:jc w:val="both"/>
      </w:pPr>
    </w:p>
    <w:p w14:paraId="3E4E123D" w14:textId="0A3EF289" w:rsidR="0028293B" w:rsidRDefault="0028293B" w:rsidP="0028293B">
      <w:pPr>
        <w:pStyle w:val="ListParagraph"/>
        <w:numPr>
          <w:ilvl w:val="0"/>
          <w:numId w:val="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798EBCA7" w14:textId="77777777" w:rsidR="0028293B" w:rsidRDefault="0028293B" w:rsidP="0028293B">
      <w:pPr>
        <w:pStyle w:val="ListParagraph"/>
      </w:pPr>
    </w:p>
    <w:p w14:paraId="40CC52BC" w14:textId="77777777" w:rsidR="0028293B" w:rsidRDefault="0028293B" w:rsidP="0028293B">
      <w:pPr>
        <w:pStyle w:val="ListParagraph"/>
        <w:jc w:val="both"/>
      </w:pPr>
    </w:p>
    <w:p w14:paraId="31E13ED9" w14:textId="4FA74066" w:rsidR="0028293B" w:rsidRDefault="0028293B" w:rsidP="0028293B">
      <w:pPr>
        <w:pStyle w:val="ListParagraph"/>
        <w:numPr>
          <w:ilvl w:val="0"/>
          <w:numId w:val="9"/>
        </w:numPr>
        <w:jc w:val="both"/>
      </w:pPr>
      <w:r w:rsidRPr="0028293B">
        <w:rPr>
          <w:b/>
          <w:bCs/>
        </w:rPr>
        <w:t>Clarity of Information</w:t>
      </w:r>
      <w:r>
        <w:t xml:space="preserve"> - All project-related information should be delivered clearly and straightforwardly, eliminating technical </w:t>
      </w:r>
      <w:r>
        <w:t>jargon,</w:t>
      </w:r>
      <w:r>
        <w:t xml:space="preserve"> and ensuring stakeholders easily comprehend the material.</w:t>
      </w:r>
    </w:p>
    <w:p w14:paraId="6CE3CA73" w14:textId="77777777" w:rsidR="0028293B" w:rsidRDefault="0028293B" w:rsidP="0028293B">
      <w:pPr>
        <w:pStyle w:val="ListParagraph"/>
        <w:jc w:val="both"/>
      </w:pPr>
    </w:p>
    <w:p w14:paraId="2934C940" w14:textId="77777777" w:rsidR="0028293B" w:rsidRDefault="0028293B" w:rsidP="0028293B">
      <w:pPr>
        <w:pStyle w:val="ListParagraph"/>
        <w:numPr>
          <w:ilvl w:val="0"/>
          <w:numId w:val="9"/>
        </w:numPr>
        <w:jc w:val="both"/>
      </w:pPr>
      <w:r w:rsidRPr="0028293B">
        <w:rPr>
          <w:b/>
          <w:bCs/>
        </w:rPr>
        <w:t>Stakeholder Involvement</w:t>
      </w:r>
      <w:r>
        <w:t xml:space="preserve"> - Engaging stakeholders in discussions, requesting their participation, and considering their views and recommendations throughout the project.</w:t>
      </w:r>
    </w:p>
    <w:p w14:paraId="0D38B4EF" w14:textId="77777777" w:rsidR="0028293B" w:rsidRDefault="0028293B" w:rsidP="0028293B">
      <w:pPr>
        <w:pStyle w:val="ListParagraph"/>
      </w:pPr>
    </w:p>
    <w:p w14:paraId="51282C4F" w14:textId="77777777" w:rsidR="0028293B" w:rsidRDefault="0028293B" w:rsidP="0028293B">
      <w:pPr>
        <w:pStyle w:val="ListParagraph"/>
        <w:jc w:val="both"/>
      </w:pPr>
    </w:p>
    <w:p w14:paraId="498568BF" w14:textId="3EF2DFB1" w:rsidR="0028293B" w:rsidRDefault="0028293B" w:rsidP="0028293B">
      <w:pPr>
        <w:pStyle w:val="ListParagraph"/>
        <w:numPr>
          <w:ilvl w:val="0"/>
          <w:numId w:val="9"/>
        </w:numPr>
        <w:jc w:val="both"/>
      </w:pPr>
      <w:r w:rsidRPr="0028293B">
        <w:rPr>
          <w:b/>
          <w:bCs/>
        </w:rPr>
        <w:t>Timeliness</w:t>
      </w:r>
      <w:r>
        <w:t xml:space="preserve"> - It is essential to keep stakeholders informed as soon as possible, especially regarding significant decision-making, risks, or changes in project plans.</w:t>
      </w:r>
    </w:p>
    <w:p w14:paraId="10F6FC02" w14:textId="77777777" w:rsidR="0028293B" w:rsidRDefault="0028293B" w:rsidP="0028293B">
      <w:pPr>
        <w:pStyle w:val="ListParagraph"/>
        <w:jc w:val="both"/>
      </w:pPr>
    </w:p>
    <w:p w14:paraId="71F6507B" w14:textId="6EFB45D3" w:rsidR="0028293B" w:rsidRDefault="0028293B" w:rsidP="0028293B">
      <w:pPr>
        <w:pStyle w:val="ListParagraph"/>
        <w:numPr>
          <w:ilvl w:val="0"/>
          <w:numId w:val="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09BCAAED" w14:textId="77777777" w:rsidR="0028293B" w:rsidRDefault="0028293B" w:rsidP="0028293B">
      <w:pPr>
        <w:pStyle w:val="ListParagraph"/>
      </w:pPr>
    </w:p>
    <w:p w14:paraId="0B77B08C" w14:textId="77777777" w:rsidR="0028293B" w:rsidRDefault="0028293B" w:rsidP="0028293B">
      <w:pPr>
        <w:pStyle w:val="ListParagraph"/>
        <w:jc w:val="both"/>
      </w:pPr>
    </w:p>
    <w:p w14:paraId="783E0A75" w14:textId="77777777" w:rsidR="0028293B" w:rsidRDefault="0028293B" w:rsidP="0028293B">
      <w:pPr>
        <w:pStyle w:val="ListParagraph"/>
        <w:numPr>
          <w:ilvl w:val="0"/>
          <w:numId w:val="9"/>
        </w:numPr>
        <w:jc w:val="both"/>
      </w:pPr>
      <w:r w:rsidRPr="0028293B">
        <w:rPr>
          <w:b/>
          <w:bCs/>
        </w:rPr>
        <w:t>Confidentiality</w:t>
      </w:r>
      <w:r>
        <w:t xml:space="preserve"> -Any sensitive or private information should be shared only with the appropriate parties and managed securely to maintain confidentiality.</w:t>
      </w:r>
    </w:p>
    <w:p w14:paraId="0E8F2F8C" w14:textId="77777777" w:rsidR="0028293B" w:rsidRDefault="0028293B" w:rsidP="0028293B">
      <w:pPr>
        <w:pStyle w:val="ListParagraph"/>
        <w:jc w:val="both"/>
      </w:pPr>
    </w:p>
    <w:p w14:paraId="2A67696A" w14:textId="77777777" w:rsidR="0028293B" w:rsidRDefault="0028293B" w:rsidP="0028293B">
      <w:pPr>
        <w:pStyle w:val="ListParagraph"/>
        <w:numPr>
          <w:ilvl w:val="0"/>
          <w:numId w:val="9"/>
        </w:numPr>
        <w:jc w:val="both"/>
      </w:pPr>
      <w:r w:rsidRPr="0028293B">
        <w:rPr>
          <w:b/>
          <w:bCs/>
        </w:rPr>
        <w:t>Conflict Resolution</w:t>
      </w:r>
      <w:r>
        <w:t xml:space="preserve"> - Creating methods to handle and facilitate disagreements or conflicts among parties.</w:t>
      </w:r>
    </w:p>
    <w:p w14:paraId="3C0767E3" w14:textId="77777777" w:rsidR="0028293B" w:rsidRDefault="0028293B" w:rsidP="0028293B">
      <w:pPr>
        <w:pStyle w:val="ListParagraph"/>
        <w:jc w:val="both"/>
      </w:pPr>
    </w:p>
    <w:p w14:paraId="367EFC90" w14:textId="77777777" w:rsidR="00E41602" w:rsidRDefault="00E41602" w:rsidP="00E41602">
      <w:pPr>
        <w:jc w:val="both"/>
      </w:pPr>
    </w:p>
    <w:p w14:paraId="23DD50B9" w14:textId="77777777" w:rsidR="00E41602" w:rsidRPr="004B0083" w:rsidRDefault="00E41602" w:rsidP="00E41602">
      <w:pPr>
        <w:jc w:val="both"/>
      </w:pPr>
    </w:p>
    <w:p w14:paraId="1DE34DE6" w14:textId="13FD9614"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w:t>
      </w:r>
      <w:proofErr w:type="gramStart"/>
      <w:r w:rsidRPr="004B0083">
        <w:t>includes</w:t>
      </w:r>
      <w:proofErr w:type="gramEnd"/>
      <w:r w:rsidRPr="004B0083">
        <w:t xml:space="preserve">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w:t>
      </w:r>
      <w:r w:rsidRPr="004B0083">
        <w:lastRenderedPageBreak/>
        <w:t>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6731D129"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11"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12"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lastRenderedPageBreak/>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3"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4"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D9EA9C1" w14:textId="77777777" w:rsidR="004B0083" w:rsidRPr="004B0083" w:rsidRDefault="004B0083" w:rsidP="004B0083">
      <w:r w:rsidRPr="004B0083">
        <w:rPr>
          <w:color w:val="008000"/>
        </w:rPr>
        <w:t xml:space="preserve">Many times, the methods and technologies used to communicate are just as </w:t>
      </w:r>
      <w:proofErr w:type="gramStart"/>
      <w:r w:rsidRPr="004B0083">
        <w:rPr>
          <w:color w:val="008000"/>
        </w:rPr>
        <w:t>important of</w:t>
      </w:r>
      <w:proofErr w:type="gramEnd"/>
      <w:r w:rsidRPr="004B0083">
        <w:rPr>
          <w:color w:val="008000"/>
        </w:rPr>
        <w:t xml:space="preserve">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5"/>
          <w:footerReference w:type="default" r:id="rId16"/>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lastRenderedPageBreak/>
        <w:t>Communication Escalation Process</w:t>
      </w:r>
      <w:bookmarkEnd w:id="12"/>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7"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AD28" w14:textId="77777777" w:rsidR="001F1856" w:rsidRDefault="001F1856" w:rsidP="00005A27">
      <w:r>
        <w:separator/>
      </w:r>
    </w:p>
  </w:endnote>
  <w:endnote w:type="continuationSeparator" w:id="0">
    <w:p w14:paraId="6911241F" w14:textId="77777777" w:rsidR="001F1856" w:rsidRDefault="001F185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E9755" w14:textId="77777777" w:rsidR="001F1856" w:rsidRDefault="001F1856" w:rsidP="00005A27">
      <w:r>
        <w:separator/>
      </w:r>
    </w:p>
  </w:footnote>
  <w:footnote w:type="continuationSeparator" w:id="0">
    <w:p w14:paraId="1C62A022" w14:textId="77777777" w:rsidR="001F1856" w:rsidRDefault="001F185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1C3"/>
    <w:multiLevelType w:val="hybridMultilevel"/>
    <w:tmpl w:val="735E63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7702E9E"/>
    <w:multiLevelType w:val="hybridMultilevel"/>
    <w:tmpl w:val="C14050FE"/>
    <w:lvl w:ilvl="0" w:tplc="AF98EEA0">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1"/>
  </w:num>
  <w:num w:numId="2" w16cid:durableId="20399862">
    <w:abstractNumId w:val="7"/>
  </w:num>
  <w:num w:numId="3" w16cid:durableId="1603612999">
    <w:abstractNumId w:val="3"/>
  </w:num>
  <w:num w:numId="4" w16cid:durableId="935939327">
    <w:abstractNumId w:val="8"/>
  </w:num>
  <w:num w:numId="5" w16cid:durableId="1733117963">
    <w:abstractNumId w:val="4"/>
  </w:num>
  <w:num w:numId="6" w16cid:durableId="364793904">
    <w:abstractNumId w:val="6"/>
  </w:num>
  <w:num w:numId="7" w16cid:durableId="1306155814">
    <w:abstractNumId w:val="2"/>
  </w:num>
  <w:num w:numId="8" w16cid:durableId="1563369838">
    <w:abstractNumId w:val="0"/>
  </w:num>
  <w:num w:numId="9" w16cid:durableId="568002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67C6D"/>
    <w:rsid w:val="001960B6"/>
    <w:rsid w:val="001B7D1C"/>
    <w:rsid w:val="001F1856"/>
    <w:rsid w:val="001F777C"/>
    <w:rsid w:val="00211F4A"/>
    <w:rsid w:val="00220018"/>
    <w:rsid w:val="0025063F"/>
    <w:rsid w:val="0025637A"/>
    <w:rsid w:val="0028293B"/>
    <w:rsid w:val="002C33DF"/>
    <w:rsid w:val="0038104B"/>
    <w:rsid w:val="003B0506"/>
    <w:rsid w:val="00426FF5"/>
    <w:rsid w:val="00442F54"/>
    <w:rsid w:val="00482971"/>
    <w:rsid w:val="004B0083"/>
    <w:rsid w:val="0056499A"/>
    <w:rsid w:val="00607CFC"/>
    <w:rsid w:val="006A33D8"/>
    <w:rsid w:val="007217EC"/>
    <w:rsid w:val="007D5347"/>
    <w:rsid w:val="0086256D"/>
    <w:rsid w:val="009001EC"/>
    <w:rsid w:val="009A1FEA"/>
    <w:rsid w:val="009F65E6"/>
    <w:rsid w:val="00A10DCA"/>
    <w:rsid w:val="00AA02DF"/>
    <w:rsid w:val="00AE03B5"/>
    <w:rsid w:val="00BD7BEC"/>
    <w:rsid w:val="00C509B5"/>
    <w:rsid w:val="00D20E9F"/>
    <w:rsid w:val="00D62690"/>
    <w:rsid w:val="00E41602"/>
    <w:rsid w:val="00EE4AF3"/>
    <w:rsid w:val="00EF4FBB"/>
    <w:rsid w:val="00F01EE0"/>
    <w:rsid w:val="00F027A7"/>
    <w:rsid w:val="00F14603"/>
    <w:rsid w:val="00FD6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6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black@ab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brown@abc.com" TargetMode="External"/><Relationship Id="rId17" Type="http://schemas.openxmlformats.org/officeDocument/2006/relationships/hyperlink" Target="http://www.ProjectManagementDocs.com" TargetMode="Externa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white@abc.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projectmanagementdoc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Doe@xyz.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9</cp:revision>
  <dcterms:created xsi:type="dcterms:W3CDTF">2022-05-19T11:00:00Z</dcterms:created>
  <dcterms:modified xsi:type="dcterms:W3CDTF">2023-05-24T17:18:00Z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