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B90E0" w14:textId="77777777" w:rsidR="00662DF7" w:rsidRPr="00EC1662" w:rsidRDefault="00662DF7" w:rsidP="00662DF7">
      <w:pPr>
        <w:pStyle w:val="p1"/>
        <w:ind w:right="-93"/>
        <w:jc w:val="center"/>
        <w:rPr>
          <w:rFonts w:asciiTheme="minorHAnsi" w:hAnsiTheme="minorHAnsi"/>
          <w:color w:val="000000" w:themeColor="text1"/>
          <w:lang w:val="en-US"/>
        </w:rPr>
      </w:pPr>
      <w:r>
        <w:rPr>
          <w:rFonts w:asciiTheme="minorHAnsi" w:hAnsiTheme="minorHAnsi"/>
          <w:noProof/>
          <w:color w:val="000000" w:themeColor="text1"/>
          <w:lang w:val="en-US"/>
        </w:rPr>
        <w:drawing>
          <wp:inline distT="0" distB="0" distL="0" distR="0" wp14:anchorId="45C2A58A" wp14:editId="57556E7B">
            <wp:extent cx="3710940" cy="2175934"/>
            <wp:effectExtent l="0" t="0" r="3810" b="0"/>
            <wp:docPr id="26598455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84553" name="Imagen 265984553"/>
                    <pic:cNvPicPr/>
                  </pic:nvPicPr>
                  <pic:blipFill rotWithShape="1">
                    <a:blip r:embed="rId5">
                      <a:extLst>
                        <a:ext uri="{28A0092B-C50C-407E-A947-70E740481C1C}">
                          <a14:useLocalDpi xmlns:a14="http://schemas.microsoft.com/office/drawing/2010/main" val="0"/>
                        </a:ext>
                      </a:extLst>
                    </a:blip>
                    <a:srcRect l="3722" t="17646" r="11815" b="5185"/>
                    <a:stretch/>
                  </pic:blipFill>
                  <pic:spPr bwMode="auto">
                    <a:xfrm>
                      <a:off x="0" y="0"/>
                      <a:ext cx="3725847" cy="2184675"/>
                    </a:xfrm>
                    <a:prstGeom prst="rect">
                      <a:avLst/>
                    </a:prstGeom>
                    <a:ln>
                      <a:noFill/>
                    </a:ln>
                    <a:extLst>
                      <a:ext uri="{53640926-AAD7-44D8-BBD7-CCE9431645EC}">
                        <a14:shadowObscured xmlns:a14="http://schemas.microsoft.com/office/drawing/2010/main"/>
                      </a:ext>
                    </a:extLst>
                  </pic:spPr>
                </pic:pic>
              </a:graphicData>
            </a:graphic>
          </wp:inline>
        </w:drawing>
      </w:r>
    </w:p>
    <w:p w14:paraId="4291B332" w14:textId="77777777" w:rsidR="00662DF7" w:rsidRPr="00EC1662" w:rsidRDefault="00662DF7" w:rsidP="00662DF7">
      <w:pPr>
        <w:pStyle w:val="p1"/>
        <w:ind w:right="-93"/>
        <w:jc w:val="center"/>
        <w:rPr>
          <w:rFonts w:asciiTheme="minorHAnsi" w:hAnsiTheme="minorHAnsi"/>
          <w:color w:val="000000" w:themeColor="text1"/>
          <w:sz w:val="44"/>
          <w:szCs w:val="44"/>
          <w:lang w:val="en-US"/>
        </w:rPr>
      </w:pPr>
    </w:p>
    <w:p w14:paraId="6A946C7D" w14:textId="77777777" w:rsidR="00662DF7" w:rsidRPr="00EC1662" w:rsidRDefault="00662DF7" w:rsidP="00662DF7">
      <w:pPr>
        <w:pStyle w:val="p1"/>
        <w:ind w:right="-93"/>
        <w:jc w:val="center"/>
        <w:rPr>
          <w:rFonts w:asciiTheme="minorHAnsi" w:hAnsiTheme="minorHAnsi"/>
          <w:color w:val="000000" w:themeColor="text1"/>
          <w:sz w:val="44"/>
          <w:szCs w:val="44"/>
          <w:lang w:val="en-US"/>
        </w:rPr>
      </w:pPr>
    </w:p>
    <w:p w14:paraId="5B12E3C1" w14:textId="77777777" w:rsidR="00662DF7" w:rsidRPr="00EC1662" w:rsidRDefault="00662DF7" w:rsidP="00662DF7">
      <w:pPr>
        <w:pStyle w:val="p1"/>
        <w:ind w:right="-93"/>
        <w:jc w:val="center"/>
        <w:rPr>
          <w:rFonts w:asciiTheme="minorHAnsi" w:hAnsiTheme="minorHAnsi"/>
          <w:color w:val="000000" w:themeColor="text1"/>
          <w:sz w:val="44"/>
          <w:szCs w:val="44"/>
        </w:rPr>
      </w:pPr>
      <w:r>
        <w:rPr>
          <w:rFonts w:asciiTheme="minorHAnsi" w:hAnsiTheme="minorHAnsi"/>
          <w:color w:val="000000" w:themeColor="text1"/>
          <w:sz w:val="44"/>
          <w:szCs w:val="44"/>
        </w:rPr>
        <w:t>Juan Daniel Bogotá Fuentes</w:t>
      </w:r>
    </w:p>
    <w:p w14:paraId="6879217A" w14:textId="01673DF2" w:rsidR="00042D0E" w:rsidRPr="00EC1662" w:rsidRDefault="00042D0E" w:rsidP="00662DF7">
      <w:pPr>
        <w:pStyle w:val="p1"/>
        <w:ind w:right="-93"/>
        <w:jc w:val="center"/>
        <w:rPr>
          <w:rFonts w:asciiTheme="minorHAnsi" w:hAnsiTheme="minorHAnsi"/>
          <w:color w:val="000000" w:themeColor="text1"/>
          <w:sz w:val="44"/>
          <w:szCs w:val="44"/>
        </w:rPr>
      </w:pPr>
      <w:r>
        <w:rPr>
          <w:rFonts w:asciiTheme="minorHAnsi" w:hAnsiTheme="minorHAnsi"/>
          <w:color w:val="000000" w:themeColor="text1"/>
          <w:sz w:val="44"/>
          <w:szCs w:val="44"/>
        </w:rPr>
        <w:t>Jeisson David Sánchez Gómez</w:t>
      </w:r>
    </w:p>
    <w:p w14:paraId="00C7431F" w14:textId="77777777" w:rsidR="00662DF7" w:rsidRPr="00EC1662" w:rsidRDefault="00662DF7" w:rsidP="00662DF7">
      <w:pPr>
        <w:pStyle w:val="p1"/>
        <w:ind w:right="-93"/>
        <w:jc w:val="center"/>
        <w:rPr>
          <w:rFonts w:asciiTheme="minorHAnsi" w:hAnsiTheme="minorHAnsi"/>
          <w:color w:val="000000" w:themeColor="text1"/>
          <w:sz w:val="44"/>
          <w:szCs w:val="44"/>
        </w:rPr>
      </w:pPr>
    </w:p>
    <w:p w14:paraId="7766B3EE" w14:textId="77777777" w:rsidR="00662DF7" w:rsidRPr="00EC1662" w:rsidRDefault="00662DF7" w:rsidP="00662DF7">
      <w:pPr>
        <w:pStyle w:val="p1"/>
        <w:ind w:right="-93"/>
        <w:jc w:val="center"/>
        <w:rPr>
          <w:rFonts w:asciiTheme="minorHAnsi" w:hAnsiTheme="minorHAnsi"/>
          <w:color w:val="000000" w:themeColor="text1"/>
          <w:sz w:val="44"/>
          <w:szCs w:val="44"/>
        </w:rPr>
      </w:pPr>
    </w:p>
    <w:p w14:paraId="3A11B017" w14:textId="77777777" w:rsidR="00662DF7" w:rsidRPr="00EC1662" w:rsidRDefault="00662DF7" w:rsidP="00662DF7">
      <w:pPr>
        <w:pStyle w:val="p1"/>
        <w:ind w:right="-93"/>
        <w:jc w:val="center"/>
        <w:rPr>
          <w:rFonts w:asciiTheme="minorHAnsi" w:hAnsiTheme="minorHAnsi"/>
          <w:color w:val="000000" w:themeColor="text1"/>
          <w:sz w:val="44"/>
          <w:szCs w:val="44"/>
        </w:rPr>
      </w:pPr>
    </w:p>
    <w:p w14:paraId="0F514F29" w14:textId="3FDC62C4" w:rsidR="00662DF7" w:rsidRPr="00EC1662" w:rsidRDefault="00662DF7" w:rsidP="00662DF7">
      <w:pPr>
        <w:pStyle w:val="p1"/>
        <w:ind w:right="-93"/>
        <w:jc w:val="center"/>
        <w:rPr>
          <w:rFonts w:asciiTheme="minorHAnsi" w:hAnsiTheme="minorHAnsi"/>
          <w:color w:val="000000" w:themeColor="text1"/>
          <w:sz w:val="44"/>
          <w:szCs w:val="44"/>
        </w:rPr>
      </w:pPr>
      <w:r>
        <w:rPr>
          <w:rFonts w:asciiTheme="minorHAnsi" w:hAnsiTheme="minorHAnsi"/>
          <w:color w:val="000000" w:themeColor="text1"/>
          <w:sz w:val="44"/>
          <w:szCs w:val="44"/>
        </w:rPr>
        <w:t>APRENDIZAJE ESTADÍSTICO</w:t>
      </w:r>
    </w:p>
    <w:p w14:paraId="53AD89BB" w14:textId="331E00DC" w:rsidR="00662DF7" w:rsidRPr="00EC1662" w:rsidRDefault="00662DF7" w:rsidP="00662DF7">
      <w:pPr>
        <w:pStyle w:val="p1"/>
        <w:ind w:right="-93"/>
        <w:jc w:val="center"/>
        <w:rPr>
          <w:rFonts w:asciiTheme="minorHAnsi" w:hAnsiTheme="minorHAnsi"/>
          <w:color w:val="000000" w:themeColor="text1"/>
          <w:sz w:val="44"/>
          <w:szCs w:val="44"/>
        </w:rPr>
      </w:pPr>
      <w:r>
        <w:rPr>
          <w:rFonts w:asciiTheme="minorHAnsi" w:hAnsiTheme="minorHAnsi"/>
          <w:color w:val="000000" w:themeColor="text1"/>
          <w:sz w:val="44"/>
          <w:szCs w:val="44"/>
        </w:rPr>
        <w:t>APES</w:t>
      </w:r>
    </w:p>
    <w:p w14:paraId="4389A2D3" w14:textId="77777777" w:rsidR="00662DF7" w:rsidRPr="00EC1662" w:rsidRDefault="00662DF7" w:rsidP="00662DF7">
      <w:pPr>
        <w:pStyle w:val="p1"/>
        <w:ind w:right="-93"/>
        <w:rPr>
          <w:rFonts w:asciiTheme="minorHAnsi" w:hAnsiTheme="minorHAnsi"/>
          <w:color w:val="000000" w:themeColor="text1"/>
          <w:sz w:val="44"/>
          <w:szCs w:val="44"/>
        </w:rPr>
      </w:pPr>
    </w:p>
    <w:p w14:paraId="123854F8" w14:textId="3E8CAB40" w:rsidR="00662DF7" w:rsidRPr="00EC1662" w:rsidRDefault="00662DF7" w:rsidP="00662DF7">
      <w:pPr>
        <w:pStyle w:val="p1"/>
        <w:ind w:right="-93"/>
        <w:jc w:val="center"/>
        <w:rPr>
          <w:rFonts w:asciiTheme="minorHAnsi" w:hAnsiTheme="minorHAnsi"/>
          <w:color w:val="000000" w:themeColor="text1"/>
          <w:sz w:val="44"/>
          <w:szCs w:val="44"/>
        </w:rPr>
      </w:pPr>
      <w:r>
        <w:rPr>
          <w:rFonts w:asciiTheme="minorHAnsi" w:hAnsiTheme="minorHAnsi"/>
          <w:color w:val="000000" w:themeColor="text1"/>
          <w:sz w:val="44"/>
          <w:szCs w:val="44"/>
        </w:rPr>
        <w:t>PROYECTO</w:t>
      </w:r>
    </w:p>
    <w:p w14:paraId="7209FE31" w14:textId="16E484E1" w:rsidR="00662DF7" w:rsidRPr="00EC1662" w:rsidRDefault="00424A90" w:rsidP="00662DF7">
      <w:pPr>
        <w:pStyle w:val="p1"/>
        <w:ind w:right="-93"/>
        <w:jc w:val="center"/>
        <w:rPr>
          <w:rFonts w:asciiTheme="minorHAnsi" w:hAnsiTheme="minorHAnsi"/>
          <w:color w:val="000000" w:themeColor="text1"/>
          <w:sz w:val="44"/>
          <w:szCs w:val="44"/>
        </w:rPr>
      </w:pPr>
      <w:r>
        <w:rPr>
          <w:rFonts w:asciiTheme="minorHAnsi" w:hAnsiTheme="minorHAnsi"/>
          <w:color w:val="000000" w:themeColor="text1"/>
          <w:sz w:val="44"/>
          <w:szCs w:val="44"/>
        </w:rPr>
        <w:t>03/10/2026</w:t>
      </w:r>
    </w:p>
    <w:p w14:paraId="04699EC2" w14:textId="77777777" w:rsidR="00662DF7" w:rsidRPr="00EC1662" w:rsidRDefault="00662DF7" w:rsidP="00662DF7">
      <w:pPr>
        <w:pStyle w:val="p1"/>
        <w:ind w:right="-93"/>
        <w:jc w:val="center"/>
        <w:rPr>
          <w:rFonts w:asciiTheme="minorHAnsi" w:hAnsiTheme="minorHAnsi"/>
          <w:color w:val="000000" w:themeColor="text1"/>
          <w:sz w:val="44"/>
          <w:szCs w:val="44"/>
        </w:rPr>
      </w:pPr>
    </w:p>
    <w:p w14:paraId="62FC1CD1" w14:textId="77777777" w:rsidR="00662DF7" w:rsidRPr="00EC1662" w:rsidRDefault="00662DF7" w:rsidP="00662DF7">
      <w:pPr>
        <w:pStyle w:val="p1"/>
        <w:ind w:right="-93"/>
        <w:rPr>
          <w:rFonts w:asciiTheme="minorHAnsi" w:hAnsiTheme="minorHAnsi"/>
          <w:color w:val="000000" w:themeColor="text1"/>
          <w:sz w:val="44"/>
          <w:szCs w:val="44"/>
        </w:rPr>
      </w:pPr>
    </w:p>
    <w:p w14:paraId="7CEA5B6F" w14:textId="1292CEC1" w:rsidR="00662DF7" w:rsidRPr="00EC1662" w:rsidRDefault="00662DF7" w:rsidP="00662DF7">
      <w:pPr>
        <w:pStyle w:val="p1"/>
        <w:ind w:right="-93"/>
        <w:jc w:val="center"/>
        <w:rPr>
          <w:rFonts w:asciiTheme="minorHAnsi" w:hAnsiTheme="minorHAnsi"/>
          <w:color w:val="000000" w:themeColor="text1"/>
          <w:sz w:val="44"/>
          <w:szCs w:val="44"/>
        </w:rPr>
      </w:pPr>
      <w:r>
        <w:rPr>
          <w:rFonts w:asciiTheme="minorHAnsi" w:hAnsiTheme="minorHAnsi"/>
          <w:color w:val="000000" w:themeColor="text1"/>
          <w:sz w:val="44"/>
          <w:szCs w:val="44"/>
        </w:rPr>
        <w:t>PROFESOR: JAIRO CASTRELLON TORRES</w:t>
      </w:r>
    </w:p>
    <w:p w14:paraId="518C5817" w14:textId="77777777" w:rsidR="00662DF7" w:rsidRPr="00EC1662" w:rsidRDefault="00662DF7" w:rsidP="00662DF7">
      <w:pPr>
        <w:pStyle w:val="p1"/>
        <w:ind w:right="-93"/>
        <w:jc w:val="center"/>
        <w:rPr>
          <w:rFonts w:asciiTheme="minorHAnsi" w:hAnsiTheme="minorHAnsi"/>
          <w:color w:val="000000" w:themeColor="text1"/>
          <w:sz w:val="44"/>
          <w:szCs w:val="44"/>
        </w:rPr>
      </w:pPr>
    </w:p>
    <w:p w14:paraId="41081F07" w14:textId="77777777" w:rsidR="00662DF7" w:rsidRPr="00EC1662" w:rsidRDefault="00662DF7" w:rsidP="00042D0E">
      <w:pPr>
        <w:pStyle w:val="p1"/>
        <w:ind w:right="-93"/>
        <w:rPr>
          <w:rFonts w:asciiTheme="minorHAnsi" w:hAnsiTheme="minorHAnsi"/>
          <w:color w:val="000000" w:themeColor="text1"/>
          <w:sz w:val="44"/>
          <w:szCs w:val="44"/>
        </w:rPr>
      </w:pPr>
    </w:p>
    <w:p w14:paraId="5095F8E3" w14:textId="6334C574" w:rsidR="006C70DD" w:rsidRPr="00EC1662" w:rsidRDefault="00000000">
      <w:pPr>
        <w:pStyle w:val="Heading1"/>
        <w:pageBreakBefore/>
        <w:pBdr>
          <w:bottom w:val="single" w:sz="6" w:space="4" w:color="1F4E79"/>
        </w:pBdr>
        <w:spacing w:before="360" w:after="180"/>
        <w:rPr>
          <w:color w:val="000000" w:themeColor="text1"/>
        </w:rPr>
      </w:pPr>
      <w:r>
        <w:rPr>
          <w:rFonts w:ascii="Calibri" w:eastAsia="Calibri" w:hAnsi="Calibri" w:cs="Calibri"/>
          <w:b/>
          <w:bCs/>
          <w:color w:val="000000" w:themeColor="text1"/>
          <w:sz w:val="30"/>
          <w:szCs w:val="30"/>
        </w:rPr>
        <w:lastRenderedPageBreak/>
        <w:t>Título del proyecto</w:t>
      </w:r>
    </w:p>
    <w:p w14:paraId="2479EE5D" w14:textId="2039B305" w:rsidR="006C70DD" w:rsidRPr="00EC1662" w:rsidRDefault="00EF40B2" w:rsidP="00EF40B2">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t>Pobreza multidimensional en Colombia: factores asociados según la ECV 2023</w:t>
      </w:r>
    </w:p>
    <w:p w14:paraId="74BA2DB7" w14:textId="340DB47E" w:rsidR="006C70DD" w:rsidRPr="00EC1662" w:rsidRDefault="00000000">
      <w:pPr>
        <w:pStyle w:val="Heading1"/>
        <w:pBdr>
          <w:bottom w:val="single" w:sz="6" w:space="4" w:color="1F4E79"/>
        </w:pBdr>
        <w:spacing w:before="360" w:after="180"/>
        <w:rPr>
          <w:color w:val="000000" w:themeColor="text1"/>
        </w:rPr>
      </w:pPr>
      <w:r>
        <w:rPr>
          <w:rFonts w:ascii="Calibri" w:eastAsia="Calibri" w:hAnsi="Calibri" w:cs="Calibri"/>
          <w:b/>
          <w:bCs/>
          <w:color w:val="000000" w:themeColor="text1"/>
          <w:sz w:val="30"/>
          <w:szCs w:val="30"/>
        </w:rPr>
        <w:t>Objetivos</w:t>
      </w:r>
    </w:p>
    <w:p w14:paraId="2578ADB5" w14:textId="0931D037" w:rsidR="006C70DD" w:rsidRPr="00EC1662" w:rsidRDefault="00000000">
      <w:pPr>
        <w:pStyle w:val="Heading2"/>
        <w:spacing w:before="240" w:after="120"/>
        <w:rPr>
          <w:color w:val="000000" w:themeColor="text1"/>
        </w:rPr>
      </w:pPr>
      <w:r>
        <w:rPr>
          <w:rFonts w:ascii="Calibri" w:eastAsia="Calibri" w:hAnsi="Calibri" w:cs="Calibri"/>
          <w:b/>
          <w:bCs/>
          <w:color w:val="000000" w:themeColor="text1"/>
          <w:sz w:val="24"/>
          <w:szCs w:val="24"/>
        </w:rPr>
        <w:t>Objetivo general</w:t>
      </w:r>
    </w:p>
    <w:p w14:paraId="21ACC5B5" w14:textId="6651D0F6" w:rsidR="006C70DD" w:rsidRPr="00EC1662" w:rsidRDefault="003C625B" w:rsidP="003C625B">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t>Identificar, a partir de los microdatos de la Encuesta Nacional de Calidad de Vida (ECV) 2023 del DANE, qué factores socioeconómicos (vivienda, educación, empleo y salud) están más asociados con la pobreza multidimensional de los hogares colombianos, mediante análisis estadístico descriptivo y multivariado.</w:t>
      </w:r>
    </w:p>
    <w:p w14:paraId="7C297922" w14:textId="5153C3F9" w:rsidR="006C70DD" w:rsidRPr="00EC1662" w:rsidRDefault="00000000">
      <w:pPr>
        <w:pStyle w:val="Heading2"/>
        <w:spacing w:before="240" w:after="120"/>
        <w:rPr>
          <w:color w:val="000000" w:themeColor="text1"/>
        </w:rPr>
      </w:pPr>
      <w:r>
        <w:rPr>
          <w:rFonts w:ascii="Calibri" w:eastAsia="Calibri" w:hAnsi="Calibri" w:cs="Calibri"/>
          <w:b/>
          <w:bCs/>
          <w:color w:val="000000" w:themeColor="text1"/>
          <w:sz w:val="24"/>
          <w:szCs w:val="24"/>
        </w:rPr>
        <w:t>Objetivos específicos</w:t>
      </w:r>
    </w:p>
    <w:p w14:paraId="5E18F906" w14:textId="77777777" w:rsidR="006C70DD" w:rsidRPr="00EC1662" w:rsidRDefault="00000000">
      <w:pPr>
        <w:pStyle w:val="ListParagraph"/>
        <w:numPr>
          <w:ilvl w:val="0"/>
          <w:numId w:val="2"/>
        </w:numPr>
        <w:spacing w:after="120"/>
        <w:rPr>
          <w:color w:val="000000" w:themeColor="text1"/>
        </w:rPr>
      </w:pPr>
      <w:r>
        <w:rPr>
          <w:rFonts w:ascii="Calibri" w:eastAsia="Calibri" w:hAnsi="Calibri" w:cs="Calibri"/>
          <w:color w:val="000000" w:themeColor="text1"/>
          <w:sz w:val="22"/>
          <w:szCs w:val="22"/>
        </w:rPr>
        <w:t>Describir la estructura y calidad de los datos de la ECV 2023 (tipos de variable, valores faltantes, factores de expansión) relevantes para el análisis de la pobreza.</w:t>
      </w:r>
    </w:p>
    <w:p w14:paraId="7F1635C4" w14:textId="77777777" w:rsidR="006C70DD" w:rsidRPr="00EC1662" w:rsidRDefault="00000000">
      <w:pPr>
        <w:pStyle w:val="ListParagraph"/>
        <w:numPr>
          <w:ilvl w:val="0"/>
          <w:numId w:val="2"/>
        </w:numPr>
        <w:spacing w:after="120"/>
        <w:rPr>
          <w:color w:val="000000" w:themeColor="text1"/>
        </w:rPr>
      </w:pPr>
      <w:r>
        <w:rPr>
          <w:rFonts w:ascii="Calibri" w:eastAsia="Calibri" w:hAnsi="Calibri" w:cs="Calibri"/>
          <w:color w:val="000000" w:themeColor="text1"/>
          <w:sz w:val="22"/>
          <w:szCs w:val="22"/>
        </w:rPr>
        <w:t>Calcular e interpretar medidas de tendencia central, dispersión y forma para las variables numéricas clave del estudio (ingreso per cápita, años de educación, tamaño del hogar, entre otras).</w:t>
      </w:r>
    </w:p>
    <w:p w14:paraId="12199133" w14:textId="1099456F" w:rsidR="006C70DD" w:rsidRPr="00EC1662" w:rsidRDefault="00000000">
      <w:pPr>
        <w:pStyle w:val="ListParagraph"/>
        <w:numPr>
          <w:ilvl w:val="0"/>
          <w:numId w:val="2"/>
        </w:numPr>
        <w:spacing w:after="120"/>
        <w:rPr>
          <w:color w:val="000000" w:themeColor="text1"/>
        </w:rPr>
      </w:pPr>
      <w:r>
        <w:rPr>
          <w:rFonts w:ascii="Calibri" w:eastAsia="Calibri" w:hAnsi="Calibri" w:cs="Calibri"/>
          <w:color w:val="000000" w:themeColor="text1"/>
          <w:sz w:val="22"/>
          <w:szCs w:val="22"/>
        </w:rPr>
        <w:t>Explorar relaciones entre variables numéricas y categóricas asociadas a las dimensiones del Índice de Pobreza Multidimensional (IPM) (educación, niñez y juventud, trabajo, salud y vivienda) mediante análisis descriptivo (correlaciones, tablas cruzadas y visualizaciones).</w:t>
      </w:r>
    </w:p>
    <w:p w14:paraId="79E401B4" w14:textId="10310E74" w:rsidR="006C70DD" w:rsidRPr="00EC1662" w:rsidRDefault="00000000">
      <w:pPr>
        <w:pStyle w:val="ListParagraph"/>
        <w:numPr>
          <w:ilvl w:val="0"/>
          <w:numId w:val="2"/>
        </w:numPr>
        <w:spacing w:after="120"/>
        <w:rPr>
          <w:color w:val="000000" w:themeColor="text1"/>
        </w:rPr>
      </w:pPr>
      <w:r>
        <w:rPr>
          <w:rFonts w:ascii="Calibri" w:eastAsia="Calibri" w:hAnsi="Calibri" w:cs="Calibri"/>
          <w:color w:val="000000" w:themeColor="text1"/>
          <w:sz w:val="22"/>
          <w:szCs w:val="22"/>
        </w:rPr>
        <w:t>Comparar indicadores de condiciones de vida entre grupos poblacionales (regiones, área urbana/rural, sexo del jefe de hogar) mediante pruebas de hipótesis y análisis de varianza (segunda etapa del proyecto).</w:t>
      </w:r>
    </w:p>
    <w:p w14:paraId="3B224EBA" w14:textId="4BFF9101" w:rsidR="006C70DD" w:rsidRPr="00EC1662" w:rsidRDefault="00000000">
      <w:pPr>
        <w:pStyle w:val="ListParagraph"/>
        <w:numPr>
          <w:ilvl w:val="0"/>
          <w:numId w:val="2"/>
        </w:numPr>
        <w:spacing w:after="120"/>
        <w:rPr>
          <w:color w:val="000000" w:themeColor="text1"/>
        </w:rPr>
      </w:pPr>
      <w:r>
        <w:rPr>
          <w:rFonts w:ascii="Calibri" w:eastAsia="Calibri" w:hAnsi="Calibri" w:cs="Calibri"/>
          <w:color w:val="000000" w:themeColor="text1"/>
          <w:sz w:val="22"/>
          <w:szCs w:val="22"/>
        </w:rPr>
        <w:t>Explorar, mediante modelos de regresión, qué variables socioeconómicas se asocian con la privación de los hogares (segunda etapa del proyecto).</w:t>
      </w:r>
    </w:p>
    <w:p w14:paraId="2E330479" w14:textId="4EF3EB38" w:rsidR="006C70DD" w:rsidRPr="00EC1662" w:rsidRDefault="00000000">
      <w:pPr>
        <w:pStyle w:val="Heading1"/>
        <w:pBdr>
          <w:bottom w:val="single" w:sz="6" w:space="4" w:color="1F4E79"/>
        </w:pBdr>
        <w:spacing w:before="360" w:after="180"/>
        <w:rPr>
          <w:color w:val="000000" w:themeColor="text1"/>
        </w:rPr>
      </w:pPr>
      <w:r>
        <w:rPr>
          <w:rFonts w:ascii="Calibri" w:eastAsia="Calibri" w:hAnsi="Calibri" w:cs="Calibri"/>
          <w:b/>
          <w:bCs/>
          <w:color w:val="000000" w:themeColor="text1"/>
          <w:sz w:val="30"/>
          <w:szCs w:val="30"/>
        </w:rPr>
        <w:t>Explicación de los datos seleccionados</w:t>
      </w:r>
    </w:p>
    <w:p w14:paraId="763F53B2" w14:textId="616FDE31" w:rsidR="006C70DD" w:rsidRPr="00EC1662" w:rsidRDefault="00000000">
      <w:pPr>
        <w:pStyle w:val="Heading2"/>
        <w:spacing w:before="240" w:after="120"/>
        <w:rPr>
          <w:rFonts w:ascii="Calibri" w:eastAsia="Calibri" w:hAnsi="Calibri" w:cs="Calibri"/>
          <w:b/>
          <w:bCs/>
          <w:color w:val="000000" w:themeColor="text1"/>
          <w:sz w:val="24"/>
          <w:szCs w:val="24"/>
        </w:rPr>
      </w:pPr>
      <w:r>
        <w:rPr>
          <w:rFonts w:ascii="Calibri" w:eastAsia="Calibri" w:hAnsi="Calibri" w:cs="Calibri"/>
          <w:b/>
          <w:bCs/>
          <w:color w:val="000000" w:themeColor="text1"/>
          <w:sz w:val="24"/>
          <w:szCs w:val="24"/>
        </w:rPr>
        <w:t>Fuente de los datos</w:t>
      </w:r>
    </w:p>
    <w:p w14:paraId="767AC747" w14:textId="0201A467" w:rsidR="006C70DD" w:rsidRP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Los datos utilizados en este proyecto provienen de la Encuesta Nacional de Calidad de Vida (ECV) 2023, operación estadística realizada por el DANE de Colombia. La ECV es la encuesta oficial a partir de la cual el DANE calcula el Índice de Pobreza Multidimensional (IPM) del país, y constituye una de las principales fuentes de información sobre las condiciones socioeconómicas de los hogares colombianos para el diseño y seguimiento de política pública.</w:t>
      </w:r>
    </w:p>
    <w:p w14:paraId="5F3BD31F" w14:textId="4E8DD46E" w:rsidR="006C70DD" w:rsidRP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Los microdatos de la encuesta son de acceso público y se pueden descargar desde el portal de microdatos del DANE (microdatos.dane.gov.co), junto con su respectivo diccionario de variables y documentación.</w:t>
      </w:r>
    </w:p>
    <w:p w14:paraId="0657D8A2" w14:textId="77777777" w:rsidR="00EF62A5" w:rsidRPr="00EC1662" w:rsidRDefault="00EF62A5">
      <w:pPr>
        <w:spacing w:after="180" w:line="276" w:lineRule="auto"/>
        <w:jc w:val="both"/>
        <w:rPr>
          <w:color w:val="000000" w:themeColor="text1"/>
        </w:rPr>
      </w:pPr>
    </w:p>
    <w:p w14:paraId="5D9047CF" w14:textId="77777777" w:rsidR="002D1B5C" w:rsidRPr="00EC1662" w:rsidRDefault="002D1B5C">
      <w:pPr>
        <w:spacing w:after="180" w:line="276" w:lineRule="auto"/>
        <w:jc w:val="both"/>
        <w:rPr>
          <w:color w:val="000000" w:themeColor="text1"/>
        </w:rPr>
      </w:pPr>
    </w:p>
    <w:p w14:paraId="676C1F93" w14:textId="77777777" w:rsidR="00DF4D07" w:rsidRPr="00EC1662" w:rsidRDefault="00DF4D07">
      <w:pPr>
        <w:spacing w:after="180" w:line="276" w:lineRule="auto"/>
        <w:jc w:val="both"/>
        <w:rPr>
          <w:color w:val="000000" w:themeColor="text1"/>
        </w:rPr>
      </w:pPr>
    </w:p>
    <w:p w14:paraId="401BFB00" w14:textId="0A007D11" w:rsidR="006C70DD" w:rsidRPr="00EC1662" w:rsidRDefault="00000000">
      <w:pPr>
        <w:pStyle w:val="Heading2"/>
        <w:spacing w:before="240" w:after="120"/>
        <w:rPr>
          <w:color w:val="000000" w:themeColor="text1"/>
        </w:rPr>
      </w:pPr>
      <w:r>
        <w:rPr>
          <w:rFonts w:ascii="Calibri" w:eastAsia="Calibri" w:hAnsi="Calibri" w:cs="Calibri"/>
          <w:b/>
          <w:bCs/>
          <w:color w:val="000000" w:themeColor="text1"/>
          <w:sz w:val="24"/>
          <w:szCs w:val="24"/>
        </w:rPr>
        <w:lastRenderedPageBreak/>
        <w:t>Estructura y temáticas de la encuesta</w:t>
      </w:r>
    </w:p>
    <w:p w14:paraId="0C791402" w14:textId="77777777" w:rsidR="006C70DD" w:rsidRPr="00EC1662" w:rsidRDefault="00000000">
      <w:pPr>
        <w:spacing w:after="180" w:line="276" w:lineRule="auto"/>
        <w:jc w:val="both"/>
        <w:rPr>
          <w:color w:val="000000" w:themeColor="text1"/>
        </w:rPr>
      </w:pPr>
      <w:r>
        <w:rPr>
          <w:rFonts w:ascii="Calibri" w:eastAsia="Calibri" w:hAnsi="Calibri" w:cs="Calibri"/>
          <w:color w:val="000000" w:themeColor="text1"/>
          <w:sz w:val="22"/>
          <w:szCs w:val="22"/>
        </w:rPr>
        <w:t>La ECV está organizada en módulos temáticos que cubren distintos aspectos de las condiciones de vida del hogar y sus integrantes. Para este proyecto se usaron los siguientes módulos y variables: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6C70DD" w:rsidRPr="00EC1662" w14:paraId="437B7036" w14:textId="77777777" w:rsidTr="00662DF7">
        <w:trPr>
          <w:tblHeader/>
        </w:trPr>
        <w:tc>
          <w:tcPr>
            <w:tcW w:w="3000" w:type="dxa"/>
            <w:shd w:val="clear" w:color="auto" w:fill="595959" w:themeFill="text1" w:themeFillTint="A6"/>
            <w:tcMar>
              <w:top w:w="80" w:type="dxa"/>
              <w:left w:w="120" w:type="dxa"/>
              <w:bottom w:w="80" w:type="dxa"/>
              <w:right w:w="120" w:type="dxa"/>
            </w:tcMar>
          </w:tcPr>
          <w:p w14:paraId="243EF857" w14:textId="77777777" w:rsidR="006C70DD" w:rsidRPr="00EC1662" w:rsidRDefault="00000000">
            <w:pPr>
              <w:rPr>
                <w:color w:val="FFFFFF" w:themeColor="background1"/>
              </w:rPr>
            </w:pPr>
            <w:r>
              <w:rPr>
                <w:rFonts w:ascii="Calibri" w:eastAsia="Calibri" w:hAnsi="Calibri" w:cs="Calibri"/>
                <w:b/>
                <w:bCs/>
                <w:color w:val="FFFFFF" w:themeColor="background1"/>
              </w:rPr>
              <w:t>Módulo</w:t>
            </w:r>
          </w:p>
        </w:tc>
        <w:tc>
          <w:tcPr>
            <w:tcW w:w="6000" w:type="dxa"/>
            <w:shd w:val="clear" w:color="auto" w:fill="595959" w:themeFill="text1" w:themeFillTint="A6"/>
            <w:tcMar>
              <w:top w:w="80" w:type="dxa"/>
              <w:left w:w="120" w:type="dxa"/>
              <w:bottom w:w="80" w:type="dxa"/>
              <w:right w:w="120" w:type="dxa"/>
            </w:tcMar>
          </w:tcPr>
          <w:p w14:paraId="1EC9EC50" w14:textId="77777777" w:rsidR="006C70DD" w:rsidRPr="00EC1662" w:rsidRDefault="00000000">
            <w:pPr>
              <w:rPr>
                <w:color w:val="FFFFFF" w:themeColor="background1"/>
              </w:rPr>
            </w:pPr>
            <w:r>
              <w:rPr>
                <w:rFonts w:ascii="Calibri" w:eastAsia="Calibri" w:hAnsi="Calibri" w:cs="Calibri"/>
                <w:b/>
                <w:bCs/>
                <w:color w:val="FFFFFF" w:themeColor="background1"/>
              </w:rPr>
              <w:t>Qué aporta</w:t>
            </w:r>
          </w:p>
        </w:tc>
      </w:tr>
      <w:tr w:rsidR="006C70DD" w:rsidRPr="00EC1662" w14:paraId="23BB8462" w14:textId="77777777">
        <w:tc>
          <w:tcPr>
            <w:tcW w:w="3000" w:type="dxa"/>
            <w:tcMar>
              <w:top w:w="80" w:type="dxa"/>
              <w:left w:w="120" w:type="dxa"/>
              <w:bottom w:w="80" w:type="dxa"/>
              <w:right w:w="120" w:type="dxa"/>
            </w:tcMar>
          </w:tcPr>
          <w:p w14:paraId="718C9577" w14:textId="77777777" w:rsidR="006C70DD" w:rsidRPr="00EC1662" w:rsidRDefault="00000000">
            <w:pPr>
              <w:rPr>
                <w:color w:val="000000" w:themeColor="text1"/>
              </w:rPr>
            </w:pPr>
            <w:r>
              <w:rPr>
                <w:rFonts w:ascii="Calibri" w:eastAsia="Calibri" w:hAnsi="Calibri" w:cs="Calibri"/>
                <w:color w:val="000000" w:themeColor="text1"/>
              </w:rPr>
              <w:t>Características y composición del hogar</w:t>
            </w:r>
          </w:p>
        </w:tc>
        <w:tc>
          <w:tcPr>
            <w:tcW w:w="6000" w:type="dxa"/>
            <w:tcMar>
              <w:top w:w="80" w:type="dxa"/>
              <w:left w:w="120" w:type="dxa"/>
              <w:bottom w:w="80" w:type="dxa"/>
              <w:right w:w="120" w:type="dxa"/>
            </w:tcMar>
          </w:tcPr>
          <w:p w14:paraId="394EEBDE" w14:textId="77777777" w:rsidR="006C70DD" w:rsidRPr="00EC1662" w:rsidRDefault="00000000">
            <w:pPr>
              <w:rPr>
                <w:color w:val="000000" w:themeColor="text1"/>
              </w:rPr>
            </w:pPr>
            <w:r>
              <w:rPr>
                <w:rFonts w:ascii="Calibri" w:eastAsia="Calibri" w:hAnsi="Calibri" w:cs="Calibri"/>
                <w:color w:val="000000" w:themeColor="text1"/>
              </w:rPr>
              <w:t>Edad, sexo y parentesco (jefe de hogar).</w:t>
            </w:r>
          </w:p>
        </w:tc>
      </w:tr>
      <w:tr w:rsidR="006C70DD" w:rsidRPr="00EC1662" w14:paraId="7C5429C5" w14:textId="77777777">
        <w:tc>
          <w:tcPr>
            <w:tcW w:w="3000" w:type="dxa"/>
            <w:tcMar>
              <w:top w:w="80" w:type="dxa"/>
              <w:left w:w="120" w:type="dxa"/>
              <w:bottom w:w="80" w:type="dxa"/>
              <w:right w:w="120" w:type="dxa"/>
            </w:tcMar>
          </w:tcPr>
          <w:p w14:paraId="6BD26A2F" w14:textId="77777777" w:rsidR="006C70DD" w:rsidRPr="00EC1662" w:rsidRDefault="00000000">
            <w:pPr>
              <w:rPr>
                <w:color w:val="000000" w:themeColor="text1"/>
              </w:rPr>
            </w:pPr>
            <w:r>
              <w:rPr>
                <w:rFonts w:ascii="Calibri" w:eastAsia="Calibri" w:hAnsi="Calibri" w:cs="Calibri"/>
                <w:color w:val="000000" w:themeColor="text1"/>
              </w:rPr>
              <w:t>Datos de la vivienda</w:t>
            </w:r>
          </w:p>
        </w:tc>
        <w:tc>
          <w:tcPr>
            <w:tcW w:w="6000" w:type="dxa"/>
            <w:tcMar>
              <w:top w:w="80" w:type="dxa"/>
              <w:left w:w="120" w:type="dxa"/>
              <w:bottom w:w="80" w:type="dxa"/>
              <w:right w:w="120" w:type="dxa"/>
            </w:tcMar>
          </w:tcPr>
          <w:p w14:paraId="02406AF7" w14:textId="77777777" w:rsidR="006C70DD" w:rsidRPr="00EC1662" w:rsidRDefault="00000000">
            <w:pPr>
              <w:rPr>
                <w:color w:val="000000" w:themeColor="text1"/>
              </w:rPr>
            </w:pPr>
            <w:r>
              <w:rPr>
                <w:rFonts w:ascii="Calibri" w:eastAsia="Calibri" w:hAnsi="Calibri" w:cs="Calibri"/>
                <w:color w:val="000000" w:themeColor="text1"/>
              </w:rPr>
              <w:t>Materiales de pisos y paredes, acueducto, alcantarillado, estrato, zona, región y departamento.</w:t>
            </w:r>
          </w:p>
        </w:tc>
      </w:tr>
      <w:tr w:rsidR="006C70DD" w:rsidRPr="00EC1662" w14:paraId="0F3F9009" w14:textId="77777777">
        <w:tc>
          <w:tcPr>
            <w:tcW w:w="3000" w:type="dxa"/>
            <w:tcMar>
              <w:top w:w="80" w:type="dxa"/>
              <w:left w:w="120" w:type="dxa"/>
              <w:bottom w:w="80" w:type="dxa"/>
              <w:right w:w="120" w:type="dxa"/>
            </w:tcMar>
          </w:tcPr>
          <w:p w14:paraId="43D35292" w14:textId="77777777" w:rsidR="006C70DD" w:rsidRPr="00EC1662" w:rsidRDefault="00000000">
            <w:pPr>
              <w:rPr>
                <w:color w:val="000000" w:themeColor="text1"/>
              </w:rPr>
            </w:pPr>
            <w:r>
              <w:rPr>
                <w:rFonts w:ascii="Calibri" w:eastAsia="Calibri" w:hAnsi="Calibri" w:cs="Calibri"/>
                <w:color w:val="000000" w:themeColor="text1"/>
              </w:rPr>
              <w:t>Servicios del hogar</w:t>
            </w:r>
          </w:p>
        </w:tc>
        <w:tc>
          <w:tcPr>
            <w:tcW w:w="6000" w:type="dxa"/>
            <w:tcMar>
              <w:top w:w="80" w:type="dxa"/>
              <w:left w:w="120" w:type="dxa"/>
              <w:bottom w:w="80" w:type="dxa"/>
              <w:right w:w="120" w:type="dxa"/>
            </w:tcMar>
          </w:tcPr>
          <w:p w14:paraId="1D137A17" w14:textId="77777777" w:rsidR="006C70DD" w:rsidRPr="00EC1662" w:rsidRDefault="00000000">
            <w:pPr>
              <w:rPr>
                <w:color w:val="000000" w:themeColor="text1"/>
              </w:rPr>
            </w:pPr>
            <w:r>
              <w:rPr>
                <w:rFonts w:ascii="Calibri" w:eastAsia="Calibri" w:hAnsi="Calibri" w:cs="Calibri"/>
                <w:color w:val="000000" w:themeColor="text1"/>
              </w:rPr>
              <w:t>Servicio sanitario, origen del agua, cuartos para dormir, ingreso del hogar y per cápita.</w:t>
            </w:r>
          </w:p>
        </w:tc>
      </w:tr>
      <w:tr w:rsidR="006C70DD" w:rsidRPr="00EC1662" w14:paraId="21E12C42" w14:textId="77777777">
        <w:tc>
          <w:tcPr>
            <w:tcW w:w="3000" w:type="dxa"/>
            <w:tcMar>
              <w:top w:w="80" w:type="dxa"/>
              <w:left w:w="120" w:type="dxa"/>
              <w:bottom w:w="80" w:type="dxa"/>
              <w:right w:w="120" w:type="dxa"/>
            </w:tcMar>
          </w:tcPr>
          <w:p w14:paraId="14856E48" w14:textId="77777777" w:rsidR="006C70DD" w:rsidRPr="00EC1662" w:rsidRDefault="00000000">
            <w:pPr>
              <w:rPr>
                <w:color w:val="000000" w:themeColor="text1"/>
              </w:rPr>
            </w:pPr>
            <w:r>
              <w:rPr>
                <w:rFonts w:ascii="Calibri" w:eastAsia="Calibri" w:hAnsi="Calibri" w:cs="Calibri"/>
                <w:color w:val="000000" w:themeColor="text1"/>
              </w:rPr>
              <w:t>Educación</w:t>
            </w:r>
          </w:p>
        </w:tc>
        <w:tc>
          <w:tcPr>
            <w:tcW w:w="6000" w:type="dxa"/>
            <w:tcMar>
              <w:top w:w="80" w:type="dxa"/>
              <w:left w:w="120" w:type="dxa"/>
              <w:bottom w:w="80" w:type="dxa"/>
              <w:right w:w="120" w:type="dxa"/>
            </w:tcMar>
          </w:tcPr>
          <w:p w14:paraId="5DE47ECB" w14:textId="77777777" w:rsidR="006C70DD" w:rsidRPr="00EC1662" w:rsidRDefault="00000000">
            <w:pPr>
              <w:rPr>
                <w:color w:val="000000" w:themeColor="text1"/>
              </w:rPr>
            </w:pPr>
            <w:r>
              <w:rPr>
                <w:rFonts w:ascii="Calibri" w:eastAsia="Calibri" w:hAnsi="Calibri" w:cs="Calibri"/>
                <w:color w:val="000000" w:themeColor="text1"/>
              </w:rPr>
              <w:t>Asistencia escolar, nivel y grado, alfabetismo.</w:t>
            </w:r>
          </w:p>
        </w:tc>
      </w:tr>
      <w:tr w:rsidR="006C70DD" w:rsidRPr="00EC1662" w14:paraId="033A3DF1" w14:textId="77777777">
        <w:tc>
          <w:tcPr>
            <w:tcW w:w="3000" w:type="dxa"/>
            <w:tcMar>
              <w:top w:w="80" w:type="dxa"/>
              <w:left w:w="120" w:type="dxa"/>
              <w:bottom w:w="80" w:type="dxa"/>
              <w:right w:w="120" w:type="dxa"/>
            </w:tcMar>
          </w:tcPr>
          <w:p w14:paraId="566B92C7" w14:textId="77777777" w:rsidR="006C70DD" w:rsidRPr="00EC1662" w:rsidRDefault="00000000">
            <w:pPr>
              <w:rPr>
                <w:color w:val="000000" w:themeColor="text1"/>
              </w:rPr>
            </w:pPr>
            <w:r>
              <w:rPr>
                <w:rFonts w:ascii="Calibri" w:eastAsia="Calibri" w:hAnsi="Calibri" w:cs="Calibri"/>
                <w:color w:val="000000" w:themeColor="text1"/>
              </w:rPr>
              <w:t>Fuerza de trabajo</w:t>
            </w:r>
          </w:p>
        </w:tc>
        <w:tc>
          <w:tcPr>
            <w:tcW w:w="6000" w:type="dxa"/>
            <w:tcMar>
              <w:top w:w="80" w:type="dxa"/>
              <w:left w:w="120" w:type="dxa"/>
              <w:bottom w:w="80" w:type="dxa"/>
              <w:right w:w="120" w:type="dxa"/>
            </w:tcMar>
          </w:tcPr>
          <w:p w14:paraId="77EABBF9" w14:textId="77777777" w:rsidR="006C70DD" w:rsidRPr="00EC1662" w:rsidRDefault="00000000">
            <w:pPr>
              <w:rPr>
                <w:color w:val="000000" w:themeColor="text1"/>
              </w:rPr>
            </w:pPr>
            <w:r>
              <w:rPr>
                <w:rFonts w:ascii="Calibri" w:eastAsia="Calibri" w:hAnsi="Calibri" w:cs="Calibri"/>
                <w:color w:val="000000" w:themeColor="text1"/>
              </w:rPr>
              <w:t>Ocupación, búsqueda de trabajo y cotización a pensión.</w:t>
            </w:r>
          </w:p>
        </w:tc>
      </w:tr>
      <w:tr w:rsidR="006C70DD" w:rsidRPr="00EC1662" w14:paraId="007C6452" w14:textId="77777777">
        <w:tc>
          <w:tcPr>
            <w:tcW w:w="3000" w:type="dxa"/>
            <w:tcMar>
              <w:top w:w="80" w:type="dxa"/>
              <w:left w:w="120" w:type="dxa"/>
              <w:bottom w:w="80" w:type="dxa"/>
              <w:right w:w="120" w:type="dxa"/>
            </w:tcMar>
          </w:tcPr>
          <w:p w14:paraId="6C66EB0A" w14:textId="77777777" w:rsidR="006C70DD" w:rsidRPr="00EC1662" w:rsidRDefault="00000000">
            <w:pPr>
              <w:rPr>
                <w:color w:val="000000" w:themeColor="text1"/>
              </w:rPr>
            </w:pPr>
            <w:r>
              <w:rPr>
                <w:rFonts w:ascii="Calibri" w:eastAsia="Calibri" w:hAnsi="Calibri" w:cs="Calibri"/>
                <w:color w:val="000000" w:themeColor="text1"/>
              </w:rPr>
              <w:t>Salud</w:t>
            </w:r>
          </w:p>
        </w:tc>
        <w:tc>
          <w:tcPr>
            <w:tcW w:w="6000" w:type="dxa"/>
            <w:tcMar>
              <w:top w:w="80" w:type="dxa"/>
              <w:left w:w="120" w:type="dxa"/>
              <w:bottom w:w="80" w:type="dxa"/>
              <w:right w:w="120" w:type="dxa"/>
            </w:tcMar>
          </w:tcPr>
          <w:p w14:paraId="4353CA15" w14:textId="77777777" w:rsidR="006C70DD" w:rsidRPr="00EC1662" w:rsidRDefault="00000000">
            <w:pPr>
              <w:rPr>
                <w:color w:val="000000" w:themeColor="text1"/>
              </w:rPr>
            </w:pPr>
            <w:r>
              <w:rPr>
                <w:rFonts w:ascii="Calibri" w:eastAsia="Calibri" w:hAnsi="Calibri" w:cs="Calibri"/>
                <w:color w:val="000000" w:themeColor="text1"/>
              </w:rPr>
              <w:t>Afiliación y atención de problemas de salud.</w:t>
            </w:r>
          </w:p>
        </w:tc>
      </w:tr>
      <w:tr w:rsidR="006C70DD" w:rsidRPr="00EC1662" w14:paraId="77FCD61C" w14:textId="77777777">
        <w:tc>
          <w:tcPr>
            <w:tcW w:w="3000" w:type="dxa"/>
            <w:tcMar>
              <w:top w:w="80" w:type="dxa"/>
              <w:left w:w="120" w:type="dxa"/>
              <w:bottom w:w="80" w:type="dxa"/>
              <w:right w:w="120" w:type="dxa"/>
            </w:tcMar>
          </w:tcPr>
          <w:p w14:paraId="3F21455A" w14:textId="77777777" w:rsidR="006C70DD" w:rsidRPr="00EC1662" w:rsidRDefault="00000000">
            <w:pPr>
              <w:rPr>
                <w:color w:val="000000" w:themeColor="text1"/>
              </w:rPr>
            </w:pPr>
            <w:r>
              <w:rPr>
                <w:rFonts w:ascii="Calibri" w:eastAsia="Calibri" w:hAnsi="Calibri" w:cs="Calibri"/>
                <w:color w:val="000000" w:themeColor="text1"/>
              </w:rPr>
              <w:t>Atención integral de menores de 5 años</w:t>
            </w:r>
          </w:p>
        </w:tc>
        <w:tc>
          <w:tcPr>
            <w:tcW w:w="6000" w:type="dxa"/>
            <w:tcMar>
              <w:top w:w="80" w:type="dxa"/>
              <w:left w:w="120" w:type="dxa"/>
              <w:bottom w:w="80" w:type="dxa"/>
              <w:right w:w="120" w:type="dxa"/>
            </w:tcMar>
          </w:tcPr>
          <w:p w14:paraId="7A6E63F0" w14:textId="77777777" w:rsidR="006C70DD" w:rsidRPr="00EC1662" w:rsidRDefault="00000000">
            <w:pPr>
              <w:rPr>
                <w:color w:val="000000" w:themeColor="text1"/>
              </w:rPr>
            </w:pPr>
            <w:r>
              <w:rPr>
                <w:rFonts w:ascii="Calibri" w:eastAsia="Calibri" w:hAnsi="Calibri" w:cs="Calibri"/>
                <w:color w:val="000000" w:themeColor="text1"/>
              </w:rPr>
              <w:t>Cuidado del niño.</w:t>
            </w:r>
          </w:p>
        </w:tc>
      </w:tr>
    </w:tbl>
    <w:p w14:paraId="367BCB9F" w14:textId="77777777" w:rsidR="00AE06EC" w:rsidRDefault="00AE06EC"/>
    <w:p w14:paraId="463F50E1" w14:textId="77777777" w:rsid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También se cargaron los módulos de condiciones de vida y tenencia de bienes, tecnologías de información y comunicación (TIC), trabajo infantil (5 a 11 años) y variables de diseño muestral, de los que no se usó ninguna variable en el IPM.</w:t>
      </w:r>
    </w:p>
    <w:p w14:paraId="62B1D0FF" w14:textId="71142873" w:rsidR="006C70DD" w:rsidRPr="00EC1662" w:rsidRDefault="00000000" w:rsidP="00022356">
      <w:pPr>
        <w:pStyle w:val="Heading2"/>
        <w:spacing w:before="240" w:after="120"/>
        <w:rPr>
          <w:color w:val="000000" w:themeColor="text1"/>
        </w:rPr>
      </w:pPr>
      <w:r>
        <w:rPr>
          <w:rFonts w:ascii="Calibri" w:eastAsia="Calibri" w:hAnsi="Calibri" w:cs="Calibri"/>
          <w:b/>
          <w:bCs/>
          <w:color w:val="000000" w:themeColor="text1"/>
          <w:sz w:val="24"/>
          <w:szCs w:val="24"/>
        </w:rPr>
        <w:t>Variables de interés para el análisis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6C70DD" w:rsidRPr="00EC1662" w14:paraId="122F463B" w14:textId="77777777" w:rsidTr="00662DF7">
        <w:trPr>
          <w:tblHeader/>
        </w:trPr>
        <w:tc>
          <w:tcPr>
            <w:tcW w:w="2400" w:type="dxa"/>
            <w:shd w:val="clear" w:color="auto" w:fill="595959" w:themeFill="text1" w:themeFillTint="A6"/>
            <w:tcMar>
              <w:top w:w="80" w:type="dxa"/>
              <w:left w:w="120" w:type="dxa"/>
              <w:bottom w:w="80" w:type="dxa"/>
              <w:right w:w="120" w:type="dxa"/>
            </w:tcMar>
          </w:tcPr>
          <w:p w14:paraId="5AABA0C6" w14:textId="77777777" w:rsidR="006C70DD" w:rsidRPr="00EC1662" w:rsidRDefault="00000000">
            <w:pPr>
              <w:rPr>
                <w:color w:val="FFFFFF" w:themeColor="background1"/>
              </w:rPr>
            </w:pPr>
            <w:r>
              <w:rPr>
                <w:rFonts w:ascii="Calibri" w:eastAsia="Calibri" w:hAnsi="Calibri" w:cs="Calibri"/>
                <w:b/>
                <w:bCs/>
                <w:color w:val="FFFFFF" w:themeColor="background1"/>
              </w:rPr>
              <w:t>Tipo de variable</w:t>
            </w:r>
          </w:p>
        </w:tc>
        <w:tc>
          <w:tcPr>
            <w:tcW w:w="6600" w:type="dxa"/>
            <w:shd w:val="clear" w:color="auto" w:fill="595959" w:themeFill="text1" w:themeFillTint="A6"/>
            <w:tcMar>
              <w:top w:w="80" w:type="dxa"/>
              <w:left w:w="120" w:type="dxa"/>
              <w:bottom w:w="80" w:type="dxa"/>
              <w:right w:w="120" w:type="dxa"/>
            </w:tcMar>
          </w:tcPr>
          <w:p w14:paraId="0543B97B" w14:textId="2E7FE7EA" w:rsidR="006C70DD" w:rsidRPr="00EC1662" w:rsidRDefault="00000000">
            <w:pPr>
              <w:rPr>
                <w:color w:val="FFFFFF" w:themeColor="background1"/>
              </w:rPr>
            </w:pPr>
            <w:r>
              <w:rPr>
                <w:rFonts w:ascii="Calibri" w:eastAsia="Calibri" w:hAnsi="Calibri" w:cs="Calibri"/>
                <w:b/>
                <w:bCs/>
                <w:color w:val="FFFFFF" w:themeColor="background1"/>
              </w:rPr>
              <w:t>Ejemplo</w:t>
            </w:r>
          </w:p>
        </w:tc>
      </w:tr>
      <w:tr w:rsidR="006C70DD" w:rsidRPr="00EC1662" w14:paraId="069E2994" w14:textId="77777777">
        <w:tc>
          <w:tcPr>
            <w:tcW w:w="2400" w:type="dxa"/>
            <w:tcMar>
              <w:top w:w="80" w:type="dxa"/>
              <w:left w:w="120" w:type="dxa"/>
              <w:bottom w:w="80" w:type="dxa"/>
              <w:right w:w="120" w:type="dxa"/>
            </w:tcMar>
          </w:tcPr>
          <w:p w14:paraId="3AA5EECB" w14:textId="77777777" w:rsidR="006C70DD" w:rsidRPr="00EC1662" w:rsidRDefault="00000000">
            <w:pPr>
              <w:rPr>
                <w:color w:val="000000" w:themeColor="text1"/>
              </w:rPr>
            </w:pPr>
            <w:r>
              <w:rPr>
                <w:rFonts w:ascii="Calibri" w:eastAsia="Calibri" w:hAnsi="Calibri" w:cs="Calibri"/>
                <w:color w:val="000000" w:themeColor="text1"/>
              </w:rPr>
              <w:t>Numérica continua</w:t>
            </w:r>
          </w:p>
        </w:tc>
        <w:tc>
          <w:tcPr>
            <w:tcW w:w="6600" w:type="dxa"/>
            <w:tcMar>
              <w:top w:w="80" w:type="dxa"/>
              <w:left w:w="120" w:type="dxa"/>
              <w:bottom w:w="80" w:type="dxa"/>
              <w:right w:w="120" w:type="dxa"/>
            </w:tcMar>
          </w:tcPr>
          <w:p w14:paraId="0AC6C5C7" w14:textId="77777777" w:rsidR="006C70DD" w:rsidRPr="00EC1662" w:rsidRDefault="00000000">
            <w:pPr>
              <w:rPr>
                <w:color w:val="000000" w:themeColor="text1"/>
              </w:rPr>
            </w:pPr>
            <w:r>
              <w:rPr>
                <w:rFonts w:ascii="Calibri" w:eastAsia="Calibri" w:hAnsi="Calibri" w:cs="Calibri"/>
                <w:color w:val="000000" w:themeColor="text1"/>
              </w:rPr>
              <w:t>Ingreso per cápita del hogar (PERCAPITA), ingreso total del hogar (I_HOGAR), edad del jefe de hogar (EDAD_JEFE), puntaje de pobreza multidimensional (SCORE_IPM)</w:t>
            </w:r>
          </w:p>
        </w:tc>
      </w:tr>
      <w:tr w:rsidR="006C70DD" w:rsidRPr="00EC1662" w14:paraId="353F3858" w14:textId="77777777">
        <w:tc>
          <w:tcPr>
            <w:tcW w:w="2400" w:type="dxa"/>
            <w:tcMar>
              <w:top w:w="80" w:type="dxa"/>
              <w:left w:w="120" w:type="dxa"/>
              <w:bottom w:w="80" w:type="dxa"/>
              <w:right w:w="120" w:type="dxa"/>
            </w:tcMar>
          </w:tcPr>
          <w:p w14:paraId="7CADD4C6" w14:textId="77777777" w:rsidR="006C70DD" w:rsidRPr="00EC1662" w:rsidRDefault="00000000">
            <w:pPr>
              <w:rPr>
                <w:color w:val="000000" w:themeColor="text1"/>
              </w:rPr>
            </w:pPr>
            <w:r>
              <w:rPr>
                <w:rFonts w:ascii="Calibri" w:eastAsia="Calibri" w:hAnsi="Calibri" w:cs="Calibri"/>
                <w:color w:val="000000" w:themeColor="text1"/>
              </w:rPr>
              <w:t>Numérica discreta</w:t>
            </w:r>
          </w:p>
        </w:tc>
        <w:tc>
          <w:tcPr>
            <w:tcW w:w="6600" w:type="dxa"/>
            <w:tcMar>
              <w:top w:w="80" w:type="dxa"/>
              <w:left w:w="120" w:type="dxa"/>
              <w:bottom w:w="80" w:type="dxa"/>
              <w:right w:w="120" w:type="dxa"/>
            </w:tcMar>
          </w:tcPr>
          <w:p w14:paraId="33C8B11B" w14:textId="77777777" w:rsidR="006C70DD" w:rsidRPr="00EC1662" w:rsidRDefault="00000000">
            <w:pPr>
              <w:rPr>
                <w:color w:val="000000" w:themeColor="text1"/>
              </w:rPr>
            </w:pPr>
            <w:r>
              <w:rPr>
                <w:rFonts w:ascii="Calibri" w:eastAsia="Calibri" w:hAnsi="Calibri" w:cs="Calibri"/>
                <w:color w:val="000000" w:themeColor="text1"/>
              </w:rPr>
              <w:t>Tamaño del hogar (TAM_HOGAR), años de educación aprobados de cada persona (ANOS_EDUC)</w:t>
            </w:r>
          </w:p>
        </w:tc>
      </w:tr>
      <w:tr w:rsidR="006C70DD" w:rsidRPr="00EC1662" w14:paraId="4174B841" w14:textId="77777777">
        <w:tc>
          <w:tcPr>
            <w:tcW w:w="2400" w:type="dxa"/>
            <w:tcMar>
              <w:top w:w="80" w:type="dxa"/>
              <w:left w:w="120" w:type="dxa"/>
              <w:bottom w:w="80" w:type="dxa"/>
              <w:right w:w="120" w:type="dxa"/>
            </w:tcMar>
          </w:tcPr>
          <w:p w14:paraId="55615226" w14:textId="77777777" w:rsidR="006C70DD" w:rsidRPr="00EC1662" w:rsidRDefault="00000000">
            <w:pPr>
              <w:rPr>
                <w:color w:val="000000" w:themeColor="text1"/>
              </w:rPr>
            </w:pPr>
            <w:r>
              <w:rPr>
                <w:rFonts w:ascii="Calibri" w:eastAsia="Calibri" w:hAnsi="Calibri" w:cs="Calibri"/>
                <w:color w:val="000000" w:themeColor="text1"/>
              </w:rPr>
              <w:t>Categórica nominal</w:t>
            </w:r>
          </w:p>
        </w:tc>
        <w:tc>
          <w:tcPr>
            <w:tcW w:w="6600" w:type="dxa"/>
            <w:tcMar>
              <w:top w:w="80" w:type="dxa"/>
              <w:left w:w="120" w:type="dxa"/>
              <w:bottom w:w="80" w:type="dxa"/>
              <w:right w:w="120" w:type="dxa"/>
            </w:tcMar>
          </w:tcPr>
          <w:p w14:paraId="11994EE7" w14:textId="77777777" w:rsidR="006C70DD" w:rsidRPr="00EC1662" w:rsidRDefault="00000000">
            <w:pPr>
              <w:rPr>
                <w:color w:val="000000" w:themeColor="text1"/>
              </w:rPr>
            </w:pPr>
            <w:r>
              <w:rPr>
                <w:rFonts w:ascii="Calibri" w:eastAsia="Calibri" w:hAnsi="Calibri" w:cs="Calibri"/>
                <w:color w:val="000000" w:themeColor="text1"/>
              </w:rPr>
              <w:t>Sexo del jefe de hogar (SEXO_JEFE), región (REGION), zona urbana/rural (CLASE)</w:t>
            </w:r>
          </w:p>
        </w:tc>
      </w:tr>
      <w:tr w:rsidR="006C70DD" w:rsidRPr="00EC1662" w14:paraId="5A8CE632" w14:textId="77777777">
        <w:tc>
          <w:tcPr>
            <w:tcW w:w="2400" w:type="dxa"/>
            <w:tcMar>
              <w:top w:w="80" w:type="dxa"/>
              <w:left w:w="120" w:type="dxa"/>
              <w:bottom w:w="80" w:type="dxa"/>
              <w:right w:w="120" w:type="dxa"/>
            </w:tcMar>
          </w:tcPr>
          <w:p w14:paraId="35CD6244" w14:textId="77777777" w:rsidR="006C70DD" w:rsidRPr="00EC1662" w:rsidRDefault="00000000">
            <w:pPr>
              <w:rPr>
                <w:color w:val="000000" w:themeColor="text1"/>
              </w:rPr>
            </w:pPr>
            <w:r>
              <w:rPr>
                <w:rFonts w:ascii="Calibri" w:eastAsia="Calibri" w:hAnsi="Calibri" w:cs="Calibri"/>
                <w:color w:val="000000" w:themeColor="text1"/>
              </w:rPr>
              <w:t>Categórica ordinal</w:t>
            </w:r>
          </w:p>
        </w:tc>
        <w:tc>
          <w:tcPr>
            <w:tcW w:w="6600" w:type="dxa"/>
            <w:tcMar>
              <w:top w:w="80" w:type="dxa"/>
              <w:left w:w="120" w:type="dxa"/>
              <w:bottom w:w="80" w:type="dxa"/>
              <w:right w:w="120" w:type="dxa"/>
            </w:tcMar>
          </w:tcPr>
          <w:p w14:paraId="233F9D93" w14:textId="77777777" w:rsidR="006C70DD" w:rsidRPr="00EC1662" w:rsidRDefault="00000000">
            <w:pPr>
              <w:rPr>
                <w:color w:val="000000" w:themeColor="text1"/>
              </w:rPr>
            </w:pPr>
            <w:r>
              <w:rPr>
                <w:rFonts w:ascii="Calibri" w:eastAsia="Calibri" w:hAnsi="Calibri" w:cs="Calibri"/>
                <w:color w:val="000000" w:themeColor="text1"/>
              </w:rPr>
              <w:t>Estrato socioeconómico (ESTRATO, de 1 a 6)</w:t>
            </w:r>
          </w:p>
        </w:tc>
      </w:tr>
      <w:tr w:rsidR="006C70DD" w:rsidRPr="00EC1662" w14:paraId="78EF53DC" w14:textId="77777777">
        <w:tc>
          <w:tcPr>
            <w:tcW w:w="2400" w:type="dxa"/>
            <w:tcMar>
              <w:top w:w="80" w:type="dxa"/>
              <w:left w:w="120" w:type="dxa"/>
              <w:bottom w:w="80" w:type="dxa"/>
              <w:right w:w="120" w:type="dxa"/>
            </w:tcMar>
          </w:tcPr>
          <w:p w14:paraId="6A67E52D" w14:textId="77777777" w:rsidR="006C70DD" w:rsidRPr="00EC1662" w:rsidRDefault="00000000">
            <w:pPr>
              <w:rPr>
                <w:color w:val="000000" w:themeColor="text1"/>
              </w:rPr>
            </w:pPr>
            <w:r>
              <w:rPr>
                <w:rFonts w:ascii="Calibri" w:eastAsia="Calibri" w:hAnsi="Calibri" w:cs="Calibri"/>
                <w:color w:val="000000" w:themeColor="text1"/>
              </w:rPr>
              <w:t>Binaria (privación / no privación)</w:t>
            </w:r>
          </w:p>
        </w:tc>
        <w:tc>
          <w:tcPr>
            <w:tcW w:w="6600" w:type="dxa"/>
            <w:tcMar>
              <w:top w:w="80" w:type="dxa"/>
              <w:left w:w="120" w:type="dxa"/>
              <w:bottom w:w="80" w:type="dxa"/>
              <w:right w:w="120" w:type="dxa"/>
            </w:tcMar>
          </w:tcPr>
          <w:p w14:paraId="2ECFE776" w14:textId="77777777" w:rsidR="006C70DD" w:rsidRPr="00EC1662" w:rsidRDefault="00000000">
            <w:pPr>
              <w:rPr>
                <w:color w:val="000000" w:themeColor="text1"/>
              </w:rPr>
            </w:pPr>
            <w:r>
              <w:rPr>
                <w:rFonts w:ascii="Calibri" w:eastAsia="Calibri" w:hAnsi="Calibri" w:cs="Calibri"/>
                <w:color w:val="000000" w:themeColor="text1"/>
              </w:rPr>
              <w:t>Los 15 indicadores de privación del IPM (I01_logro_educ … I15_hacinamiento) y la condición de pobreza multidimensional del hogar (POBRE_IPM)</w:t>
            </w:r>
          </w:p>
        </w:tc>
      </w:tr>
    </w:tbl>
    <w:p w14:paraId="060E9179" w14:textId="77777777" w:rsidR="006C70DD" w:rsidRPr="00EC1662" w:rsidRDefault="00000000" w:rsidP="00022356">
      <w:pPr>
        <w:pStyle w:val="Heading2"/>
        <w:spacing w:before="240" w:after="120"/>
        <w:rPr>
          <w:color w:val="000000" w:themeColor="text1"/>
        </w:rPr>
      </w:pPr>
      <w:r>
        <w:rPr>
          <w:rFonts w:ascii="Calibri" w:eastAsia="Calibri" w:hAnsi="Calibri" w:cs="Calibri"/>
          <w:b/>
          <w:bCs/>
          <w:color w:val="000000" w:themeColor="text1"/>
          <w:sz w:val="24"/>
          <w:szCs w:val="24"/>
        </w:rPr>
        <w:t>Muestra y calidad de los datos</w:t>
      </w:r>
    </w:p>
    <w:p w14:paraId="77EF783D" w14:textId="77777777" w:rsid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 xml:space="preserve">La base integra 11 módulos de la ECV con dos niveles de análisis: hogares (86.405), unidad en la que se mide el IPM, y personas (240.212). Las cifras usan el factor de expansión (FEX_C), que indica a cuántos hogares o personas de la población representa cada registro; el análisis univariado, en cambio, describe </w:t>
      </w:r>
      <w:r>
        <w:rPr>
          <w:rFonts w:ascii="Calibri" w:eastAsia="Calibri" w:hAnsi="Calibri" w:cs="Calibri"/>
          <w:color w:val="000000" w:themeColor="text1"/>
          <w:sz w:val="22"/>
          <w:szCs w:val="22"/>
        </w:rPr>
        <w:lastRenderedPageBreak/>
        <w:t>la muestra sin ponderar. Al integrar los módulos no se perdió ningún hogar ni persona, y el tamaño del hogar calculado coincide con el dato del DANE.</w:t>
      </w:r>
    </w:p>
    <w:p w14:paraId="38E4BF96" w14:textId="77777777" w:rsid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En valores faltantes, el estrato no tiene dato válido (valores 0, 8, 9 o vacío) en 11.019 hogares (12,8%); el ingreso, la zona, el tamaño del hogar y los años de educación de las personas de 15 años o más no presentan nulos. Hay valores extremos: el 1,9% de los hogares reporta ingreso cero y hay ingresos de hasta 250 millones por persona; se conservan y en el univariado se usa la escala logarítmica. Los años de educación se recortaron en 22, porque la variable original traía valores de hasta 31.</w:t>
      </w:r>
    </w:p>
    <w:p w14:paraId="3A96A80C" w14:textId="77777777" w:rsidR="006C70DD" w:rsidRPr="00EC1662" w:rsidRDefault="00000000" w:rsidP="00022356">
      <w:pPr>
        <w:pStyle w:val="Heading2"/>
        <w:spacing w:before="240" w:after="120"/>
        <w:rPr>
          <w:color w:val="000000" w:themeColor="text1"/>
        </w:rPr>
      </w:pPr>
      <w:r>
        <w:rPr>
          <w:rFonts w:ascii="Calibri" w:eastAsia="Calibri" w:hAnsi="Calibri" w:cs="Calibri"/>
          <w:b/>
          <w:bCs/>
          <w:color w:val="000000" w:themeColor="text1"/>
          <w:sz w:val="24"/>
          <w:szCs w:val="24"/>
        </w:rPr>
        <w:t>Construcción y validación de la variable de pobreza multidimensional</w:t>
      </w:r>
    </w:p>
    <w:p w14:paraId="093E07CD" w14:textId="4515746D" w:rsid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Los microdatos públicos no traen el IPM calculado, por lo que la variable de pobreza (POBRE_IPM) se reconstruyó siguiendo la metodología del DANE: 15 indicadores de privación a nivel de hogar, agrupados en cinco dimensiones (educación, niñez y juventud, trabajo, salud, vivienda y servicios), cada una con peso de 0,2 repartido por igual entre sus indicadores. Un hogar se considera pobre multidimensional si su suma ponderada de privaciones es de al menos un tercio (33,3%). Para integrar los módulos se siguió la estructura oficial de la base de datos: el hogar se identifica con DIRECTORIO y SECUENCIA_P en las tablas de personas, y con DIRECTORIO y ORDEN (igual a SECUENCIA_ENCUESTA) en las tablas de hogar; la tabla de vivienda se une solo por DIRECTORIO.</w:t>
      </w:r>
    </w:p>
    <w:p w14:paraId="40B9A3EF" w14:textId="77777777" w:rsid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La reconstrucción se validó con las cifras oficiales del DANE para 2023: la incidencia en personas fue de 11,7% frente a 12,1% a nivel nacional, 7,6% frente a 8,3% en cabeceras y 24,8% frente a 25,1% en centros poblados y rural disperso; según el sexo del jefe de hogar, 11,0% frente a 11,2% (hombres) y 12,5% frente a 13,2% (mujeres); y la intensidad promedio fue de 40,2% frente a 40,1%. Las diferencias pueden deberse a que el indicador de primera infancia no incluye el componente de alimentación en el jardín, a que el DANE excluye la ruralidad de Amazonía-Orinoquía de sus totales nacionales y a decisiones propias sobre hogares sin ocupados. Además, el indicador de bajo logro educativo resultó más alto de lo esperado (cerca de 40%), lo que se declara como limitación.</w:t>
      </w:r>
    </w:p>
    <w:p w14:paraId="74CAF243" w14:textId="198387B0" w:rsidR="006C70DD" w:rsidRPr="00EC1662" w:rsidRDefault="00000000">
      <w:pPr>
        <w:pStyle w:val="Heading1"/>
        <w:pBdr>
          <w:bottom w:val="single" w:sz="6" w:space="4" w:color="1F4E79"/>
        </w:pBdr>
        <w:spacing w:before="360" w:after="180"/>
        <w:rPr>
          <w:color w:val="000000" w:themeColor="text1"/>
        </w:rPr>
      </w:pPr>
      <w:r>
        <w:rPr>
          <w:rFonts w:ascii="Calibri" w:eastAsia="Calibri" w:hAnsi="Calibri" w:cs="Calibri"/>
          <w:b/>
          <w:bCs/>
          <w:color w:val="000000" w:themeColor="text1"/>
          <w:sz w:val="30"/>
          <w:szCs w:val="30"/>
        </w:rPr>
        <w:t>Explicación de los hallazgos en la fase de análisis descriptivo de los datos</w:t>
      </w:r>
    </w:p>
    <w:p w14:paraId="2CD2DDEB" w14:textId="77777777" w:rsid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Los resultados que siguen provienen del análisis descriptivo univariado y multivariado realizado sobre las bases de hogares (86.405) y personas (240.212) de la ECV 2023. Salvo el análisis univariado, que describe la muestra, las cifras usan el factor de expansión (FEX_C) para que sean representativas a nivel nacional. La variable de pobreza multidimensional (POBRE_IPM) fue reconstruida a partir de los 15 indicadores del Índice de Pobreza Multidimensional (IPM) siguiendo la metodología del DANE. Su incidencia nacional reconstruida es de 9,54% en hogares y 11,66% en personas; esta última es la medida comparable con la cifra oficial del DANE para 2023 (12,1% de personas), de la que se aleja menos de un punto porcentual. La intensidad promedio de privaciones entre los pobres (40,2%) coincide con la oficial (40,1%), lo que respalda la validez de los resultados presentados a continuación.</w:t>
      </w:r>
    </w:p>
    <w:p w14:paraId="30984EE6" w14:textId="77777777" w:rsidR="006C70DD" w:rsidRPr="00EC1662" w:rsidRDefault="00000000" w:rsidP="00022356">
      <w:pPr>
        <w:pStyle w:val="Heading2"/>
        <w:spacing w:before="240" w:after="120"/>
        <w:rPr>
          <w:color w:val="000000" w:themeColor="text1"/>
        </w:rPr>
      </w:pPr>
      <w:r>
        <w:rPr>
          <w:rFonts w:ascii="Calibri" w:eastAsia="Calibri" w:hAnsi="Calibri" w:cs="Calibri"/>
          <w:b/>
          <w:bCs/>
          <w:color w:val="000000" w:themeColor="text1"/>
          <w:sz w:val="24"/>
          <w:szCs w:val="24"/>
        </w:rPr>
        <w:t>Medidas descriptivas de las variables numéricas</w:t>
      </w:r>
    </w:p>
    <w:p w14:paraId="5E178ED1" w14:textId="77777777" w:rsidR="00EC1662" w:rsidRDefault="00000000">
      <w:pPr>
        <w:keepNext/>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lastRenderedPageBreak/>
        <w:t>La siguiente tabla resume las variables numéricas clave. Son estadísticas de la muestra, sin factor de expansión.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000"/>
        <w:gridCol w:w="1100"/>
        <w:gridCol w:w="1100"/>
        <w:gridCol w:w="1300"/>
        <w:gridCol w:w="1100"/>
        <w:gridCol w:w="1100"/>
      </w:tblGrid>
      <w:tr w:rsidR="006C70DD" w:rsidRPr="00EC1662" w14:paraId="463EE0B8" w14:textId="77777777" w:rsidTr="00662DF7">
        <w:trPr>
          <w:tblHeader/>
        </w:trPr>
        <w:tc>
          <w:tcPr>
            <w:tcW w:w="2300" w:type="dxa"/>
            <w:shd w:val="clear" w:color="auto" w:fill="595959" w:themeFill="text1" w:themeFillTint="A6"/>
            <w:tcMar>
              <w:top w:w="80" w:type="dxa"/>
              <w:left w:w="120" w:type="dxa"/>
              <w:bottom w:w="80" w:type="dxa"/>
              <w:right w:w="120" w:type="dxa"/>
            </w:tcMar>
          </w:tcPr>
          <w:p w14:paraId="48CEC9C8" w14:textId="77777777" w:rsidR="006C70DD" w:rsidRPr="00EC1662" w:rsidRDefault="00000000">
            <w:pPr>
              <w:rPr>
                <w:color w:val="FFFFFF" w:themeColor="background1"/>
              </w:rPr>
            </w:pPr>
            <w:r>
              <w:rPr>
                <w:rFonts w:ascii="Calibri" w:eastAsia="Calibri" w:hAnsi="Calibri" w:cs="Calibri"/>
                <w:b/>
                <w:bCs/>
                <w:color w:val="FFFFFF" w:themeColor="background1"/>
                <w:sz w:val="18"/>
                <w:szCs w:val="18"/>
              </w:rPr>
              <w:t>Variable</w:t>
            </w:r>
          </w:p>
        </w:tc>
        <w:tc>
          <w:tcPr>
            <w:tcW w:w="1000" w:type="dxa"/>
            <w:shd w:val="clear" w:color="auto" w:fill="595959" w:themeFill="text1" w:themeFillTint="A6"/>
            <w:tcMar>
              <w:top w:w="80" w:type="dxa"/>
              <w:left w:w="120" w:type="dxa"/>
              <w:bottom w:w="80" w:type="dxa"/>
              <w:right w:w="120" w:type="dxa"/>
            </w:tcMar>
          </w:tcPr>
          <w:p w14:paraId="401FE00A" w14:textId="77777777" w:rsidR="006C70DD" w:rsidRPr="00EC1662" w:rsidRDefault="00000000">
            <w:pPr>
              <w:jc w:val="center"/>
              <w:rPr>
                <w:color w:val="FFFFFF" w:themeColor="background1"/>
              </w:rPr>
            </w:pPr>
            <w:r>
              <w:rPr>
                <w:rFonts w:ascii="Calibri" w:eastAsia="Calibri" w:hAnsi="Calibri" w:cs="Calibri"/>
                <w:b/>
                <w:bCs/>
                <w:color w:val="FFFFFF" w:themeColor="background1"/>
                <w:sz w:val="18"/>
                <w:szCs w:val="18"/>
              </w:rPr>
              <w:t>n</w:t>
            </w:r>
          </w:p>
        </w:tc>
        <w:tc>
          <w:tcPr>
            <w:tcW w:w="1100" w:type="dxa"/>
            <w:shd w:val="clear" w:color="auto" w:fill="595959" w:themeFill="text1" w:themeFillTint="A6"/>
            <w:tcMar>
              <w:top w:w="80" w:type="dxa"/>
              <w:left w:w="120" w:type="dxa"/>
              <w:bottom w:w="80" w:type="dxa"/>
              <w:right w:w="120" w:type="dxa"/>
            </w:tcMar>
          </w:tcPr>
          <w:p w14:paraId="21E2A611" w14:textId="77777777" w:rsidR="006C70DD" w:rsidRPr="00EC1662" w:rsidRDefault="00000000">
            <w:pPr>
              <w:jc w:val="center"/>
              <w:rPr>
                <w:color w:val="FFFFFF" w:themeColor="background1"/>
              </w:rPr>
            </w:pPr>
            <w:r>
              <w:rPr>
                <w:rFonts w:ascii="Calibri" w:eastAsia="Calibri" w:hAnsi="Calibri" w:cs="Calibri"/>
                <w:b/>
                <w:bCs/>
                <w:color w:val="FFFFFF" w:themeColor="background1"/>
                <w:sz w:val="18"/>
                <w:szCs w:val="18"/>
              </w:rPr>
              <w:t>Media</w:t>
            </w:r>
          </w:p>
        </w:tc>
        <w:tc>
          <w:tcPr>
            <w:tcW w:w="1100" w:type="dxa"/>
            <w:shd w:val="clear" w:color="auto" w:fill="595959" w:themeFill="text1" w:themeFillTint="A6"/>
            <w:tcMar>
              <w:top w:w="80" w:type="dxa"/>
              <w:left w:w="120" w:type="dxa"/>
              <w:bottom w:w="80" w:type="dxa"/>
              <w:right w:w="120" w:type="dxa"/>
            </w:tcMar>
          </w:tcPr>
          <w:p w14:paraId="0F09AA21" w14:textId="77777777" w:rsidR="006C70DD" w:rsidRPr="00EC1662" w:rsidRDefault="00000000">
            <w:pPr>
              <w:jc w:val="center"/>
              <w:rPr>
                <w:color w:val="FFFFFF" w:themeColor="background1"/>
              </w:rPr>
            </w:pPr>
            <w:r>
              <w:rPr>
                <w:rFonts w:ascii="Calibri" w:eastAsia="Calibri" w:hAnsi="Calibri" w:cs="Calibri"/>
                <w:b/>
                <w:bCs/>
                <w:color w:val="FFFFFF" w:themeColor="background1"/>
                <w:sz w:val="18"/>
                <w:szCs w:val="18"/>
              </w:rPr>
              <w:t>Mediana</w:t>
            </w:r>
          </w:p>
        </w:tc>
        <w:tc>
          <w:tcPr>
            <w:tcW w:w="1300" w:type="dxa"/>
            <w:shd w:val="clear" w:color="auto" w:fill="595959" w:themeFill="text1" w:themeFillTint="A6"/>
            <w:tcMar>
              <w:top w:w="80" w:type="dxa"/>
              <w:left w:w="120" w:type="dxa"/>
              <w:bottom w:w="80" w:type="dxa"/>
              <w:right w:w="120" w:type="dxa"/>
            </w:tcMar>
          </w:tcPr>
          <w:p w14:paraId="00D06033" w14:textId="77777777" w:rsidR="006C70DD" w:rsidRPr="00EC1662" w:rsidRDefault="00000000">
            <w:pPr>
              <w:jc w:val="center"/>
              <w:rPr>
                <w:color w:val="FFFFFF" w:themeColor="background1"/>
              </w:rPr>
            </w:pPr>
            <w:r>
              <w:rPr>
                <w:rFonts w:ascii="Calibri" w:eastAsia="Calibri" w:hAnsi="Calibri" w:cs="Calibri"/>
                <w:b/>
                <w:bCs/>
                <w:color w:val="FFFFFF" w:themeColor="background1"/>
                <w:sz w:val="18"/>
                <w:szCs w:val="18"/>
              </w:rPr>
              <w:t>Desv. est.</w:t>
            </w:r>
          </w:p>
        </w:tc>
        <w:tc>
          <w:tcPr>
            <w:tcW w:w="1100" w:type="dxa"/>
            <w:shd w:val="clear" w:color="auto" w:fill="595959" w:themeFill="text1" w:themeFillTint="A6"/>
            <w:tcMar>
              <w:top w:w="80" w:type="dxa"/>
              <w:left w:w="120" w:type="dxa"/>
              <w:bottom w:w="80" w:type="dxa"/>
              <w:right w:w="120" w:type="dxa"/>
            </w:tcMar>
          </w:tcPr>
          <w:p w14:paraId="55073E72" w14:textId="77777777" w:rsidR="006C70DD" w:rsidRPr="00EC1662" w:rsidRDefault="00000000">
            <w:pPr>
              <w:jc w:val="center"/>
              <w:rPr>
                <w:color w:val="FFFFFF" w:themeColor="background1"/>
              </w:rPr>
            </w:pPr>
            <w:r>
              <w:rPr>
                <w:rFonts w:ascii="Calibri" w:eastAsia="Calibri" w:hAnsi="Calibri" w:cs="Calibri"/>
                <w:b/>
                <w:bCs/>
                <w:color w:val="FFFFFF" w:themeColor="background1"/>
                <w:sz w:val="18"/>
                <w:szCs w:val="18"/>
              </w:rPr>
              <w:t>Asimetría</w:t>
            </w:r>
          </w:p>
        </w:tc>
        <w:tc>
          <w:tcPr>
            <w:tcW w:w="1100" w:type="dxa"/>
            <w:shd w:val="clear" w:color="auto" w:fill="595959" w:themeFill="text1" w:themeFillTint="A6"/>
            <w:tcMar>
              <w:top w:w="80" w:type="dxa"/>
              <w:left w:w="120" w:type="dxa"/>
              <w:bottom w:w="80" w:type="dxa"/>
              <w:right w:w="120" w:type="dxa"/>
            </w:tcMar>
          </w:tcPr>
          <w:p w14:paraId="11F384EB" w14:textId="77777777" w:rsidR="006C70DD" w:rsidRPr="00EC1662" w:rsidRDefault="00000000">
            <w:pPr>
              <w:jc w:val="center"/>
              <w:rPr>
                <w:color w:val="FFFFFF" w:themeColor="background1"/>
              </w:rPr>
            </w:pPr>
            <w:r>
              <w:rPr>
                <w:rFonts w:ascii="Calibri" w:eastAsia="Calibri" w:hAnsi="Calibri" w:cs="Calibri"/>
                <w:b/>
                <w:bCs/>
                <w:color w:val="FFFFFF" w:themeColor="background1"/>
                <w:sz w:val="18"/>
                <w:szCs w:val="18"/>
              </w:rPr>
              <w:t>Curtosis</w:t>
            </w:r>
          </w:p>
        </w:tc>
      </w:tr>
      <w:tr w:rsidR="006C70DD" w:rsidRPr="00EC1662" w14:paraId="60849A0F" w14:textId="77777777">
        <w:tc>
          <w:tcPr>
            <w:tcW w:w="2300" w:type="dxa"/>
            <w:tcMar>
              <w:top w:w="80" w:type="dxa"/>
              <w:left w:w="120" w:type="dxa"/>
              <w:bottom w:w="80" w:type="dxa"/>
              <w:right w:w="120" w:type="dxa"/>
            </w:tcMar>
          </w:tcPr>
          <w:p w14:paraId="753FD945" w14:textId="77777777" w:rsidR="006C70DD" w:rsidRPr="00EC1662" w:rsidRDefault="00000000">
            <w:pPr>
              <w:rPr>
                <w:color w:val="000000" w:themeColor="text1"/>
              </w:rPr>
            </w:pPr>
            <w:r>
              <w:rPr>
                <w:rFonts w:ascii="Calibri" w:eastAsia="Calibri" w:hAnsi="Calibri" w:cs="Calibri"/>
                <w:color w:val="000000" w:themeColor="text1"/>
                <w:sz w:val="18"/>
                <w:szCs w:val="18"/>
              </w:rPr>
              <w:t>Ingreso per cápita (COP)</w:t>
            </w:r>
          </w:p>
        </w:tc>
        <w:tc>
          <w:tcPr>
            <w:tcW w:w="1000" w:type="dxa"/>
            <w:tcMar>
              <w:top w:w="80" w:type="dxa"/>
              <w:left w:w="120" w:type="dxa"/>
              <w:bottom w:w="80" w:type="dxa"/>
              <w:right w:w="120" w:type="dxa"/>
            </w:tcMar>
          </w:tcPr>
          <w:p w14:paraId="2D7F1185"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84.768</w:t>
            </w:r>
          </w:p>
        </w:tc>
        <w:tc>
          <w:tcPr>
            <w:tcW w:w="1100" w:type="dxa"/>
            <w:tcMar>
              <w:top w:w="80" w:type="dxa"/>
              <w:left w:w="120" w:type="dxa"/>
              <w:bottom w:w="80" w:type="dxa"/>
              <w:right w:w="120" w:type="dxa"/>
            </w:tcMar>
          </w:tcPr>
          <w:p w14:paraId="7ECFF30E"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939.770</w:t>
            </w:r>
          </w:p>
        </w:tc>
        <w:tc>
          <w:tcPr>
            <w:tcW w:w="1100" w:type="dxa"/>
            <w:tcMar>
              <w:top w:w="80" w:type="dxa"/>
              <w:left w:w="120" w:type="dxa"/>
              <w:bottom w:w="80" w:type="dxa"/>
              <w:right w:w="120" w:type="dxa"/>
            </w:tcMar>
          </w:tcPr>
          <w:p w14:paraId="0AAC54D4"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518.333</w:t>
            </w:r>
          </w:p>
        </w:tc>
        <w:tc>
          <w:tcPr>
            <w:tcW w:w="1300" w:type="dxa"/>
            <w:tcMar>
              <w:top w:w="80" w:type="dxa"/>
              <w:left w:w="120" w:type="dxa"/>
              <w:bottom w:w="80" w:type="dxa"/>
              <w:right w:w="120" w:type="dxa"/>
            </w:tcMar>
          </w:tcPr>
          <w:p w14:paraId="103EFC7F"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2.055.621</w:t>
            </w:r>
          </w:p>
        </w:tc>
        <w:tc>
          <w:tcPr>
            <w:tcW w:w="1100" w:type="dxa"/>
            <w:tcMar>
              <w:top w:w="80" w:type="dxa"/>
              <w:left w:w="120" w:type="dxa"/>
              <w:bottom w:w="80" w:type="dxa"/>
              <w:right w:w="120" w:type="dxa"/>
            </w:tcMar>
          </w:tcPr>
          <w:p w14:paraId="5B693F72"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42,37</w:t>
            </w:r>
          </w:p>
        </w:tc>
        <w:tc>
          <w:tcPr>
            <w:tcW w:w="1100" w:type="dxa"/>
            <w:tcMar>
              <w:top w:w="80" w:type="dxa"/>
              <w:left w:w="120" w:type="dxa"/>
              <w:bottom w:w="80" w:type="dxa"/>
              <w:right w:w="120" w:type="dxa"/>
            </w:tcMar>
          </w:tcPr>
          <w:p w14:paraId="6FB3D1CD"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4.016,91</w:t>
            </w:r>
          </w:p>
        </w:tc>
      </w:tr>
      <w:tr w:rsidR="006C70DD" w:rsidRPr="00EC1662" w14:paraId="5926CB8F" w14:textId="77777777">
        <w:tc>
          <w:tcPr>
            <w:tcW w:w="2300" w:type="dxa"/>
            <w:tcMar>
              <w:top w:w="80" w:type="dxa"/>
              <w:left w:w="120" w:type="dxa"/>
              <w:bottom w:w="80" w:type="dxa"/>
              <w:right w:w="120" w:type="dxa"/>
            </w:tcMar>
          </w:tcPr>
          <w:p w14:paraId="5A172390" w14:textId="77777777" w:rsidR="006C70DD" w:rsidRPr="00EC1662" w:rsidRDefault="00000000">
            <w:pPr>
              <w:rPr>
                <w:color w:val="000000" w:themeColor="text1"/>
              </w:rPr>
            </w:pPr>
            <w:r>
              <w:rPr>
                <w:rFonts w:ascii="Calibri" w:eastAsia="Calibri" w:hAnsi="Calibri" w:cs="Calibri"/>
                <w:color w:val="000000" w:themeColor="text1"/>
                <w:sz w:val="18"/>
                <w:szCs w:val="18"/>
              </w:rPr>
              <w:t>log10 del ingreso</w:t>
            </w:r>
          </w:p>
        </w:tc>
        <w:tc>
          <w:tcPr>
            <w:tcW w:w="1000" w:type="dxa"/>
            <w:tcMar>
              <w:top w:w="80" w:type="dxa"/>
              <w:left w:w="120" w:type="dxa"/>
              <w:bottom w:w="80" w:type="dxa"/>
              <w:right w:w="120" w:type="dxa"/>
            </w:tcMar>
          </w:tcPr>
          <w:p w14:paraId="44BC3DA7"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84.768</w:t>
            </w:r>
          </w:p>
        </w:tc>
        <w:tc>
          <w:tcPr>
            <w:tcW w:w="1100" w:type="dxa"/>
            <w:tcMar>
              <w:top w:w="80" w:type="dxa"/>
              <w:left w:w="120" w:type="dxa"/>
              <w:bottom w:w="80" w:type="dxa"/>
              <w:right w:w="120" w:type="dxa"/>
            </w:tcMar>
          </w:tcPr>
          <w:p w14:paraId="0496108E"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5,72</w:t>
            </w:r>
          </w:p>
        </w:tc>
        <w:tc>
          <w:tcPr>
            <w:tcW w:w="1100" w:type="dxa"/>
            <w:tcMar>
              <w:top w:w="80" w:type="dxa"/>
              <w:left w:w="120" w:type="dxa"/>
              <w:bottom w:w="80" w:type="dxa"/>
              <w:right w:w="120" w:type="dxa"/>
            </w:tcMar>
          </w:tcPr>
          <w:p w14:paraId="0C05C5BF"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5,71</w:t>
            </w:r>
          </w:p>
        </w:tc>
        <w:tc>
          <w:tcPr>
            <w:tcW w:w="1300" w:type="dxa"/>
            <w:tcMar>
              <w:top w:w="80" w:type="dxa"/>
              <w:left w:w="120" w:type="dxa"/>
              <w:bottom w:w="80" w:type="dxa"/>
              <w:right w:w="120" w:type="dxa"/>
            </w:tcMar>
          </w:tcPr>
          <w:p w14:paraId="547FDFAA"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0,46</w:t>
            </w:r>
          </w:p>
        </w:tc>
        <w:tc>
          <w:tcPr>
            <w:tcW w:w="1100" w:type="dxa"/>
            <w:tcMar>
              <w:top w:w="80" w:type="dxa"/>
              <w:left w:w="120" w:type="dxa"/>
              <w:bottom w:w="80" w:type="dxa"/>
              <w:right w:w="120" w:type="dxa"/>
            </w:tcMar>
          </w:tcPr>
          <w:p w14:paraId="48B46E33"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−0,17</w:t>
            </w:r>
          </w:p>
        </w:tc>
        <w:tc>
          <w:tcPr>
            <w:tcW w:w="1100" w:type="dxa"/>
            <w:tcMar>
              <w:top w:w="80" w:type="dxa"/>
              <w:left w:w="120" w:type="dxa"/>
              <w:bottom w:w="80" w:type="dxa"/>
              <w:right w:w="120" w:type="dxa"/>
            </w:tcMar>
          </w:tcPr>
          <w:p w14:paraId="4CF47484"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1,57</w:t>
            </w:r>
          </w:p>
        </w:tc>
      </w:tr>
      <w:tr w:rsidR="006C70DD" w:rsidRPr="00EC1662" w14:paraId="62D48F99" w14:textId="77777777">
        <w:tc>
          <w:tcPr>
            <w:tcW w:w="2300" w:type="dxa"/>
            <w:tcMar>
              <w:top w:w="80" w:type="dxa"/>
              <w:left w:w="120" w:type="dxa"/>
              <w:bottom w:w="80" w:type="dxa"/>
              <w:right w:w="120" w:type="dxa"/>
            </w:tcMar>
          </w:tcPr>
          <w:p w14:paraId="405C2476" w14:textId="77777777" w:rsidR="006C70DD" w:rsidRPr="00EC1662" w:rsidRDefault="00000000">
            <w:pPr>
              <w:rPr>
                <w:color w:val="000000" w:themeColor="text1"/>
              </w:rPr>
            </w:pPr>
            <w:r>
              <w:rPr>
                <w:rFonts w:ascii="Calibri" w:eastAsia="Calibri" w:hAnsi="Calibri" w:cs="Calibri"/>
                <w:color w:val="000000" w:themeColor="text1"/>
                <w:sz w:val="18"/>
                <w:szCs w:val="18"/>
              </w:rPr>
              <w:t>Edad (años)</w:t>
            </w:r>
          </w:p>
        </w:tc>
        <w:tc>
          <w:tcPr>
            <w:tcW w:w="1000" w:type="dxa"/>
            <w:tcMar>
              <w:top w:w="80" w:type="dxa"/>
              <w:left w:w="120" w:type="dxa"/>
              <w:bottom w:w="80" w:type="dxa"/>
              <w:right w:w="120" w:type="dxa"/>
            </w:tcMar>
          </w:tcPr>
          <w:p w14:paraId="29EF91D8"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240.212</w:t>
            </w:r>
          </w:p>
        </w:tc>
        <w:tc>
          <w:tcPr>
            <w:tcW w:w="1100" w:type="dxa"/>
            <w:tcMar>
              <w:top w:w="80" w:type="dxa"/>
              <w:left w:w="120" w:type="dxa"/>
              <w:bottom w:w="80" w:type="dxa"/>
              <w:right w:w="120" w:type="dxa"/>
            </w:tcMar>
          </w:tcPr>
          <w:p w14:paraId="66BAD02D"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34,73</w:t>
            </w:r>
          </w:p>
        </w:tc>
        <w:tc>
          <w:tcPr>
            <w:tcW w:w="1100" w:type="dxa"/>
            <w:tcMar>
              <w:top w:w="80" w:type="dxa"/>
              <w:left w:w="120" w:type="dxa"/>
              <w:bottom w:w="80" w:type="dxa"/>
              <w:right w:w="120" w:type="dxa"/>
            </w:tcMar>
          </w:tcPr>
          <w:p w14:paraId="27D13DD8"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33</w:t>
            </w:r>
          </w:p>
        </w:tc>
        <w:tc>
          <w:tcPr>
            <w:tcW w:w="1300" w:type="dxa"/>
            <w:tcMar>
              <w:top w:w="80" w:type="dxa"/>
              <w:left w:w="120" w:type="dxa"/>
              <w:bottom w:w="80" w:type="dxa"/>
              <w:right w:w="120" w:type="dxa"/>
            </w:tcMar>
          </w:tcPr>
          <w:p w14:paraId="213E45BD"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22,27</w:t>
            </w:r>
          </w:p>
        </w:tc>
        <w:tc>
          <w:tcPr>
            <w:tcW w:w="1100" w:type="dxa"/>
            <w:tcMar>
              <w:top w:w="80" w:type="dxa"/>
              <w:left w:w="120" w:type="dxa"/>
              <w:bottom w:w="80" w:type="dxa"/>
              <w:right w:w="120" w:type="dxa"/>
            </w:tcMar>
          </w:tcPr>
          <w:p w14:paraId="6D0614F6"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0,35</w:t>
            </w:r>
          </w:p>
        </w:tc>
        <w:tc>
          <w:tcPr>
            <w:tcW w:w="1100" w:type="dxa"/>
            <w:tcMar>
              <w:top w:w="80" w:type="dxa"/>
              <w:left w:w="120" w:type="dxa"/>
              <w:bottom w:w="80" w:type="dxa"/>
              <w:right w:w="120" w:type="dxa"/>
            </w:tcMar>
          </w:tcPr>
          <w:p w14:paraId="1D5F0F24"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−0,83</w:t>
            </w:r>
          </w:p>
        </w:tc>
      </w:tr>
      <w:tr w:rsidR="006C70DD" w:rsidRPr="00EC1662" w14:paraId="488BB3FE" w14:textId="77777777">
        <w:tc>
          <w:tcPr>
            <w:tcW w:w="2300" w:type="dxa"/>
            <w:tcMar>
              <w:top w:w="80" w:type="dxa"/>
              <w:left w:w="120" w:type="dxa"/>
              <w:bottom w:w="80" w:type="dxa"/>
              <w:right w:w="120" w:type="dxa"/>
            </w:tcMar>
          </w:tcPr>
          <w:p w14:paraId="0F95D147" w14:textId="77777777" w:rsidR="006C70DD" w:rsidRPr="00EC1662" w:rsidRDefault="00000000">
            <w:pPr>
              <w:rPr>
                <w:color w:val="000000" w:themeColor="text1"/>
              </w:rPr>
            </w:pPr>
            <w:r>
              <w:rPr>
                <w:rFonts w:ascii="Calibri" w:eastAsia="Calibri" w:hAnsi="Calibri" w:cs="Calibri"/>
                <w:color w:val="000000" w:themeColor="text1"/>
                <w:sz w:val="18"/>
                <w:szCs w:val="18"/>
              </w:rPr>
              <w:t>Años de educación (15+)</w:t>
            </w:r>
          </w:p>
        </w:tc>
        <w:tc>
          <w:tcPr>
            <w:tcW w:w="1000" w:type="dxa"/>
            <w:tcMar>
              <w:top w:w="80" w:type="dxa"/>
              <w:left w:w="120" w:type="dxa"/>
              <w:bottom w:w="80" w:type="dxa"/>
              <w:right w:w="120" w:type="dxa"/>
            </w:tcMar>
          </w:tcPr>
          <w:p w14:paraId="018A4B77"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184.563</w:t>
            </w:r>
          </w:p>
        </w:tc>
        <w:tc>
          <w:tcPr>
            <w:tcW w:w="1100" w:type="dxa"/>
            <w:tcMar>
              <w:top w:w="80" w:type="dxa"/>
              <w:left w:w="120" w:type="dxa"/>
              <w:bottom w:w="80" w:type="dxa"/>
              <w:right w:w="120" w:type="dxa"/>
            </w:tcMar>
          </w:tcPr>
          <w:p w14:paraId="317DD053"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8,10</w:t>
            </w:r>
          </w:p>
        </w:tc>
        <w:tc>
          <w:tcPr>
            <w:tcW w:w="1100" w:type="dxa"/>
            <w:tcMar>
              <w:top w:w="80" w:type="dxa"/>
              <w:left w:w="120" w:type="dxa"/>
              <w:bottom w:w="80" w:type="dxa"/>
              <w:right w:w="120" w:type="dxa"/>
            </w:tcMar>
          </w:tcPr>
          <w:p w14:paraId="42ADCD8E"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9</w:t>
            </w:r>
          </w:p>
        </w:tc>
        <w:tc>
          <w:tcPr>
            <w:tcW w:w="1300" w:type="dxa"/>
            <w:tcMar>
              <w:top w:w="80" w:type="dxa"/>
              <w:left w:w="120" w:type="dxa"/>
              <w:bottom w:w="80" w:type="dxa"/>
              <w:right w:w="120" w:type="dxa"/>
            </w:tcMar>
          </w:tcPr>
          <w:p w14:paraId="20B397EB"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4,55</w:t>
            </w:r>
          </w:p>
        </w:tc>
        <w:tc>
          <w:tcPr>
            <w:tcW w:w="1100" w:type="dxa"/>
            <w:tcMar>
              <w:top w:w="80" w:type="dxa"/>
              <w:left w:w="120" w:type="dxa"/>
              <w:bottom w:w="80" w:type="dxa"/>
              <w:right w:w="120" w:type="dxa"/>
            </w:tcMar>
          </w:tcPr>
          <w:p w14:paraId="24D7CD91"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−0,09</w:t>
            </w:r>
          </w:p>
        </w:tc>
        <w:tc>
          <w:tcPr>
            <w:tcW w:w="1100" w:type="dxa"/>
            <w:tcMar>
              <w:top w:w="80" w:type="dxa"/>
              <w:left w:w="120" w:type="dxa"/>
              <w:bottom w:w="80" w:type="dxa"/>
              <w:right w:w="120" w:type="dxa"/>
            </w:tcMar>
          </w:tcPr>
          <w:p w14:paraId="05F5FA30"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−0,94</w:t>
            </w:r>
          </w:p>
        </w:tc>
      </w:tr>
      <w:tr w:rsidR="006C70DD" w:rsidRPr="00EC1662" w14:paraId="27713B7A" w14:textId="77777777">
        <w:tc>
          <w:tcPr>
            <w:tcW w:w="2300" w:type="dxa"/>
            <w:tcMar>
              <w:top w:w="80" w:type="dxa"/>
              <w:left w:w="120" w:type="dxa"/>
              <w:bottom w:w="80" w:type="dxa"/>
              <w:right w:w="120" w:type="dxa"/>
            </w:tcMar>
          </w:tcPr>
          <w:p w14:paraId="3284E5B9" w14:textId="77777777" w:rsidR="006C70DD" w:rsidRPr="00EC1662" w:rsidRDefault="00000000">
            <w:pPr>
              <w:rPr>
                <w:color w:val="000000" w:themeColor="text1"/>
              </w:rPr>
            </w:pPr>
            <w:r>
              <w:rPr>
                <w:rFonts w:ascii="Calibri" w:eastAsia="Calibri" w:hAnsi="Calibri" w:cs="Calibri"/>
                <w:color w:val="000000" w:themeColor="text1"/>
                <w:sz w:val="18"/>
                <w:szCs w:val="18"/>
              </w:rPr>
              <w:t>Tamaño del hogar</w:t>
            </w:r>
          </w:p>
        </w:tc>
        <w:tc>
          <w:tcPr>
            <w:tcW w:w="1000" w:type="dxa"/>
            <w:tcMar>
              <w:top w:w="80" w:type="dxa"/>
              <w:left w:w="120" w:type="dxa"/>
              <w:bottom w:w="80" w:type="dxa"/>
              <w:right w:w="120" w:type="dxa"/>
            </w:tcMar>
          </w:tcPr>
          <w:p w14:paraId="2F6DCADE"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86.405</w:t>
            </w:r>
          </w:p>
        </w:tc>
        <w:tc>
          <w:tcPr>
            <w:tcW w:w="1100" w:type="dxa"/>
            <w:tcMar>
              <w:top w:w="80" w:type="dxa"/>
              <w:left w:w="120" w:type="dxa"/>
              <w:bottom w:w="80" w:type="dxa"/>
              <w:right w:w="120" w:type="dxa"/>
            </w:tcMar>
          </w:tcPr>
          <w:p w14:paraId="220C6644"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2,78</w:t>
            </w:r>
          </w:p>
        </w:tc>
        <w:tc>
          <w:tcPr>
            <w:tcW w:w="1100" w:type="dxa"/>
            <w:tcMar>
              <w:top w:w="80" w:type="dxa"/>
              <w:left w:w="120" w:type="dxa"/>
              <w:bottom w:w="80" w:type="dxa"/>
              <w:right w:w="120" w:type="dxa"/>
            </w:tcMar>
          </w:tcPr>
          <w:p w14:paraId="50BBFA58"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3</w:t>
            </w:r>
          </w:p>
        </w:tc>
        <w:tc>
          <w:tcPr>
            <w:tcW w:w="1300" w:type="dxa"/>
            <w:tcMar>
              <w:top w:w="80" w:type="dxa"/>
              <w:left w:w="120" w:type="dxa"/>
              <w:bottom w:w="80" w:type="dxa"/>
              <w:right w:w="120" w:type="dxa"/>
            </w:tcMar>
          </w:tcPr>
          <w:p w14:paraId="567FF249"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1,50</w:t>
            </w:r>
          </w:p>
        </w:tc>
        <w:tc>
          <w:tcPr>
            <w:tcW w:w="1100" w:type="dxa"/>
            <w:tcMar>
              <w:top w:w="80" w:type="dxa"/>
              <w:left w:w="120" w:type="dxa"/>
              <w:bottom w:w="80" w:type="dxa"/>
              <w:right w:w="120" w:type="dxa"/>
            </w:tcMar>
          </w:tcPr>
          <w:p w14:paraId="057EBF14"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1,10</w:t>
            </w:r>
          </w:p>
        </w:tc>
        <w:tc>
          <w:tcPr>
            <w:tcW w:w="1100" w:type="dxa"/>
            <w:tcMar>
              <w:top w:w="80" w:type="dxa"/>
              <w:left w:w="120" w:type="dxa"/>
              <w:bottom w:w="80" w:type="dxa"/>
              <w:right w:w="120" w:type="dxa"/>
            </w:tcMar>
          </w:tcPr>
          <w:p w14:paraId="6A750C99" w14:textId="77777777" w:rsidR="006C70DD" w:rsidRPr="00EC1662" w:rsidRDefault="00000000">
            <w:pPr>
              <w:jc w:val="center"/>
              <w:rPr>
                <w:color w:val="000000" w:themeColor="text1"/>
              </w:rPr>
            </w:pPr>
            <w:r>
              <w:rPr>
                <w:rFonts w:ascii="Calibri" w:eastAsia="Calibri" w:hAnsi="Calibri" w:cs="Calibri"/>
                <w:color w:val="000000" w:themeColor="text1"/>
                <w:sz w:val="18"/>
                <w:szCs w:val="18"/>
              </w:rPr>
              <w:t>2,51</w:t>
            </w:r>
          </w:p>
        </w:tc>
      </w:tr>
    </w:tbl>
    <w:p w14:paraId="3E036E65" w14:textId="77777777" w:rsidR="00AE06EC" w:rsidRDefault="00AE06EC"/>
    <w:p w14:paraId="24AEDF93" w14:textId="77777777" w:rsid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El ingreso per cápita está muy sesgado a la derecha: la media es 1,8 veces la mediana, y el 8,4% de los hogares supera el límite de atípicos (Q3 + 1,5·IQR, cerca de $2,07 millones). En escala logarítmica la distribución es casi simétrica, lo que justifica usarla en gráficos y modelos. La población es joven (mediana de 33 años). Los años de educación tienen mediana de 9, con picos en 5 y 11 años (primaria y bachillerato completos). Los hogares son pequeños: mediana de 3 personas.</w:t>
      </w:r>
    </w:p>
    <w:p w14:paraId="1DB47345" w14:textId="08276C92" w:rsidR="008F6EB0" w:rsidRDefault="008F6EB0">
      <w:pPr>
        <w:spacing w:after="180" w:line="276" w:lineRule="auto"/>
        <w:jc w:val="both"/>
        <w:rPr>
          <w:rFonts w:ascii="Calibri" w:eastAsia="Calibri" w:hAnsi="Calibri" w:cs="Calibri"/>
          <w:color w:val="000000" w:themeColor="text1"/>
          <w:sz w:val="22"/>
          <w:szCs w:val="22"/>
        </w:rPr>
      </w:pPr>
      <w:r>
        <w:rPr>
          <w:rFonts w:ascii="Calibri" w:eastAsia="Calibri" w:hAnsi="Calibri" w:cs="Calibri"/>
          <w:noProof/>
          <w:color w:val="000000" w:themeColor="text1"/>
          <w:sz w:val="22"/>
          <w:szCs w:val="22"/>
        </w:rPr>
        <w:drawing>
          <wp:inline distT="0" distB="0" distL="0" distR="0" wp14:anchorId="6B7CD7EE" wp14:editId="1C9C10B6">
            <wp:extent cx="5943600" cy="4114800"/>
            <wp:effectExtent l="0" t="0" r="0" b="0"/>
            <wp:docPr id="205342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5649" name="Picture 20534256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114800"/>
                    </a:xfrm>
                    <a:prstGeom prst="rect">
                      <a:avLst/>
                    </a:prstGeom>
                  </pic:spPr>
                </pic:pic>
              </a:graphicData>
            </a:graphic>
          </wp:inline>
        </w:drawing>
      </w:r>
    </w:p>
    <w:p w14:paraId="699E07D3" w14:textId="77777777" w:rsidR="004836AB" w:rsidRDefault="004836AB">
      <w:pPr>
        <w:spacing w:after="180" w:line="276" w:lineRule="auto"/>
        <w:jc w:val="both"/>
        <w:rPr>
          <w:rFonts w:ascii="Calibri" w:eastAsia="Calibri" w:hAnsi="Calibri" w:cs="Calibri"/>
          <w:color w:val="000000" w:themeColor="text1"/>
          <w:sz w:val="22"/>
          <w:szCs w:val="22"/>
        </w:rPr>
      </w:pPr>
    </w:p>
    <w:p w14:paraId="343B7CFB" w14:textId="77777777" w:rsidR="00EC1662" w:rsidRPr="00EC1662" w:rsidRDefault="00EC1662">
      <w:pPr>
        <w:spacing w:after="180" w:line="276" w:lineRule="auto"/>
        <w:jc w:val="both"/>
        <w:rPr>
          <w:rFonts w:ascii="Calibri" w:eastAsia="Calibri" w:hAnsi="Calibri" w:cs="Calibri"/>
          <w:color w:val="000000" w:themeColor="text1"/>
          <w:sz w:val="22"/>
          <w:szCs w:val="22"/>
        </w:rPr>
      </w:pPr>
    </w:p>
    <w:p w14:paraId="083C8C7B" w14:textId="45A8B594" w:rsidR="006C70DD" w:rsidRPr="00EC1662" w:rsidRDefault="00000000">
      <w:pPr>
        <w:pStyle w:val="Heading2"/>
        <w:spacing w:before="240" w:after="120"/>
        <w:rPr>
          <w:color w:val="000000" w:themeColor="text1"/>
        </w:rPr>
      </w:pPr>
      <w:r>
        <w:rPr>
          <w:rFonts w:ascii="Calibri" w:eastAsia="Calibri" w:hAnsi="Calibri" w:cs="Calibri"/>
          <w:b/>
          <w:bCs/>
          <w:color w:val="000000" w:themeColor="text1"/>
          <w:sz w:val="24"/>
          <w:szCs w:val="24"/>
        </w:rPr>
        <w:lastRenderedPageBreak/>
        <w:t>Hallazgo 1: educación y trabajo concentran la privación de los hogares pobres</w:t>
      </w:r>
    </w:p>
    <w:p w14:paraId="1D68E63E" w14:textId="2F4E2DF2" w:rsidR="006C70DD"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Al agrupar los 15 indicadores en las cinco dimensiones del IPM y calcular cuánto aporta cada una a la privación ponderada de los hogares pobres (como lo mide el DANE), educación aporta 37,4% y trabajo 32,4%, de modo que casi siete de cada diez puntos de privación provienen de estas dos dimensiones; vivienda y servicios aportan 13,1%, niñez y juventud 9,7% y salud 7,4%. Los dos primeros lugares coinciden con los publicados por el DANE (educación 35,9% y trabajo 30% en 2024). Casi todos los hogares pobres presentan bajo logro educativo (95,7%) e informalidad laboral (99,1%). Este resultado es relevante porque muestra dónde se concentran las carencias de los hogares pobres y sugiere considerar el capital educativo y la calidad del empleo, además de la vivienda y la salud, en el análisis de la pobreza multidimensional. Se trata de una descripción de asociación: no demuestra que mejorar esas dimensiones reduzca la pobreza.</w:t>
      </w:r>
    </w:p>
    <w:p w14:paraId="64FC2687" w14:textId="20498151" w:rsidR="008F6EB0" w:rsidRPr="00EC1662" w:rsidRDefault="008F6EB0">
      <w:pPr>
        <w:spacing w:after="180" w:line="276" w:lineRule="auto"/>
        <w:jc w:val="both"/>
        <w:rPr>
          <w:rFonts w:ascii="Calibri" w:eastAsia="Calibri" w:hAnsi="Calibri" w:cs="Calibri"/>
          <w:color w:val="000000" w:themeColor="text1"/>
          <w:sz w:val="22"/>
          <w:szCs w:val="22"/>
        </w:rPr>
      </w:pPr>
      <w:r>
        <w:rPr>
          <w:rFonts w:ascii="Calibri" w:eastAsia="Calibri" w:hAnsi="Calibri" w:cs="Calibri"/>
          <w:noProof/>
          <w:color w:val="000000" w:themeColor="text1"/>
          <w:sz w:val="22"/>
          <w:szCs w:val="22"/>
        </w:rPr>
        <w:drawing>
          <wp:inline distT="0" distB="0" distL="0" distR="0" wp14:anchorId="3EF2C07D" wp14:editId="1CC88C46">
            <wp:extent cx="5943600" cy="4244975"/>
            <wp:effectExtent l="0" t="0" r="0" b="3175"/>
            <wp:docPr id="1487938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38140" name="Picture 1487938140"/>
                    <pic:cNvPicPr/>
                  </pic:nvPicPr>
                  <pic:blipFill>
                    <a:blip r:embed="rId7">
                      <a:extLst>
                        <a:ext uri="{28A0092B-C50C-407E-A947-70E740481C1C}">
                          <a14:useLocalDpi xmlns:a14="http://schemas.microsoft.com/office/drawing/2010/main" val="0"/>
                        </a:ext>
                      </a:extLst>
                    </a:blip>
                    <a:stretch>
                      <a:fillRect/>
                    </a:stretch>
                  </pic:blipFill>
                  <pic:spPr>
                    <a:xfrm>
                      <a:off x="0" y="0"/>
                      <a:ext cx="5943600" cy="4244975"/>
                    </a:xfrm>
                    <a:prstGeom prst="rect">
                      <a:avLst/>
                    </a:prstGeom>
                  </pic:spPr>
                </pic:pic>
              </a:graphicData>
            </a:graphic>
          </wp:inline>
        </w:drawing>
      </w:r>
    </w:p>
    <w:p w14:paraId="6CBB4083" w14:textId="4C0C1AC7" w:rsidR="006C70DD" w:rsidRPr="00EC1662" w:rsidRDefault="00000000">
      <w:pPr>
        <w:pStyle w:val="Heading2"/>
        <w:spacing w:before="240" w:after="120"/>
        <w:rPr>
          <w:color w:val="000000" w:themeColor="text1"/>
        </w:rPr>
      </w:pPr>
      <w:r>
        <w:rPr>
          <w:rFonts w:ascii="Calibri" w:eastAsia="Calibri" w:hAnsi="Calibri" w:cs="Calibri"/>
          <w:b/>
          <w:bCs/>
          <w:color w:val="000000" w:themeColor="text1"/>
          <w:sz w:val="24"/>
          <w:szCs w:val="24"/>
        </w:rPr>
        <w:t>Hallazgo 2: la incidencia de pobreza multidimensional varía mucho más por zona y región que por el sexo de quien dirige el hogar</w:t>
      </w:r>
    </w:p>
    <w:p w14:paraId="0CB7A525" w14:textId="37EB3AEE" w:rsidR="006C70DD"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 xml:space="preserve">La incidencia de pobreza multidimensional (porcentaje de hogares) varía de forma mucho más marcada según la zona y la región que según el sexo del jefe de hogar. Por zona, los hogares rurales presentan una incidencia de 22,4%, casi cuatro veces la de los hogares urbanos (5,8%). Por región, la incidencia va de 2,4% en Bogotá (cabecera) a 20,2% en Orinoquía-Amazonía, con valores de 17,0% en el Caribe y 16,9% en la región Pacífica (Cauca, Chocó y Nariño). El estrato socioeconómico muestra un patrón similar, con una caída continua de 15,2% en estrato 1 a 0,15% en estrato 6. En contraste, la brecha por sexo del jefe de </w:t>
      </w:r>
      <w:r>
        <w:rPr>
          <w:rFonts w:ascii="Calibri" w:eastAsia="Calibri" w:hAnsi="Calibri" w:cs="Calibri"/>
          <w:color w:val="000000" w:themeColor="text1"/>
          <w:sz w:val="22"/>
          <w:szCs w:val="22"/>
        </w:rPr>
        <w:lastRenderedPageBreak/>
        <w:t>hogar es de solo 1,2 puntos porcentuales (10,2% con jefatura femenina frente a 9,0% con jefatura masculina). Este hallazgo indica que la pobreza multidimensional tiene una fuerte dimensión territorial, lo que respalda diseñar estrategias diferenciadas por zona y región. La comparación es descriptiva y no controla otros factores, como ingreso, educación o estrato, que se evaluarán en el modelo.</w:t>
      </w:r>
    </w:p>
    <w:p w14:paraId="05003EBE" w14:textId="5DB4BBE0" w:rsidR="008F6EB0" w:rsidRDefault="008F6EB0">
      <w:pPr>
        <w:spacing w:after="180" w:line="276" w:lineRule="auto"/>
        <w:jc w:val="both"/>
        <w:rPr>
          <w:rFonts w:ascii="Calibri" w:eastAsia="Calibri" w:hAnsi="Calibri" w:cs="Calibri"/>
          <w:color w:val="000000" w:themeColor="text1"/>
          <w:sz w:val="22"/>
          <w:szCs w:val="22"/>
        </w:rPr>
      </w:pPr>
      <w:r>
        <w:rPr>
          <w:rFonts w:ascii="Calibri" w:eastAsia="Calibri" w:hAnsi="Calibri" w:cs="Calibri"/>
          <w:noProof/>
          <w:color w:val="000000" w:themeColor="text1"/>
          <w:sz w:val="22"/>
          <w:szCs w:val="22"/>
        </w:rPr>
        <w:drawing>
          <wp:inline distT="0" distB="0" distL="0" distR="0" wp14:anchorId="1AF3C6D0" wp14:editId="48FF0F90">
            <wp:extent cx="5943600" cy="3395980"/>
            <wp:effectExtent l="0" t="0" r="0" b="0"/>
            <wp:docPr id="799826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26064" name="Picture 799826064"/>
                    <pic:cNvPicPr/>
                  </pic:nvPicPr>
                  <pic:blipFill>
                    <a:blip r:embed="rId8">
                      <a:extLst>
                        <a:ext uri="{28A0092B-C50C-407E-A947-70E740481C1C}">
                          <a14:useLocalDpi xmlns:a14="http://schemas.microsoft.com/office/drawing/2010/main" val="0"/>
                        </a:ext>
                      </a:extLst>
                    </a:blip>
                    <a:stretch>
                      <a:fillRect/>
                    </a:stretch>
                  </pic:blipFill>
                  <pic:spPr>
                    <a:xfrm>
                      <a:off x="0" y="0"/>
                      <a:ext cx="5943600" cy="3395980"/>
                    </a:xfrm>
                    <a:prstGeom prst="rect">
                      <a:avLst/>
                    </a:prstGeom>
                  </pic:spPr>
                </pic:pic>
              </a:graphicData>
            </a:graphic>
          </wp:inline>
        </w:drawing>
      </w:r>
      <w:r>
        <w:rPr>
          <w:rFonts w:ascii="Calibri" w:eastAsia="Calibri" w:hAnsi="Calibri" w:cs="Calibri"/>
          <w:noProof/>
          <w:color w:val="000000" w:themeColor="text1"/>
          <w:sz w:val="22"/>
          <w:szCs w:val="22"/>
        </w:rPr>
        <w:drawing>
          <wp:inline distT="0" distB="0" distL="0" distR="0" wp14:anchorId="79986A78" wp14:editId="7C04E4E5">
            <wp:extent cx="5943600" cy="3395980"/>
            <wp:effectExtent l="0" t="0" r="0" b="0"/>
            <wp:docPr id="1561710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10022" name="Picture 1561710022"/>
                    <pic:cNvPicPr/>
                  </pic:nvPicPr>
                  <pic:blipFill>
                    <a:blip r:embed="rId9">
                      <a:extLst>
                        <a:ext uri="{28A0092B-C50C-407E-A947-70E740481C1C}">
                          <a14:useLocalDpi xmlns:a14="http://schemas.microsoft.com/office/drawing/2010/main" val="0"/>
                        </a:ext>
                      </a:extLst>
                    </a:blip>
                    <a:stretch>
                      <a:fillRect/>
                    </a:stretch>
                  </pic:blipFill>
                  <pic:spPr>
                    <a:xfrm>
                      <a:off x="0" y="0"/>
                      <a:ext cx="5943600" cy="3395980"/>
                    </a:xfrm>
                    <a:prstGeom prst="rect">
                      <a:avLst/>
                    </a:prstGeom>
                  </pic:spPr>
                </pic:pic>
              </a:graphicData>
            </a:graphic>
          </wp:inline>
        </w:drawing>
      </w:r>
    </w:p>
    <w:p w14:paraId="18BCCE08" w14:textId="02B0E0FE" w:rsidR="008F6EB0" w:rsidRPr="00EC1662" w:rsidRDefault="008F6EB0">
      <w:pPr>
        <w:spacing w:after="180" w:line="276" w:lineRule="auto"/>
        <w:jc w:val="both"/>
        <w:rPr>
          <w:rFonts w:ascii="Calibri" w:eastAsia="Calibri" w:hAnsi="Calibri" w:cs="Calibri"/>
          <w:color w:val="000000" w:themeColor="text1"/>
          <w:sz w:val="22"/>
          <w:szCs w:val="22"/>
        </w:rPr>
      </w:pPr>
      <w:r>
        <w:rPr>
          <w:rFonts w:ascii="Calibri" w:eastAsia="Calibri" w:hAnsi="Calibri" w:cs="Calibri"/>
          <w:noProof/>
          <w:color w:val="000000" w:themeColor="text1"/>
          <w:sz w:val="22"/>
          <w:szCs w:val="22"/>
        </w:rPr>
        <w:lastRenderedPageBreak/>
        <w:drawing>
          <wp:inline distT="0" distB="0" distL="0" distR="0" wp14:anchorId="56B41B6E" wp14:editId="503BA024">
            <wp:extent cx="5943600" cy="3395980"/>
            <wp:effectExtent l="0" t="0" r="0" b="0"/>
            <wp:docPr id="6070984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98459" name="Picture 607098459"/>
                    <pic:cNvPicPr/>
                  </pic:nvPicPr>
                  <pic:blipFill>
                    <a:blip r:embed="rId10">
                      <a:extLst>
                        <a:ext uri="{28A0092B-C50C-407E-A947-70E740481C1C}">
                          <a14:useLocalDpi xmlns:a14="http://schemas.microsoft.com/office/drawing/2010/main" val="0"/>
                        </a:ext>
                      </a:extLst>
                    </a:blip>
                    <a:stretch>
                      <a:fillRect/>
                    </a:stretch>
                  </pic:blipFill>
                  <pic:spPr>
                    <a:xfrm>
                      <a:off x="0" y="0"/>
                      <a:ext cx="5943600" cy="3395980"/>
                    </a:xfrm>
                    <a:prstGeom prst="rect">
                      <a:avLst/>
                    </a:prstGeom>
                  </pic:spPr>
                </pic:pic>
              </a:graphicData>
            </a:graphic>
          </wp:inline>
        </w:drawing>
      </w:r>
    </w:p>
    <w:p w14:paraId="42660AB7" w14:textId="06080697" w:rsidR="006C70DD" w:rsidRPr="00EC1662" w:rsidRDefault="00000000">
      <w:pPr>
        <w:pStyle w:val="Heading2"/>
        <w:spacing w:before="240" w:after="120"/>
        <w:rPr>
          <w:color w:val="000000" w:themeColor="text1"/>
        </w:rPr>
      </w:pPr>
      <w:r>
        <w:rPr>
          <w:rFonts w:ascii="Calibri" w:eastAsia="Calibri" w:hAnsi="Calibri" w:cs="Calibri"/>
          <w:b/>
          <w:bCs/>
          <w:color w:val="000000" w:themeColor="text1"/>
          <w:sz w:val="24"/>
          <w:szCs w:val="24"/>
        </w:rPr>
        <w:t>Hallazgo 3: la informalidad es la privación más frecuente, pero distingue poco a los hogares pobres de los no pobres</w:t>
      </w:r>
    </w:p>
    <w:p w14:paraId="3291DE6D" w14:textId="77777777" w:rsidR="006C70DD" w:rsidRPr="00EC1662" w:rsidRDefault="00000000">
      <w:pPr>
        <w:spacing w:after="180" w:line="276" w:lineRule="auto"/>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El indicador de informalidad laboral (I08) es el que afecta a más hogares: 69,7% presenta privación en este componente, muy por encima del segundo indicador más alto (bajo logro educativo, 39,8%). Sin embargo, distingue poco entre grupos: afecta al 99,1% de los hogares pobres y al 66,6% de los no pobres (razón de 1,5). Los indicadores menos frecuentes separan mucho mejor: el analfabetismo afecta al 53,3% de los hogares pobres frente al 2,8% de los no pobres (unas 19 veces), la inasistencia escolar al 13,7% frente al 1,1% y los pisos de tierra al 27,9% frente al 3,0%. Una privación frecuente no necesariamente identifica la pobreza. Parte de estas diferencias es mecánica, porque POBRE_IPM se construye con los mismos indicadores; por eso el modelo posterior usará variables externas al índice. Además, el ingreso per cápita del hogar (en escala logarítmica) es la variable numérica más correlacionada con el puntaje de pobreza (r = -0,51), mientras que el tamaño del hogar (0,15) y la edad del jefe (0,17) se relacionan débilmente.</w:t>
      </w:r>
    </w:p>
    <w:p w14:paraId="06FE2FFF" w14:textId="090F3965" w:rsidR="00496FE0" w:rsidRPr="00EC1662" w:rsidRDefault="008F6EB0" w:rsidP="00CC3951">
      <w:pPr>
        <w:rPr>
          <w:rFonts w:ascii="Calibri" w:eastAsia="Calibri" w:hAnsi="Calibri" w:cs="Calibri"/>
          <w:color w:val="000000" w:themeColor="text1"/>
          <w:sz w:val="22"/>
          <w:szCs w:val="22"/>
        </w:rPr>
      </w:pPr>
      <w:r>
        <w:rPr>
          <w:rFonts w:ascii="Calibri" w:eastAsia="Calibri" w:hAnsi="Calibri" w:cs="Calibri"/>
          <w:noProof/>
          <w:color w:val="000000" w:themeColor="text1"/>
          <w:sz w:val="22"/>
          <w:szCs w:val="22"/>
        </w:rPr>
        <w:lastRenderedPageBreak/>
        <w:drawing>
          <wp:inline distT="0" distB="0" distL="0" distR="0" wp14:anchorId="28197B22" wp14:editId="0A0C8020">
            <wp:extent cx="5943600" cy="4457700"/>
            <wp:effectExtent l="0" t="0" r="0" b="0"/>
            <wp:docPr id="26633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3265" name="Picture 26633265"/>
                    <pic:cNvPicPr/>
                  </pic:nvPicPr>
                  <pic:blipFill>
                    <a:blip r:embed="rId11">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59190AD" w14:textId="77777777" w:rsidR="00496FE0" w:rsidRPr="00EC1662" w:rsidRDefault="00496FE0" w:rsidP="00CC3951">
      <w:pPr>
        <w:rPr>
          <w:rFonts w:ascii="Calibri" w:eastAsia="Calibri" w:hAnsi="Calibri" w:cs="Calibri"/>
          <w:color w:val="000000" w:themeColor="text1"/>
          <w:sz w:val="22"/>
          <w:szCs w:val="22"/>
        </w:rPr>
      </w:pPr>
    </w:p>
    <w:p w14:paraId="41FE7B4E" w14:textId="77777777" w:rsidR="00496FE0" w:rsidRPr="00EC1662" w:rsidRDefault="00496FE0" w:rsidP="00CC3951">
      <w:pPr>
        <w:rPr>
          <w:rFonts w:ascii="Calibri" w:eastAsia="Calibri" w:hAnsi="Calibri" w:cs="Calibri"/>
          <w:color w:val="000000" w:themeColor="text1"/>
          <w:sz w:val="22"/>
          <w:szCs w:val="22"/>
        </w:rPr>
      </w:pPr>
    </w:p>
    <w:p w14:paraId="6E22C4B3" w14:textId="7C682272" w:rsidR="00CC3951" w:rsidRPr="00EC1662" w:rsidRDefault="00CC3951" w:rsidP="00CC3951">
      <w:pPr>
        <w:rPr>
          <w:rFonts w:ascii=".AppleSystemUIFont" w:eastAsiaTheme="minorEastAsia" w:hAnsi=".AppleSystemUIFont"/>
          <w:color w:val="000000" w:themeColor="text1"/>
          <w:sz w:val="24"/>
          <w:szCs w:val="24"/>
        </w:rPr>
      </w:pPr>
      <w:r>
        <w:rPr>
          <w:rFonts w:ascii="UICTFontTextStyleEmphasizedBody" w:eastAsiaTheme="minorEastAsia" w:hAnsi="UICTFontTextStyleEmphasizedBody"/>
          <w:b/>
          <w:bCs/>
          <w:color w:val="000000" w:themeColor="text1"/>
          <w:sz w:val="24"/>
          <w:szCs w:val="24"/>
        </w:rPr>
        <w:t>Referencia del dataset (DANE):</w:t>
      </w:r>
    </w:p>
    <w:p w14:paraId="46E10236" w14:textId="77777777" w:rsidR="00CC3951" w:rsidRPr="00EC1662" w:rsidRDefault="00CC3951" w:rsidP="00CC3951">
      <w:pPr>
        <w:rPr>
          <w:rFonts w:ascii=".AppleSystemUIFont" w:eastAsiaTheme="minorEastAsia" w:hAnsi=".AppleSystemUIFont"/>
          <w:color w:val="000000" w:themeColor="text1"/>
          <w:sz w:val="24"/>
          <w:szCs w:val="24"/>
        </w:rPr>
      </w:pPr>
    </w:p>
    <w:p w14:paraId="411E9CC5" w14:textId="77777777" w:rsidR="00CC3951" w:rsidRPr="00EC1662" w:rsidRDefault="00CC3951" w:rsidP="00CC3951">
      <w:pPr>
        <w:rPr>
          <w:rFonts w:ascii=".AppleSystemUIFont" w:eastAsiaTheme="minorEastAsia" w:hAnsi=".AppleSystemUIFont"/>
          <w:color w:val="000000" w:themeColor="text1"/>
          <w:sz w:val="24"/>
          <w:szCs w:val="24"/>
        </w:rPr>
      </w:pPr>
      <w:r>
        <w:rPr>
          <w:rFonts w:ascii="UICTFontTextStyleBody" w:eastAsiaTheme="minorEastAsia" w:hAnsi="UICTFontTextStyleBody"/>
          <w:color w:val="000000" w:themeColor="text1"/>
          <w:sz w:val="24"/>
          <w:szCs w:val="24"/>
        </w:rPr>
        <w:t xml:space="preserve">Departamento Administrativo Nacional de Estadística [DANE]. (2024). </w:t>
      </w:r>
      <w:r>
        <w:rPr>
          <w:rFonts w:ascii="UICTFontTextStyleItalicBody" w:eastAsiaTheme="minorEastAsia" w:hAnsi="UICTFontTextStyleItalicBody"/>
          <w:color w:val="000000" w:themeColor="text1"/>
          <w:sz w:val="24"/>
          <w:szCs w:val="24"/>
        </w:rPr>
        <w:t>Encuesta Nacional de Calidad de Vida (ECV) 2023</w:t>
      </w:r>
      <w:r>
        <w:rPr>
          <w:rFonts w:ascii="UICTFontTextStyleBody" w:eastAsiaTheme="minorEastAsia" w:hAnsi="UICTFontTextStyleBody"/>
          <w:color w:val="000000" w:themeColor="text1"/>
          <w:sz w:val="24"/>
          <w:szCs w:val="24"/>
        </w:rPr>
        <w:t xml:space="preserve"> [Conjunto de datos]. </w:t>
      </w:r>
      <w:hyperlink r:id="rId12" w:history="1">
        <w:r>
          <w:rPr>
            <w:rFonts w:ascii="UICTFontTextStyleBody" w:eastAsiaTheme="minorEastAsia" w:hAnsi="UICTFontTextStyleBody"/>
            <w:color w:val="000000" w:themeColor="text1"/>
            <w:sz w:val="24"/>
            <w:szCs w:val="24"/>
            <w:u w:val="single"/>
          </w:rPr>
          <w:t>https://microdatos.dane.gov.co/index.php/catalog/827</w:t>
        </w:r>
      </w:hyperlink>
    </w:p>
    <w:p w14:paraId="63C3DDCC" w14:textId="77777777" w:rsidR="00CC3951" w:rsidRPr="00EC1662" w:rsidRDefault="00CC3951" w:rsidP="00CC3951">
      <w:pPr>
        <w:rPr>
          <w:rFonts w:ascii=".AppleSystemUIFont" w:eastAsiaTheme="minorEastAsia" w:hAnsi=".AppleSystemUIFont"/>
          <w:color w:val="000000" w:themeColor="text1"/>
          <w:sz w:val="24"/>
          <w:szCs w:val="24"/>
        </w:rPr>
      </w:pPr>
    </w:p>
    <w:p w14:paraId="6C20BB51" w14:textId="77777777" w:rsidR="00CC3951" w:rsidRPr="00EC1662" w:rsidRDefault="00CC3951" w:rsidP="00CC3951">
      <w:pPr>
        <w:rPr>
          <w:rFonts w:ascii=".AppleSystemUIFont" w:eastAsiaTheme="minorEastAsia" w:hAnsi=".AppleSystemUIFont"/>
          <w:color w:val="000000" w:themeColor="text1"/>
          <w:sz w:val="24"/>
          <w:szCs w:val="24"/>
        </w:rPr>
      </w:pPr>
      <w:r>
        <w:rPr>
          <w:rFonts w:ascii="UICTFontTextStyleEmphasizedBody" w:eastAsiaTheme="minorEastAsia" w:hAnsi="UICTFontTextStyleEmphasizedBody"/>
          <w:b/>
          <w:bCs/>
          <w:color w:val="000000" w:themeColor="text1"/>
          <w:sz w:val="24"/>
          <w:szCs w:val="24"/>
        </w:rPr>
        <w:t>Documentación técnica y metodológica (DANE):</w:t>
      </w:r>
    </w:p>
    <w:p w14:paraId="3EBEF4F5" w14:textId="77777777" w:rsidR="00CC3951" w:rsidRPr="00EC1662" w:rsidRDefault="00CC3951" w:rsidP="00CC3951">
      <w:pPr>
        <w:rPr>
          <w:rFonts w:ascii=".AppleSystemUIFont" w:eastAsiaTheme="minorEastAsia" w:hAnsi=".AppleSystemUIFont"/>
          <w:color w:val="000000" w:themeColor="text1"/>
          <w:sz w:val="24"/>
          <w:szCs w:val="24"/>
        </w:rPr>
      </w:pPr>
    </w:p>
    <w:p w14:paraId="3EC82F73" w14:textId="77777777" w:rsidR="00CC3951" w:rsidRPr="00EC1662" w:rsidRDefault="00CC3951" w:rsidP="00CC3951">
      <w:pPr>
        <w:rPr>
          <w:rFonts w:ascii=".AppleSystemUIFont" w:eastAsiaTheme="minorEastAsia" w:hAnsi=".AppleSystemUIFont"/>
          <w:color w:val="000000" w:themeColor="text1"/>
          <w:sz w:val="24"/>
          <w:szCs w:val="24"/>
        </w:rPr>
      </w:pPr>
      <w:r>
        <w:rPr>
          <w:rFonts w:ascii="UICTFontTextStyleBody" w:eastAsiaTheme="minorEastAsia" w:hAnsi="UICTFontTextStyleBody"/>
          <w:color w:val="000000" w:themeColor="text1"/>
          <w:sz w:val="24"/>
          <w:szCs w:val="24"/>
        </w:rPr>
        <w:t>Departamento Administrativo Nacional de Estadística [DANE]. (2025). Pobreza multidimensional en Colombia, año 2024 [Boletín técnico]. https://www.dane.gov.co/files/operaciones/PM/bol-PMultidimensional-2024.pdf</w:t>
      </w:r>
    </w:p>
    <w:p w14:paraId="20D11D74" w14:textId="77777777" w:rsidR="00CC3951" w:rsidRPr="00EC1662" w:rsidRDefault="00CC3951" w:rsidP="00CC3951">
      <w:pPr>
        <w:rPr>
          <w:rFonts w:ascii=".AppleSystemUIFont" w:eastAsiaTheme="minorEastAsia" w:hAnsi=".AppleSystemUIFont"/>
          <w:color w:val="000000" w:themeColor="text1"/>
          <w:sz w:val="24"/>
          <w:szCs w:val="24"/>
        </w:rPr>
      </w:pPr>
    </w:p>
    <w:p w14:paraId="1163BA58" w14:textId="77777777" w:rsidR="00CC3951" w:rsidRPr="00EC1662" w:rsidRDefault="00CC3951" w:rsidP="00CC3951">
      <w:pPr>
        <w:rPr>
          <w:rFonts w:ascii=".AppleSystemUIFont" w:eastAsiaTheme="minorEastAsia" w:hAnsi=".AppleSystemUIFont"/>
          <w:color w:val="000000" w:themeColor="text1"/>
          <w:sz w:val="24"/>
          <w:szCs w:val="24"/>
        </w:rPr>
      </w:pPr>
      <w:r>
        <w:rPr>
          <w:rFonts w:ascii="UICTFontTextStyleBody" w:eastAsiaTheme="minorEastAsia" w:hAnsi="UICTFontTextStyleBody"/>
          <w:color w:val="000000" w:themeColor="text1"/>
          <w:sz w:val="24"/>
          <w:szCs w:val="24"/>
        </w:rPr>
        <w:t>Departamento Administrativo Nacional de Estadística [DANE]. (2014). Metodología Índice de Pobreza Multidimensional (IPM). https://www.dane.gov.co/files/operaciones/PM/met-IPM.pdf</w:t>
      </w:r>
    </w:p>
    <w:p w14:paraId="39F07538" w14:textId="77777777" w:rsidR="00CC3951" w:rsidRPr="00EC1662" w:rsidRDefault="00CC3951" w:rsidP="00CC3951">
      <w:pPr>
        <w:rPr>
          <w:rFonts w:ascii=".AppleSystemUIFont" w:eastAsiaTheme="minorEastAsia" w:hAnsi=".AppleSystemUIFont"/>
          <w:color w:val="000000" w:themeColor="text1"/>
          <w:sz w:val="24"/>
          <w:szCs w:val="24"/>
        </w:rPr>
      </w:pPr>
    </w:p>
    <w:p w14:paraId="58CDC879" w14:textId="77777777" w:rsidR="00CC3951" w:rsidRPr="00EC1662" w:rsidRDefault="00CC3951" w:rsidP="00CC3951">
      <w:pPr>
        <w:rPr>
          <w:rFonts w:ascii=".AppleSystemUIFont" w:eastAsiaTheme="minorEastAsia" w:hAnsi=".AppleSystemUIFont"/>
          <w:color w:val="000000" w:themeColor="text1"/>
          <w:sz w:val="24"/>
          <w:szCs w:val="24"/>
        </w:rPr>
      </w:pPr>
      <w:r>
        <w:rPr>
          <w:rFonts w:ascii="UICTFontTextStyleBody" w:eastAsiaTheme="minorEastAsia" w:hAnsi="UICTFontTextStyleBody"/>
          <w:color w:val="000000" w:themeColor="text1"/>
          <w:sz w:val="24"/>
          <w:szCs w:val="24"/>
        </w:rPr>
        <w:t>Departamento Administrativo Nacional de Estadística [DANE]. (s. f.). Encuesta Nacional de Calidad de Vida (ECV) 2023: metodología general (versión 16) y estructura de la base de datos [Documentación técnica]. https://microdatos.dane.gov.co/index.php/catalog/827</w:t>
      </w:r>
    </w:p>
    <w:p w14:paraId="4E711286" w14:textId="77777777" w:rsidR="00CC3951" w:rsidRPr="00EC1662" w:rsidRDefault="00CC3951" w:rsidP="00CC3951">
      <w:pPr>
        <w:rPr>
          <w:rFonts w:ascii=".AppleSystemUIFont" w:eastAsiaTheme="minorEastAsia" w:hAnsi=".AppleSystemUIFont"/>
          <w:color w:val="000000" w:themeColor="text1"/>
          <w:sz w:val="24"/>
          <w:szCs w:val="24"/>
        </w:rPr>
      </w:pPr>
    </w:p>
    <w:p w14:paraId="62E07A2A" w14:textId="77777777" w:rsidR="00CC3951" w:rsidRPr="00EC1662" w:rsidRDefault="00CC3951" w:rsidP="00CC3951">
      <w:pPr>
        <w:rPr>
          <w:rFonts w:ascii=".AppleSystemUIFont" w:eastAsiaTheme="minorEastAsia" w:hAnsi=".AppleSystemUIFont"/>
          <w:color w:val="000000" w:themeColor="text1"/>
          <w:sz w:val="24"/>
          <w:szCs w:val="24"/>
        </w:rPr>
      </w:pPr>
      <w:r>
        <w:rPr>
          <w:rFonts w:ascii="UICTFontTextStyleEmphasizedBody" w:eastAsiaTheme="minorEastAsia" w:hAnsi="UICTFontTextStyleEmphasizedBody"/>
          <w:b/>
          <w:bCs/>
          <w:color w:val="000000" w:themeColor="text1"/>
          <w:sz w:val="24"/>
          <w:szCs w:val="24"/>
        </w:rPr>
        <w:t>Referencia del uso de IA (Claude):</w:t>
      </w:r>
    </w:p>
    <w:p w14:paraId="58BB9524" w14:textId="77777777" w:rsidR="00CC3951" w:rsidRPr="00EC1662" w:rsidRDefault="00CC3951" w:rsidP="00CC3951">
      <w:pPr>
        <w:rPr>
          <w:rFonts w:ascii=".AppleSystemUIFont" w:eastAsiaTheme="minorEastAsia" w:hAnsi=".AppleSystemUIFont"/>
          <w:color w:val="000000" w:themeColor="text1"/>
          <w:sz w:val="24"/>
          <w:szCs w:val="24"/>
        </w:rPr>
      </w:pPr>
    </w:p>
    <w:p w14:paraId="2F5577E5" w14:textId="7634B97B" w:rsidR="00CC3951" w:rsidRPr="008F6EB0" w:rsidRDefault="00CC3951" w:rsidP="00CC3951">
      <w:pPr>
        <w:rPr>
          <w:rFonts w:ascii=".AppleSystemUIFont" w:eastAsiaTheme="minorEastAsia" w:hAnsi=".AppleSystemUIFont"/>
          <w:color w:val="000000" w:themeColor="text1"/>
          <w:sz w:val="24"/>
          <w:szCs w:val="24"/>
          <w:lang w:val="en-US"/>
        </w:rPr>
      </w:pPr>
      <w:r w:rsidRPr="008F6EB0">
        <w:rPr>
          <w:rFonts w:ascii="UICTFontTextStyleBody" w:eastAsiaTheme="minorEastAsia" w:hAnsi="UICTFontTextStyleBody"/>
          <w:color w:val="000000" w:themeColor="text1"/>
          <w:sz w:val="24"/>
          <w:szCs w:val="24"/>
          <w:lang w:val="en-US"/>
        </w:rPr>
        <w:t xml:space="preserve">Anthropic. (2026). </w:t>
      </w:r>
      <w:r w:rsidRPr="008F6EB0">
        <w:rPr>
          <w:rFonts w:ascii="UICTFontTextStyleItalicBody" w:eastAsiaTheme="minorEastAsia" w:hAnsi="UICTFontTextStyleItalicBody"/>
          <w:color w:val="000000" w:themeColor="text1"/>
          <w:sz w:val="24"/>
          <w:szCs w:val="24"/>
          <w:lang w:val="en-US"/>
        </w:rPr>
        <w:t>Claude</w:t>
      </w:r>
      <w:r w:rsidRPr="008F6EB0">
        <w:rPr>
          <w:rFonts w:ascii="UICTFontTextStyleBody" w:eastAsiaTheme="minorEastAsia" w:hAnsi="UICTFontTextStyleBody"/>
          <w:color w:val="000000" w:themeColor="text1"/>
          <w:sz w:val="24"/>
          <w:szCs w:val="24"/>
          <w:lang w:val="en-US"/>
        </w:rPr>
        <w:t xml:space="preserve"> (Sonnet 5). </w:t>
      </w:r>
      <w:hyperlink r:id="rId13" w:history="1">
        <w:r w:rsidRPr="008F6EB0">
          <w:rPr>
            <w:rFonts w:ascii="UICTFontTextStyleBody" w:eastAsiaTheme="minorEastAsia" w:hAnsi="UICTFontTextStyleBody"/>
            <w:color w:val="000000" w:themeColor="text1"/>
            <w:sz w:val="24"/>
            <w:szCs w:val="24"/>
            <w:u w:val="single"/>
            <w:lang w:val="en-US"/>
          </w:rPr>
          <w:t>https://claude.ai</w:t>
        </w:r>
      </w:hyperlink>
    </w:p>
    <w:p w14:paraId="27776983" w14:textId="77777777" w:rsidR="00CC3951" w:rsidRPr="008F6EB0" w:rsidRDefault="00CC3951">
      <w:pPr>
        <w:spacing w:after="180" w:line="276" w:lineRule="auto"/>
        <w:jc w:val="both"/>
        <w:rPr>
          <w:color w:val="000000" w:themeColor="text1"/>
          <w:lang w:val="en-US"/>
        </w:rPr>
      </w:pPr>
    </w:p>
    <w:sectPr w:rsidR="00CC3951" w:rsidRPr="008F6EB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pleSystemUIFont">
    <w:altName w:val="Cambria"/>
    <w:charset w:val="00"/>
    <w:family w:val="roman"/>
    <w:pitch w:val="default"/>
  </w:font>
  <w:font w:name="UICTFontTextStyleEmphasizedBody">
    <w:altName w:val="Cambria"/>
    <w:charset w:val="00"/>
    <w:family w:val="roman"/>
    <w:pitch w:val="default"/>
  </w:font>
  <w:font w:name="UICTFontTextStyleBody">
    <w:altName w:val="Cambria"/>
    <w:charset w:val="00"/>
    <w:family w:val="roman"/>
    <w:pitch w:val="default"/>
  </w:font>
  <w:font w:name="UICTFontTextStyleItalicBody">
    <w:altName w:val="Cambria"/>
    <w:charset w:val="00"/>
    <w:family w:val="roman"/>
    <w:pitch w:val="default"/>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83237"/>
    <w:multiLevelType w:val="hybridMultilevel"/>
    <w:tmpl w:val="FFFFFFFF"/>
    <w:lvl w:ilvl="0" w:tplc="379A8726">
      <w:start w:val="1"/>
      <w:numFmt w:val="bullet"/>
      <w:lvlText w:val="•"/>
      <w:lvlJc w:val="left"/>
      <w:pPr>
        <w:ind w:left="504" w:hanging="259"/>
      </w:pPr>
    </w:lvl>
    <w:lvl w:ilvl="1" w:tplc="467C9612">
      <w:start w:val="1"/>
      <w:numFmt w:val="bullet"/>
      <w:lvlText w:val="◦"/>
      <w:lvlJc w:val="left"/>
      <w:pPr>
        <w:ind w:left="1008" w:hanging="259"/>
      </w:pPr>
    </w:lvl>
    <w:lvl w:ilvl="2" w:tplc="B9129BDA">
      <w:numFmt w:val="decimal"/>
      <w:lvlText w:val=""/>
      <w:lvlJc w:val="left"/>
    </w:lvl>
    <w:lvl w:ilvl="3" w:tplc="6D7003D0">
      <w:numFmt w:val="decimal"/>
      <w:lvlText w:val=""/>
      <w:lvlJc w:val="left"/>
    </w:lvl>
    <w:lvl w:ilvl="4" w:tplc="8F2C18DE">
      <w:numFmt w:val="decimal"/>
      <w:lvlText w:val=""/>
      <w:lvlJc w:val="left"/>
    </w:lvl>
    <w:lvl w:ilvl="5" w:tplc="5C9C3102">
      <w:numFmt w:val="decimal"/>
      <w:lvlText w:val=""/>
      <w:lvlJc w:val="left"/>
    </w:lvl>
    <w:lvl w:ilvl="6" w:tplc="7B283F86">
      <w:numFmt w:val="decimal"/>
      <w:lvlText w:val=""/>
      <w:lvlJc w:val="left"/>
    </w:lvl>
    <w:lvl w:ilvl="7" w:tplc="6B341F38">
      <w:numFmt w:val="decimal"/>
      <w:lvlText w:val=""/>
      <w:lvlJc w:val="left"/>
    </w:lvl>
    <w:lvl w:ilvl="8" w:tplc="1A14BBFC">
      <w:numFmt w:val="decimal"/>
      <w:lvlText w:val=""/>
      <w:lvlJc w:val="left"/>
    </w:lvl>
  </w:abstractNum>
  <w:abstractNum w:abstractNumId="1" w15:restartNumberingAfterBreak="0">
    <w:nsid w:val="2FAC11CB"/>
    <w:multiLevelType w:val="hybridMultilevel"/>
    <w:tmpl w:val="FFFFFFFF"/>
    <w:lvl w:ilvl="0" w:tplc="BD309570">
      <w:start w:val="1"/>
      <w:numFmt w:val="bullet"/>
      <w:lvlText w:val="●"/>
      <w:lvlJc w:val="left"/>
      <w:pPr>
        <w:ind w:left="720" w:hanging="360"/>
      </w:pPr>
    </w:lvl>
    <w:lvl w:ilvl="1" w:tplc="6C02E490">
      <w:start w:val="1"/>
      <w:numFmt w:val="bullet"/>
      <w:lvlText w:val="○"/>
      <w:lvlJc w:val="left"/>
      <w:pPr>
        <w:ind w:left="1440" w:hanging="360"/>
      </w:pPr>
    </w:lvl>
    <w:lvl w:ilvl="2" w:tplc="F128306A">
      <w:start w:val="1"/>
      <w:numFmt w:val="bullet"/>
      <w:lvlText w:val="■"/>
      <w:lvlJc w:val="left"/>
      <w:pPr>
        <w:ind w:left="2160" w:hanging="360"/>
      </w:pPr>
    </w:lvl>
    <w:lvl w:ilvl="3" w:tplc="D3BC6DDC">
      <w:start w:val="1"/>
      <w:numFmt w:val="bullet"/>
      <w:lvlText w:val="●"/>
      <w:lvlJc w:val="left"/>
      <w:pPr>
        <w:ind w:left="2880" w:hanging="360"/>
      </w:pPr>
    </w:lvl>
    <w:lvl w:ilvl="4" w:tplc="FB569414">
      <w:start w:val="1"/>
      <w:numFmt w:val="bullet"/>
      <w:lvlText w:val="○"/>
      <w:lvlJc w:val="left"/>
      <w:pPr>
        <w:ind w:left="3600" w:hanging="360"/>
      </w:pPr>
    </w:lvl>
    <w:lvl w:ilvl="5" w:tplc="3DFC7A88">
      <w:start w:val="1"/>
      <w:numFmt w:val="bullet"/>
      <w:lvlText w:val="■"/>
      <w:lvlJc w:val="left"/>
      <w:pPr>
        <w:ind w:left="4320" w:hanging="360"/>
      </w:pPr>
    </w:lvl>
    <w:lvl w:ilvl="6" w:tplc="470606F4">
      <w:start w:val="1"/>
      <w:numFmt w:val="bullet"/>
      <w:lvlText w:val="●"/>
      <w:lvlJc w:val="left"/>
      <w:pPr>
        <w:ind w:left="5040" w:hanging="360"/>
      </w:pPr>
    </w:lvl>
    <w:lvl w:ilvl="7" w:tplc="1A0E0B1A">
      <w:start w:val="1"/>
      <w:numFmt w:val="bullet"/>
      <w:lvlText w:val="●"/>
      <w:lvlJc w:val="left"/>
      <w:pPr>
        <w:ind w:left="5760" w:hanging="360"/>
      </w:pPr>
    </w:lvl>
    <w:lvl w:ilvl="8" w:tplc="21F2BE54">
      <w:start w:val="1"/>
      <w:numFmt w:val="bullet"/>
      <w:lvlText w:val="●"/>
      <w:lvlJc w:val="left"/>
      <w:pPr>
        <w:ind w:left="6480" w:hanging="360"/>
      </w:pPr>
    </w:lvl>
  </w:abstractNum>
  <w:num w:numId="1" w16cid:durableId="953629985">
    <w:abstractNumId w:val="1"/>
    <w:lvlOverride w:ilvl="0">
      <w:startOverride w:val="1"/>
    </w:lvlOverride>
  </w:num>
  <w:num w:numId="2" w16cid:durableId="6121353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0DD"/>
    <w:rsid w:val="00022356"/>
    <w:rsid w:val="00042D0E"/>
    <w:rsid w:val="00157BEC"/>
    <w:rsid w:val="00274F44"/>
    <w:rsid w:val="00294B02"/>
    <w:rsid w:val="002D1B5C"/>
    <w:rsid w:val="002D42D4"/>
    <w:rsid w:val="0034720E"/>
    <w:rsid w:val="003763A9"/>
    <w:rsid w:val="003C625B"/>
    <w:rsid w:val="004037D1"/>
    <w:rsid w:val="00412170"/>
    <w:rsid w:val="00424A90"/>
    <w:rsid w:val="004836AB"/>
    <w:rsid w:val="00496FE0"/>
    <w:rsid w:val="00557743"/>
    <w:rsid w:val="005D0402"/>
    <w:rsid w:val="00622682"/>
    <w:rsid w:val="00662DF7"/>
    <w:rsid w:val="006C5336"/>
    <w:rsid w:val="006C70DD"/>
    <w:rsid w:val="007B666C"/>
    <w:rsid w:val="007F5A62"/>
    <w:rsid w:val="008E7F01"/>
    <w:rsid w:val="008F6EB0"/>
    <w:rsid w:val="0093189C"/>
    <w:rsid w:val="009607D0"/>
    <w:rsid w:val="00AB76D2"/>
    <w:rsid w:val="00AE06EC"/>
    <w:rsid w:val="00B0738F"/>
    <w:rsid w:val="00B8648C"/>
    <w:rsid w:val="00BC7A9D"/>
    <w:rsid w:val="00BD0CA8"/>
    <w:rsid w:val="00C21E43"/>
    <w:rsid w:val="00C32C6A"/>
    <w:rsid w:val="00CA2BE5"/>
    <w:rsid w:val="00CC3951"/>
    <w:rsid w:val="00D32D08"/>
    <w:rsid w:val="00D61037"/>
    <w:rsid w:val="00D92E65"/>
    <w:rsid w:val="00D932AD"/>
    <w:rsid w:val="00DF4D07"/>
    <w:rsid w:val="00EC1662"/>
    <w:rsid w:val="00EE29CC"/>
    <w:rsid w:val="00EF40B2"/>
    <w:rsid w:val="00EF5609"/>
    <w:rsid w:val="00EF62A5"/>
    <w:rsid w:val="00F06B1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997D3"/>
  <w15:docId w15:val="{F3306C84-6343-C741-931C-A67032A77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p1">
    <w:name w:val="p1"/>
    <w:basedOn w:val="Normal"/>
    <w:rsid w:val="00CC3951"/>
    <w:rPr>
      <w:rFonts w:ascii=".AppleSystemUIFont" w:eastAsiaTheme="minorEastAsia" w:hAnsi=".AppleSystemUIFont"/>
      <w:sz w:val="24"/>
      <w:szCs w:val="24"/>
    </w:rPr>
  </w:style>
  <w:style w:type="paragraph" w:customStyle="1" w:styleId="p2">
    <w:name w:val="p2"/>
    <w:basedOn w:val="Normal"/>
    <w:rsid w:val="00CC3951"/>
    <w:rPr>
      <w:rFonts w:ascii=".AppleSystemUIFont" w:eastAsiaTheme="minorEastAsia" w:hAnsi=".AppleSystemUIFont"/>
      <w:sz w:val="24"/>
      <w:szCs w:val="24"/>
    </w:rPr>
  </w:style>
  <w:style w:type="character" w:customStyle="1" w:styleId="s1">
    <w:name w:val="s1"/>
    <w:basedOn w:val="DefaultParagraphFont"/>
    <w:rsid w:val="00CC3951"/>
    <w:rPr>
      <w:rFonts w:ascii="UICTFontTextStyleEmphasizedBody" w:hAnsi="UICTFontTextStyleEmphasizedBody" w:hint="default"/>
      <w:b/>
      <w:bCs/>
      <w:i w:val="0"/>
      <w:iCs w:val="0"/>
      <w:sz w:val="24"/>
      <w:szCs w:val="24"/>
    </w:rPr>
  </w:style>
  <w:style w:type="character" w:customStyle="1" w:styleId="s2">
    <w:name w:val="s2"/>
    <w:basedOn w:val="DefaultParagraphFont"/>
    <w:rsid w:val="00CC3951"/>
    <w:rPr>
      <w:rFonts w:ascii="UICTFontTextStyleBody" w:hAnsi="UICTFontTextStyleBody" w:hint="default"/>
      <w:b w:val="0"/>
      <w:bCs w:val="0"/>
      <w:i w:val="0"/>
      <w:iCs w:val="0"/>
      <w:sz w:val="24"/>
      <w:szCs w:val="24"/>
    </w:rPr>
  </w:style>
  <w:style w:type="character" w:customStyle="1" w:styleId="s3">
    <w:name w:val="s3"/>
    <w:basedOn w:val="DefaultParagraphFont"/>
    <w:rsid w:val="00CC3951"/>
    <w:rPr>
      <w:rFonts w:ascii="UICTFontTextStyleItalicBody" w:hAnsi="UICTFontTextStyleItalicBody" w:hint="default"/>
      <w:b w:val="0"/>
      <w:bCs w:val="0"/>
      <w:i/>
      <w:i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claude.ai"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microdatos.dane.gov.co/index.php/catalog/82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10</Pages>
  <Words>2006</Words>
  <Characters>11034</Characters>
  <Application>Microsoft Office Word</Application>
  <DocSecurity>0</DocSecurity>
  <Lines>91</Lines>
  <Paragraphs>26</Paragraphs>
  <ScaleCrop>false</ScaleCrop>
  <Company/>
  <LinksUpToDate>false</LinksUpToDate>
  <CharactersWithSpaces>13014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JEISSON DAVID SANCHEZ GOMEZ</cp:lastModifiedBy>
  <cp:revision>42</cp:revision>
  <dcterms:created xsi:type="dcterms:W3CDTF">2026-09-05T12:55:00Z</dcterms:created>
  <dcterms:modified xsi:type="dcterms:W3CDTF">2026-10-03T06:13:00Z</dcterms:modified>
</cp:coreProperties>
</file>