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BDDD" w14:textId="201042FB" w:rsidR="00F15DBF" w:rsidRPr="00F15DBF" w:rsidRDefault="00F15DBF" w:rsidP="00F15DBF">
      <w:pPr>
        <w:spacing w:after="150" w:line="300" w:lineRule="atLeast"/>
        <w:outlineLvl w:val="0"/>
        <w:rPr>
          <w:rFonts w:ascii="ClearSansBold" w:eastAsia="Times New Roman" w:hAnsi="ClearSansBold" w:cs="Times New Roman"/>
          <w:caps/>
          <w:color w:val="3E3E3E"/>
          <w:kern w:val="36"/>
          <w:sz w:val="24"/>
          <w:szCs w:val="24"/>
          <w:lang w:eastAsia="ru-RU"/>
        </w:rPr>
      </w:pPr>
      <w:r w:rsidRPr="00F15DBF">
        <w:rPr>
          <w:rFonts w:ascii="ClearSansBold" w:eastAsia="Times New Roman" w:hAnsi="ClearSansBold" w:cs="Times New Roman"/>
          <w:caps/>
          <w:color w:val="3E3E3E"/>
          <w:kern w:val="36"/>
          <w:sz w:val="24"/>
          <w:szCs w:val="24"/>
          <w:lang w:eastAsia="ru-RU"/>
        </w:rPr>
        <w:t xml:space="preserve">ЛАБОРАТОРНАЯ РАБОТА ПО ОЦЕНКЕ И АНАЛИЗУ РИСКОВ </w:t>
      </w:r>
    </w:p>
    <w:p w14:paraId="3E54906A" w14:textId="07B9E0C3" w:rsidR="00F15DBF" w:rsidRPr="00F15DBF" w:rsidRDefault="00F15DBF" w:rsidP="00F15DBF">
      <w:pPr>
        <w:spacing w:after="0" w:line="240" w:lineRule="auto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noProof/>
          <w:color w:val="29B29D"/>
          <w:sz w:val="20"/>
          <w:szCs w:val="20"/>
          <w:lang w:eastAsia="ru-RU"/>
        </w:rPr>
        <w:drawing>
          <wp:inline distT="0" distB="0" distL="0" distR="0" wp14:anchorId="7AE6DF3D" wp14:editId="0B4240BA">
            <wp:extent cx="4476750" cy="6419850"/>
            <wp:effectExtent l="0" t="0" r="0" b="0"/>
            <wp:docPr id="2" name="Рисунок 2" descr="Лабораторная работа по оценке и анализу рисков вариант 1 [25.10.14]">
              <a:hlinkClick xmlns:a="http://schemas.openxmlformats.org/drawingml/2006/main" r:id="rId5" tgtFrame="&quot;_blank&quot;" tooltip="&quot;Лабораторная работа по оценке и анализу рисков вариант 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абораторная работа по оценке и анализу рисков вариант 1 [25.10.14]">
                      <a:hlinkClick r:id="rId5" tgtFrame="&quot;_blank&quot;" tooltip="&quot;Лабораторная работа по оценке и анализу рисков вариант 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172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Тема: Лабораторная работа по оценке и анализу рисков вариант 1</w:t>
      </w:r>
    </w:p>
    <w:p w14:paraId="08C5716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Раздел: </w:t>
      </w:r>
      <w:hyperlink r:id="rId7" w:history="1">
        <w:r w:rsidRPr="00F15DBF">
          <w:rPr>
            <w:rFonts w:ascii="ClearSansRegular" w:eastAsia="Times New Roman" w:hAnsi="ClearSansRegular" w:cs="Times New Roman"/>
            <w:color w:val="29B29D"/>
            <w:sz w:val="20"/>
            <w:szCs w:val="20"/>
            <w:u w:val="single"/>
            <w:lang w:eastAsia="ru-RU"/>
          </w:rPr>
          <w:t>Бесплатные рефераты по оценке и анализу рисков</w:t>
        </w:r>
      </w:hyperlink>
    </w:p>
    <w:p w14:paraId="199B840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Тип: Лабораторная работа | Размер: 715.14K | Скачано: 112 | Добавлен 25.10.14 в 19:29 | Рейтинг: 0 | Еще </w:t>
      </w:r>
      <w:hyperlink r:id="rId8" w:history="1">
        <w:r w:rsidRPr="00F15DBF">
          <w:rPr>
            <w:rFonts w:ascii="ClearSansRegular" w:eastAsia="Times New Roman" w:hAnsi="ClearSansRegular" w:cs="Times New Roman"/>
            <w:color w:val="29B29D"/>
            <w:sz w:val="20"/>
            <w:szCs w:val="20"/>
            <w:u w:val="single"/>
            <w:lang w:eastAsia="ru-RU"/>
          </w:rPr>
          <w:t>Лабораторные работы</w:t>
        </w:r>
      </w:hyperlink>
    </w:p>
    <w:p w14:paraId="7E241E8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Вуз: Финансовый университет</w:t>
      </w:r>
    </w:p>
    <w:p w14:paraId="4AB4577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Год и город: Уфа 2014</w:t>
      </w:r>
    </w:p>
    <w:p w14:paraId="038D6201" w14:textId="77777777" w:rsidR="00F15DBF" w:rsidRPr="00F15DBF" w:rsidRDefault="00F15DBF" w:rsidP="00F15DBF">
      <w:pPr>
        <w:spacing w:after="0" w:line="240" w:lineRule="auto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</w:p>
    <w:p w14:paraId="61F5830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lang w:eastAsia="ru-RU"/>
        </w:rPr>
        <w:lastRenderedPageBreak/>
        <w:t>Задача 1. Выбор управленческих решений в ситуациях неопределенности и риска</w:t>
      </w:r>
    </w:p>
    <w:p w14:paraId="22B1568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Дана матрица последствий Q, в которой строки — возможные управленческие решения, а столбцы — исходы, соответствующие альтернативным вариантам реальной ситуации (состояниям внешней среды).</w:t>
      </w:r>
    </w:p>
    <w:p w14:paraId="0851337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Выберите рациональную управленческую стратегию, применяя критерии (правила) максимакса, Вальда, Гурвица и Сэвиджа. Примите рекомендуемое значение α-критерия Гурвица.</w:t>
      </w:r>
    </w:p>
    <w:p w14:paraId="2E310FF6" w14:textId="15EB9B82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noProof/>
          <w:color w:val="3E3E3E"/>
          <w:sz w:val="20"/>
          <w:szCs w:val="20"/>
          <w:lang w:eastAsia="ru-RU"/>
        </w:rPr>
        <w:drawing>
          <wp:inline distT="0" distB="0" distL="0" distR="0" wp14:anchorId="060F1D53" wp14:editId="1B228240">
            <wp:extent cx="2057400" cy="762000"/>
            <wp:effectExtent l="0" t="0" r="0" b="0"/>
            <wp:docPr id="1" name="Рисунок 1" descr="Примите рекомендуемое значение α-критерия Гурв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имите рекомендуемое значение α-критерия Гурвиц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2A2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lang w:eastAsia="ru-RU"/>
        </w:rPr>
        <w:t>Задача 2. Выбор управленческих решений в ситуациях риска</w:t>
      </w:r>
    </w:p>
    <w:p w14:paraId="0AE3250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Рассматриваются два альтернативных проекта A и B.</w:t>
      </w:r>
    </w:p>
    <w:p w14:paraId="4711679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Оценив их рисковость, выберите наиболее привлекательный проект. Приняты следующие обозначения: pi — вероятности состояния внешней среды; xi — соответствующие доходности проектов.</w:t>
      </w:r>
    </w:p>
    <w:tbl>
      <w:tblPr>
        <w:tblW w:w="107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960"/>
        <w:gridCol w:w="750"/>
        <w:gridCol w:w="750"/>
        <w:gridCol w:w="750"/>
        <w:gridCol w:w="1020"/>
        <w:gridCol w:w="915"/>
        <w:gridCol w:w="1065"/>
        <w:gridCol w:w="705"/>
        <w:gridCol w:w="705"/>
        <w:gridCol w:w="975"/>
        <w:gridCol w:w="990"/>
      </w:tblGrid>
      <w:tr w:rsidR="00F15DBF" w:rsidRPr="00F15DBF" w14:paraId="6987B12A" w14:textId="77777777" w:rsidTr="00F15DBF">
        <w:trPr>
          <w:trHeight w:val="450"/>
        </w:trPr>
        <w:tc>
          <w:tcPr>
            <w:tcW w:w="5355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0267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5355" w:type="dxa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F3F9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</w:tr>
      <w:tr w:rsidR="00F15DBF" w:rsidRPr="00F15DBF" w14:paraId="456DB386" w14:textId="77777777" w:rsidTr="00F15DBF">
        <w:trPr>
          <w:trHeight w:val="450"/>
        </w:trPr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48E4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2CA2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11E6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7CA5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9D6D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436F8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DB6C3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</w:t>
            </w: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93B8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E222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035A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68C67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50B4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</w:t>
            </w:r>
          </w:p>
        </w:tc>
      </w:tr>
      <w:tr w:rsidR="00F15DBF" w:rsidRPr="00F15DBF" w14:paraId="2547B66F" w14:textId="77777777" w:rsidTr="00F15DBF">
        <w:trPr>
          <w:trHeight w:val="450"/>
        </w:trPr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CFFA3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Xi, %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7CF87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15A8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B3A9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2D61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C358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10,5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D671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Xi, %</w:t>
            </w: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88CEF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393D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BE2A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8,5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3971B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10,3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8D09B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11,7</w:t>
            </w:r>
          </w:p>
        </w:tc>
      </w:tr>
    </w:tbl>
    <w:p w14:paraId="4B2E77F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lang w:eastAsia="ru-RU"/>
        </w:rPr>
        <w:t>Задача 3. Задача на формирование оптимального портфеля ценных бумаг</w:t>
      </w:r>
    </w:p>
    <w:p w14:paraId="50BE49E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По представленной информации:</w:t>
      </w:r>
    </w:p>
    <w:p w14:paraId="2F25FBB6" w14:textId="77777777" w:rsidR="00F15DBF" w:rsidRPr="00F15DBF" w:rsidRDefault="00F15DBF" w:rsidP="00F15DBF">
      <w:pPr>
        <w:numPr>
          <w:ilvl w:val="0"/>
          <w:numId w:val="1"/>
        </w:numPr>
        <w:spacing w:before="100" w:beforeAutospacing="1" w:after="100" w:afterAutospacing="1" w:line="24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 xml:space="preserve">определите характеристики каждой ценной бумаги: , R², а также общий (), рыночный, или систематический </w:t>
      </w: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softHyphen/>
        <w:t xml:space="preserve"> , и собственный, или несистематический </w:t>
      </w: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softHyphen/>
        <w:t>, риск;</w:t>
      </w:r>
    </w:p>
    <w:p w14:paraId="5F3631F5" w14:textId="77777777" w:rsidR="00F15DBF" w:rsidRPr="00F15DBF" w:rsidRDefault="00F15DBF" w:rsidP="00F15DBF">
      <w:pPr>
        <w:numPr>
          <w:ilvl w:val="0"/>
          <w:numId w:val="1"/>
        </w:numPr>
        <w:spacing w:before="100" w:beforeAutospacing="1" w:after="100" w:afterAutospacing="1" w:line="24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сформируйте портфель минимального риска из двух (трех, четырех) видов ценных бумаг при условии, что обеспечивается доходность портфеля не менее, чем по безрисковым ценным бумагам (облигациям) с учетом доходности по рыночному индексу РТС;</w:t>
      </w:r>
    </w:p>
    <w:p w14:paraId="3D2770BA" w14:textId="77777777" w:rsidR="00F15DBF" w:rsidRPr="00F15DBF" w:rsidRDefault="00F15DBF" w:rsidP="00F15DBF">
      <w:pPr>
        <w:numPr>
          <w:ilvl w:val="0"/>
          <w:numId w:val="1"/>
        </w:numPr>
        <w:spacing w:before="100" w:beforeAutospacing="1" w:after="100" w:afterAutospacing="1" w:line="24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постройте линию рынка ценных бумаг — SML.</w:t>
      </w:r>
    </w:p>
    <w:tbl>
      <w:tblPr>
        <w:tblW w:w="71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1230"/>
        <w:gridCol w:w="1230"/>
        <w:gridCol w:w="1470"/>
        <w:gridCol w:w="1245"/>
      </w:tblGrid>
      <w:tr w:rsidR="00F15DBF" w:rsidRPr="00F15DBF" w14:paraId="337DEFEA" w14:textId="77777777" w:rsidTr="00F15DBF">
        <w:trPr>
          <w:trHeight w:val="360"/>
        </w:trPr>
        <w:tc>
          <w:tcPr>
            <w:tcW w:w="71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C588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Доходности рынка и акций, %</w:t>
            </w:r>
          </w:p>
        </w:tc>
      </w:tr>
      <w:tr w:rsidR="00F15DBF" w:rsidRPr="00F15DBF" w14:paraId="469A8798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9C3E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DD507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2526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FE4B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68CF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F15DBF" w:rsidRPr="00F15DBF" w14:paraId="6BAF8671" w14:textId="77777777" w:rsidTr="00F15DBF">
        <w:trPr>
          <w:trHeight w:val="480"/>
        </w:trPr>
        <w:tc>
          <w:tcPr>
            <w:tcW w:w="19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09DF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12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9256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mt</w:t>
            </w:r>
          </w:p>
        </w:tc>
        <w:tc>
          <w:tcPr>
            <w:tcW w:w="123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DF43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mr</w:t>
            </w:r>
          </w:p>
        </w:tc>
        <w:tc>
          <w:tcPr>
            <w:tcW w:w="270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E69D8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Доходность ценных бумаг</w:t>
            </w:r>
          </w:p>
        </w:tc>
      </w:tr>
      <w:tr w:rsidR="00F15DBF" w:rsidRPr="00F15DBF" w14:paraId="1617284C" w14:textId="77777777" w:rsidTr="00F15DBF">
        <w:trPr>
          <w:trHeight w:val="36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C58A5F" w14:textId="77777777" w:rsidR="00F15DBF" w:rsidRPr="00F15DBF" w:rsidRDefault="00F15DBF" w:rsidP="00F15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05A38F4" w14:textId="77777777" w:rsidR="00F15DBF" w:rsidRPr="00F15DBF" w:rsidRDefault="00F15DBF" w:rsidP="00F15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47A556" w14:textId="77777777" w:rsidR="00F15DBF" w:rsidRPr="00F15DBF" w:rsidRDefault="00F15DBF" w:rsidP="00F15D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E8CA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7355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m2</w:t>
            </w:r>
          </w:p>
        </w:tc>
      </w:tr>
      <w:tr w:rsidR="00F15DBF" w:rsidRPr="00F15DBF" w14:paraId="75EE4F08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1BA9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FD133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1,98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9810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7817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DCA1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</w:t>
            </w:r>
          </w:p>
        </w:tc>
      </w:tr>
      <w:tr w:rsidR="00F15DBF" w:rsidRPr="00F15DBF" w14:paraId="5CB366F7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AEA1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2EAF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2,79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DD11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1,91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A34E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C061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1,13</w:t>
            </w:r>
          </w:p>
        </w:tc>
      </w:tr>
      <w:tr w:rsidR="00F15DBF" w:rsidRPr="00F15DBF" w14:paraId="58A77F5D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2092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67EA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4AF5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6A58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9ADA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</w:t>
            </w:r>
          </w:p>
        </w:tc>
      </w:tr>
      <w:tr w:rsidR="00F15DBF" w:rsidRPr="00F15DBF" w14:paraId="7C914E14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DE64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732C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1,99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44DC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9397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F5AF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F15DBF" w:rsidRPr="00F15DBF" w14:paraId="57FEF6B6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D56B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58C1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2,62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B484F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1,86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1DA43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F14D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1,47</w:t>
            </w:r>
          </w:p>
        </w:tc>
      </w:tr>
      <w:tr w:rsidR="00F15DBF" w:rsidRPr="00F15DBF" w14:paraId="2AE3A8F8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B7AF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8F6D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2C7C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1,54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65104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1,13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EE3B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</w:t>
            </w:r>
          </w:p>
        </w:tc>
      </w:tr>
      <w:tr w:rsidR="00F15DBF" w:rsidRPr="00F15DBF" w14:paraId="63A137A3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60DB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99E6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3,33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E4C0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2,84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873E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1,47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245EB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2,32</w:t>
            </w:r>
          </w:p>
        </w:tc>
      </w:tr>
      <w:tr w:rsidR="00F15DBF" w:rsidRPr="00F15DBF" w14:paraId="2197EBB2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05E4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E940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2,18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0B0A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59252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1,36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B083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2,19</w:t>
            </w:r>
          </w:p>
        </w:tc>
      </w:tr>
      <w:tr w:rsidR="00F15DBF" w:rsidRPr="00F15DBF" w14:paraId="66B189FB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9D5D7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9291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C8903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104BD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FBFE5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</w:t>
            </w:r>
          </w:p>
        </w:tc>
      </w:tr>
      <w:tr w:rsidR="00F15DBF" w:rsidRPr="00F15DBF" w14:paraId="2A57DEB0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7619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6A30F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3,14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A56CE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3,03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10D4F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1,48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83577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2,39</w:t>
            </w:r>
          </w:p>
        </w:tc>
      </w:tr>
      <w:tr w:rsidR="00F15DBF" w:rsidRPr="00F15DBF" w14:paraId="4803F62B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6D238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B5E6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4,82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04CEA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2,11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35DC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1,16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1CB60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1,79</w:t>
            </w:r>
          </w:p>
        </w:tc>
      </w:tr>
      <w:tr w:rsidR="00F15DBF" w:rsidRPr="00F15DBF" w14:paraId="76D1A18E" w14:textId="77777777" w:rsidTr="00F15DBF">
        <w:trPr>
          <w:trHeight w:val="360"/>
        </w:trPr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7B6B9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9AEA6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3,22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DEF2B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D2EC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-0,05</w:t>
            </w:r>
          </w:p>
        </w:tc>
        <w:tc>
          <w:tcPr>
            <w:tcW w:w="1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90A6C" w14:textId="77777777" w:rsidR="00F15DBF" w:rsidRPr="00F15DBF" w:rsidRDefault="00F15DBF" w:rsidP="00F15DBF">
            <w:pPr>
              <w:spacing w:after="100" w:afterAutospacing="1" w:line="2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D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</w:t>
            </w:r>
          </w:p>
        </w:tc>
      </w:tr>
    </w:tbl>
    <w:p w14:paraId="632FB9F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lang w:eastAsia="ru-RU"/>
        </w:rPr>
        <w:t>Тесты для самоконтроля</w:t>
      </w:r>
    </w:p>
    <w:p w14:paraId="38FF5DC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1. Причинами, порождающими риск, являются:</w:t>
      </w:r>
    </w:p>
    <w:p w14:paraId="37BC811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полная определенность внутреннего состояния и внешней среды;</w:t>
      </w:r>
    </w:p>
    <w:p w14:paraId="55B1303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неопределенность внешней и внутренней среды;</w:t>
      </w:r>
    </w:p>
    <w:p w14:paraId="099468A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недостаточность информации об исследуемом объекте, процессе, явлении.</w:t>
      </w:r>
    </w:p>
    <w:p w14:paraId="1D80B0DB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2. Основными чертами риска являются:</w:t>
      </w:r>
    </w:p>
    <w:p w14:paraId="6D0D8CA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противоречивость;</w:t>
      </w:r>
    </w:p>
    <w:p w14:paraId="3BD9233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неопределенность;</w:t>
      </w:r>
    </w:p>
    <w:p w14:paraId="1428619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детерминизм.</w:t>
      </w:r>
    </w:p>
    <w:p w14:paraId="6C341C8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3. К внешним причинам финансового риска относятся такие факторы, как:</w:t>
      </w:r>
    </w:p>
    <w:p w14:paraId="2636E52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природно-естественные;</w:t>
      </w:r>
    </w:p>
    <w:p w14:paraId="23028E25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рыночные;</w:t>
      </w:r>
    </w:p>
    <w:p w14:paraId="3413EE05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производственные;</w:t>
      </w:r>
    </w:p>
    <w:p w14:paraId="7B9F01B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г) политические.</w:t>
      </w:r>
    </w:p>
    <w:p w14:paraId="1E11C9C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4. К внутренним причинам риска относятся такие факторы, как:</w:t>
      </w:r>
    </w:p>
    <w:p w14:paraId="2B75F01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демографические;</w:t>
      </w:r>
    </w:p>
    <w:p w14:paraId="6689842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lastRenderedPageBreak/>
        <w:t>б) производственные;</w:t>
      </w:r>
    </w:p>
    <w:p w14:paraId="44A0343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квалификация управляющего персонала.</w:t>
      </w:r>
    </w:p>
    <w:p w14:paraId="510036F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5. Основные этапы алгоритма управления рисками располагаются</w:t>
      </w:r>
    </w:p>
    <w:p w14:paraId="104872E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 следующем порядке:</w:t>
      </w:r>
    </w:p>
    <w:p w14:paraId="466DAA7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4) выбор управляющих воздействий;</w:t>
      </w:r>
    </w:p>
    <w:p w14:paraId="783266A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1) анализ риска;</w:t>
      </w:r>
    </w:p>
    <w:p w14:paraId="409A2948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2) постановка целей управления риском;</w:t>
      </w:r>
    </w:p>
    <w:p w14:paraId="752E839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3) выбор метода воздействия на риск;</w:t>
      </w:r>
    </w:p>
    <w:p w14:paraId="147B799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5) анализ эффективности принятых решений.</w:t>
      </w:r>
    </w:p>
    <w:p w14:paraId="5FF5981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6. При определении риска решаются:</w:t>
      </w:r>
    </w:p>
    <w:p w14:paraId="6BD951B8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прямые задачи на основе информации о ситуации риска;</w:t>
      </w:r>
    </w:p>
    <w:p w14:paraId="0B21011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обратные задачи на основе заданных ограничений на уровень</w:t>
      </w:r>
    </w:p>
    <w:p w14:paraId="0C33DC4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приемлемости риска.</w:t>
      </w:r>
    </w:p>
    <w:p w14:paraId="3C971CA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7. При определении риска используются модели:</w:t>
      </w:r>
    </w:p>
    <w:p w14:paraId="0C32689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детерминированные;</w:t>
      </w:r>
    </w:p>
    <w:p w14:paraId="04E243D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игровые;</w:t>
      </w:r>
    </w:p>
    <w:p w14:paraId="7752502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физические;</w:t>
      </w:r>
    </w:p>
    <w:p w14:paraId="2BDA8E7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г) стохастические.</w:t>
      </w:r>
    </w:p>
    <w:p w14:paraId="7A99177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8. В условиях определенности используются показатели оценки</w:t>
      </w:r>
    </w:p>
    <w:p w14:paraId="5E262A1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риска:</w:t>
      </w:r>
    </w:p>
    <w:p w14:paraId="79288F2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вероятностные;</w:t>
      </w:r>
    </w:p>
    <w:p w14:paraId="24081E1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экспертные;</w:t>
      </w:r>
    </w:p>
    <w:p w14:paraId="66761876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абсолютные;</w:t>
      </w:r>
    </w:p>
    <w:p w14:paraId="5B95601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г) относительные;</w:t>
      </w:r>
    </w:p>
    <w:p w14:paraId="0C949B3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д) средние.</w:t>
      </w:r>
    </w:p>
    <w:p w14:paraId="3C144C2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9. В состав абсолютных показателей риска входят:</w:t>
      </w:r>
    </w:p>
    <w:p w14:paraId="71BB2C1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коэффициент финансовой устойчивости;</w:t>
      </w:r>
    </w:p>
    <w:p w14:paraId="3497751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lastRenderedPageBreak/>
        <w:t>б) коэффициент платежеспособности;</w:t>
      </w:r>
    </w:p>
    <w:p w14:paraId="31734A85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риски структуры активов и пассивов.</w:t>
      </w:r>
    </w:p>
    <w:p w14:paraId="2EFEAA6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10. Ликвидность (платежеспособность) предприятия характеризуют:</w:t>
      </w:r>
    </w:p>
    <w:p w14:paraId="7ADB31D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коэффициент ликвидности;</w:t>
      </w:r>
    </w:p>
    <w:p w14:paraId="4612EBF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коэффициент критической оценки;</w:t>
      </w:r>
    </w:p>
    <w:p w14:paraId="5EF2BEF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коэффициент маневренности действующего капитала;</w:t>
      </w:r>
    </w:p>
    <w:p w14:paraId="2195D77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г) коэффициент финансовой устойчивости.</w:t>
      </w:r>
    </w:p>
    <w:p w14:paraId="0C77A4C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11. Для построения функции вероятности нормального распределения F(x) используются такие функции Excel, как:</w:t>
      </w:r>
    </w:p>
    <w:p w14:paraId="64F8669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НОРМРАСП;</w:t>
      </w:r>
    </w:p>
    <w:p w14:paraId="28858175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НОРМОБР;</w:t>
      </w:r>
    </w:p>
    <w:p w14:paraId="24C438F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СУММПРОИЗВ.</w:t>
      </w:r>
    </w:p>
    <w:p w14:paraId="16CA8FA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12. Платежная матрица содержит:</w:t>
      </w:r>
    </w:p>
    <w:p w14:paraId="73F5184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значение ожидаемого проигрыша;</w:t>
      </w:r>
    </w:p>
    <w:p w14:paraId="1CB09716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значение ожидаемого выигрыша;</w:t>
      </w:r>
    </w:p>
    <w:p w14:paraId="3DA0EB4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показатели платежеспособности.</w:t>
      </w:r>
    </w:p>
    <w:p w14:paraId="616DE24B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13. Матрица рисков содержит:</w:t>
      </w:r>
    </w:p>
    <w:p w14:paraId="4F8F549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возможные ожидаемые потери;</w:t>
      </w:r>
    </w:p>
    <w:p w14:paraId="48AD6D5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возможные ожидаемые выигрыши;</w:t>
      </w:r>
    </w:p>
    <w:p w14:paraId="4049655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возможные штрафные санкции.</w:t>
      </w:r>
    </w:p>
    <w:p w14:paraId="5AC0E12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14. Критерием выбора решений в условиях частичной неопределенности является:</w:t>
      </w:r>
    </w:p>
    <w:p w14:paraId="348A009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критерий рациональности Лапласа;</w:t>
      </w:r>
    </w:p>
    <w:p w14:paraId="2D44700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максимальное математическое ожидание выигрыша;</w:t>
      </w:r>
    </w:p>
    <w:p w14:paraId="358A7C9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минимальное математическое ожидание риска.</w:t>
      </w:r>
    </w:p>
    <w:p w14:paraId="1CDB2BC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16. Критерием выбора решений в условиях полной неопределенности является:</w:t>
      </w:r>
    </w:p>
    <w:p w14:paraId="1F2AAF6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критерий минимина;</w:t>
      </w:r>
    </w:p>
    <w:p w14:paraId="4398F5C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критерий «розового» оптимизма;</w:t>
      </w:r>
    </w:p>
    <w:p w14:paraId="5E191BC5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lastRenderedPageBreak/>
        <w:t>в) критерий рациональности Лапласа.</w:t>
      </w:r>
    </w:p>
    <w:p w14:paraId="044B3DEB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22. Для оценки согласованности мнений двух экспертов используется:</w:t>
      </w:r>
    </w:p>
    <w:p w14:paraId="559322A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коэффициент ранговой корреляции Спирмена;</w:t>
      </w:r>
    </w:p>
    <w:p w14:paraId="08A663E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коэффициент вариации.</w:t>
      </w:r>
    </w:p>
    <w:p w14:paraId="72533D9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23. Для оценки согласованности мнений более двух экспертов</w:t>
      </w:r>
    </w:p>
    <w:p w14:paraId="7E6F2EF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используется:</w:t>
      </w:r>
    </w:p>
    <w:p w14:paraId="0A6A651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коэффициент вариации;</w:t>
      </w:r>
    </w:p>
    <w:p w14:paraId="2EB4303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коэффициент ранговой корреляции Спирмена;</w:t>
      </w:r>
    </w:p>
    <w:p w14:paraId="51A99AAC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коэффициент конкордации.</w:t>
      </w:r>
    </w:p>
    <w:p w14:paraId="729F8E46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24. Для оценки эффективности инвестиционных портфелей используются такие характеристики, как:</w:t>
      </w:r>
    </w:p>
    <w:p w14:paraId="6E2212C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средний доход портфеля;</w:t>
      </w:r>
    </w:p>
    <w:p w14:paraId="2C3860F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риск портфеля;</w:t>
      </w:r>
    </w:p>
    <w:p w14:paraId="09EC045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медиана доходности ценных бумаг портфеля.</w:t>
      </w:r>
    </w:p>
    <w:p w14:paraId="3E6F9B68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25. Инвестиционный портфель является эффективным, если он</w:t>
      </w:r>
    </w:p>
    <w:p w14:paraId="5AA9ACC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обеспечивает:</w:t>
      </w:r>
    </w:p>
    <w:p w14:paraId="3A568A37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максимальную доходность при фиксированном уровне риска;</w:t>
      </w:r>
    </w:p>
    <w:p w14:paraId="250128B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минимальный риск при заданном уровне доходности.</w:t>
      </w:r>
    </w:p>
    <w:p w14:paraId="38849C7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26. Для построения эффективной границы для двух активов используется:</w:t>
      </w:r>
    </w:p>
    <w:p w14:paraId="5272ADAF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корреляция между доходностями активов;</w:t>
      </w:r>
    </w:p>
    <w:p w14:paraId="147DFE7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средний доход портфеля, составленного из двух ценных бумаг;</w:t>
      </w:r>
    </w:p>
    <w:p w14:paraId="40983103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дисперсия доходов от портфеля, составленного из двух ценных</w:t>
      </w:r>
    </w:p>
    <w:p w14:paraId="299D1DC0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бумаг.</w:t>
      </w:r>
    </w:p>
    <w:p w14:paraId="0B8B2A8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27. Для выбора оптимального портфеля используются такие критерии, как:</w:t>
      </w:r>
    </w:p>
    <w:p w14:paraId="74EBB72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стандартное отклонение;</w:t>
      </w:r>
    </w:p>
    <w:p w14:paraId="11DEA798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средний доход;</w:t>
      </w:r>
    </w:p>
    <w:p w14:paraId="25D023E6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мода;</w:t>
      </w:r>
    </w:p>
    <w:p w14:paraId="3CFDF27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г) медиана.</w:t>
      </w:r>
    </w:p>
    <w:p w14:paraId="754AA241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lastRenderedPageBreak/>
        <w:t>28. Для формирования оптимальных портфелей используется:</w:t>
      </w:r>
    </w:p>
    <w:p w14:paraId="4B3F8336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а) транспортная модель;</w:t>
      </w:r>
    </w:p>
    <w:p w14:paraId="5E99822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модель о назначении;</w:t>
      </w:r>
    </w:p>
    <w:p w14:paraId="42234D0A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в) нелинейная модель.</w:t>
      </w:r>
    </w:p>
    <w:p w14:paraId="5F4F52EB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29. При построении графика рынка ценных бумаг (SML) используют:</w:t>
      </w:r>
    </w:p>
    <w:p w14:paraId="012CFCDB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β-коэффициент ценной бумаги;</w:t>
      </w:r>
    </w:p>
    <w:p w14:paraId="35ED1E3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б) β-коэффициент рыночного индекса;</w:t>
      </w:r>
    </w:p>
    <w:p w14:paraId="64AD412E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доходность рыночного индекса.</w:t>
      </w:r>
    </w:p>
    <w:p w14:paraId="65AA6A29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30. Риск инвестиционного портфеля образуется из таких компонентов, как:</w:t>
      </w:r>
    </w:p>
    <w:p w14:paraId="55B788AD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а) рыночный риск;</w:t>
      </w:r>
    </w:p>
    <w:p w14:paraId="7D033042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b/>
          <w:bCs/>
          <w:color w:val="3E3E3E"/>
          <w:sz w:val="20"/>
          <w:szCs w:val="20"/>
          <w:u w:val="single"/>
          <w:lang w:eastAsia="ru-RU"/>
        </w:rPr>
        <w:t>б) собственный риск;</w:t>
      </w:r>
    </w:p>
    <w:p w14:paraId="7E5F44E4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в) спекулятивный риск.</w:t>
      </w:r>
    </w:p>
    <w:p w14:paraId="27E2D4D8" w14:textId="77777777" w:rsidR="00F15DBF" w:rsidRPr="00F15DBF" w:rsidRDefault="00F15DBF" w:rsidP="00F15DBF">
      <w:pPr>
        <w:spacing w:before="100" w:beforeAutospacing="1" w:after="100" w:afterAutospacing="1" w:line="270" w:lineRule="atLeast"/>
        <w:jc w:val="both"/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</w:pPr>
      <w:r w:rsidRPr="00F15DBF">
        <w:rPr>
          <w:rFonts w:ascii="ClearSansRegular" w:eastAsia="Times New Roman" w:hAnsi="ClearSansRegular" w:cs="Times New Roman"/>
          <w:color w:val="3E3E3E"/>
          <w:sz w:val="20"/>
          <w:szCs w:val="20"/>
          <w:lang w:eastAsia="ru-RU"/>
        </w:rPr>
        <w:t>Чтобы полностью ознакомиться с контрольной, скачайте файл!</w:t>
      </w:r>
    </w:p>
    <w:p w14:paraId="3111CE79" w14:textId="77777777" w:rsidR="00065200" w:rsidRDefault="00065200"/>
    <w:sectPr w:rsidR="00065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learSansBold">
    <w:altName w:val="Cambria"/>
    <w:panose1 w:val="00000000000000000000"/>
    <w:charset w:val="00"/>
    <w:family w:val="roman"/>
    <w:notTrueType/>
    <w:pitch w:val="default"/>
  </w:font>
  <w:font w:name="ClearSans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334CEB"/>
    <w:multiLevelType w:val="multilevel"/>
    <w:tmpl w:val="19EE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5F"/>
    <w:rsid w:val="00065200"/>
    <w:rsid w:val="002A6D5F"/>
    <w:rsid w:val="00F1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3540"/>
  <w15:chartTrackingRefBased/>
  <w15:docId w15:val="{50E6287B-E71A-44AF-A44A-657DA6BA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5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D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F15DB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1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15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5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6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rb.ru/works/subject236/type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udrb.ru/works/subject2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udrb.ru/files/works_screen/1/85/42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2021-05-21T00:52:00Z</dcterms:created>
  <dcterms:modified xsi:type="dcterms:W3CDTF">2021-05-21T00:53:00Z</dcterms:modified>
</cp:coreProperties>
</file>