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3A5" w14:textId="77777777" w:rsidR="00F41D5E" w:rsidRPr="006C30A7" w:rsidRDefault="00917425" w:rsidP="006C30A7">
      <w:pPr>
        <w:ind w:firstLine="0"/>
        <w:jc w:val="center"/>
        <w:rPr>
          <w:rFonts w:cs="Times New Roman"/>
        </w:rPr>
      </w:pPr>
      <w:r w:rsidRPr="006C30A7">
        <w:rPr>
          <w:rFonts w:cs="Times New Roman"/>
          <w:b/>
        </w:rPr>
        <w:t>Enhancement Three: Databases</w:t>
      </w:r>
    </w:p>
    <w:p w14:paraId="6221272F" w14:textId="77777777" w:rsidR="00F41D5E" w:rsidRPr="006C30A7" w:rsidRDefault="00917425" w:rsidP="006C30A7">
      <w:pPr>
        <w:ind w:firstLine="0"/>
        <w:jc w:val="center"/>
        <w:rPr>
          <w:rFonts w:cs="Times New Roman"/>
        </w:rPr>
      </w:pPr>
      <w:r w:rsidRPr="006C30A7">
        <w:rPr>
          <w:rFonts w:cs="Times New Roman"/>
        </w:rPr>
        <w:t>CS 499 Milestone Four</w:t>
      </w:r>
    </w:p>
    <w:p w14:paraId="2CE9128A" w14:textId="77777777" w:rsidR="00F41D5E" w:rsidRPr="006C30A7" w:rsidRDefault="00F41D5E" w:rsidP="006C30A7">
      <w:pPr>
        <w:rPr>
          <w:rFonts w:cs="Times New Roman"/>
        </w:rPr>
      </w:pPr>
    </w:p>
    <w:p w14:paraId="0478F128" w14:textId="77777777" w:rsidR="00F41D5E" w:rsidRPr="006C30A7" w:rsidRDefault="00917425" w:rsidP="006C30A7">
      <w:pPr>
        <w:pStyle w:val="Heading1"/>
        <w:rPr>
          <w:rFonts w:ascii="Times New Roman" w:hAnsi="Times New Roman" w:cs="Times New Roman"/>
        </w:rPr>
      </w:pPr>
      <w:r w:rsidRPr="006C30A7">
        <w:rPr>
          <w:rFonts w:ascii="Times New Roman" w:hAnsi="Times New Roman" w:cs="Times New Roman"/>
        </w:rPr>
        <w:t>Artifact Description</w:t>
      </w:r>
    </w:p>
    <w:p w14:paraId="2EC847C6" w14:textId="77777777" w:rsidR="00F41D5E" w:rsidRPr="006C30A7" w:rsidRDefault="00917425" w:rsidP="006C30A7">
      <w:pPr>
        <w:rPr>
          <w:rFonts w:cs="Times New Roman"/>
        </w:rPr>
      </w:pPr>
      <w:r w:rsidRPr="006C30A7">
        <w:rPr>
          <w:rFonts w:cs="Times New Roman"/>
        </w:rPr>
        <w:t>The artifact I selected for the database category is the Contact Service application that I originally created in CS 320. The project was developed in Java and was designed to manage contact records containing a contact ID, first name, last name, phone number, and address. The original version included validation rules and JUnit tests for adding, updating, retrieving, and deleting contacts. It was a useful demonstration of object-oriented programming and testing, but it stored all records only in memory. Be</w:t>
      </w:r>
      <w:r w:rsidRPr="006C30A7">
        <w:rPr>
          <w:rFonts w:cs="Times New Roman"/>
        </w:rPr>
        <w:t>cause of that limitation, the data disappeared whenever the application stopped running.</w:t>
      </w:r>
    </w:p>
    <w:p w14:paraId="54765244" w14:textId="77777777" w:rsidR="00F41D5E" w:rsidRPr="006C30A7" w:rsidRDefault="00917425" w:rsidP="006C30A7">
      <w:pPr>
        <w:rPr>
          <w:rFonts w:cs="Times New Roman"/>
        </w:rPr>
      </w:pPr>
      <w:r w:rsidRPr="006C30A7">
        <w:rPr>
          <w:rFonts w:cs="Times New Roman"/>
        </w:rPr>
        <w:t>For this enhancement, I added SQLite database persistence and reorganized the storage design so the application can work with either an in-memory repository or a database repository. I created database connection and initialization classes, added a contacts table, and implemented create, read, update, and delete operations through an SQLite repository. I also added a ContactStorage interface so the service layer is not tied to one storage method. This allowed the original HashMap-based repository and the ne</w:t>
      </w:r>
      <w:r w:rsidRPr="006C30A7">
        <w:rPr>
          <w:rFonts w:cs="Times New Roman"/>
        </w:rPr>
        <w:t>w SQLite repository to support the same service operations.</w:t>
      </w:r>
    </w:p>
    <w:p w14:paraId="5A3EE4A7" w14:textId="77777777" w:rsidR="00F41D5E" w:rsidRPr="006C30A7" w:rsidRDefault="00917425" w:rsidP="006C30A7">
      <w:pPr>
        <w:pStyle w:val="Heading1"/>
        <w:rPr>
          <w:rFonts w:ascii="Times New Roman" w:hAnsi="Times New Roman" w:cs="Times New Roman"/>
        </w:rPr>
      </w:pPr>
      <w:r w:rsidRPr="006C30A7">
        <w:rPr>
          <w:rFonts w:ascii="Times New Roman" w:hAnsi="Times New Roman" w:cs="Times New Roman"/>
        </w:rPr>
        <w:t>Reason for Including the Artifact</w:t>
      </w:r>
    </w:p>
    <w:p w14:paraId="39D6AE5D" w14:textId="77777777" w:rsidR="00F41D5E" w:rsidRPr="006C30A7" w:rsidRDefault="00917425" w:rsidP="006C30A7">
      <w:pPr>
        <w:rPr>
          <w:rFonts w:cs="Times New Roman"/>
        </w:rPr>
      </w:pPr>
      <w:r w:rsidRPr="006C30A7">
        <w:rPr>
          <w:rFonts w:cs="Times New Roman"/>
        </w:rPr>
        <w:t xml:space="preserve">I selected this artifact because it shows how a smaller classroom project can be developed into a more complete and practical application. The original Contact Service already demonstrated Java classes, validation, service logic, unit testing, and efficient in-memory lookup. The database enhancement added a new level of functionality by making the contact data </w:t>
      </w:r>
      <w:r w:rsidRPr="006C30A7">
        <w:rPr>
          <w:rFonts w:cs="Times New Roman"/>
        </w:rPr>
        <w:lastRenderedPageBreak/>
        <w:t>persistent and by introducing relational database design, SQL, JDBC, and database-specific testing. This makes the artifact a stronger representation of my abilities because it shows both the original design and the way I improved it to solve a real limitation.</w:t>
      </w:r>
    </w:p>
    <w:p w14:paraId="7BEBFB80" w14:textId="77777777" w:rsidR="00F41D5E" w:rsidRPr="006C30A7" w:rsidRDefault="00917425" w:rsidP="006C30A7">
      <w:pPr>
        <w:rPr>
          <w:rFonts w:cs="Times New Roman"/>
        </w:rPr>
      </w:pPr>
      <w:r w:rsidRPr="006C30A7">
        <w:rPr>
          <w:rFonts w:cs="Times New Roman"/>
        </w:rPr>
        <w:t>Several components of the enhanced artifact demonstrate my software development skills. The ContactStorage interface separates the service layer from the details of data storage, while the ContactRepository and SQLiteContactRepository classes provide different implementations of the same operations. The SQLite repository uses prepared statements for all values supplied to SQL queries, and the database table uses the contact ID as a primary key. The project also uses try-with-resources so database connection</w:t>
      </w:r>
      <w:r w:rsidRPr="006C30A7">
        <w:rPr>
          <w:rFonts w:cs="Times New Roman"/>
        </w:rPr>
        <w:t>s, prepared statements, and result sets are closed automatically. These decisions improve maintainability, security, and reliability.</w:t>
      </w:r>
    </w:p>
    <w:p w14:paraId="271C55E9" w14:textId="77777777" w:rsidR="00F41D5E" w:rsidRPr="006C30A7" w:rsidRDefault="00917425" w:rsidP="006C30A7">
      <w:pPr>
        <w:rPr>
          <w:rFonts w:cs="Times New Roman"/>
        </w:rPr>
      </w:pPr>
      <w:r w:rsidRPr="006C30A7">
        <w:rPr>
          <w:rFonts w:cs="Times New Roman"/>
        </w:rPr>
        <w:t>The artifact was also improved through expanded testing and documentation. I added tests for database initialization, SQLite repository operations, database-backed service operations, duplicate IDs, missing records, sorted results, contact counts, and persistence across separate service instances. The completed project passed all 58 tests with no failures or errors and reached 93.8% instruction coverage. I also added a README that explains the project structure, database design, setup steps, security practi</w:t>
      </w:r>
      <w:r w:rsidRPr="006C30A7">
        <w:rPr>
          <w:rFonts w:cs="Times New Roman"/>
        </w:rPr>
        <w:t>ces, testing results, and design trade-offs.</w:t>
      </w:r>
    </w:p>
    <w:p w14:paraId="0518A197" w14:textId="77777777" w:rsidR="00F41D5E" w:rsidRPr="006C30A7" w:rsidRDefault="00917425" w:rsidP="006C30A7">
      <w:pPr>
        <w:pStyle w:val="Heading1"/>
        <w:rPr>
          <w:rFonts w:ascii="Times New Roman" w:hAnsi="Times New Roman" w:cs="Times New Roman"/>
        </w:rPr>
      </w:pPr>
      <w:r w:rsidRPr="006C30A7">
        <w:rPr>
          <w:rFonts w:ascii="Times New Roman" w:hAnsi="Times New Roman" w:cs="Times New Roman"/>
        </w:rPr>
        <w:t>Course Outcome Coverage</w:t>
      </w:r>
    </w:p>
    <w:p w14:paraId="1CFBDE72" w14:textId="77777777" w:rsidR="00F41D5E" w:rsidRPr="006C30A7" w:rsidRDefault="00917425" w:rsidP="006C30A7">
      <w:pPr>
        <w:rPr>
          <w:rFonts w:cs="Times New Roman"/>
        </w:rPr>
      </w:pPr>
      <w:r w:rsidRPr="006C30A7">
        <w:rPr>
          <w:rFonts w:cs="Times New Roman"/>
        </w:rPr>
        <w:t>This enhancement met the main course outcomes I planned to address in Module One. It strongly supports the outcome involving the use of well-founded techniques, skills, and tools to implement computing solutions that provide value. The project uses Java, SQLite, JDBC, SQL, JUnit 5, Eclipse, and code coverage tools to turn a temporary in-memory application into one that can preserve and manage records between sessions.</w:t>
      </w:r>
    </w:p>
    <w:p w14:paraId="059184EC" w14:textId="77777777" w:rsidR="00F41D5E" w:rsidRPr="006C30A7" w:rsidRDefault="00917425" w:rsidP="006C30A7">
      <w:pPr>
        <w:rPr>
          <w:rFonts w:cs="Times New Roman"/>
        </w:rPr>
      </w:pPr>
      <w:r w:rsidRPr="006C30A7">
        <w:rPr>
          <w:rFonts w:cs="Times New Roman"/>
        </w:rPr>
        <w:lastRenderedPageBreak/>
        <w:t>The enhancement also supports the outcome involving the design and evaluation of computing solutions while managing trade-offs. The HashMap repository provides average O(1) access by contact ID and remains useful for lightweight testing, but it does not preserve data. SQLite adds persistent and structured storage, although database access requires more processing, exception handling, and test setup. The shared ContactStorage interface allows both approaches to remain available without duplicating the servic</w:t>
      </w:r>
      <w:r w:rsidRPr="006C30A7">
        <w:rPr>
          <w:rFonts w:cs="Times New Roman"/>
        </w:rPr>
        <w:t>e logic.</w:t>
      </w:r>
    </w:p>
    <w:p w14:paraId="3AA50C7B" w14:textId="77777777" w:rsidR="00F41D5E" w:rsidRPr="006C30A7" w:rsidRDefault="00917425" w:rsidP="006C30A7">
      <w:pPr>
        <w:rPr>
          <w:rFonts w:cs="Times New Roman"/>
        </w:rPr>
      </w:pPr>
      <w:r w:rsidRPr="006C30A7">
        <w:rPr>
          <w:rFonts w:cs="Times New Roman"/>
        </w:rPr>
        <w:t>The security outcome is demonstrated through input validation, prepared SQL statements, primary-key constraints, controlled access to database operations, and automatic cleanup of database resources. These practices reduce the risk of malformed data, duplicate records, SQL injection, and resource leaks. The communication outcome is supported by the enhancement narrative, Java documentation, README, test names, and organized project structure. The collaborative-environment outcome is not the primary focus of</w:t>
      </w:r>
      <w:r w:rsidRPr="006C30A7">
        <w:rPr>
          <w:rFonts w:cs="Times New Roman"/>
        </w:rPr>
        <w:t xml:space="preserve"> this individual enhancement, so I will continue addressing that outcome through the organization and presentation of the complete ePortfolio for technical and nontechnical audiences.</w:t>
      </w:r>
    </w:p>
    <w:p w14:paraId="68DC8DBE" w14:textId="77777777" w:rsidR="00F41D5E" w:rsidRPr="006C30A7" w:rsidRDefault="00917425" w:rsidP="006C30A7">
      <w:pPr>
        <w:pStyle w:val="Heading1"/>
        <w:rPr>
          <w:rFonts w:ascii="Times New Roman" w:hAnsi="Times New Roman" w:cs="Times New Roman"/>
        </w:rPr>
      </w:pPr>
      <w:r w:rsidRPr="006C30A7">
        <w:rPr>
          <w:rFonts w:ascii="Times New Roman" w:hAnsi="Times New Roman" w:cs="Times New Roman"/>
        </w:rPr>
        <w:t>Reflection on the Enhancement Process</w:t>
      </w:r>
    </w:p>
    <w:p w14:paraId="7036A1AA" w14:textId="77777777" w:rsidR="00F41D5E" w:rsidRPr="006C30A7" w:rsidRDefault="00917425" w:rsidP="006C30A7">
      <w:pPr>
        <w:rPr>
          <w:rFonts w:cs="Times New Roman"/>
        </w:rPr>
      </w:pPr>
      <w:r w:rsidRPr="006C30A7">
        <w:rPr>
          <w:rFonts w:cs="Times New Roman"/>
        </w:rPr>
        <w:t xml:space="preserve">The most important lesson I learned was that adding a database involves much more than writing SQL statements. I had to decide how the database would fit into the existing architecture without breaking the original behavior. At first, the ContactService class depended directly on the in-memory ContactRepository. Creating the ContactStorage interface allowed the service to work with either repository through dependency injection. This made the design more flexible and helped me understand how interfaces can </w:t>
      </w:r>
      <w:r w:rsidRPr="006C30A7">
        <w:rPr>
          <w:rFonts w:cs="Times New Roman"/>
        </w:rPr>
        <w:t>separate business logic from implementation details.</w:t>
      </w:r>
    </w:p>
    <w:p w14:paraId="7AE4E952" w14:textId="77777777" w:rsidR="00F41D5E" w:rsidRPr="006C30A7" w:rsidRDefault="00917425" w:rsidP="006C30A7">
      <w:pPr>
        <w:rPr>
          <w:rFonts w:cs="Times New Roman"/>
        </w:rPr>
      </w:pPr>
      <w:r w:rsidRPr="006C30A7">
        <w:rPr>
          <w:rFonts w:cs="Times New Roman"/>
        </w:rPr>
        <w:lastRenderedPageBreak/>
        <w:t>Another challenge was making updates behave correctly with both storage types. In the in-memory repository, the service modifies a mutable Contact object that is already stored by reference. With SQLite, changing the Java object does not automatically change the database record. I had to add an explicit update operation and call it from the service after the selected fields were changed. This difference helped me understand why persistence layers require clearly defined operations and why behavior that work</w:t>
      </w:r>
      <w:r w:rsidRPr="006C30A7">
        <w:rPr>
          <w:rFonts w:cs="Times New Roman"/>
        </w:rPr>
        <w:t>s with an in-memory collection may not work the same way with a database.</w:t>
      </w:r>
    </w:p>
    <w:p w14:paraId="3AD7E4A7" w14:textId="77777777" w:rsidR="00F41D5E" w:rsidRPr="006C30A7" w:rsidRDefault="00917425" w:rsidP="006C30A7">
      <w:pPr>
        <w:rPr>
          <w:rFonts w:cs="Times New Roman"/>
        </w:rPr>
      </w:pPr>
      <w:r w:rsidRPr="006C30A7">
        <w:rPr>
          <w:rFonts w:cs="Times New Roman"/>
        </w:rPr>
        <w:t>Testing the database also required more preparation than testing a HashMap. I added setup methods that initialize the contacts table and clear its records before each test so the tests remain independent and repeatable. I also created a test that saves a contact through one service instance and retrieves it through another. That test was especially useful because it demonstrated that the data was truly persistent rather than being stored only in an object that remained in memory.</w:t>
      </w:r>
    </w:p>
    <w:p w14:paraId="076BA9DF" w14:textId="77777777" w:rsidR="00F41D5E" w:rsidRPr="006C30A7" w:rsidRDefault="00917425" w:rsidP="006C30A7">
      <w:pPr>
        <w:rPr>
          <w:rFonts w:cs="Times New Roman"/>
        </w:rPr>
      </w:pPr>
      <w:r w:rsidRPr="006C30A7">
        <w:rPr>
          <w:rFonts w:cs="Times New Roman"/>
        </w:rPr>
        <w:t>I also learned more about balancing security, clarity, and error handling. Prepared statements make the SQL safer and easier to maintain, while try-with-resources prevents open connections and statements from being left behind. I converted checked SQL exceptions inside the repository into consistent application-level exceptions so the service layer would not need database-specific exception code in every method. The Java 24 native-access warning from the SQLite driver was another challenge, but testing conf</w:t>
      </w:r>
      <w:r w:rsidRPr="006C30A7">
        <w:rPr>
          <w:rFonts w:cs="Times New Roman"/>
        </w:rPr>
        <w:t>irmed that it was a runtime warning rather than a failure in the enhancement.</w:t>
      </w:r>
    </w:p>
    <w:p w14:paraId="48608343" w14:textId="77777777" w:rsidR="00F41D5E" w:rsidRPr="006C30A7" w:rsidRDefault="00917425" w:rsidP="006C30A7">
      <w:pPr>
        <w:rPr>
          <w:rFonts w:cs="Times New Roman"/>
        </w:rPr>
      </w:pPr>
      <w:r w:rsidRPr="006C30A7">
        <w:rPr>
          <w:rFonts w:cs="Times New Roman"/>
        </w:rPr>
        <w:t xml:space="preserve">Overall, the enhancement made the Contact Service a more complete professional artifact. It now demonstrates persistent data storage, relational database operations, layered architecture, secure query practices, automated testing, and documented design decisions. The </w:t>
      </w:r>
      <w:r w:rsidRPr="006C30A7">
        <w:rPr>
          <w:rFonts w:cs="Times New Roman"/>
        </w:rPr>
        <w:lastRenderedPageBreak/>
        <w:t>process strengthened my understanding of how software design, databases, testing, and security work together. Before the final ePortfolio submission, I will review any instructor feedback, make needed refinements, and present the original and enhanced versions so the progression of the artifact is clear.</w:t>
      </w:r>
    </w:p>
    <w:sectPr w:rsidR="00F41D5E" w:rsidRPr="006C30A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8A68" w14:textId="77777777" w:rsidR="00917425" w:rsidRDefault="00917425">
      <w:pPr>
        <w:spacing w:line="240" w:lineRule="auto"/>
      </w:pPr>
      <w:r>
        <w:separator/>
      </w:r>
    </w:p>
  </w:endnote>
  <w:endnote w:type="continuationSeparator" w:id="0">
    <w:p w14:paraId="6CFB97DD" w14:textId="77777777" w:rsidR="00917425" w:rsidRDefault="00917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5BF7" w14:textId="026F7D21" w:rsidR="00F41D5E" w:rsidRDefault="00917425">
    <w:pPr>
      <w:pStyle w:val="Footer"/>
      <w:ind w:firstLine="0"/>
      <w:jc w:val="center"/>
    </w:pPr>
    <w:r>
      <w:fldChar w:fldCharType="begin"/>
    </w:r>
    <w:r>
      <w:instrText>PAGE</w:instrText>
    </w:r>
    <w:r w:rsidR="006C30A7">
      <w:fldChar w:fldCharType="separate"/>
    </w:r>
    <w:r w:rsidR="006C30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04E6" w14:textId="77777777" w:rsidR="00917425" w:rsidRDefault="00917425">
      <w:pPr>
        <w:spacing w:line="240" w:lineRule="auto"/>
      </w:pPr>
      <w:r>
        <w:separator/>
      </w:r>
    </w:p>
  </w:footnote>
  <w:footnote w:type="continuationSeparator" w:id="0">
    <w:p w14:paraId="0908A679" w14:textId="77777777" w:rsidR="00917425" w:rsidRDefault="009174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09396">
    <w:abstractNumId w:val="8"/>
  </w:num>
  <w:num w:numId="2" w16cid:durableId="765078632">
    <w:abstractNumId w:val="6"/>
  </w:num>
  <w:num w:numId="3" w16cid:durableId="1851064921">
    <w:abstractNumId w:val="5"/>
  </w:num>
  <w:num w:numId="4" w16cid:durableId="1520966812">
    <w:abstractNumId w:val="4"/>
  </w:num>
  <w:num w:numId="5" w16cid:durableId="360321359">
    <w:abstractNumId w:val="7"/>
  </w:num>
  <w:num w:numId="6" w16cid:durableId="249630935">
    <w:abstractNumId w:val="3"/>
  </w:num>
  <w:num w:numId="7" w16cid:durableId="1444809526">
    <w:abstractNumId w:val="2"/>
  </w:num>
  <w:num w:numId="8" w16cid:durableId="457573965">
    <w:abstractNumId w:val="1"/>
  </w:num>
  <w:num w:numId="9" w16cid:durableId="161579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0A7"/>
    <w:rsid w:val="00917425"/>
    <w:rsid w:val="00AA1D8D"/>
    <w:rsid w:val="00B47730"/>
    <w:rsid w:val="00CB0664"/>
    <w:rsid w:val="00EC532C"/>
    <w:rsid w:val="00F41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45F983-A296-44AB-8460-63A12EB5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Gomez</cp:lastModifiedBy>
  <cp:revision>2</cp:revision>
  <dcterms:created xsi:type="dcterms:W3CDTF">2013-12-23T23:15:00Z</dcterms:created>
  <dcterms:modified xsi:type="dcterms:W3CDTF">2026-07-28T23:52:00Z</dcterms:modified>
  <cp:category/>
</cp:coreProperties>
</file>