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Calgary Depression Scale for Schizophrenia (CDSS)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(CDI)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Choice Health Experience Questionnaire (CHEQ)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Geriatric Depression Scale (GDS)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HIV/AIDS depression scale excluding items reflecting 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Montgomery Asberg Depression Rating Scale (MADRS)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 Rating Depression Scale (SDS)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Diagnostic Interview for Axis I Disorders (SCID-I)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Anxiety Rating Scale (CARS)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DSM-IV-TR criteria Axis I -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Hamilton Anxiety Rating Scale (HAM-A)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Multidimensional Anxiety Scale for Children (MASC)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mYPAS (modified Yale Anxiety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Taylor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YPAS (Yale Anxiety Scale)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for Children (BPRS-C)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 5th edition (DSM-5)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Five axis DSM IV 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Kiddie-Schedule for Affective Disorders and Schizophrenia − Present and Lifetime Version (K-SADS-PL)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version of Structured Clinical Interview for DSM-III-R (SCID-P)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SADS (Schedule for Affective Disorders and Schizophrenia)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Scale for Assessment of Negative Symptoms (SANS)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Scale for the Assessment of Positive Symptoms (SAPS)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Schizophrenia Cognition Rating Scale (SCoRS)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(Diagnostic Interview for Genetic Studies [DIGS])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2024-04-29T15:39:50Z</dcterms:modified>
  <cp:category/>
</cp:coreProperties>
</file>