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B3E9F" w14:textId="76E4D33B" w:rsidR="00177F3B" w:rsidRPr="00661F60" w:rsidRDefault="00DD47FD" w:rsidP="002B008D">
      <w:pPr>
        <w:pStyle w:val="Title"/>
        <w:jc w:val="center"/>
        <w:rPr>
          <w:rFonts w:ascii="Arial" w:hAnsi="Arial" w:cs="Arial"/>
        </w:rPr>
      </w:pPr>
      <w:r>
        <w:rPr>
          <w:rFonts w:ascii="Arial" w:hAnsi="Arial" w:cs="Arial"/>
        </w:rPr>
        <w:t>Loan fee report remove serial after FTR into wrong reservation.</w:t>
      </w:r>
    </w:p>
    <w:p w14:paraId="2C35A8DD" w14:textId="744BF789" w:rsidR="000557D8" w:rsidRPr="00661F60" w:rsidRDefault="002B008D" w:rsidP="002B008D">
      <w:pPr>
        <w:jc w:val="center"/>
        <w:rPr>
          <w:rFonts w:ascii="Arial" w:hAnsi="Arial" w:cs="Arial"/>
        </w:rPr>
      </w:pPr>
      <w:r w:rsidRPr="00661F60">
        <w:rPr>
          <w:rFonts w:ascii="Arial" w:hAnsi="Arial" w:cs="Arial"/>
        </w:rPr>
        <w:t>Technical documentation</w:t>
      </w:r>
    </w:p>
    <w:p w14:paraId="66B057F1" w14:textId="77777777" w:rsidR="00A05ABF" w:rsidRPr="00661F60" w:rsidRDefault="00A05ABF" w:rsidP="002B008D">
      <w:pPr>
        <w:jc w:val="center"/>
        <w:rPr>
          <w:rFonts w:ascii="Arial" w:hAnsi="Arial" w:cs="Arial"/>
        </w:rPr>
      </w:pPr>
    </w:p>
    <w:tbl>
      <w:tblPr>
        <w:tblStyle w:val="TableGrid"/>
        <w:tblW w:w="0" w:type="auto"/>
        <w:tblLook w:val="04A0" w:firstRow="1" w:lastRow="0" w:firstColumn="1" w:lastColumn="0" w:noHBand="0" w:noVBand="1"/>
      </w:tblPr>
      <w:tblGrid>
        <w:gridCol w:w="985"/>
        <w:gridCol w:w="1440"/>
        <w:gridCol w:w="1440"/>
        <w:gridCol w:w="5531"/>
      </w:tblGrid>
      <w:tr w:rsidR="000557D8" w:rsidRPr="00661F60" w14:paraId="39C31BE4" w14:textId="77777777" w:rsidTr="007F1EC5">
        <w:tc>
          <w:tcPr>
            <w:tcW w:w="985" w:type="dxa"/>
          </w:tcPr>
          <w:p w14:paraId="731CB41D" w14:textId="14B08F1C" w:rsidR="000557D8" w:rsidRPr="00661F60" w:rsidRDefault="000557D8" w:rsidP="000557D8">
            <w:pPr>
              <w:rPr>
                <w:rFonts w:ascii="Arial" w:hAnsi="Arial" w:cs="Arial"/>
              </w:rPr>
            </w:pPr>
            <w:r w:rsidRPr="00661F60">
              <w:rPr>
                <w:rFonts w:ascii="Arial" w:hAnsi="Arial" w:cs="Arial"/>
              </w:rPr>
              <w:t>Version</w:t>
            </w:r>
          </w:p>
        </w:tc>
        <w:tc>
          <w:tcPr>
            <w:tcW w:w="1440" w:type="dxa"/>
          </w:tcPr>
          <w:p w14:paraId="2F36A49D" w14:textId="2AED89E4" w:rsidR="000557D8" w:rsidRPr="00661F60" w:rsidRDefault="000557D8" w:rsidP="000557D8">
            <w:pPr>
              <w:rPr>
                <w:rFonts w:ascii="Arial" w:hAnsi="Arial" w:cs="Arial"/>
              </w:rPr>
            </w:pPr>
            <w:r w:rsidRPr="00661F60">
              <w:rPr>
                <w:rFonts w:ascii="Arial" w:hAnsi="Arial" w:cs="Arial"/>
              </w:rPr>
              <w:t>Changed on</w:t>
            </w:r>
          </w:p>
        </w:tc>
        <w:tc>
          <w:tcPr>
            <w:tcW w:w="1440" w:type="dxa"/>
          </w:tcPr>
          <w:p w14:paraId="5E55DA0C" w14:textId="7585CE99" w:rsidR="000557D8" w:rsidRPr="00661F60" w:rsidRDefault="000557D8" w:rsidP="000557D8">
            <w:pPr>
              <w:rPr>
                <w:rFonts w:ascii="Arial" w:hAnsi="Arial" w:cs="Arial"/>
              </w:rPr>
            </w:pPr>
            <w:r w:rsidRPr="00661F60">
              <w:rPr>
                <w:rFonts w:ascii="Arial" w:hAnsi="Arial" w:cs="Arial"/>
              </w:rPr>
              <w:t>Changed by</w:t>
            </w:r>
          </w:p>
        </w:tc>
        <w:tc>
          <w:tcPr>
            <w:tcW w:w="5531" w:type="dxa"/>
          </w:tcPr>
          <w:p w14:paraId="1E9AF559" w14:textId="136AF986" w:rsidR="000557D8" w:rsidRPr="00661F60" w:rsidRDefault="000557D8" w:rsidP="000557D8">
            <w:pPr>
              <w:rPr>
                <w:rFonts w:ascii="Arial" w:hAnsi="Arial" w:cs="Arial"/>
              </w:rPr>
            </w:pPr>
            <w:r w:rsidRPr="00661F60">
              <w:rPr>
                <w:rFonts w:ascii="Arial" w:hAnsi="Arial" w:cs="Arial"/>
              </w:rPr>
              <w:t>Description</w:t>
            </w:r>
          </w:p>
        </w:tc>
      </w:tr>
      <w:tr w:rsidR="000557D8" w:rsidRPr="00661F60" w14:paraId="75A29CC5" w14:textId="77777777" w:rsidTr="007F1EC5">
        <w:tc>
          <w:tcPr>
            <w:tcW w:w="985" w:type="dxa"/>
          </w:tcPr>
          <w:p w14:paraId="0D11DB63" w14:textId="44D10D87" w:rsidR="000557D8" w:rsidRPr="00661F60" w:rsidRDefault="00C929E3" w:rsidP="000557D8">
            <w:pPr>
              <w:rPr>
                <w:rFonts w:ascii="Arial" w:hAnsi="Arial" w:cs="Arial"/>
              </w:rPr>
            </w:pPr>
            <w:r>
              <w:rPr>
                <w:rFonts w:ascii="Arial" w:hAnsi="Arial" w:cs="Arial"/>
              </w:rPr>
              <w:t>1.</w:t>
            </w:r>
            <w:r w:rsidR="004A172F">
              <w:rPr>
                <w:rFonts w:ascii="Arial" w:hAnsi="Arial" w:cs="Arial"/>
              </w:rPr>
              <w:t>3</w:t>
            </w:r>
          </w:p>
        </w:tc>
        <w:tc>
          <w:tcPr>
            <w:tcW w:w="1440" w:type="dxa"/>
          </w:tcPr>
          <w:p w14:paraId="011A2B7A" w14:textId="141CAB06" w:rsidR="000557D8" w:rsidRPr="00661F60" w:rsidRDefault="009278DF" w:rsidP="000557D8">
            <w:pPr>
              <w:rPr>
                <w:rFonts w:ascii="Arial" w:hAnsi="Arial" w:cs="Arial"/>
              </w:rPr>
            </w:pPr>
            <w:r>
              <w:rPr>
                <w:rFonts w:ascii="Arial" w:hAnsi="Arial" w:cs="Arial"/>
              </w:rPr>
              <w:t>2</w:t>
            </w:r>
            <w:r w:rsidR="00F066A9">
              <w:rPr>
                <w:rFonts w:ascii="Arial" w:hAnsi="Arial" w:cs="Arial"/>
              </w:rPr>
              <w:t>3</w:t>
            </w:r>
            <w:r w:rsidR="006511CC">
              <w:rPr>
                <w:rFonts w:ascii="Arial" w:hAnsi="Arial" w:cs="Arial"/>
              </w:rPr>
              <w:t>/0</w:t>
            </w:r>
            <w:r>
              <w:rPr>
                <w:rFonts w:ascii="Arial" w:hAnsi="Arial" w:cs="Arial"/>
              </w:rPr>
              <w:t>8</w:t>
            </w:r>
            <w:r w:rsidR="006511CC">
              <w:rPr>
                <w:rFonts w:ascii="Arial" w:hAnsi="Arial" w:cs="Arial"/>
              </w:rPr>
              <w:t>/2024</w:t>
            </w:r>
          </w:p>
        </w:tc>
        <w:tc>
          <w:tcPr>
            <w:tcW w:w="1440" w:type="dxa"/>
          </w:tcPr>
          <w:p w14:paraId="640297DF" w14:textId="521B0C70" w:rsidR="000557D8" w:rsidRPr="00661F60" w:rsidRDefault="009510A1" w:rsidP="000557D8">
            <w:pPr>
              <w:rPr>
                <w:rFonts w:ascii="Arial" w:hAnsi="Arial" w:cs="Arial"/>
              </w:rPr>
            </w:pPr>
            <w:r>
              <w:rPr>
                <w:rFonts w:ascii="Arial" w:hAnsi="Arial" w:cs="Arial"/>
              </w:rPr>
              <w:t>Eduardo F.</w:t>
            </w:r>
          </w:p>
        </w:tc>
        <w:tc>
          <w:tcPr>
            <w:tcW w:w="5531" w:type="dxa"/>
          </w:tcPr>
          <w:p w14:paraId="52893AD3" w14:textId="1E611A4C" w:rsidR="000557D8" w:rsidRPr="00661F60" w:rsidRDefault="00DD47FD" w:rsidP="000557D8">
            <w:pPr>
              <w:rPr>
                <w:rFonts w:ascii="Arial" w:hAnsi="Arial" w:cs="Arial"/>
              </w:rPr>
            </w:pPr>
            <w:r>
              <w:rPr>
                <w:rFonts w:ascii="Arial" w:hAnsi="Arial" w:cs="Arial"/>
              </w:rPr>
              <w:t xml:space="preserve">Enhancement to the loaner report </w:t>
            </w:r>
          </w:p>
        </w:tc>
      </w:tr>
    </w:tbl>
    <w:p w14:paraId="756503D5" w14:textId="77777777" w:rsidR="000557D8" w:rsidRPr="00661F60" w:rsidRDefault="000557D8" w:rsidP="000557D8">
      <w:pPr>
        <w:rPr>
          <w:rFonts w:ascii="Arial" w:hAnsi="Arial" w:cs="Arial"/>
        </w:rPr>
      </w:pPr>
    </w:p>
    <w:p w14:paraId="15E22AD2" w14:textId="77777777" w:rsidR="000557D8" w:rsidRPr="00661F60" w:rsidRDefault="000557D8" w:rsidP="000557D8">
      <w:pPr>
        <w:rPr>
          <w:rFonts w:ascii="Arial" w:hAnsi="Arial" w:cs="Arial"/>
        </w:rPr>
      </w:pPr>
    </w:p>
    <w:p w14:paraId="2C6FC56E" w14:textId="77777777" w:rsidR="004627B4" w:rsidRDefault="000557D8" w:rsidP="009F29E5">
      <w:pPr>
        <w:pStyle w:val="Heading1"/>
        <w:rPr>
          <w:rFonts w:ascii="Arial" w:hAnsi="Arial" w:cs="Arial"/>
        </w:rPr>
      </w:pPr>
      <w:r w:rsidRPr="00661F60">
        <w:rPr>
          <w:rFonts w:ascii="Arial" w:hAnsi="Arial" w:cs="Arial"/>
        </w:rPr>
        <w:t>Purpose of the document</w:t>
      </w:r>
    </w:p>
    <w:p w14:paraId="07BF37C6" w14:textId="135E9D6B" w:rsidR="000557D8" w:rsidRPr="00F016ED" w:rsidRDefault="009510A1" w:rsidP="004627B4">
      <w:pPr>
        <w:spacing w:before="100" w:beforeAutospacing="1" w:after="100" w:afterAutospacing="1" w:line="240" w:lineRule="auto"/>
        <w:ind w:firstLine="720"/>
        <w:rPr>
          <w:rFonts w:eastAsia="Times New Roman" w:cs="Times New Roman"/>
          <w:sz w:val="24"/>
          <w:szCs w:val="24"/>
          <w14:ligatures w14:val="none"/>
        </w:rPr>
      </w:pPr>
      <w:r>
        <w:rPr>
          <w:rFonts w:eastAsia="Times New Roman" w:cs="Times New Roman"/>
          <w:sz w:val="24"/>
          <w:szCs w:val="24"/>
          <w14:ligatures w14:val="none"/>
        </w:rPr>
        <w:t xml:space="preserve">Detail the changes </w:t>
      </w:r>
      <w:r w:rsidR="005B38BB">
        <w:rPr>
          <w:rFonts w:eastAsia="Times New Roman" w:cs="Times New Roman"/>
          <w:sz w:val="24"/>
          <w:szCs w:val="24"/>
          <w14:ligatures w14:val="none"/>
        </w:rPr>
        <w:t>made</w:t>
      </w:r>
      <w:r>
        <w:rPr>
          <w:rFonts w:eastAsia="Times New Roman" w:cs="Times New Roman"/>
          <w:sz w:val="24"/>
          <w:szCs w:val="24"/>
          <w14:ligatures w14:val="none"/>
        </w:rPr>
        <w:t xml:space="preserve"> to </w:t>
      </w:r>
      <w:r w:rsidR="00E03C8D">
        <w:rPr>
          <w:rFonts w:eastAsia="Times New Roman" w:cs="Times New Roman"/>
          <w:sz w:val="24"/>
          <w:szCs w:val="24"/>
          <w14:ligatures w14:val="none"/>
        </w:rPr>
        <w:t xml:space="preserve">prevent </w:t>
      </w:r>
      <w:r w:rsidR="00DD47FD">
        <w:rPr>
          <w:rFonts w:eastAsia="Times New Roman" w:cs="Times New Roman"/>
          <w:sz w:val="24"/>
          <w:szCs w:val="24"/>
          <w14:ligatures w14:val="none"/>
        </w:rPr>
        <w:t>loan fee report from exhibiting the sets returned with the wrong reservation after FTR into surgery</w:t>
      </w:r>
      <w:r w:rsidR="00E03C8D">
        <w:rPr>
          <w:rFonts w:eastAsia="Times New Roman" w:cs="Times New Roman"/>
          <w:sz w:val="24"/>
          <w:szCs w:val="24"/>
          <w14:ligatures w14:val="none"/>
        </w:rPr>
        <w:t>.</w:t>
      </w:r>
    </w:p>
    <w:p w14:paraId="421CA82E" w14:textId="06404667" w:rsidR="000557D8" w:rsidRDefault="00174FA0" w:rsidP="009F29E5">
      <w:pPr>
        <w:pStyle w:val="Heading1"/>
        <w:rPr>
          <w:rFonts w:ascii="Arial" w:hAnsi="Arial" w:cs="Arial"/>
        </w:rPr>
      </w:pPr>
      <w:r w:rsidRPr="00661F60">
        <w:rPr>
          <w:rFonts w:ascii="Arial" w:hAnsi="Arial" w:cs="Arial"/>
        </w:rPr>
        <w:t>Functionality</w:t>
      </w:r>
    </w:p>
    <w:p w14:paraId="23A22341" w14:textId="4DC646C1" w:rsidR="00E03C8D" w:rsidRDefault="00DD47FD" w:rsidP="00E03C8D">
      <w:pPr>
        <w:spacing w:before="100" w:beforeAutospacing="1" w:after="100" w:afterAutospacing="1" w:line="240" w:lineRule="auto"/>
        <w:ind w:firstLine="720"/>
        <w:rPr>
          <w:rFonts w:eastAsia="Times New Roman" w:cs="Times New Roman"/>
          <w:sz w:val="24"/>
          <w:szCs w:val="24"/>
          <w14:ligatures w14:val="none"/>
        </w:rPr>
      </w:pPr>
      <w:r>
        <w:rPr>
          <w:rFonts w:eastAsia="Times New Roman" w:cs="Times New Roman"/>
          <w:sz w:val="24"/>
          <w:szCs w:val="24"/>
          <w14:ligatures w14:val="none"/>
        </w:rPr>
        <w:t>Selection created inside the loan report to ensure that the previous object for the returned loansets is not CONSI/SET_OPS/INVST.</w:t>
      </w:r>
    </w:p>
    <w:p w14:paraId="0E64C861" w14:textId="52A9CDBB" w:rsidR="00793413" w:rsidRDefault="00793413" w:rsidP="00E03C8D">
      <w:pPr>
        <w:spacing w:before="100" w:beforeAutospacing="1" w:after="100" w:afterAutospacing="1" w:line="240" w:lineRule="auto"/>
        <w:ind w:firstLine="720"/>
        <w:rPr>
          <w:rFonts w:eastAsia="Times New Roman" w:cs="Times New Roman"/>
          <w:sz w:val="24"/>
          <w:szCs w:val="24"/>
          <w14:ligatures w14:val="none"/>
        </w:rPr>
      </w:pPr>
      <w:r>
        <w:rPr>
          <w:rFonts w:eastAsia="Times New Roman" w:cs="Times New Roman"/>
          <w:sz w:val="24"/>
          <w:szCs w:val="24"/>
          <w14:ligatures w14:val="none"/>
        </w:rPr>
        <w:t>For specific case of single original reservation without any extensions parameter calculation return must include calculation type flag.</w:t>
      </w:r>
    </w:p>
    <w:p w14:paraId="7A29AF98" w14:textId="0961DCC4" w:rsidR="00F016ED" w:rsidRPr="003A3E69" w:rsidRDefault="00F016ED" w:rsidP="003A7F3E">
      <w:pPr>
        <w:spacing w:before="100" w:beforeAutospacing="1" w:after="100" w:afterAutospacing="1" w:line="240" w:lineRule="auto"/>
        <w:ind w:firstLine="720"/>
        <w:rPr>
          <w:rFonts w:eastAsia="Times New Roman" w:cs="Times New Roman"/>
          <w:sz w:val="24"/>
          <w:szCs w:val="24"/>
          <w14:ligatures w14:val="none"/>
        </w:rPr>
      </w:pPr>
    </w:p>
    <w:p w14:paraId="44EC12E3" w14:textId="4A20EDC2" w:rsidR="00174FA0" w:rsidRPr="00661F60" w:rsidRDefault="00174FA0" w:rsidP="009F29E5">
      <w:pPr>
        <w:pStyle w:val="Heading1"/>
        <w:rPr>
          <w:rFonts w:ascii="Arial" w:hAnsi="Arial" w:cs="Arial"/>
        </w:rPr>
      </w:pPr>
      <w:r w:rsidRPr="00661F60">
        <w:rPr>
          <w:rFonts w:ascii="Arial" w:hAnsi="Arial" w:cs="Arial"/>
        </w:rPr>
        <w:t>Technical solution</w:t>
      </w:r>
    </w:p>
    <w:p w14:paraId="01F853A0" w14:textId="5A7878FD" w:rsidR="00174FA0" w:rsidRDefault="00174FA0" w:rsidP="009F29E5">
      <w:pPr>
        <w:pStyle w:val="Heading2"/>
        <w:rPr>
          <w:rFonts w:ascii="Arial" w:hAnsi="Arial" w:cs="Arial"/>
        </w:rPr>
      </w:pPr>
      <w:r w:rsidRPr="00661F60">
        <w:rPr>
          <w:rFonts w:ascii="Arial" w:hAnsi="Arial" w:cs="Arial"/>
        </w:rPr>
        <w:t>Description</w:t>
      </w:r>
    </w:p>
    <w:p w14:paraId="13E353B6" w14:textId="1D0486EA" w:rsidR="000E57E8" w:rsidRDefault="00AA62AD" w:rsidP="003A7F3E">
      <w:pPr>
        <w:ind w:left="720"/>
        <w:rPr>
          <w:noProof/>
        </w:rPr>
      </w:pPr>
      <w:r>
        <w:rPr>
          <w:noProof/>
        </w:rPr>
        <w:t xml:space="preserve">Taking all of the sets that have an actual return date we search for their equipment numbers </w:t>
      </w:r>
    </w:p>
    <w:p w14:paraId="2ECA312A" w14:textId="381BB838" w:rsidR="00AA62AD" w:rsidRDefault="00AA62AD" w:rsidP="003A7F3E">
      <w:pPr>
        <w:ind w:left="720"/>
        <w:rPr>
          <w:noProof/>
        </w:rPr>
      </w:pPr>
      <w:r>
        <w:rPr>
          <w:noProof/>
        </w:rPr>
        <w:t>Those equipment numbers can be used with standard table CDHDR and CDPOS to read the changes in EQART as equipments are SAP standard functionality that MMS leverages.</w:t>
      </w:r>
    </w:p>
    <w:p w14:paraId="7E53B998" w14:textId="77777777" w:rsidR="00A020F4" w:rsidRDefault="00A020F4" w:rsidP="003A7F3E">
      <w:pPr>
        <w:ind w:left="720"/>
        <w:rPr>
          <w:noProof/>
        </w:rPr>
      </w:pPr>
    </w:p>
    <w:p w14:paraId="5928C97F" w14:textId="77777777" w:rsidR="00AA62AD" w:rsidRDefault="00AA62AD" w:rsidP="003A7F3E">
      <w:pPr>
        <w:ind w:left="720"/>
        <w:rPr>
          <w:noProof/>
        </w:rPr>
      </w:pPr>
    </w:p>
    <w:p w14:paraId="46F0C6F9" w14:textId="632B447B" w:rsidR="00AA62AD" w:rsidRDefault="00A020F4" w:rsidP="003A7F3E">
      <w:pPr>
        <w:ind w:left="720"/>
        <w:rPr>
          <w:noProof/>
        </w:rPr>
      </w:pPr>
      <w:r w:rsidRPr="00A020F4">
        <w:rPr>
          <w:noProof/>
        </w:rPr>
        <w:lastRenderedPageBreak/>
        <w:drawing>
          <wp:inline distT="0" distB="0" distL="0" distR="0" wp14:anchorId="0DEEFFBF" wp14:editId="4D860020">
            <wp:extent cx="6458585" cy="3858260"/>
            <wp:effectExtent l="0" t="0" r="0" b="8890"/>
            <wp:docPr id="41944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49673" name=""/>
                    <pic:cNvPicPr/>
                  </pic:nvPicPr>
                  <pic:blipFill>
                    <a:blip r:embed="rId8"/>
                    <a:stretch>
                      <a:fillRect/>
                    </a:stretch>
                  </pic:blipFill>
                  <pic:spPr>
                    <a:xfrm>
                      <a:off x="0" y="0"/>
                      <a:ext cx="6462532" cy="3860618"/>
                    </a:xfrm>
                    <a:prstGeom prst="rect">
                      <a:avLst/>
                    </a:prstGeom>
                  </pic:spPr>
                </pic:pic>
              </a:graphicData>
            </a:graphic>
          </wp:inline>
        </w:drawing>
      </w:r>
    </w:p>
    <w:p w14:paraId="1E56A6D1" w14:textId="77777777" w:rsidR="00AA62AD" w:rsidRDefault="00AA62AD" w:rsidP="003A7F3E">
      <w:pPr>
        <w:ind w:left="720"/>
      </w:pPr>
    </w:p>
    <w:p w14:paraId="62E31CC2" w14:textId="6F86446C" w:rsidR="00A020F4" w:rsidRDefault="00A020F4" w:rsidP="003A7F3E">
      <w:pPr>
        <w:ind w:left="720"/>
      </w:pPr>
      <w:r>
        <w:t>With the logs at hand we can then proceed to do a clean up of the wrong serial numbers while keeping the correct ones.</w:t>
      </w:r>
    </w:p>
    <w:p w14:paraId="08464D93" w14:textId="77777777" w:rsidR="007F46DE" w:rsidRDefault="007F46DE" w:rsidP="003A7F3E">
      <w:pPr>
        <w:ind w:left="720"/>
      </w:pPr>
    </w:p>
    <w:p w14:paraId="2CCD434D" w14:textId="0A20BE97" w:rsidR="00CE7DD7" w:rsidRDefault="00CE7DD7" w:rsidP="003A7F3E">
      <w:pPr>
        <w:ind w:left="720"/>
      </w:pPr>
    </w:p>
    <w:p w14:paraId="75F5419C" w14:textId="11B9CE24" w:rsidR="007F46DE" w:rsidRDefault="007F46DE" w:rsidP="003A7F3E">
      <w:pPr>
        <w:ind w:left="720"/>
      </w:pPr>
      <w:r>
        <w:t>Calculation type flag:</w:t>
      </w:r>
    </w:p>
    <w:p w14:paraId="197BC85F" w14:textId="1036D512" w:rsidR="00CE7DD7" w:rsidRDefault="00CE7DD7" w:rsidP="003A7F3E">
      <w:pPr>
        <w:ind w:left="720"/>
      </w:pPr>
      <w:r>
        <w:t xml:space="preserve">In method </w:t>
      </w:r>
    </w:p>
    <w:p w14:paraId="0707DC08" w14:textId="253C6858" w:rsidR="007F46DE" w:rsidRDefault="007F46DE" w:rsidP="003A7F3E">
      <w:pPr>
        <w:ind w:left="720"/>
      </w:pPr>
      <w:r>
        <w:t>Calculation of index for number of days at customer was returning the wrong index. Essentially returning the wrong value even if the number of days that must incur fees was calculated correctly.</w:t>
      </w:r>
    </w:p>
    <w:p w14:paraId="3134C3AD" w14:textId="21C4DD8B" w:rsidR="007F46DE" w:rsidRDefault="007F46DE" w:rsidP="003A7F3E">
      <w:pPr>
        <w:ind w:left="720"/>
      </w:pPr>
      <w:r>
        <w:t>Ex:</w:t>
      </w:r>
    </w:p>
    <w:p w14:paraId="320185A4" w14:textId="2DFE7365" w:rsidR="007F46DE" w:rsidRDefault="007F46DE" w:rsidP="003A7F3E">
      <w:pPr>
        <w:ind w:left="720"/>
      </w:pPr>
      <w:r>
        <w:t>Reservation is 2 days late at customer.</w:t>
      </w:r>
    </w:p>
    <w:p w14:paraId="5FFB8EBB" w14:textId="5266B8E4" w:rsidR="007F46DE" w:rsidRDefault="007F46DE" w:rsidP="003A7F3E">
      <w:pPr>
        <w:ind w:left="720"/>
      </w:pPr>
      <w:r>
        <w:t>Before fix index 2+3 were used which returned a total of 50 + 75 = 125</w:t>
      </w:r>
    </w:p>
    <w:p w14:paraId="4548E9B1" w14:textId="37E8E446" w:rsidR="007F46DE" w:rsidRDefault="007F46DE" w:rsidP="007F46DE">
      <w:pPr>
        <w:ind w:left="720"/>
      </w:pPr>
      <w:r>
        <w:t xml:space="preserve">After fix index 1 + 2 were used which returned a total of 75. </w:t>
      </w:r>
    </w:p>
    <w:p w14:paraId="6EA5B036" w14:textId="611FAD3D" w:rsidR="007F46DE" w:rsidRDefault="007F46DE" w:rsidP="003A7F3E">
      <w:pPr>
        <w:ind w:left="720"/>
      </w:pPr>
      <w:r>
        <w:t>Flag was turned to return ‘X’ for reservations without any extension</w:t>
      </w:r>
      <w:r w:rsidR="00BC4A46">
        <w:t>, and only affects these specific cases.</w:t>
      </w:r>
    </w:p>
    <w:p w14:paraId="5A8FA004" w14:textId="77777777" w:rsidR="007F46DE" w:rsidRDefault="007F46DE" w:rsidP="003A7F3E">
      <w:pPr>
        <w:ind w:left="720"/>
      </w:pPr>
    </w:p>
    <w:p w14:paraId="6904CE51" w14:textId="77777777" w:rsidR="00A020F4" w:rsidRPr="003A7F3E" w:rsidRDefault="00A020F4" w:rsidP="003A7F3E">
      <w:pPr>
        <w:ind w:left="720"/>
      </w:pPr>
    </w:p>
    <w:p w14:paraId="692616F3" w14:textId="00EE91B9" w:rsidR="00F65095" w:rsidRDefault="00F65095" w:rsidP="00F65095">
      <w:pPr>
        <w:pStyle w:val="Heading2"/>
        <w:rPr>
          <w:rFonts w:ascii="Arial" w:hAnsi="Arial" w:cs="Arial"/>
        </w:rPr>
      </w:pPr>
      <w:r w:rsidRPr="6BC30626">
        <w:rPr>
          <w:rFonts w:ascii="Arial" w:hAnsi="Arial" w:cs="Arial"/>
        </w:rPr>
        <w:t>Technical assumptions and Dependencies</w:t>
      </w:r>
    </w:p>
    <w:p w14:paraId="6EBA51C1" w14:textId="1B5A14AB" w:rsidR="003A7F3E" w:rsidRPr="003A7F3E" w:rsidRDefault="00F066A9" w:rsidP="003A7F3E">
      <w:r>
        <w:t>N/A</w:t>
      </w:r>
      <w:r w:rsidR="005B38BB">
        <w:t xml:space="preserve">. </w:t>
      </w:r>
    </w:p>
    <w:p w14:paraId="37D603C1" w14:textId="60F478E1" w:rsidR="003F7313" w:rsidRPr="00661F60" w:rsidRDefault="00726763" w:rsidP="00A71BC7">
      <w:pPr>
        <w:pStyle w:val="Heading2"/>
        <w:rPr>
          <w:rFonts w:ascii="Arial" w:hAnsi="Arial" w:cs="Arial"/>
        </w:rPr>
      </w:pPr>
      <w:r w:rsidRPr="00661F60">
        <w:rPr>
          <w:rFonts w:ascii="Arial" w:hAnsi="Arial" w:cs="Arial"/>
        </w:rPr>
        <w:t>Quality requirements</w:t>
      </w:r>
    </w:p>
    <w:p w14:paraId="1378162E" w14:textId="17F57E31" w:rsidR="003F7313" w:rsidRPr="00661F60" w:rsidRDefault="005E0C60" w:rsidP="005B38BB">
      <w:pPr>
        <w:rPr>
          <w:rFonts w:ascii="Arial" w:hAnsi="Arial" w:cs="Arial"/>
        </w:rPr>
      </w:pPr>
      <w:r>
        <w:rPr>
          <w:rFonts w:ascii="Arial" w:hAnsi="Arial" w:cs="Arial"/>
        </w:rPr>
        <w:t xml:space="preserve"> </w:t>
      </w:r>
      <w:r w:rsidR="00A020F4">
        <w:rPr>
          <w:rFonts w:ascii="Arial" w:hAnsi="Arial" w:cs="Arial"/>
        </w:rPr>
        <w:t>Must be able to remove serial number independent of how many times a set was dispatched and returned on the same day.</w:t>
      </w:r>
    </w:p>
    <w:p w14:paraId="1555FD25" w14:textId="152BFB22" w:rsidR="00351705" w:rsidRDefault="00351705" w:rsidP="00351705">
      <w:pPr>
        <w:pStyle w:val="Heading2"/>
        <w:rPr>
          <w:rFonts w:ascii="Arial" w:hAnsi="Arial" w:cs="Arial"/>
        </w:rPr>
      </w:pPr>
      <w:r w:rsidRPr="00661F60">
        <w:rPr>
          <w:rFonts w:ascii="Arial" w:hAnsi="Arial" w:cs="Arial"/>
        </w:rPr>
        <w:t>Customizing</w:t>
      </w:r>
    </w:p>
    <w:p w14:paraId="54240B31" w14:textId="133D231C" w:rsidR="003A7F3E" w:rsidRPr="003A7F3E" w:rsidRDefault="003A7F3E" w:rsidP="003A7F3E">
      <w:r>
        <w:t>N/A</w:t>
      </w:r>
    </w:p>
    <w:p w14:paraId="0F0E9FAF" w14:textId="068D5BB0" w:rsidR="003D41FA" w:rsidRPr="00661F60" w:rsidRDefault="00174FA0" w:rsidP="003D41FA">
      <w:pPr>
        <w:pStyle w:val="Heading2"/>
        <w:rPr>
          <w:rFonts w:ascii="Arial" w:hAnsi="Arial" w:cs="Arial"/>
        </w:rPr>
      </w:pPr>
      <w:r w:rsidRPr="00661F60">
        <w:rPr>
          <w:rFonts w:ascii="Arial" w:hAnsi="Arial" w:cs="Arial"/>
        </w:rPr>
        <w:t>Development objects</w:t>
      </w:r>
    </w:p>
    <w:tbl>
      <w:tblPr>
        <w:tblStyle w:val="TableGrid"/>
        <w:tblW w:w="9805" w:type="dxa"/>
        <w:tblLook w:val="04A0" w:firstRow="1" w:lastRow="0" w:firstColumn="1" w:lastColumn="0" w:noHBand="0" w:noVBand="1"/>
      </w:tblPr>
      <w:tblGrid>
        <w:gridCol w:w="1967"/>
        <w:gridCol w:w="3542"/>
        <w:gridCol w:w="4296"/>
      </w:tblGrid>
      <w:tr w:rsidR="005A2E13" w:rsidRPr="00661F60" w14:paraId="36461A30" w14:textId="77777777" w:rsidTr="00F066A9">
        <w:tc>
          <w:tcPr>
            <w:tcW w:w="2170" w:type="dxa"/>
            <w:shd w:val="clear" w:color="auto" w:fill="0F9ED5" w:themeFill="accent4"/>
          </w:tcPr>
          <w:p w14:paraId="4663FE44" w14:textId="14903661" w:rsidR="005A2E13" w:rsidRPr="00661F60" w:rsidRDefault="005A2E13" w:rsidP="003A7F3E">
            <w:pPr>
              <w:spacing w:line="276" w:lineRule="auto"/>
              <w:rPr>
                <w:rFonts w:ascii="Arial" w:hAnsi="Arial" w:cs="Arial"/>
              </w:rPr>
            </w:pPr>
            <w:r w:rsidRPr="00661F60">
              <w:rPr>
                <w:rFonts w:ascii="Arial" w:hAnsi="Arial" w:cs="Arial"/>
              </w:rPr>
              <w:t>Object type</w:t>
            </w:r>
          </w:p>
        </w:tc>
        <w:tc>
          <w:tcPr>
            <w:tcW w:w="2749" w:type="dxa"/>
            <w:shd w:val="clear" w:color="auto" w:fill="0F9ED5" w:themeFill="accent4"/>
          </w:tcPr>
          <w:p w14:paraId="051E4036" w14:textId="2D684AE2" w:rsidR="005A2E13" w:rsidRPr="00661F60" w:rsidRDefault="005A2E13" w:rsidP="003A7F3E">
            <w:pPr>
              <w:spacing w:line="276" w:lineRule="auto"/>
              <w:rPr>
                <w:rFonts w:ascii="Arial" w:hAnsi="Arial" w:cs="Arial"/>
              </w:rPr>
            </w:pPr>
            <w:r w:rsidRPr="00661F60">
              <w:rPr>
                <w:rFonts w:ascii="Arial" w:hAnsi="Arial" w:cs="Arial"/>
              </w:rPr>
              <w:t>Object name</w:t>
            </w:r>
          </w:p>
        </w:tc>
        <w:tc>
          <w:tcPr>
            <w:tcW w:w="4886" w:type="dxa"/>
            <w:shd w:val="clear" w:color="auto" w:fill="0F9ED5" w:themeFill="accent4"/>
          </w:tcPr>
          <w:p w14:paraId="7492125C" w14:textId="7DDB0CE8" w:rsidR="005A2E13" w:rsidRPr="00661F60" w:rsidRDefault="005A2E13" w:rsidP="003A7F3E">
            <w:pPr>
              <w:spacing w:line="276" w:lineRule="auto"/>
              <w:rPr>
                <w:rFonts w:ascii="Arial" w:hAnsi="Arial" w:cs="Arial"/>
              </w:rPr>
            </w:pPr>
            <w:r w:rsidRPr="00661F60">
              <w:rPr>
                <w:rFonts w:ascii="Arial" w:hAnsi="Arial" w:cs="Arial"/>
              </w:rPr>
              <w:t>Description</w:t>
            </w:r>
          </w:p>
        </w:tc>
      </w:tr>
      <w:tr w:rsidR="005A2E13" w:rsidRPr="00661F60" w14:paraId="18AE46D3" w14:textId="77777777" w:rsidTr="00F066A9">
        <w:tc>
          <w:tcPr>
            <w:tcW w:w="2170" w:type="dxa"/>
          </w:tcPr>
          <w:p w14:paraId="3A67769C" w14:textId="526D5203" w:rsidR="005A2E13" w:rsidRPr="00661F60" w:rsidRDefault="00F066A9" w:rsidP="003A7F3E">
            <w:pPr>
              <w:spacing w:line="276" w:lineRule="auto"/>
              <w:rPr>
                <w:rFonts w:ascii="Arial" w:hAnsi="Arial" w:cs="Arial"/>
              </w:rPr>
            </w:pPr>
            <w:r>
              <w:rPr>
                <w:rFonts w:ascii="Arial" w:hAnsi="Arial" w:cs="Arial"/>
              </w:rPr>
              <w:t>Method</w:t>
            </w:r>
          </w:p>
        </w:tc>
        <w:tc>
          <w:tcPr>
            <w:tcW w:w="2749" w:type="dxa"/>
          </w:tcPr>
          <w:p w14:paraId="2E3E09FA" w14:textId="671674C2" w:rsidR="005A2E13" w:rsidRPr="00661F60" w:rsidRDefault="00F066A9" w:rsidP="003A7F3E">
            <w:pPr>
              <w:spacing w:line="276" w:lineRule="auto"/>
              <w:rPr>
                <w:rFonts w:ascii="Arial" w:hAnsi="Arial" w:cs="Arial"/>
              </w:rPr>
            </w:pPr>
            <w:r>
              <w:rPr>
                <w:rFonts w:ascii="Arial" w:hAnsi="Arial" w:cs="Arial"/>
              </w:rPr>
              <w:t xml:space="preserve"> </w:t>
            </w:r>
            <w:r w:rsidR="00CE7DD7">
              <w:rPr>
                <w:rFonts w:ascii="Arial" w:hAnsi="Arial" w:cs="Arial"/>
              </w:rPr>
              <w:t>SELECT_AND_PREPARE_DATA</w:t>
            </w:r>
          </w:p>
        </w:tc>
        <w:tc>
          <w:tcPr>
            <w:tcW w:w="4886" w:type="dxa"/>
          </w:tcPr>
          <w:p w14:paraId="1D11845A" w14:textId="0BB5BD75" w:rsidR="005A2E13" w:rsidRPr="00661F60" w:rsidRDefault="00F066A9" w:rsidP="003A7F3E">
            <w:pPr>
              <w:spacing w:line="276" w:lineRule="auto"/>
              <w:rPr>
                <w:rFonts w:ascii="Arial" w:hAnsi="Arial" w:cs="Arial"/>
              </w:rPr>
            </w:pPr>
            <w:r>
              <w:rPr>
                <w:rFonts w:ascii="Arial" w:hAnsi="Arial" w:cs="Arial"/>
              </w:rPr>
              <w:t>Data prep for Loanfee report.</w:t>
            </w:r>
          </w:p>
        </w:tc>
      </w:tr>
      <w:tr w:rsidR="00CE7DD7" w:rsidRPr="00661F60" w14:paraId="4D57DF51" w14:textId="77777777" w:rsidTr="00F066A9">
        <w:tc>
          <w:tcPr>
            <w:tcW w:w="2170" w:type="dxa"/>
          </w:tcPr>
          <w:p w14:paraId="43C84912" w14:textId="63820FF8" w:rsidR="00CE7DD7" w:rsidRDefault="00CE7DD7" w:rsidP="003A7F3E">
            <w:pPr>
              <w:spacing w:line="276" w:lineRule="auto"/>
              <w:rPr>
                <w:rFonts w:ascii="Arial" w:hAnsi="Arial" w:cs="Arial"/>
              </w:rPr>
            </w:pPr>
            <w:r>
              <w:rPr>
                <w:rFonts w:ascii="Arial" w:hAnsi="Arial" w:cs="Arial"/>
              </w:rPr>
              <w:t>Method</w:t>
            </w:r>
          </w:p>
        </w:tc>
        <w:tc>
          <w:tcPr>
            <w:tcW w:w="2749" w:type="dxa"/>
          </w:tcPr>
          <w:p w14:paraId="75A813EC" w14:textId="41792088" w:rsidR="00CE7DD7" w:rsidRDefault="00CE7DD7" w:rsidP="003A7F3E">
            <w:pPr>
              <w:spacing w:line="276" w:lineRule="auto"/>
              <w:rPr>
                <w:rFonts w:ascii="Arial" w:hAnsi="Arial" w:cs="Arial"/>
              </w:rPr>
            </w:pPr>
            <w:r w:rsidRPr="00CE7DD7">
              <w:rPr>
                <w:rFonts w:ascii="Arial" w:hAnsi="Arial" w:cs="Arial"/>
              </w:rPr>
              <w:t>FIND_CALCULATION_PARAM</w:t>
            </w:r>
          </w:p>
        </w:tc>
        <w:tc>
          <w:tcPr>
            <w:tcW w:w="4886" w:type="dxa"/>
          </w:tcPr>
          <w:p w14:paraId="4C114383" w14:textId="1E542160" w:rsidR="00CE7DD7" w:rsidRDefault="00CE7DD7" w:rsidP="003A7F3E">
            <w:pPr>
              <w:spacing w:line="276" w:lineRule="auto"/>
              <w:rPr>
                <w:rFonts w:ascii="Arial" w:hAnsi="Arial" w:cs="Arial"/>
              </w:rPr>
            </w:pPr>
            <w:r>
              <w:rPr>
                <w:rFonts w:ascii="Arial" w:hAnsi="Arial" w:cs="Arial"/>
              </w:rPr>
              <w:t xml:space="preserve">Returns </w:t>
            </w:r>
            <w:r w:rsidR="003A30AF">
              <w:rPr>
                <w:rFonts w:ascii="Arial" w:hAnsi="Arial" w:cs="Arial"/>
              </w:rPr>
              <w:t>parameters for fee calculation</w:t>
            </w:r>
          </w:p>
        </w:tc>
      </w:tr>
    </w:tbl>
    <w:p w14:paraId="418C8F07" w14:textId="77777777" w:rsidR="00A208A2" w:rsidRPr="00661F60" w:rsidRDefault="00A208A2" w:rsidP="00A208A2">
      <w:pPr>
        <w:rPr>
          <w:rFonts w:ascii="Arial" w:hAnsi="Arial" w:cs="Arial"/>
        </w:rPr>
      </w:pPr>
    </w:p>
    <w:p w14:paraId="2A7757C0" w14:textId="647FA7AA" w:rsidR="003D41FA" w:rsidRPr="00661F60" w:rsidRDefault="003D41FA" w:rsidP="003D41FA">
      <w:pPr>
        <w:pStyle w:val="Heading2"/>
        <w:rPr>
          <w:rFonts w:ascii="Arial" w:hAnsi="Arial" w:cs="Arial"/>
        </w:rPr>
      </w:pPr>
      <w:r w:rsidRPr="00661F60">
        <w:rPr>
          <w:rFonts w:ascii="Arial" w:hAnsi="Arial" w:cs="Arial"/>
        </w:rPr>
        <w:t>Related Jira</w:t>
      </w:r>
      <w:r w:rsidR="002F46B5" w:rsidRPr="00661F60">
        <w:rPr>
          <w:rFonts w:ascii="Arial" w:hAnsi="Arial" w:cs="Arial"/>
        </w:rPr>
        <w:t>/HS</w:t>
      </w:r>
      <w:r w:rsidRPr="00661F60">
        <w:rPr>
          <w:rFonts w:ascii="Arial" w:hAnsi="Arial" w:cs="Arial"/>
        </w:rPr>
        <w:t xml:space="preserve"> tickets</w:t>
      </w:r>
    </w:p>
    <w:p w14:paraId="6AACC905" w14:textId="1516AE46" w:rsidR="000557D8" w:rsidRDefault="003A7F3E" w:rsidP="002A7BD8">
      <w:pPr>
        <w:ind w:left="720"/>
        <w:rPr>
          <w:rFonts w:ascii="Arial" w:hAnsi="Arial" w:cs="Arial"/>
        </w:rPr>
      </w:pPr>
      <w:r>
        <w:rPr>
          <w:rFonts w:ascii="Arial" w:hAnsi="Arial" w:cs="Arial"/>
        </w:rPr>
        <w:t>AMS-</w:t>
      </w:r>
      <w:r w:rsidR="00DD47FD">
        <w:rPr>
          <w:rFonts w:ascii="Arial" w:hAnsi="Arial" w:cs="Arial"/>
        </w:rPr>
        <w:t>995</w:t>
      </w:r>
    </w:p>
    <w:p w14:paraId="7F6B9FCD" w14:textId="4176AA30" w:rsidR="007638AD" w:rsidRDefault="007638AD" w:rsidP="007638AD">
      <w:pPr>
        <w:pStyle w:val="Heading2"/>
      </w:pPr>
      <w:r>
        <w:t>Transport Information</w:t>
      </w:r>
      <w:r>
        <w:tab/>
      </w:r>
    </w:p>
    <w:tbl>
      <w:tblPr>
        <w:tblStyle w:val="TableGrid"/>
        <w:tblW w:w="9805" w:type="dxa"/>
        <w:tblLook w:val="04A0" w:firstRow="1" w:lastRow="0" w:firstColumn="1" w:lastColumn="0" w:noHBand="0" w:noVBand="1"/>
      </w:tblPr>
      <w:tblGrid>
        <w:gridCol w:w="2170"/>
        <w:gridCol w:w="2749"/>
        <w:gridCol w:w="4886"/>
      </w:tblGrid>
      <w:tr w:rsidR="007638AD" w:rsidRPr="00661F60" w14:paraId="0F890489" w14:textId="77777777" w:rsidTr="002B7E40">
        <w:tc>
          <w:tcPr>
            <w:tcW w:w="2170" w:type="dxa"/>
            <w:shd w:val="clear" w:color="auto" w:fill="0F9ED5" w:themeFill="accent4"/>
          </w:tcPr>
          <w:p w14:paraId="1292DFB5" w14:textId="16017993" w:rsidR="007638AD" w:rsidRPr="00661F60" w:rsidRDefault="007638AD" w:rsidP="002B7E40">
            <w:pPr>
              <w:spacing w:line="276" w:lineRule="auto"/>
              <w:rPr>
                <w:rFonts w:ascii="Arial" w:hAnsi="Arial" w:cs="Arial"/>
              </w:rPr>
            </w:pPr>
            <w:r>
              <w:rPr>
                <w:rFonts w:ascii="Arial" w:hAnsi="Arial" w:cs="Arial"/>
              </w:rPr>
              <w:t>No</w:t>
            </w:r>
          </w:p>
        </w:tc>
        <w:tc>
          <w:tcPr>
            <w:tcW w:w="2749" w:type="dxa"/>
            <w:shd w:val="clear" w:color="auto" w:fill="0F9ED5" w:themeFill="accent4"/>
          </w:tcPr>
          <w:p w14:paraId="279CDF99" w14:textId="43DB18F2" w:rsidR="007638AD" w:rsidRPr="00661F60" w:rsidRDefault="007638AD" w:rsidP="002B7E40">
            <w:pPr>
              <w:spacing w:line="276" w:lineRule="auto"/>
              <w:rPr>
                <w:rFonts w:ascii="Arial" w:hAnsi="Arial" w:cs="Arial"/>
              </w:rPr>
            </w:pPr>
            <w:r>
              <w:rPr>
                <w:rFonts w:ascii="Arial" w:hAnsi="Arial" w:cs="Arial"/>
              </w:rPr>
              <w:t>System</w:t>
            </w:r>
          </w:p>
        </w:tc>
        <w:tc>
          <w:tcPr>
            <w:tcW w:w="4886" w:type="dxa"/>
            <w:shd w:val="clear" w:color="auto" w:fill="0F9ED5" w:themeFill="accent4"/>
          </w:tcPr>
          <w:p w14:paraId="483AB6F1" w14:textId="63B024E2" w:rsidR="007638AD" w:rsidRPr="00661F60" w:rsidRDefault="007638AD" w:rsidP="002B7E40">
            <w:pPr>
              <w:spacing w:line="276" w:lineRule="auto"/>
              <w:rPr>
                <w:rFonts w:ascii="Arial" w:hAnsi="Arial" w:cs="Arial"/>
              </w:rPr>
            </w:pPr>
            <w:r>
              <w:rPr>
                <w:rFonts w:ascii="Arial" w:hAnsi="Arial" w:cs="Arial"/>
              </w:rPr>
              <w:t>Transport Number</w:t>
            </w:r>
          </w:p>
        </w:tc>
      </w:tr>
      <w:tr w:rsidR="007638AD" w:rsidRPr="00661F60" w14:paraId="61FCB750" w14:textId="77777777" w:rsidTr="002B7E40">
        <w:tc>
          <w:tcPr>
            <w:tcW w:w="2170" w:type="dxa"/>
          </w:tcPr>
          <w:p w14:paraId="167FAC1A" w14:textId="46E18E80" w:rsidR="007638AD" w:rsidRPr="00661F60" w:rsidRDefault="007638AD" w:rsidP="002B7E40">
            <w:pPr>
              <w:spacing w:line="276" w:lineRule="auto"/>
              <w:rPr>
                <w:rFonts w:ascii="Arial" w:hAnsi="Arial" w:cs="Arial"/>
              </w:rPr>
            </w:pPr>
            <w:r>
              <w:rPr>
                <w:rFonts w:ascii="Arial" w:hAnsi="Arial" w:cs="Arial"/>
              </w:rPr>
              <w:t>1</w:t>
            </w:r>
          </w:p>
        </w:tc>
        <w:tc>
          <w:tcPr>
            <w:tcW w:w="2749" w:type="dxa"/>
          </w:tcPr>
          <w:p w14:paraId="3AFA1AFE" w14:textId="54B65A50" w:rsidR="007638AD" w:rsidRPr="00661F60" w:rsidRDefault="007638AD" w:rsidP="002B7E40">
            <w:pPr>
              <w:spacing w:line="276" w:lineRule="auto"/>
              <w:rPr>
                <w:rFonts w:ascii="Arial" w:hAnsi="Arial" w:cs="Arial"/>
              </w:rPr>
            </w:pPr>
            <w:r>
              <w:rPr>
                <w:rFonts w:ascii="Arial" w:hAnsi="Arial" w:cs="Arial"/>
              </w:rPr>
              <w:t>DS4</w:t>
            </w:r>
          </w:p>
        </w:tc>
        <w:tc>
          <w:tcPr>
            <w:tcW w:w="4886" w:type="dxa"/>
          </w:tcPr>
          <w:p w14:paraId="27EA48EF" w14:textId="3B7F5788" w:rsidR="007638AD" w:rsidRPr="00661F60" w:rsidRDefault="007638AD" w:rsidP="007638AD">
            <w:pPr>
              <w:spacing w:line="276" w:lineRule="auto"/>
              <w:rPr>
                <w:rFonts w:ascii="Arial" w:hAnsi="Arial" w:cs="Arial"/>
              </w:rPr>
            </w:pPr>
            <w:r w:rsidRPr="007638AD">
              <w:rPr>
                <w:rFonts w:ascii="Arial" w:hAnsi="Arial" w:cs="Arial"/>
              </w:rPr>
              <w:t>DS4K917084</w:t>
            </w:r>
          </w:p>
        </w:tc>
      </w:tr>
    </w:tbl>
    <w:p w14:paraId="08E69FF3" w14:textId="77777777" w:rsidR="007638AD" w:rsidRPr="00661F60" w:rsidRDefault="007638AD" w:rsidP="002A7BD8">
      <w:pPr>
        <w:ind w:left="720"/>
        <w:rPr>
          <w:rFonts w:ascii="Arial" w:hAnsi="Arial" w:cs="Arial"/>
        </w:rPr>
      </w:pPr>
    </w:p>
    <w:sectPr w:rsidR="007638AD" w:rsidRPr="00661F60" w:rsidSect="00177F3B">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356C6"/>
    <w:multiLevelType w:val="multilevel"/>
    <w:tmpl w:val="491E698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389A1C67"/>
    <w:multiLevelType w:val="multilevel"/>
    <w:tmpl w:val="54FCD43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38F3089B"/>
    <w:multiLevelType w:val="multilevel"/>
    <w:tmpl w:val="02BC3CA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65F81AD2"/>
    <w:multiLevelType w:val="hybridMultilevel"/>
    <w:tmpl w:val="324AA52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23A59"/>
    <w:multiLevelType w:val="hybridMultilevel"/>
    <w:tmpl w:val="4B3EF42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7725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723A74FF"/>
    <w:multiLevelType w:val="multilevel"/>
    <w:tmpl w:val="7A68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693495">
    <w:abstractNumId w:val="2"/>
  </w:num>
  <w:num w:numId="2" w16cid:durableId="700788535">
    <w:abstractNumId w:val="0"/>
  </w:num>
  <w:num w:numId="3" w16cid:durableId="1126436128">
    <w:abstractNumId w:val="1"/>
  </w:num>
  <w:num w:numId="4" w16cid:durableId="30502337">
    <w:abstractNumId w:val="3"/>
  </w:num>
  <w:num w:numId="5" w16cid:durableId="1281302585">
    <w:abstractNumId w:val="4"/>
  </w:num>
  <w:num w:numId="6" w16cid:durableId="2098013812">
    <w:abstractNumId w:val="5"/>
  </w:num>
  <w:num w:numId="7" w16cid:durableId="533346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D8"/>
    <w:rsid w:val="000557D8"/>
    <w:rsid w:val="000616A0"/>
    <w:rsid w:val="000E57E8"/>
    <w:rsid w:val="00157AFE"/>
    <w:rsid w:val="00161E6D"/>
    <w:rsid w:val="00167C0D"/>
    <w:rsid w:val="00174FA0"/>
    <w:rsid w:val="00177F3B"/>
    <w:rsid w:val="00190A25"/>
    <w:rsid w:val="001C55F8"/>
    <w:rsid w:val="00224ED7"/>
    <w:rsid w:val="002A7BD8"/>
    <w:rsid w:val="002B008D"/>
    <w:rsid w:val="002C163A"/>
    <w:rsid w:val="002F46B5"/>
    <w:rsid w:val="00351705"/>
    <w:rsid w:val="003A30AF"/>
    <w:rsid w:val="003A3E69"/>
    <w:rsid w:val="003A7F3E"/>
    <w:rsid w:val="003D41FA"/>
    <w:rsid w:val="003E79C3"/>
    <w:rsid w:val="003F7313"/>
    <w:rsid w:val="00404B62"/>
    <w:rsid w:val="004627B4"/>
    <w:rsid w:val="004A172F"/>
    <w:rsid w:val="004D1E61"/>
    <w:rsid w:val="005A2E13"/>
    <w:rsid w:val="005B38BB"/>
    <w:rsid w:val="005E0C60"/>
    <w:rsid w:val="00623B3C"/>
    <w:rsid w:val="006511CC"/>
    <w:rsid w:val="00661F60"/>
    <w:rsid w:val="00726763"/>
    <w:rsid w:val="00752A9A"/>
    <w:rsid w:val="007638AD"/>
    <w:rsid w:val="007650B2"/>
    <w:rsid w:val="00793413"/>
    <w:rsid w:val="007B12E1"/>
    <w:rsid w:val="007E753E"/>
    <w:rsid w:val="007F1EC5"/>
    <w:rsid w:val="007F46DE"/>
    <w:rsid w:val="008345FE"/>
    <w:rsid w:val="0089495A"/>
    <w:rsid w:val="009278DF"/>
    <w:rsid w:val="009510A1"/>
    <w:rsid w:val="00980231"/>
    <w:rsid w:val="009B4042"/>
    <w:rsid w:val="009F29E5"/>
    <w:rsid w:val="00A020F4"/>
    <w:rsid w:val="00A05ABF"/>
    <w:rsid w:val="00A070E7"/>
    <w:rsid w:val="00A208A2"/>
    <w:rsid w:val="00A71BC7"/>
    <w:rsid w:val="00AA62AD"/>
    <w:rsid w:val="00AD12B1"/>
    <w:rsid w:val="00B46770"/>
    <w:rsid w:val="00BC24C2"/>
    <w:rsid w:val="00BC4A46"/>
    <w:rsid w:val="00C22874"/>
    <w:rsid w:val="00C929E3"/>
    <w:rsid w:val="00CE7DD7"/>
    <w:rsid w:val="00D116B3"/>
    <w:rsid w:val="00D578A4"/>
    <w:rsid w:val="00D70EBA"/>
    <w:rsid w:val="00D95543"/>
    <w:rsid w:val="00DD47FD"/>
    <w:rsid w:val="00E03C8D"/>
    <w:rsid w:val="00EA7303"/>
    <w:rsid w:val="00ED39B7"/>
    <w:rsid w:val="00F016ED"/>
    <w:rsid w:val="00F066A9"/>
    <w:rsid w:val="00F124BD"/>
    <w:rsid w:val="00F65095"/>
    <w:rsid w:val="00FE1E27"/>
    <w:rsid w:val="1F4F7D8E"/>
    <w:rsid w:val="581C2AF8"/>
    <w:rsid w:val="6BC30626"/>
    <w:rsid w:val="75539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2131"/>
  <w15:chartTrackingRefBased/>
  <w15:docId w15:val="{B6C0957A-B309-456E-8E1F-E822DF6F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D8"/>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57D8"/>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7D8"/>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7D8"/>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7D8"/>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7D8"/>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7D8"/>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7D8"/>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7D8"/>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5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7D8"/>
    <w:rPr>
      <w:rFonts w:eastAsiaTheme="majorEastAsia" w:cstheme="majorBidi"/>
      <w:color w:val="272727" w:themeColor="text1" w:themeTint="D8"/>
    </w:rPr>
  </w:style>
  <w:style w:type="paragraph" w:styleId="Title">
    <w:name w:val="Title"/>
    <w:basedOn w:val="Normal"/>
    <w:next w:val="Normal"/>
    <w:link w:val="TitleChar"/>
    <w:uiPriority w:val="10"/>
    <w:qFormat/>
    <w:rsid w:val="00055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7D8"/>
    <w:pPr>
      <w:spacing w:before="160"/>
      <w:jc w:val="center"/>
    </w:pPr>
    <w:rPr>
      <w:i/>
      <w:iCs/>
      <w:color w:val="404040" w:themeColor="text1" w:themeTint="BF"/>
    </w:rPr>
  </w:style>
  <w:style w:type="character" w:customStyle="1" w:styleId="QuoteChar">
    <w:name w:val="Quote Char"/>
    <w:basedOn w:val="DefaultParagraphFont"/>
    <w:link w:val="Quote"/>
    <w:uiPriority w:val="29"/>
    <w:rsid w:val="000557D8"/>
    <w:rPr>
      <w:i/>
      <w:iCs/>
      <w:color w:val="404040" w:themeColor="text1" w:themeTint="BF"/>
    </w:rPr>
  </w:style>
  <w:style w:type="paragraph" w:styleId="ListParagraph">
    <w:name w:val="List Paragraph"/>
    <w:basedOn w:val="Normal"/>
    <w:uiPriority w:val="34"/>
    <w:qFormat/>
    <w:rsid w:val="000557D8"/>
    <w:pPr>
      <w:ind w:left="720"/>
      <w:contextualSpacing/>
    </w:pPr>
  </w:style>
  <w:style w:type="character" w:styleId="IntenseEmphasis">
    <w:name w:val="Intense Emphasis"/>
    <w:basedOn w:val="DefaultParagraphFont"/>
    <w:uiPriority w:val="21"/>
    <w:qFormat/>
    <w:rsid w:val="000557D8"/>
    <w:rPr>
      <w:i/>
      <w:iCs/>
      <w:color w:val="0F4761" w:themeColor="accent1" w:themeShade="BF"/>
    </w:rPr>
  </w:style>
  <w:style w:type="paragraph" w:styleId="IntenseQuote">
    <w:name w:val="Intense Quote"/>
    <w:basedOn w:val="Normal"/>
    <w:next w:val="Normal"/>
    <w:link w:val="IntenseQuoteChar"/>
    <w:uiPriority w:val="30"/>
    <w:qFormat/>
    <w:rsid w:val="00055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7D8"/>
    <w:rPr>
      <w:i/>
      <w:iCs/>
      <w:color w:val="0F4761" w:themeColor="accent1" w:themeShade="BF"/>
    </w:rPr>
  </w:style>
  <w:style w:type="character" w:styleId="IntenseReference">
    <w:name w:val="Intense Reference"/>
    <w:basedOn w:val="DefaultParagraphFont"/>
    <w:uiPriority w:val="32"/>
    <w:qFormat/>
    <w:rsid w:val="000557D8"/>
    <w:rPr>
      <w:b/>
      <w:bCs/>
      <w:smallCaps/>
      <w:color w:val="0F4761" w:themeColor="accent1" w:themeShade="BF"/>
      <w:spacing w:val="5"/>
    </w:rPr>
  </w:style>
  <w:style w:type="table" w:styleId="TableGrid">
    <w:name w:val="Table Grid"/>
    <w:basedOn w:val="TableNormal"/>
    <w:uiPriority w:val="39"/>
    <w:rsid w:val="00055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627B4"/>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line-clamp-1">
    <w:name w:val="line-clamp-1"/>
    <w:basedOn w:val="DefaultParagraphFont"/>
    <w:rsid w:val="004627B4"/>
  </w:style>
  <w:style w:type="character" w:customStyle="1" w:styleId="l0s521">
    <w:name w:val="l0s521"/>
    <w:basedOn w:val="DefaultParagraphFont"/>
    <w:rsid w:val="003A7F3E"/>
    <w:rPr>
      <w:rFonts w:ascii="Courier New" w:hAnsi="Courier New" w:cs="Courier New" w:hint="default"/>
      <w:color w:val="0000FF"/>
      <w:sz w:val="20"/>
      <w:szCs w:val="20"/>
      <w:shd w:val="clear" w:color="auto" w:fill="FFFFFF"/>
    </w:rPr>
  </w:style>
  <w:style w:type="character" w:customStyle="1" w:styleId="l0s701">
    <w:name w:val="l0s701"/>
    <w:basedOn w:val="DefaultParagraphFont"/>
    <w:rsid w:val="003A7F3E"/>
    <w:rPr>
      <w:rFonts w:ascii="Courier New" w:hAnsi="Courier New" w:cs="Courier New" w:hint="default"/>
      <w:color w:val="808080"/>
      <w:sz w:val="20"/>
      <w:szCs w:val="20"/>
      <w:shd w:val="clear" w:color="auto" w:fill="FFFFFF"/>
    </w:rPr>
  </w:style>
  <w:style w:type="character" w:customStyle="1" w:styleId="l0s551">
    <w:name w:val="l0s551"/>
    <w:basedOn w:val="DefaultParagraphFont"/>
    <w:rsid w:val="003A7F3E"/>
    <w:rPr>
      <w:rFonts w:ascii="Courier New" w:hAnsi="Courier New" w:cs="Courier New" w:hint="default"/>
      <w:color w:val="800080"/>
      <w:sz w:val="20"/>
      <w:szCs w:val="20"/>
      <w:shd w:val="clear" w:color="auto" w:fill="FFFFFF"/>
    </w:rPr>
  </w:style>
  <w:style w:type="character" w:customStyle="1" w:styleId="l0s311">
    <w:name w:val="l0s311"/>
    <w:basedOn w:val="DefaultParagraphFont"/>
    <w:rsid w:val="003A7F3E"/>
    <w:rPr>
      <w:rFonts w:ascii="Courier New" w:hAnsi="Courier New" w:cs="Courier New" w:hint="default"/>
      <w:i/>
      <w:iCs/>
      <w:color w:val="808080"/>
      <w:sz w:val="20"/>
      <w:szCs w:val="20"/>
      <w:shd w:val="clear" w:color="auto" w:fill="FFFFFF"/>
    </w:rPr>
  </w:style>
  <w:style w:type="character" w:customStyle="1" w:styleId="l0s331">
    <w:name w:val="l0s331"/>
    <w:basedOn w:val="DefaultParagraphFont"/>
    <w:rsid w:val="003A7F3E"/>
    <w:rPr>
      <w:rFonts w:ascii="Courier New" w:hAnsi="Courier New" w:cs="Courier New" w:hint="default"/>
      <w:color w:val="4DA619"/>
      <w:sz w:val="20"/>
      <w:szCs w:val="20"/>
      <w:shd w:val="clear" w:color="auto" w:fill="FFFFFF"/>
    </w:rPr>
  </w:style>
  <w:style w:type="character" w:styleId="Hyperlink">
    <w:name w:val="Hyperlink"/>
    <w:basedOn w:val="DefaultParagraphFont"/>
    <w:uiPriority w:val="99"/>
    <w:unhideWhenUsed/>
    <w:rsid w:val="007638AD"/>
    <w:rPr>
      <w:color w:val="467886" w:themeColor="hyperlink"/>
      <w:u w:val="single"/>
    </w:rPr>
  </w:style>
  <w:style w:type="character" w:styleId="UnresolvedMention">
    <w:name w:val="Unresolved Mention"/>
    <w:basedOn w:val="DefaultParagraphFont"/>
    <w:uiPriority w:val="99"/>
    <w:semiHidden/>
    <w:unhideWhenUsed/>
    <w:rsid w:val="00763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5403">
      <w:bodyDiv w:val="1"/>
      <w:marLeft w:val="0"/>
      <w:marRight w:val="0"/>
      <w:marTop w:val="0"/>
      <w:marBottom w:val="0"/>
      <w:divBdr>
        <w:top w:val="none" w:sz="0" w:space="0" w:color="auto"/>
        <w:left w:val="none" w:sz="0" w:space="0" w:color="auto"/>
        <w:bottom w:val="none" w:sz="0" w:space="0" w:color="auto"/>
        <w:right w:val="none" w:sz="0" w:space="0" w:color="auto"/>
      </w:divBdr>
      <w:divsChild>
        <w:div w:id="1343778196">
          <w:marLeft w:val="0"/>
          <w:marRight w:val="0"/>
          <w:marTop w:val="0"/>
          <w:marBottom w:val="0"/>
          <w:divBdr>
            <w:top w:val="none" w:sz="0" w:space="0" w:color="auto"/>
            <w:left w:val="none" w:sz="0" w:space="0" w:color="auto"/>
            <w:bottom w:val="none" w:sz="0" w:space="0" w:color="auto"/>
            <w:right w:val="none" w:sz="0" w:space="0" w:color="auto"/>
          </w:divBdr>
        </w:div>
      </w:divsChild>
    </w:div>
    <w:div w:id="79378442">
      <w:bodyDiv w:val="1"/>
      <w:marLeft w:val="0"/>
      <w:marRight w:val="0"/>
      <w:marTop w:val="0"/>
      <w:marBottom w:val="0"/>
      <w:divBdr>
        <w:top w:val="none" w:sz="0" w:space="0" w:color="auto"/>
        <w:left w:val="none" w:sz="0" w:space="0" w:color="auto"/>
        <w:bottom w:val="none" w:sz="0" w:space="0" w:color="auto"/>
        <w:right w:val="none" w:sz="0" w:space="0" w:color="auto"/>
      </w:divBdr>
      <w:divsChild>
        <w:div w:id="947783344">
          <w:marLeft w:val="0"/>
          <w:marRight w:val="0"/>
          <w:marTop w:val="0"/>
          <w:marBottom w:val="0"/>
          <w:divBdr>
            <w:top w:val="none" w:sz="0" w:space="0" w:color="auto"/>
            <w:left w:val="none" w:sz="0" w:space="0" w:color="auto"/>
            <w:bottom w:val="none" w:sz="0" w:space="0" w:color="auto"/>
            <w:right w:val="none" w:sz="0" w:space="0" w:color="auto"/>
          </w:divBdr>
        </w:div>
      </w:divsChild>
    </w:div>
    <w:div w:id="612597694">
      <w:bodyDiv w:val="1"/>
      <w:marLeft w:val="0"/>
      <w:marRight w:val="0"/>
      <w:marTop w:val="0"/>
      <w:marBottom w:val="0"/>
      <w:divBdr>
        <w:top w:val="none" w:sz="0" w:space="0" w:color="auto"/>
        <w:left w:val="none" w:sz="0" w:space="0" w:color="auto"/>
        <w:bottom w:val="none" w:sz="0" w:space="0" w:color="auto"/>
        <w:right w:val="none" w:sz="0" w:space="0" w:color="auto"/>
      </w:divBdr>
    </w:div>
    <w:div w:id="722825172">
      <w:bodyDiv w:val="1"/>
      <w:marLeft w:val="0"/>
      <w:marRight w:val="0"/>
      <w:marTop w:val="0"/>
      <w:marBottom w:val="0"/>
      <w:divBdr>
        <w:top w:val="none" w:sz="0" w:space="0" w:color="auto"/>
        <w:left w:val="none" w:sz="0" w:space="0" w:color="auto"/>
        <w:bottom w:val="none" w:sz="0" w:space="0" w:color="auto"/>
        <w:right w:val="none" w:sz="0" w:space="0" w:color="auto"/>
      </w:divBdr>
      <w:divsChild>
        <w:div w:id="598607319">
          <w:marLeft w:val="0"/>
          <w:marRight w:val="0"/>
          <w:marTop w:val="0"/>
          <w:marBottom w:val="0"/>
          <w:divBdr>
            <w:top w:val="none" w:sz="0" w:space="0" w:color="auto"/>
            <w:left w:val="none" w:sz="0" w:space="0" w:color="auto"/>
            <w:bottom w:val="none" w:sz="0" w:space="0" w:color="auto"/>
            <w:right w:val="none" w:sz="0" w:space="0" w:color="auto"/>
          </w:divBdr>
          <w:divsChild>
            <w:div w:id="1493061542">
              <w:marLeft w:val="0"/>
              <w:marRight w:val="0"/>
              <w:marTop w:val="0"/>
              <w:marBottom w:val="0"/>
              <w:divBdr>
                <w:top w:val="none" w:sz="0" w:space="0" w:color="auto"/>
                <w:left w:val="none" w:sz="0" w:space="0" w:color="auto"/>
                <w:bottom w:val="none" w:sz="0" w:space="0" w:color="auto"/>
                <w:right w:val="none" w:sz="0" w:space="0" w:color="auto"/>
              </w:divBdr>
              <w:divsChild>
                <w:div w:id="2061049246">
                  <w:marLeft w:val="0"/>
                  <w:marRight w:val="0"/>
                  <w:marTop w:val="0"/>
                  <w:marBottom w:val="0"/>
                  <w:divBdr>
                    <w:top w:val="none" w:sz="0" w:space="0" w:color="auto"/>
                    <w:left w:val="none" w:sz="0" w:space="0" w:color="auto"/>
                    <w:bottom w:val="none" w:sz="0" w:space="0" w:color="auto"/>
                    <w:right w:val="none" w:sz="0" w:space="0" w:color="auto"/>
                  </w:divBdr>
                  <w:divsChild>
                    <w:div w:id="12804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57106">
          <w:marLeft w:val="0"/>
          <w:marRight w:val="0"/>
          <w:marTop w:val="0"/>
          <w:marBottom w:val="0"/>
          <w:divBdr>
            <w:top w:val="none" w:sz="0" w:space="0" w:color="auto"/>
            <w:left w:val="none" w:sz="0" w:space="0" w:color="auto"/>
            <w:bottom w:val="none" w:sz="0" w:space="0" w:color="auto"/>
            <w:right w:val="none" w:sz="0" w:space="0" w:color="auto"/>
          </w:divBdr>
          <w:divsChild>
            <w:div w:id="1394692278">
              <w:marLeft w:val="0"/>
              <w:marRight w:val="0"/>
              <w:marTop w:val="0"/>
              <w:marBottom w:val="0"/>
              <w:divBdr>
                <w:top w:val="none" w:sz="0" w:space="0" w:color="auto"/>
                <w:left w:val="none" w:sz="0" w:space="0" w:color="auto"/>
                <w:bottom w:val="none" w:sz="0" w:space="0" w:color="auto"/>
                <w:right w:val="none" w:sz="0" w:space="0" w:color="auto"/>
              </w:divBdr>
              <w:divsChild>
                <w:div w:id="892622502">
                  <w:marLeft w:val="0"/>
                  <w:marRight w:val="0"/>
                  <w:marTop w:val="0"/>
                  <w:marBottom w:val="0"/>
                  <w:divBdr>
                    <w:top w:val="none" w:sz="0" w:space="0" w:color="auto"/>
                    <w:left w:val="none" w:sz="0" w:space="0" w:color="auto"/>
                    <w:bottom w:val="none" w:sz="0" w:space="0" w:color="auto"/>
                    <w:right w:val="none" w:sz="0" w:space="0" w:color="auto"/>
                  </w:divBdr>
                  <w:divsChild>
                    <w:div w:id="6338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37029">
      <w:bodyDiv w:val="1"/>
      <w:marLeft w:val="0"/>
      <w:marRight w:val="0"/>
      <w:marTop w:val="0"/>
      <w:marBottom w:val="0"/>
      <w:divBdr>
        <w:top w:val="none" w:sz="0" w:space="0" w:color="auto"/>
        <w:left w:val="none" w:sz="0" w:space="0" w:color="auto"/>
        <w:bottom w:val="none" w:sz="0" w:space="0" w:color="auto"/>
        <w:right w:val="none" w:sz="0" w:space="0" w:color="auto"/>
      </w:divBdr>
      <w:divsChild>
        <w:div w:id="1572960192">
          <w:marLeft w:val="0"/>
          <w:marRight w:val="0"/>
          <w:marTop w:val="0"/>
          <w:marBottom w:val="0"/>
          <w:divBdr>
            <w:top w:val="none" w:sz="0" w:space="0" w:color="auto"/>
            <w:left w:val="none" w:sz="0" w:space="0" w:color="auto"/>
            <w:bottom w:val="none" w:sz="0" w:space="0" w:color="auto"/>
            <w:right w:val="none" w:sz="0" w:space="0" w:color="auto"/>
          </w:divBdr>
          <w:divsChild>
            <w:div w:id="204677808">
              <w:marLeft w:val="0"/>
              <w:marRight w:val="0"/>
              <w:marTop w:val="0"/>
              <w:marBottom w:val="0"/>
              <w:divBdr>
                <w:top w:val="none" w:sz="0" w:space="0" w:color="auto"/>
                <w:left w:val="none" w:sz="0" w:space="0" w:color="auto"/>
                <w:bottom w:val="none" w:sz="0" w:space="0" w:color="auto"/>
                <w:right w:val="none" w:sz="0" w:space="0" w:color="auto"/>
              </w:divBdr>
              <w:divsChild>
                <w:div w:id="39671147">
                  <w:marLeft w:val="0"/>
                  <w:marRight w:val="0"/>
                  <w:marTop w:val="0"/>
                  <w:marBottom w:val="0"/>
                  <w:divBdr>
                    <w:top w:val="none" w:sz="0" w:space="0" w:color="auto"/>
                    <w:left w:val="none" w:sz="0" w:space="0" w:color="auto"/>
                    <w:bottom w:val="none" w:sz="0" w:space="0" w:color="auto"/>
                    <w:right w:val="none" w:sz="0" w:space="0" w:color="auto"/>
                  </w:divBdr>
                  <w:divsChild>
                    <w:div w:id="5998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6630">
          <w:marLeft w:val="0"/>
          <w:marRight w:val="0"/>
          <w:marTop w:val="0"/>
          <w:marBottom w:val="0"/>
          <w:divBdr>
            <w:top w:val="none" w:sz="0" w:space="0" w:color="auto"/>
            <w:left w:val="none" w:sz="0" w:space="0" w:color="auto"/>
            <w:bottom w:val="none" w:sz="0" w:space="0" w:color="auto"/>
            <w:right w:val="none" w:sz="0" w:space="0" w:color="auto"/>
          </w:divBdr>
          <w:divsChild>
            <w:div w:id="1121609571">
              <w:marLeft w:val="0"/>
              <w:marRight w:val="0"/>
              <w:marTop w:val="0"/>
              <w:marBottom w:val="0"/>
              <w:divBdr>
                <w:top w:val="none" w:sz="0" w:space="0" w:color="auto"/>
                <w:left w:val="none" w:sz="0" w:space="0" w:color="auto"/>
                <w:bottom w:val="none" w:sz="0" w:space="0" w:color="auto"/>
                <w:right w:val="none" w:sz="0" w:space="0" w:color="auto"/>
              </w:divBdr>
              <w:divsChild>
                <w:div w:id="690227396">
                  <w:marLeft w:val="0"/>
                  <w:marRight w:val="0"/>
                  <w:marTop w:val="0"/>
                  <w:marBottom w:val="0"/>
                  <w:divBdr>
                    <w:top w:val="none" w:sz="0" w:space="0" w:color="auto"/>
                    <w:left w:val="none" w:sz="0" w:space="0" w:color="auto"/>
                    <w:bottom w:val="none" w:sz="0" w:space="0" w:color="auto"/>
                    <w:right w:val="none" w:sz="0" w:space="0" w:color="auto"/>
                  </w:divBdr>
                  <w:divsChild>
                    <w:div w:id="4332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d7df891-e74f-4175-a6c0-66b07d8acbe0">
      <UserInfo>
        <DisplayName>Genadi Ivanov</DisplayName>
        <AccountId>13</AccountId>
        <AccountType/>
      </UserInfo>
      <UserInfo>
        <DisplayName>Pritam Kunal</DisplayName>
        <AccountId>25</AccountId>
        <AccountType/>
      </UserInfo>
      <UserInfo>
        <DisplayName>Sabine Knauer</DisplayName>
        <AccountId>11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50F5797157514F963F6A58AC658B8E" ma:contentTypeVersion="6" ma:contentTypeDescription="Create a new document." ma:contentTypeScope="" ma:versionID="1309ba0389f9cfb917aa46e479fa7374">
  <xsd:schema xmlns:xsd="http://www.w3.org/2001/XMLSchema" xmlns:xs="http://www.w3.org/2001/XMLSchema" xmlns:p="http://schemas.microsoft.com/office/2006/metadata/properties" xmlns:ns2="244d9332-3c6d-4c2a-9bef-1fef1ac395e4" xmlns:ns3="bd7df891-e74f-4175-a6c0-66b07d8acbe0" targetNamespace="http://schemas.microsoft.com/office/2006/metadata/properties" ma:root="true" ma:fieldsID="aa506debaa40161b4a2c94f020be4ce8" ns2:_="" ns3:_="">
    <xsd:import namespace="244d9332-3c6d-4c2a-9bef-1fef1ac395e4"/>
    <xsd:import namespace="bd7df891-e74f-4175-a6c0-66b07d8acb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4d9332-3c6d-4c2a-9bef-1fef1ac395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7df891-e74f-4175-a6c0-66b07d8acb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BD1076-FB24-4686-B14D-2E73B4DF9997}">
  <ds:schemaRefs>
    <ds:schemaRef ds:uri="http://schemas.microsoft.com/office/2006/metadata/properties"/>
    <ds:schemaRef ds:uri="http://schemas.microsoft.com/office/infopath/2007/PartnerControls"/>
    <ds:schemaRef ds:uri="bd7df891-e74f-4175-a6c0-66b07d8acbe0"/>
  </ds:schemaRefs>
</ds:datastoreItem>
</file>

<file path=customXml/itemProps2.xml><?xml version="1.0" encoding="utf-8"?>
<ds:datastoreItem xmlns:ds="http://schemas.openxmlformats.org/officeDocument/2006/customXml" ds:itemID="{D60CA9A1-6CC8-40B9-A373-45991FC78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4d9332-3c6d-4c2a-9bef-1fef1ac395e4"/>
    <ds:schemaRef ds:uri="bd7df891-e74f-4175-a6c0-66b07d8acb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8F61EF-B88E-45AD-A145-EF121F4058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322</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Genadi Ivanov</dc:creator>
  <cp:keywords/>
  <dc:description/>
  <cp:lastModifiedBy>Eduardo Florentino</cp:lastModifiedBy>
  <cp:revision>52</cp:revision>
  <dcterms:created xsi:type="dcterms:W3CDTF">2024-06-19T08:01:00Z</dcterms:created>
  <dcterms:modified xsi:type="dcterms:W3CDTF">2024-09-17T23:37:00Z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0x010100EC50F5797157514F963F6A58AC658B8E</vt:lpwstr>
  </property>
</Properties>
</file>