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62F2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MS Mincho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b/>
          <w:bCs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Động từ dạng</w:t>
      </w:r>
      <w:r>
        <w:rPr>
          <w:rFonts w:hint="default" w:ascii="Times New Roman" w:hAnsi="Times New Roman" w:eastAsia="MS Mincho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「て形」</w:t>
      </w:r>
    </w:p>
    <w:p w14:paraId="39EA7266">
      <w:pPr>
        <w:pStyle w:val="5"/>
        <w:numPr>
          <w:ilvl w:val="0"/>
          <w:numId w:val="2"/>
        </w:numP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Thể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「て」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là dạng của động từ có đuôi là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「て」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hoặc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「で」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。</w:t>
      </w:r>
    </w:p>
    <w:p w14:paraId="1574A886">
      <w:pPr>
        <w:pStyle w:val="5"/>
        <w:numPr>
          <w:ilvl w:val="0"/>
          <w:numId w:val="2"/>
        </w:numP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Cách chia động từ thể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「て」</w:t>
      </w:r>
    </w:p>
    <w:p w14:paraId="4F7F0649">
      <w:pPr>
        <w:pStyle w:val="5"/>
        <w:numPr>
          <w:ilvl w:val="1"/>
          <w:numId w:val="1"/>
        </w:numPr>
        <w:rPr>
          <w:rFonts w:hint="default" w:ascii="Times New Roman" w:hAnsi="Times New Roman" w:eastAsia="MS Mincho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Động từ thuộc nhóm 1: ～「い」 ます　→　て</w:t>
      </w:r>
    </w:p>
    <w:p w14:paraId="65ADF263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Là động từ có kết thúc thuộc cột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「い」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trước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「ます 」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, tùy thuộc vào âm tiết đứng trước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「ます 」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mà sẽ có cách chia khác nhau như sau:</w:t>
      </w:r>
    </w:p>
    <w:p w14:paraId="7BDE3900">
      <w:pPr>
        <w:pStyle w:val="5"/>
        <w:numPr>
          <w:ilvl w:val="0"/>
          <w:numId w:val="0"/>
        </w:numPr>
        <w:ind w:left="360" w:leftChars="0"/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</w:p>
    <w:tbl>
      <w:tblPr>
        <w:tblStyle w:val="3"/>
        <w:tblW w:w="858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3"/>
        <w:gridCol w:w="2165"/>
        <w:gridCol w:w="3859"/>
      </w:tblGrid>
      <w:tr w14:paraId="2A9CB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518" w:type="dxa"/>
            <w:shd w:val="clear" w:color="auto" w:fill="auto"/>
            <w:vAlign w:val="center"/>
          </w:tcPr>
          <w:p w14:paraId="559949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</w:rPr>
            </w:pPr>
            <w:r>
              <w:rPr>
                <w:rStyle w:val="4"/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Đuôi động từ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08EB51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</w:rPr>
            </w:pPr>
            <w:r>
              <w:rPr>
                <w:rStyle w:val="4"/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Chuyển sang thể て</w:t>
            </w:r>
          </w:p>
        </w:tc>
        <w:tc>
          <w:tcPr>
            <w:tcW w:w="3814" w:type="dxa"/>
            <w:shd w:val="clear" w:color="auto" w:fill="auto"/>
            <w:vAlign w:val="center"/>
          </w:tcPr>
          <w:p w14:paraId="0B5AF5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</w:rPr>
            </w:pPr>
            <w:r>
              <w:rPr>
                <w:rStyle w:val="4"/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Ví dụ</w:t>
            </w:r>
          </w:p>
        </w:tc>
      </w:tr>
      <w:tr w14:paraId="31032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18" w:type="dxa"/>
            <w:shd w:val="clear" w:color="auto" w:fill="auto"/>
            <w:vAlign w:val="center"/>
          </w:tcPr>
          <w:p w14:paraId="78ED5A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い・ち・り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39B3CF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～って</w:t>
            </w:r>
          </w:p>
        </w:tc>
        <w:tc>
          <w:tcPr>
            <w:tcW w:w="3814" w:type="dxa"/>
            <w:shd w:val="clear" w:color="auto" w:fill="auto"/>
            <w:vAlign w:val="center"/>
          </w:tcPr>
          <w:p w14:paraId="319C1A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</w:pPr>
            <w:r>
              <w:rPr>
                <w:rFonts w:hint="eastAsia" w:ascii="MS Mincho" w:hAnsi="MS Mincho" w:eastAsia="MS Mincho"/>
                <w:kern w:val="0"/>
                <w:sz w:val="28"/>
                <w:szCs w:val="28"/>
                <w:lang w:val="en-US" w:eastAsia="ja-JP"/>
              </w:rPr>
              <w:t>取ります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→ 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  <w:t>取って</w:t>
            </w:r>
          </w:p>
          <w:p w14:paraId="2E9C6B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  <w:t>立ちます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→ 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  <w:t>立って</w:t>
            </w:r>
          </w:p>
          <w:p w14:paraId="7AD7C2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  <w:t>帰ります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→ 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  <w:t>帰って</w:t>
            </w:r>
          </w:p>
        </w:tc>
      </w:tr>
      <w:tr w14:paraId="2B7F5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18" w:type="dxa"/>
            <w:shd w:val="clear" w:color="auto" w:fill="auto"/>
            <w:vAlign w:val="center"/>
          </w:tcPr>
          <w:p w14:paraId="2EEDEF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み・に・び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0EB7CD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～んで</w:t>
            </w:r>
          </w:p>
        </w:tc>
        <w:tc>
          <w:tcPr>
            <w:tcW w:w="3814" w:type="dxa"/>
            <w:shd w:val="clear" w:color="auto" w:fill="auto"/>
            <w:vAlign w:val="center"/>
          </w:tcPr>
          <w:p w14:paraId="7272437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</w:pPr>
            <w:r>
              <w:rPr>
                <w:rFonts w:hint="eastAsia" w:ascii="MS Mincho" w:hAnsi="MS Mincho" w:eastAsia="MS Mincho"/>
                <w:kern w:val="0"/>
                <w:sz w:val="28"/>
                <w:szCs w:val="28"/>
                <w:lang w:val="en-US" w:eastAsia="ja-JP"/>
              </w:rPr>
              <w:t>読みます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→ 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  <w:t>読んで</w:t>
            </w:r>
          </w:p>
          <w:p w14:paraId="0C12C6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  <w:t>死にます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→ 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  <w:t>死んで</w:t>
            </w:r>
          </w:p>
          <w:p w14:paraId="3CBB58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  <w:t>遊びます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→ 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  <w:t>遊んで</w:t>
            </w:r>
          </w:p>
        </w:tc>
      </w:tr>
      <w:tr w14:paraId="50470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18" w:type="dxa"/>
            <w:shd w:val="clear" w:color="auto" w:fill="auto"/>
            <w:vAlign w:val="center"/>
          </w:tcPr>
          <w:p w14:paraId="6C21AA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き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39EFC8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～いて</w:t>
            </w:r>
          </w:p>
        </w:tc>
        <w:tc>
          <w:tcPr>
            <w:tcW w:w="3814" w:type="dxa"/>
            <w:shd w:val="clear" w:color="auto" w:fill="auto"/>
            <w:vAlign w:val="center"/>
          </w:tcPr>
          <w:p w14:paraId="536A50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  <w:lang w:eastAsia="ja-JP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  <w:t>聞きます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→ 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  <w:t>聞いて</w:t>
            </w:r>
          </w:p>
        </w:tc>
      </w:tr>
      <w:tr w14:paraId="62346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18" w:type="dxa"/>
            <w:shd w:val="clear" w:color="auto" w:fill="auto"/>
            <w:vAlign w:val="center"/>
          </w:tcPr>
          <w:p w14:paraId="04798D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ぎ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5A4BD0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～いで</w:t>
            </w:r>
          </w:p>
        </w:tc>
        <w:tc>
          <w:tcPr>
            <w:tcW w:w="3814" w:type="dxa"/>
            <w:shd w:val="clear" w:color="auto" w:fill="auto"/>
            <w:vAlign w:val="center"/>
          </w:tcPr>
          <w:p w14:paraId="18E149A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  <w:lang w:eastAsia="ja-JP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  <w:t>泳ぎます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→ 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  <w:t>泳いで</w:t>
            </w:r>
          </w:p>
        </w:tc>
      </w:tr>
      <w:tr w14:paraId="51721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18" w:type="dxa"/>
            <w:shd w:val="clear" w:color="auto" w:fill="auto"/>
            <w:vAlign w:val="center"/>
          </w:tcPr>
          <w:p w14:paraId="685194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し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44C998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～して</w:t>
            </w:r>
          </w:p>
        </w:tc>
        <w:tc>
          <w:tcPr>
            <w:tcW w:w="3814" w:type="dxa"/>
            <w:shd w:val="clear" w:color="auto" w:fill="auto"/>
            <w:vAlign w:val="center"/>
          </w:tcPr>
          <w:p w14:paraId="136893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  <w:lang w:eastAsia="ja-JP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  <w:t>話します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→ 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  <w:t>はなして</w:t>
            </w:r>
          </w:p>
        </w:tc>
      </w:tr>
    </w:tbl>
    <w:p w14:paraId="33E09E9E">
      <w:pPr>
        <w:pStyle w:val="5"/>
        <w:numPr>
          <w:ilvl w:val="0"/>
          <w:numId w:val="0"/>
        </w:numPr>
        <w:ind w:left="360" w:leftChars="0"/>
        <w:rPr>
          <w:rFonts w:hint="default" w:ascii="MS Mincho" w:hAnsi="MS Mincho" w:eastAsia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</w:p>
    <w:p w14:paraId="7DC8A422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>L</w:t>
      </w: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 xml:space="preserve">ưu ý : 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động từ đặc biệt :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いきます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（đi)　＝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＞いって</w:t>
      </w:r>
    </w:p>
    <w:p w14:paraId="1B7056EC">
      <w:pPr>
        <w:pStyle w:val="5"/>
        <w:numPr>
          <w:ilvl w:val="0"/>
          <w:numId w:val="0"/>
        </w:numPr>
        <w:ind w:left="360" w:leftChars="0"/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</w:p>
    <w:p w14:paraId="6E9A7AAB">
      <w:pPr>
        <w:pStyle w:val="5"/>
        <w:numPr>
          <w:ilvl w:val="1"/>
          <w:numId w:val="1"/>
        </w:numPr>
        <w:rPr>
          <w:rFonts w:hint="default" w:ascii="Times New Roman" w:hAnsi="Times New Roman" w:eastAsia="MS Mincho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Động từ thuộc nhóm 2: ～「え」ます</w:t>
      </w:r>
    </w:p>
    <w:p w14:paraId="3E1F6E3F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Là những động từ có kết thúc thuộc cột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「え」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trước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「ます 」</w:t>
      </w:r>
    </w:p>
    <w:p w14:paraId="37AB4974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Với động từ thuộc nhóm 2, chúng ta chỉ cần bỏ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「ます 」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thêm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「て」</w:t>
      </w:r>
    </w:p>
    <w:p w14:paraId="08C2312C">
      <w:pPr>
        <w:pStyle w:val="5"/>
        <w:numPr>
          <w:ilvl w:val="0"/>
          <w:numId w:val="2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Ví dụ: </w:t>
      </w:r>
    </w:p>
    <w:p w14:paraId="6A67BD8A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+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たべる（食べる）</w:t>
      </w:r>
      <w:r>
        <w:rPr>
          <w:rFonts w:hint="eastAsia" w:ascii="MS Mincho" w:hAnsi="MS Mincho" w:eastAsia="MS Mincho" w:cs="MS Mincho"/>
          <w:kern w:val="0"/>
          <w:sz w:val="28"/>
          <w:szCs w:val="28"/>
          <w:lang w:val="en-US" w:eastAsia="zh-CN" w:bidi="ar"/>
        </w:rPr>
        <w:t xml:space="preserve"> →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たべて</w:t>
      </w:r>
    </w:p>
    <w:p w14:paraId="0B652CEF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+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きえます</w:t>
      </w:r>
      <w:r>
        <w:rPr>
          <w:rFonts w:hint="eastAsia" w:ascii="MS Mincho" w:hAnsi="MS Mincho" w:eastAsia="MS Mincho" w:cs="MS Mincho"/>
          <w:kern w:val="0"/>
          <w:sz w:val="28"/>
          <w:szCs w:val="28"/>
          <w:lang w:val="en-US" w:eastAsia="zh-CN" w:bidi="ar"/>
        </w:rPr>
        <w:t xml:space="preserve"> →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きえて</w:t>
      </w:r>
    </w:p>
    <w:p w14:paraId="5A250DF2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>L</w:t>
      </w: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 xml:space="preserve">ưu ý : 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một số trường hợp đặc biệt, mặc dù có kết thúc là cột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「い」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trước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「ます 」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nhưng lại là động từ nhóm 2. Chẳng hạn như: </w:t>
      </w:r>
    </w:p>
    <w:p w14:paraId="466EF2D3">
      <w:pPr>
        <w:pStyle w:val="5"/>
        <w:numPr>
          <w:ilvl w:val="0"/>
          <w:numId w:val="0"/>
        </w:numPr>
        <w:ind w:left="360" w:leftChars="0"/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3"/>
        <w:gridCol w:w="2682"/>
        <w:gridCol w:w="2988"/>
      </w:tblGrid>
      <w:tr w14:paraId="3FFAE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648" w:type="dxa"/>
            <w:shd w:val="clear" w:color="auto" w:fill="auto"/>
            <w:vAlign w:val="center"/>
          </w:tcPr>
          <w:p w14:paraId="5710FB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</w:rPr>
            </w:pPr>
            <w:r>
              <w:rPr>
                <w:rStyle w:val="4"/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Động từ (辞書形)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493E7D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</w:rPr>
            </w:pPr>
            <w:r>
              <w:rPr>
                <w:rStyle w:val="4"/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Thể て (て形)</w:t>
            </w:r>
          </w:p>
        </w:tc>
        <w:tc>
          <w:tcPr>
            <w:tcW w:w="2943" w:type="dxa"/>
            <w:shd w:val="clear" w:color="auto" w:fill="auto"/>
            <w:vAlign w:val="center"/>
          </w:tcPr>
          <w:p w14:paraId="0ADF5D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</w:rPr>
            </w:pPr>
            <w:r>
              <w:rPr>
                <w:rStyle w:val="4"/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Nghĩa</w:t>
            </w:r>
          </w:p>
        </w:tc>
      </w:tr>
      <w:tr w14:paraId="1772F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48" w:type="dxa"/>
            <w:shd w:val="clear" w:color="auto" w:fill="auto"/>
            <w:vAlign w:val="center"/>
          </w:tcPr>
          <w:p w14:paraId="5C5E4F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起きる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1E98B5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起きて</w:t>
            </w:r>
          </w:p>
        </w:tc>
        <w:tc>
          <w:tcPr>
            <w:tcW w:w="2943" w:type="dxa"/>
            <w:shd w:val="clear" w:color="auto" w:fill="auto"/>
            <w:vAlign w:val="center"/>
          </w:tcPr>
          <w:p w14:paraId="5BF1D7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Thức dậy</w:t>
            </w:r>
          </w:p>
        </w:tc>
      </w:tr>
      <w:tr w14:paraId="34A21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48" w:type="dxa"/>
            <w:shd w:val="clear" w:color="auto" w:fill="auto"/>
            <w:vAlign w:val="center"/>
          </w:tcPr>
          <w:p w14:paraId="19A5D7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見る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0392FB0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見て</w:t>
            </w:r>
          </w:p>
        </w:tc>
        <w:tc>
          <w:tcPr>
            <w:tcW w:w="2943" w:type="dxa"/>
            <w:shd w:val="clear" w:color="auto" w:fill="auto"/>
            <w:vAlign w:val="center"/>
          </w:tcPr>
          <w:p w14:paraId="55A998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Nhìn, xem</w:t>
            </w:r>
          </w:p>
        </w:tc>
      </w:tr>
      <w:tr w14:paraId="353A2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48" w:type="dxa"/>
            <w:shd w:val="clear" w:color="auto" w:fill="auto"/>
            <w:vAlign w:val="center"/>
          </w:tcPr>
          <w:p w14:paraId="4D96EC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降りる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050E822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降りて</w:t>
            </w:r>
          </w:p>
        </w:tc>
        <w:tc>
          <w:tcPr>
            <w:tcW w:w="2943" w:type="dxa"/>
            <w:shd w:val="clear" w:color="auto" w:fill="auto"/>
            <w:vAlign w:val="center"/>
          </w:tcPr>
          <w:p w14:paraId="0D1311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Xuống (xe, tàu...)</w:t>
            </w:r>
          </w:p>
        </w:tc>
      </w:tr>
      <w:tr w14:paraId="0BD45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48" w:type="dxa"/>
            <w:shd w:val="clear" w:color="auto" w:fill="auto"/>
            <w:vAlign w:val="center"/>
          </w:tcPr>
          <w:p w14:paraId="1FAB8B9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浴びる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672F032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浴びて</w:t>
            </w:r>
          </w:p>
        </w:tc>
        <w:tc>
          <w:tcPr>
            <w:tcW w:w="2943" w:type="dxa"/>
            <w:shd w:val="clear" w:color="auto" w:fill="auto"/>
            <w:vAlign w:val="center"/>
          </w:tcPr>
          <w:p w14:paraId="1F425E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Tắm</w:t>
            </w:r>
          </w:p>
        </w:tc>
      </w:tr>
      <w:tr w14:paraId="28DD9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48" w:type="dxa"/>
            <w:shd w:val="clear" w:color="auto" w:fill="auto"/>
            <w:vAlign w:val="center"/>
          </w:tcPr>
          <w:p w14:paraId="08A23B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落ちる（おちる）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7F0057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落ちて</w:t>
            </w:r>
          </w:p>
        </w:tc>
        <w:tc>
          <w:tcPr>
            <w:tcW w:w="2943" w:type="dxa"/>
            <w:shd w:val="clear" w:color="auto" w:fill="auto"/>
            <w:vAlign w:val="center"/>
          </w:tcPr>
          <w:p w14:paraId="46F0DB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Rơi, rụng</w:t>
            </w:r>
          </w:p>
        </w:tc>
      </w:tr>
      <w:tr w14:paraId="6FE25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48" w:type="dxa"/>
            <w:shd w:val="clear" w:color="auto" w:fill="auto"/>
            <w:vAlign w:val="center"/>
          </w:tcPr>
          <w:p w14:paraId="307354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居る（いる）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78F4E2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居て</w:t>
            </w:r>
          </w:p>
        </w:tc>
        <w:tc>
          <w:tcPr>
            <w:tcW w:w="2943" w:type="dxa"/>
            <w:shd w:val="clear" w:color="auto" w:fill="auto"/>
            <w:vAlign w:val="center"/>
          </w:tcPr>
          <w:p w14:paraId="74A967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Ở, có (người/động vật)</w:t>
            </w:r>
          </w:p>
        </w:tc>
      </w:tr>
      <w:tr w14:paraId="48817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48" w:type="dxa"/>
            <w:shd w:val="clear" w:color="auto" w:fill="auto"/>
            <w:vAlign w:val="center"/>
          </w:tcPr>
          <w:p w14:paraId="0B79A0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出来る（できる）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34FC6C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出来て</w:t>
            </w:r>
          </w:p>
        </w:tc>
        <w:tc>
          <w:tcPr>
            <w:tcW w:w="2943" w:type="dxa"/>
            <w:shd w:val="clear" w:color="auto" w:fill="auto"/>
            <w:vAlign w:val="center"/>
          </w:tcPr>
          <w:p w14:paraId="2A6DB2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Có thể, làm được</w:t>
            </w:r>
          </w:p>
        </w:tc>
      </w:tr>
      <w:tr w14:paraId="5C6F7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48" w:type="dxa"/>
            <w:shd w:val="clear" w:color="auto" w:fill="auto"/>
            <w:vAlign w:val="center"/>
          </w:tcPr>
          <w:p w14:paraId="30EF80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信じる（しんじる）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79B14A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信じて</w:t>
            </w:r>
          </w:p>
        </w:tc>
        <w:tc>
          <w:tcPr>
            <w:tcW w:w="2943" w:type="dxa"/>
            <w:shd w:val="clear" w:color="auto" w:fill="auto"/>
            <w:vAlign w:val="center"/>
          </w:tcPr>
          <w:p w14:paraId="6EA73A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Tin tưởng</w:t>
            </w:r>
          </w:p>
        </w:tc>
      </w:tr>
      <w:tr w14:paraId="2B701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48" w:type="dxa"/>
            <w:shd w:val="clear" w:color="auto" w:fill="auto"/>
            <w:vAlign w:val="center"/>
          </w:tcPr>
          <w:p w14:paraId="0E8882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借りる（かりる）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177C59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借りて</w:t>
            </w:r>
          </w:p>
        </w:tc>
        <w:tc>
          <w:tcPr>
            <w:tcW w:w="2943" w:type="dxa"/>
            <w:shd w:val="clear" w:color="auto" w:fill="auto"/>
            <w:vAlign w:val="center"/>
          </w:tcPr>
          <w:p w14:paraId="5ACA91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Mượn</w:t>
            </w:r>
          </w:p>
        </w:tc>
      </w:tr>
      <w:tr w14:paraId="35C69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48" w:type="dxa"/>
            <w:shd w:val="clear" w:color="auto" w:fill="auto"/>
            <w:vAlign w:val="center"/>
          </w:tcPr>
          <w:p w14:paraId="429C8D6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着る（きる）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24E3FF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着て</w:t>
            </w:r>
          </w:p>
        </w:tc>
        <w:tc>
          <w:tcPr>
            <w:tcW w:w="2943" w:type="dxa"/>
            <w:shd w:val="clear" w:color="auto" w:fill="auto"/>
            <w:vAlign w:val="center"/>
          </w:tcPr>
          <w:p w14:paraId="2330D1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Mặc (áo quần)</w:t>
            </w:r>
          </w:p>
        </w:tc>
      </w:tr>
      <w:tr w14:paraId="3526E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48" w:type="dxa"/>
            <w:shd w:val="clear" w:color="auto" w:fill="auto"/>
            <w:vAlign w:val="center"/>
          </w:tcPr>
          <w:p w14:paraId="7A7E62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足りる（たりる）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1CF2078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足りて</w:t>
            </w:r>
          </w:p>
        </w:tc>
        <w:tc>
          <w:tcPr>
            <w:tcW w:w="2943" w:type="dxa"/>
            <w:shd w:val="clear" w:color="auto" w:fill="auto"/>
            <w:vAlign w:val="center"/>
          </w:tcPr>
          <w:p w14:paraId="58976C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Đầy đủ, đủ</w:t>
            </w:r>
          </w:p>
        </w:tc>
      </w:tr>
    </w:tbl>
    <w:p w14:paraId="2FEB5EC2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</w:p>
    <w:p w14:paraId="01C7DCFC">
      <w:pPr>
        <w:pStyle w:val="5"/>
        <w:numPr>
          <w:ilvl w:val="1"/>
          <w:numId w:val="1"/>
        </w:numPr>
        <w:rPr>
          <w:rFonts w:hint="default" w:ascii="Times New Roman" w:hAnsi="Times New Roman" w:eastAsia="MS Mincho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Động từ thuộc nhóm 3</w:t>
      </w:r>
    </w:p>
    <w:p w14:paraId="2334BFDE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Là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きます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và những động từ có dạng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(N) します</w:t>
      </w:r>
    </w:p>
    <w:p w14:paraId="704BA843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Với động từ thuộc nhóm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３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, chúng ta chỉ cần bỏ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「ます 」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thêm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「て」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là được.</w:t>
      </w:r>
    </w:p>
    <w:p w14:paraId="463AA009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Ví dụ: </w:t>
      </w:r>
    </w:p>
    <w:p w14:paraId="4E9DEF3D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+  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来ます</w:t>
      </w:r>
      <w:r>
        <w:rPr>
          <w:rFonts w:hint="eastAsia" w:ascii="MS Mincho" w:hAnsi="MS Mincho" w:eastAsia="MS Mincho" w:cs="MS Mincho"/>
          <w:kern w:val="0"/>
          <w:sz w:val="28"/>
          <w:szCs w:val="28"/>
          <w:lang w:val="en-US" w:eastAsia="zh-CN" w:bidi="ar"/>
        </w:rPr>
        <w:t xml:space="preserve"> → 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来て</w:t>
      </w:r>
    </w:p>
    <w:p w14:paraId="5FF0C68D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kern w:val="0"/>
          <w:sz w:val="28"/>
          <w:szCs w:val="28"/>
          <w:lang w:val="en-US" w:eastAsia="ja-JP" w:bidi="ar"/>
        </w:rPr>
      </w:pP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 xml:space="preserve">+ 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勉強します</w:t>
      </w:r>
      <w:r>
        <w:rPr>
          <w:rFonts w:hint="eastAsia" w:ascii="MS Mincho" w:hAnsi="MS Mincho" w:eastAsia="MS Mincho" w:cs="MS Mincho"/>
          <w:kern w:val="0"/>
          <w:sz w:val="28"/>
          <w:szCs w:val="28"/>
          <w:lang w:val="en-US" w:eastAsia="zh-CN" w:bidi="ar"/>
        </w:rPr>
        <w:t xml:space="preserve"> → </w:t>
      </w:r>
      <w:r>
        <w:rPr>
          <w:rFonts w:hint="eastAsia" w:ascii="MS Mincho" w:hAnsi="MS Mincho" w:eastAsia="MS Mincho" w:cs="MS Mincho"/>
          <w:kern w:val="0"/>
          <w:sz w:val="28"/>
          <w:szCs w:val="28"/>
          <w:lang w:val="en-US" w:eastAsia="ja-JP" w:bidi="ar"/>
        </w:rPr>
        <w:t>勉強して</w:t>
      </w:r>
    </w:p>
    <w:p w14:paraId="25425E5B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kern w:val="0"/>
          <w:sz w:val="28"/>
          <w:szCs w:val="28"/>
          <w:lang w:val="vi-VN" w:eastAsia="ja-JP" w:bidi="ar"/>
        </w:rPr>
      </w:pP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 xml:space="preserve">+ 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します</w:t>
      </w:r>
      <w:r>
        <w:rPr>
          <w:rFonts w:hint="eastAsia" w:ascii="MS Mincho" w:hAnsi="MS Mincho" w:eastAsia="MS Mincho" w:cs="MS Mincho"/>
          <w:kern w:val="0"/>
          <w:sz w:val="28"/>
          <w:szCs w:val="28"/>
          <w:lang w:val="en-US" w:eastAsia="zh-CN" w:bidi="ar"/>
        </w:rPr>
        <w:t xml:space="preserve"> → </w:t>
      </w:r>
      <w:r>
        <w:rPr>
          <w:rFonts w:hint="eastAsia" w:ascii="MS Mincho" w:hAnsi="MS Mincho" w:eastAsia="MS Mincho" w:cs="MS Mincho"/>
          <w:kern w:val="0"/>
          <w:sz w:val="28"/>
          <w:szCs w:val="28"/>
          <w:lang w:val="en-US" w:eastAsia="ja-JP" w:bidi="ar"/>
        </w:rPr>
        <w:t>して</w:t>
      </w:r>
    </w:p>
    <w:p w14:paraId="3393D7BC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</w:p>
    <w:p w14:paraId="7627AF6B">
      <w:pPr>
        <w:pStyle w:val="5"/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Mẫu câu với thể </w:t>
      </w:r>
      <w:r>
        <w:rPr>
          <w:rStyle w:val="4"/>
          <w:rFonts w:hint="default" w:ascii="Times New Roman" w:hAnsi="Times New Roman" w:eastAsia="MS Mincho" w:cs="Times New Roman"/>
          <w:b/>
          <w:bCs/>
          <w:kern w:val="0"/>
          <w:sz w:val="28"/>
          <w:szCs w:val="28"/>
          <w:lang w:val="en-US" w:eastAsia="zh-CN" w:bidi="ar"/>
        </w:rPr>
        <w:t>て</w:t>
      </w:r>
    </w:p>
    <w:p w14:paraId="1A0EB9D1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Cấu trúc: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Ｖて＋ください</w:t>
      </w:r>
    </w:p>
    <w:p w14:paraId="480D5D56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Ý nghĩa: Dùng để đưa ra yêu cầu, đề nghị ai đó làm gì 1 cách lịch sự. “ Hãy ~/ Vui lòng làm ~”</w:t>
      </w:r>
    </w:p>
    <w:p w14:paraId="66FCB896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Ví dụ: </w:t>
      </w:r>
    </w:p>
    <w:p w14:paraId="415083A4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+ 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本の２０ページを見てください。</w:t>
      </w:r>
    </w:p>
    <w:p w14:paraId="5BA3354A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i/>
          <w:iCs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Hãy đọc sách trang 20.</w:t>
      </w:r>
    </w:p>
    <w:p w14:paraId="546AF462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+  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ペンで名前を書いてください。</w:t>
      </w:r>
    </w:p>
    <w:p w14:paraId="5FE06DC1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  <w:t xml:space="preserve"> Hãy viết tên bằng bút.</w:t>
      </w:r>
    </w:p>
    <w:p w14:paraId="5E4B0691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</w:pPr>
    </w:p>
    <w:p w14:paraId="50CD849A">
      <w:pPr>
        <w:pStyle w:val="5"/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color w:val="000000" w:themeColor="text1"/>
          <w:sz w:val="28"/>
          <w:szCs w:val="28"/>
          <w:u w:val="dotted"/>
          <w:lang w:val="vi-VN"/>
          <w14:textFill>
            <w14:solidFill>
              <w14:schemeClr w14:val="tx1"/>
            </w14:solidFill>
          </w14:textFill>
        </w:rPr>
        <w:t>V</w:t>
      </w:r>
      <w:r>
        <w:rPr>
          <w:rFonts w:hint="eastAsia" w:ascii="Times New Roman" w:hAnsi="Times New Roman" w:eastAsia="MS Mincho"/>
          <w:b/>
          <w:bCs/>
          <w:color w:val="000000" w:themeColor="text1"/>
          <w:sz w:val="28"/>
          <w:szCs w:val="28"/>
          <w:u w:val="dotted"/>
          <w:lang w:val="vi-VN" w:eastAsia="ja-JP"/>
          <w14:textFill>
            <w14:solidFill>
              <w14:schemeClr w14:val="tx1"/>
            </w14:solidFill>
          </w14:textFill>
        </w:rPr>
        <w:t>方</w:t>
      </w:r>
    </w:p>
    <w:p w14:paraId="10EBA06A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Cấu trúc: </w:t>
      </w:r>
      <w:r>
        <w:rPr>
          <w:rFonts w:hint="eastAsia" w:ascii="MS Mincho" w:hAnsi="MS Mincho" w:eastAsia="MS Mincho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>V</w:t>
      </w:r>
      <w:r>
        <w:rPr>
          <w:rFonts w:hint="eastAsia" w:ascii="MS Mincho" w:hAnsi="MS Mincho" w:eastAsia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ます (bỏ ます) + 方 (かた)</w:t>
      </w:r>
    </w:p>
    <w:p w14:paraId="200A1072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Ý nghĩa: Dùng để diễn tả phương pháp, cách thức của một hành động, hành vi nào đó. “Cách ~” </w:t>
      </w:r>
    </w:p>
    <w:p w14:paraId="04652771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Ví dụ: </w:t>
      </w:r>
    </w:p>
    <w:p w14:paraId="0FE63626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 w:cs="MS Mincho"/>
          <w:kern w:val="0"/>
          <w:sz w:val="28"/>
          <w:szCs w:val="28"/>
          <w:lang w:val="vi-VN" w:eastAsia="ja-JP" w:bidi="ar"/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+ 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>読みます</w:t>
      </w:r>
      <w:r>
        <w:rPr>
          <w:rFonts w:hint="eastAsia" w:ascii="MS Mincho" w:hAnsi="MS Mincho" w:eastAsia="MS Mincho" w:cs="MS Mincho"/>
          <w:kern w:val="0"/>
          <w:sz w:val="28"/>
          <w:szCs w:val="28"/>
          <w:lang w:val="en-US" w:eastAsia="zh-CN" w:bidi="ar"/>
        </w:rPr>
        <w:t xml:space="preserve">→ </w:t>
      </w:r>
      <w:r>
        <w:rPr>
          <w:rFonts w:hint="eastAsia" w:ascii="MS Mincho" w:hAnsi="MS Mincho" w:eastAsia="MS Mincho" w:cs="MS Mincho"/>
          <w:kern w:val="0"/>
          <w:sz w:val="28"/>
          <w:szCs w:val="28"/>
          <w:lang w:val="en-US" w:eastAsia="ja-JP" w:bidi="ar"/>
        </w:rPr>
        <w:t>読み方</w:t>
      </w:r>
      <w:r>
        <w:rPr>
          <w:rFonts w:hint="default" w:ascii="MS Mincho" w:hAnsi="MS Mincho" w:eastAsia="MS Mincho" w:cs="MS Mincho"/>
          <w:kern w:val="0"/>
          <w:sz w:val="28"/>
          <w:szCs w:val="28"/>
          <w:lang w:val="vi-VN" w:eastAsia="ja-JP" w:bidi="ar"/>
        </w:rPr>
        <w:t xml:space="preserve">: </w:t>
      </w:r>
      <w:r>
        <w:rPr>
          <w:rFonts w:hint="default" w:ascii="Times New Roman" w:hAnsi="Times New Roman" w:eastAsia="MS Mincho" w:cs="Times New Roman"/>
          <w:i/>
          <w:iCs/>
          <w:kern w:val="0"/>
          <w:sz w:val="24"/>
          <w:szCs w:val="24"/>
          <w:lang w:val="vi-VN" w:eastAsia="ja-JP" w:bidi="ar"/>
        </w:rPr>
        <w:t>Cách đọc</w:t>
      </w:r>
    </w:p>
    <w:p w14:paraId="03B34FA9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 w:cs="MS Mincho"/>
          <w:kern w:val="0"/>
          <w:sz w:val="28"/>
          <w:szCs w:val="28"/>
          <w:lang w:val="vi-VN" w:eastAsia="ja-JP" w:bidi="ar"/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+ 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>話します</w:t>
      </w:r>
      <w:r>
        <w:rPr>
          <w:rFonts w:hint="eastAsia" w:ascii="MS Mincho" w:hAnsi="MS Mincho" w:eastAsia="MS Mincho" w:cs="MS Mincho"/>
          <w:kern w:val="0"/>
          <w:sz w:val="28"/>
          <w:szCs w:val="28"/>
          <w:lang w:val="en-US" w:eastAsia="zh-CN" w:bidi="ar"/>
        </w:rPr>
        <w:t xml:space="preserve">→ </w:t>
      </w:r>
      <w:r>
        <w:rPr>
          <w:rFonts w:hint="eastAsia" w:ascii="MS Mincho" w:hAnsi="MS Mincho" w:eastAsia="MS Mincho" w:cs="MS Mincho"/>
          <w:kern w:val="0"/>
          <w:sz w:val="28"/>
          <w:szCs w:val="28"/>
          <w:lang w:val="en-US" w:eastAsia="ja-JP" w:bidi="ar"/>
        </w:rPr>
        <w:t>話します</w:t>
      </w:r>
      <w:r>
        <w:rPr>
          <w:rFonts w:hint="default" w:ascii="MS Mincho" w:hAnsi="MS Mincho" w:eastAsia="MS Mincho" w:cs="MS Mincho"/>
          <w:kern w:val="0"/>
          <w:sz w:val="28"/>
          <w:szCs w:val="28"/>
          <w:lang w:val="vi-VN" w:eastAsia="ja-JP" w:bidi="ar"/>
        </w:rPr>
        <w:t>:</w:t>
      </w:r>
      <w:r>
        <w:rPr>
          <w:rFonts w:hint="default" w:ascii="MS Mincho" w:hAnsi="MS Mincho" w:eastAsia="MS Mincho" w:cs="MS Mincho"/>
          <w:i/>
          <w:iCs/>
          <w:kern w:val="0"/>
          <w:sz w:val="24"/>
          <w:szCs w:val="24"/>
          <w:lang w:val="vi-VN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/>
          <w:iCs/>
          <w:kern w:val="0"/>
          <w:sz w:val="24"/>
          <w:szCs w:val="24"/>
          <w:lang w:val="vi-VN" w:eastAsia="ja-JP" w:bidi="ar"/>
        </w:rPr>
        <w:t>Cách nói chuyện</w:t>
      </w:r>
    </w:p>
    <w:p w14:paraId="1CD08F3B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 w:cs="MS Mincho"/>
          <w:kern w:val="0"/>
          <w:sz w:val="28"/>
          <w:szCs w:val="28"/>
          <w:lang w:val="vi-VN" w:eastAsia="ja-JP" w:bidi="ar"/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+  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使います</w:t>
      </w:r>
      <w:r>
        <w:rPr>
          <w:rFonts w:hint="eastAsia" w:ascii="MS Mincho" w:hAnsi="MS Mincho" w:eastAsia="MS Mincho" w:cs="MS Mincho"/>
          <w:kern w:val="0"/>
          <w:sz w:val="28"/>
          <w:szCs w:val="28"/>
          <w:lang w:val="en-US" w:eastAsia="zh-CN" w:bidi="ar"/>
        </w:rPr>
        <w:t xml:space="preserve">→ </w:t>
      </w:r>
      <w:r>
        <w:rPr>
          <w:rFonts w:hint="eastAsia" w:ascii="MS Mincho" w:hAnsi="MS Mincho" w:eastAsia="MS Mincho" w:cs="MS Mincho"/>
          <w:kern w:val="0"/>
          <w:sz w:val="28"/>
          <w:szCs w:val="28"/>
          <w:lang w:val="en-US" w:eastAsia="ja-JP" w:bidi="ar"/>
        </w:rPr>
        <w:t>使い方</w:t>
      </w:r>
      <w:r>
        <w:rPr>
          <w:rFonts w:hint="default" w:ascii="MS Mincho" w:hAnsi="MS Mincho" w:eastAsia="MS Mincho" w:cs="MS Mincho"/>
          <w:kern w:val="0"/>
          <w:sz w:val="28"/>
          <w:szCs w:val="28"/>
          <w:lang w:val="vi-VN" w:eastAsia="ja-JP" w:bidi="ar"/>
        </w:rPr>
        <w:t xml:space="preserve">: </w:t>
      </w:r>
      <w:r>
        <w:rPr>
          <w:rFonts w:hint="default" w:ascii="Times New Roman" w:hAnsi="Times New Roman" w:eastAsia="MS Mincho" w:cs="Times New Roman"/>
          <w:i/>
          <w:iCs/>
          <w:kern w:val="0"/>
          <w:sz w:val="24"/>
          <w:szCs w:val="24"/>
          <w:lang w:val="vi-VN" w:eastAsia="ja-JP" w:bidi="ar"/>
        </w:rPr>
        <w:t>Cách sử dụng</w:t>
      </w:r>
    </w:p>
    <w:p w14:paraId="7B1D19A7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</w:p>
    <w:p w14:paraId="30E894DE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+ 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カレーの作り方が分かりません。</w:t>
      </w:r>
    </w:p>
    <w:p w14:paraId="6A784B00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  <w:t>Tôi không biết cách làm cà ri</w:t>
      </w:r>
    </w:p>
    <w:p w14:paraId="58ACFB73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+ 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このカメラの使い方を教えてください。</w:t>
      </w:r>
    </w:p>
    <w:p w14:paraId="17D14138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  <w:t>Hãy chỉ cho tôi cách sử dụng chiếc máy ảnh này .</w:t>
      </w:r>
    </w:p>
    <w:p w14:paraId="76095688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</w:pPr>
    </w:p>
    <w:p w14:paraId="360C80CA">
      <w:pPr>
        <w:pStyle w:val="5"/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b/>
          <w:bCs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どの</w:t>
      </w:r>
      <w:r>
        <w:rPr>
          <w:rFonts w:hint="eastAsia" w:ascii="Times New Roman" w:hAnsi="Times New Roman" w:eastAsia="MS Mincho"/>
          <w:b/>
          <w:bCs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>N</w:t>
      </w:r>
    </w:p>
    <w:p w14:paraId="377B6789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Cấu trúc: 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～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どの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>Nですか。</w:t>
      </w:r>
    </w:p>
    <w:p w14:paraId="1B864774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Ý nghĩa: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『どの』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dùng để hỏi khi muốn xác định một đối tượng (vật hoặc người) nào đó trong một nhóm gồm 3 đối tượng trở lên.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『どの』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thì bắt buộc phải đi với danh từ còn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『どれ』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thì không cần, ngoài ra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『どれ』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chỉ được dùng để hỏi về vật, còn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『どの』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thì dùng được cho cả người và vật.</w:t>
      </w:r>
    </w:p>
    <w:p w14:paraId="58139141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Ví dụ: </w:t>
      </w:r>
    </w:p>
    <w:p w14:paraId="1C37225F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+ 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アンナさんはどの人ですか。</w:t>
      </w:r>
    </w:p>
    <w:p w14:paraId="0627986F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  <w:t>Chị Anna là người nào vật?</w:t>
      </w:r>
    </w:p>
    <w:p w14:paraId="43C2C293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+ 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どのお皿ですか</w:t>
      </w:r>
    </w:p>
    <w:p w14:paraId="17CD0D4A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  <w:t xml:space="preserve">Cái đĩa nào cơ? </w:t>
      </w:r>
    </w:p>
    <w:p w14:paraId="57647EDB">
      <w:pPr>
        <w:pStyle w:val="5"/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b/>
          <w:bCs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どれ</w:t>
      </w: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 xml:space="preserve"> </w:t>
      </w:r>
    </w:p>
    <w:p w14:paraId="0605796B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Cấu trúc: 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>Nは　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どれ　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>ですか。</w:t>
      </w:r>
    </w:p>
    <w:p w14:paraId="3BDE889B">
      <w:pPr>
        <w:pStyle w:val="5"/>
        <w:numPr>
          <w:ilvl w:val="0"/>
          <w:numId w:val="2"/>
        </w:numPr>
        <w:rPr>
          <w:rFonts w:hint="eastAsia" w:ascii="MS Mincho" w:hAnsi="MS Mincho" w:eastAsia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Ý nghĩa: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D</w:t>
      </w:r>
      <w:r>
        <w:rPr>
          <w:rFonts w:hint="default" w:ascii="Times New Roman" w:hAnsi="Times New Roman" w:eastAsia="MS Mincho" w:cs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ùng khi người nói muốn đề nghị người nghe chọn hoặc chỉ rõ một cái từ những cái ( 3 cái trở lên ) được nêu ra</w:t>
      </w:r>
      <w:r>
        <w:rPr>
          <w:rFonts w:hint="eastAsia" w:ascii="Times New Roman" w:hAnsi="Times New Roman" w:eastAsia="MS Mincho" w:cs="Times New Roman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MS Mincho" w:cs="Times New Roman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dạng câu hỏi của</w:t>
      </w:r>
      <w:r>
        <w:rPr>
          <w:rFonts w:hint="eastAsia" w:ascii="Times New Roman" w:hAnsi="Times New Roman" w:eastAsia="MS Mincho" w:cs="Times New Roman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これ、それ、あれ</w:t>
      </w:r>
      <w:r>
        <w:rPr>
          <w:rFonts w:hint="default" w:ascii="Times New Roman" w:hAnsi="Times New Roman" w:eastAsia="MS Mincho" w:cs="Times New Roman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) “N là cái nào?”</w:t>
      </w:r>
    </w:p>
    <w:p w14:paraId="675AB893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Ví dụ: </w:t>
      </w:r>
      <w:bookmarkStart w:id="0" w:name="_GoBack"/>
      <w:bookmarkEnd w:id="0"/>
    </w:p>
    <w:p w14:paraId="25090D69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+ 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Bさんのかさは　どれですか。</w:t>
      </w:r>
    </w:p>
    <w:p w14:paraId="70247D33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/>
          <w:i/>
          <w:iCs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/>
          <w:iCs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Ô của anh B là cái nào? </w:t>
      </w:r>
    </w:p>
    <w:p w14:paraId="726B0CFC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+ 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あなたの  手帳  はどれですか。</w:t>
      </w:r>
    </w:p>
    <w:p w14:paraId="12B53818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  <w:t xml:space="preserve">Sổ tay của bạn là cái nào? </w:t>
      </w:r>
    </w:p>
    <w:p w14:paraId="25E85E22">
      <w:pPr>
        <w:rPr>
          <w:rFonts w:hint="default" w:eastAsia="MS Mincho"/>
          <w:lang w:val="vi-VN" w:eastAsia="ja-JP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F6E46C"/>
    <w:multiLevelType w:val="multilevel"/>
    <w:tmpl w:val="E5F6E46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3397734D"/>
    <w:multiLevelType w:val="multilevel"/>
    <w:tmpl w:val="3397734D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  <w:color w:val="000000"/>
        <w:sz w:val="2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5277EA"/>
    <w:rsid w:val="05E53BF9"/>
    <w:rsid w:val="0EFF4BE8"/>
    <w:rsid w:val="2D261148"/>
    <w:rsid w:val="52685E34"/>
    <w:rsid w:val="6F516E2F"/>
    <w:rsid w:val="7E52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2025-08-08T20:14:00Z</dcterms:created>
  <dc:creator>ln891</dc:creator>
  <cp:lastModifiedBy>ln891</cp:lastModifiedBy>
  <dcterms:modified xsi:type="dcterms:W3CDTF">2025-08-09T13:12:55Z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FEA4E31E40B8405087FF8921FF381D6F_11</vt:lpwstr>
  </property>
</Properties>
</file>