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76" w:lineRule="auto"/>
        <w:rPr/>
      </w:pPr>
      <w:bookmarkStart w:colFirst="0" w:colLast="0" w:name="_bcwknrw01ftr" w:id="0"/>
      <w:bookmarkEnd w:id="0"/>
      <w:r w:rsidDel="00000000" w:rsidR="00000000" w:rsidRPr="00000000">
        <w:rPr>
          <w:rtl w:val="0"/>
        </w:rPr>
        <w:t xml:space="preserve">Descripción del robot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robot Paletizador IRB 460 de la marca ABB se ajusta a las necesidades del proyecto. Este robot paletizador tiene capacidad de carga de 110kg y un alcance máximo de 2.4m horizontal. Es capaz de trabajar a 2,190 ciclos/hora con una carga de 60kg, haciendo de este uno de los robots paletizadores más rápidos del mercado. 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32763" cy="25612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763" cy="2561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Pinzas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robot cuenta con 3 tipos de pinzas: Clamp, Claw y Vaccum. De estas 3 la que más se adecua al paletizado de cajas similares a las del proyecto es la tipo Clamp. Esta pinza soporta 70kg de carga, y las dimensiones del paquete de agarre abarcan por completo las dimensiones de las cajas utilizadas en el proyecto.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06674" cy="216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674" cy="216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