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sz w:val="28"/>
          <w:szCs w:val="28"/>
        </w:rPr>
      </w:pPr>
      <w:bookmarkStart w:colFirst="0" w:colLast="0" w:name="_1y69ag2kvqb4" w:id="0"/>
      <w:bookmarkEnd w:id="0"/>
      <w:r w:rsidDel="00000000" w:rsidR="00000000" w:rsidRPr="00000000">
        <w:rPr>
          <w:b w:val="1"/>
          <w:sz w:val="28"/>
          <w:szCs w:val="28"/>
          <w:rtl w:val="0"/>
        </w:rPr>
        <w:t xml:space="preserve">Área de cultivo y variedades</w:t>
      </w:r>
    </w:p>
    <w:p w:rsidR="00000000" w:rsidDel="00000000" w:rsidP="00000000" w:rsidRDefault="00000000" w:rsidRPr="00000000" w14:paraId="00000002">
      <w:pPr>
        <w:ind w:firstLine="720"/>
        <w:rPr>
          <w:sz w:val="23"/>
          <w:szCs w:val="23"/>
        </w:rPr>
      </w:pPr>
      <w:r w:rsidDel="00000000" w:rsidR="00000000" w:rsidRPr="00000000">
        <w:rPr>
          <w:sz w:val="23"/>
          <w:szCs w:val="23"/>
          <w:rtl w:val="0"/>
        </w:rPr>
        <w:t xml:space="preserve">La mayoría de las plantaciones colombianas son de la variedad Anna</w:t>
      </w:r>
      <w:r w:rsidDel="00000000" w:rsidR="00000000" w:rsidRPr="00000000">
        <w:rPr>
          <w:sz w:val="23"/>
          <w:szCs w:val="23"/>
          <w:vertAlign w:val="superscript"/>
        </w:rPr>
        <w:footnoteReference w:customMarkFollows="0" w:id="0"/>
      </w:r>
      <w:r w:rsidDel="00000000" w:rsidR="00000000" w:rsidRPr="00000000">
        <w:rPr>
          <w:sz w:val="23"/>
          <w:szCs w:val="23"/>
          <w:rtl w:val="0"/>
        </w:rPr>
        <w:t xml:space="preserve"> (variedad desarrollada en Israel, de muy bajos requerimientos de frío y de buen sabor y rendimiento), y según refiere el productor, fue evaluada en EE.UU. y se la considera una de las tres mejores manzanas del mundo. </w:t>
      </w:r>
    </w:p>
    <w:p w:rsidR="00000000" w:rsidDel="00000000" w:rsidP="00000000" w:rsidRDefault="00000000" w:rsidRPr="00000000" w14:paraId="00000003">
      <w:pPr>
        <w:ind w:firstLine="720"/>
        <w:rPr>
          <w:sz w:val="23"/>
          <w:szCs w:val="23"/>
        </w:rPr>
      </w:pPr>
      <w:r w:rsidDel="00000000" w:rsidR="00000000" w:rsidRPr="00000000">
        <w:rPr>
          <w:sz w:val="23"/>
          <w:szCs w:val="23"/>
          <w:rtl w:val="0"/>
        </w:rPr>
        <w:t xml:space="preserve">Las áreas que se destacan para la producción de manzanas en Colombia son Villa de Leyva en Boyacá, el Valle del Rionegro y el Retiro en Antioquia y Chitagá, al norte del departamento de Santander. Además, deben ser lugares donde no haya exceso de precipitaciones ya que esto limita la producción por la Sarna del manzano (Venturia inaequalis). Hay que tener en cuenta que en Colombia, por la falta de frío, el manejo de la plantación difiere de otras zonas con inviernos intensos. A tal punto es la carencia de horas de frío que una misma planta se cosecha dos veces en el año y que luego de cada recolección, se esperan unos 30 días y se aplica un defoliante para hacer caer las hojas todavía verdes, ya que naturalmente no caen. </w:t>
      </w:r>
    </w:p>
    <w:p w:rsidR="00000000" w:rsidDel="00000000" w:rsidP="00000000" w:rsidRDefault="00000000" w:rsidRPr="00000000" w14:paraId="00000004">
      <w:pPr>
        <w:ind w:firstLine="720"/>
        <w:rPr>
          <w:sz w:val="23"/>
          <w:szCs w:val="23"/>
        </w:rPr>
      </w:pPr>
      <w:r w:rsidDel="00000000" w:rsidR="00000000" w:rsidRPr="00000000">
        <w:rPr>
          <w:sz w:val="23"/>
          <w:szCs w:val="23"/>
          <w:rtl w:val="0"/>
        </w:rPr>
        <w:t xml:space="preserve">De una hectárea normalmente se pueden obtener por año unas 50 tn de frutas en dos cosechas (25 tn por cosecha).</w:t>
      </w:r>
    </w:p>
    <w:p w:rsidR="00000000" w:rsidDel="00000000" w:rsidP="00000000" w:rsidRDefault="00000000" w:rsidRPr="00000000" w14:paraId="00000005">
      <w:pPr>
        <w:ind w:left="0" w:firstLine="0"/>
        <w:rPr>
          <w:sz w:val="23"/>
          <w:szCs w:val="23"/>
        </w:rPr>
      </w:pPr>
      <w:r w:rsidDel="00000000" w:rsidR="00000000" w:rsidRPr="00000000">
        <w:rPr>
          <w:rtl w:val="0"/>
        </w:rPr>
      </w:r>
    </w:p>
    <w:p w:rsidR="00000000" w:rsidDel="00000000" w:rsidP="00000000" w:rsidRDefault="00000000" w:rsidRPr="00000000" w14:paraId="00000006">
      <w:pPr>
        <w:pStyle w:val="Heading2"/>
        <w:rPr>
          <w:b w:val="1"/>
          <w:sz w:val="28"/>
          <w:szCs w:val="28"/>
        </w:rPr>
      </w:pPr>
      <w:bookmarkStart w:colFirst="0" w:colLast="0" w:name="_9azz6h1n5w19" w:id="1"/>
      <w:bookmarkEnd w:id="1"/>
      <w:r w:rsidDel="00000000" w:rsidR="00000000" w:rsidRPr="00000000">
        <w:rPr>
          <w:b w:val="1"/>
          <w:sz w:val="28"/>
          <w:szCs w:val="28"/>
          <w:rtl w:val="0"/>
        </w:rPr>
        <w:t xml:space="preserve">Embalaje típico</w:t>
      </w:r>
    </w:p>
    <w:p w:rsidR="00000000" w:rsidDel="00000000" w:rsidP="00000000" w:rsidRDefault="00000000" w:rsidRPr="00000000" w14:paraId="00000007">
      <w:pPr>
        <w:pStyle w:val="Heading3"/>
        <w:keepNext w:val="0"/>
        <w:keepLines w:val="0"/>
        <w:numPr>
          <w:ilvl w:val="0"/>
          <w:numId w:val="3"/>
        </w:numPr>
        <w:shd w:fill="ffffff" w:val="clear"/>
        <w:spacing w:before="80" w:line="210.7317073170732" w:lineRule="auto"/>
        <w:ind w:left="1440" w:hanging="360"/>
        <w:rPr>
          <w:color w:val="000000"/>
        </w:rPr>
      </w:pPr>
      <w:bookmarkStart w:colFirst="0" w:colLast="0" w:name="_b4ogrhf5xjr" w:id="2"/>
      <w:bookmarkEnd w:id="2"/>
      <w:r w:rsidDel="00000000" w:rsidR="00000000" w:rsidRPr="00000000">
        <w:rPr>
          <w:color w:val="000000"/>
          <w:rtl w:val="0"/>
        </w:rPr>
        <w:t xml:space="preserve">Cajas a granel - típicamente cajas de cartón de 17 kg</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2"/>
        </w:numPr>
        <w:ind w:left="1440" w:hanging="360"/>
        <w:rPr>
          <w:sz w:val="30"/>
          <w:szCs w:val="30"/>
        </w:rPr>
      </w:pPr>
      <w:r w:rsidDel="00000000" w:rsidR="00000000" w:rsidRPr="00000000">
        <w:rPr>
          <w:sz w:val="28"/>
          <w:szCs w:val="28"/>
          <w:highlight w:val="white"/>
          <w:rtl w:val="0"/>
        </w:rPr>
        <w:t xml:space="preserve">C</w:t>
      </w:r>
      <w:r w:rsidDel="00000000" w:rsidR="00000000" w:rsidRPr="00000000">
        <w:rPr>
          <w:sz w:val="28"/>
          <w:szCs w:val="28"/>
          <w:highlight w:val="white"/>
          <w:rtl w:val="0"/>
        </w:rPr>
        <w:t xml:space="preserve">ajas alveolos y bandeja - </w:t>
      </w:r>
      <w:r w:rsidDel="00000000" w:rsidR="00000000" w:rsidRPr="00000000">
        <w:rPr>
          <w:sz w:val="28"/>
          <w:szCs w:val="28"/>
          <w:rtl w:val="0"/>
        </w:rPr>
        <w:t xml:space="preserve">normalmente cajas de cartón o bandejas con capacidad para 20 manzanas - 5 * 4 </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pStyle w:val="Heading3"/>
        <w:keepNext w:val="0"/>
        <w:keepLines w:val="0"/>
        <w:numPr>
          <w:ilvl w:val="0"/>
          <w:numId w:val="1"/>
        </w:numPr>
        <w:shd w:fill="ffffff" w:val="clear"/>
        <w:spacing w:before="80" w:line="210.7317073170732" w:lineRule="auto"/>
        <w:ind w:left="1440" w:hanging="360"/>
        <w:rPr>
          <w:color w:val="000000"/>
        </w:rPr>
      </w:pPr>
      <w:bookmarkStart w:colFirst="0" w:colLast="0" w:name="_svejrpico1xr" w:id="3"/>
      <w:bookmarkEnd w:id="3"/>
      <w:r w:rsidDel="00000000" w:rsidR="00000000" w:rsidRPr="00000000">
        <w:rPr>
          <w:color w:val="000000"/>
          <w:rtl w:val="0"/>
        </w:rPr>
        <w:t xml:space="preserve">Barquetas - bandejas de celofán con capacidad para 6 manzanas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keepNext w:val="0"/>
        <w:keepLines w:val="0"/>
        <w:numPr>
          <w:ilvl w:val="0"/>
          <w:numId w:val="1"/>
        </w:numPr>
        <w:shd w:fill="ffffff" w:val="clear"/>
        <w:spacing w:before="80" w:line="210.7317073170732" w:lineRule="auto"/>
        <w:ind w:left="1440" w:hanging="360"/>
        <w:rPr>
          <w:color w:val="000000"/>
        </w:rPr>
      </w:pPr>
      <w:bookmarkStart w:colFirst="0" w:colLast="0" w:name="_qd332w5fzjm5" w:id="4"/>
      <w:bookmarkEnd w:id="4"/>
      <w:r w:rsidDel="00000000" w:rsidR="00000000" w:rsidRPr="00000000">
        <w:rPr>
          <w:color w:val="000000"/>
          <w:rtl w:val="0"/>
        </w:rPr>
        <w:t xml:space="preserve">Bolsa / Bolsita - bolsa de plástico, distintas capacidades</w:t>
      </w:r>
    </w:p>
    <w:p w:rsidR="00000000" w:rsidDel="00000000" w:rsidP="00000000" w:rsidRDefault="00000000" w:rsidRPr="00000000" w14:paraId="0000000F">
      <w:pPr>
        <w:ind w:left="1440" w:firstLine="0"/>
        <w:rPr/>
      </w:pPr>
      <w:r w:rsidDel="00000000" w:rsidR="00000000" w:rsidRPr="00000000">
        <w:rPr>
          <w:rtl w:val="0"/>
        </w:rPr>
      </w:r>
    </w:p>
    <w:p w:rsidR="00000000" w:rsidDel="00000000" w:rsidP="00000000" w:rsidRDefault="00000000" w:rsidRPr="00000000" w14:paraId="00000010">
      <w:pPr>
        <w:pStyle w:val="Heading3"/>
        <w:keepNext w:val="0"/>
        <w:keepLines w:val="0"/>
        <w:numPr>
          <w:ilvl w:val="0"/>
          <w:numId w:val="1"/>
        </w:numPr>
        <w:shd w:fill="ffffff" w:val="clear"/>
        <w:spacing w:before="80" w:line="210.7317073170732" w:lineRule="auto"/>
        <w:ind w:left="1440" w:hanging="360"/>
        <w:rPr>
          <w:color w:val="000000"/>
        </w:rPr>
      </w:pPr>
      <w:bookmarkStart w:colFirst="0" w:colLast="0" w:name="_gduiau4cqf0v" w:id="5"/>
      <w:bookmarkEnd w:id="5"/>
      <w:r w:rsidDel="00000000" w:rsidR="00000000" w:rsidRPr="00000000">
        <w:rPr>
          <w:color w:val="000000"/>
          <w:rtl w:val="0"/>
        </w:rPr>
        <w:t xml:space="preserve">Flow Pack - caja de cartón con tapa de plástico - 4 manzanas</w:t>
      </w:r>
    </w:p>
    <w:p w:rsidR="00000000" w:rsidDel="00000000" w:rsidP="00000000" w:rsidRDefault="00000000" w:rsidRPr="00000000" w14:paraId="00000011">
      <w:pPr>
        <w:ind w:left="1440" w:firstLine="0"/>
        <w:rPr>
          <w:sz w:val="28"/>
          <w:szCs w:val="28"/>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rPr>
          <w:b w:val="1"/>
          <w:sz w:val="28"/>
          <w:szCs w:val="28"/>
        </w:rPr>
      </w:pPr>
      <w:bookmarkStart w:colFirst="0" w:colLast="0" w:name="_j39cs52aljt9" w:id="6"/>
      <w:bookmarkEnd w:id="6"/>
      <w:r w:rsidDel="00000000" w:rsidR="00000000" w:rsidRPr="00000000">
        <w:rPr>
          <w:b w:val="1"/>
          <w:sz w:val="28"/>
          <w:szCs w:val="28"/>
          <w:rtl w:val="0"/>
        </w:rPr>
        <w:t xml:space="preserve">¿Dónde debe colocarse el robot?</w:t>
      </w:r>
    </w:p>
    <w:p w:rsidR="00000000" w:rsidDel="00000000" w:rsidP="00000000" w:rsidRDefault="00000000" w:rsidRPr="00000000" w14:paraId="00000015">
      <w:pPr>
        <w:rPr/>
      </w:pPr>
      <w:r w:rsidDel="00000000" w:rsidR="00000000" w:rsidRPr="00000000">
        <w:rPr>
          <w:rtl w:val="0"/>
        </w:rPr>
        <w:tab/>
        <w:t xml:space="preserve">En mi opinión hay dos lugares donde podríamos colocar un robot</w:t>
      </w:r>
    </w:p>
    <w:p w:rsidR="00000000" w:rsidDel="00000000" w:rsidP="00000000" w:rsidRDefault="00000000" w:rsidRPr="00000000" w14:paraId="00000016">
      <w:pPr>
        <w:numPr>
          <w:ilvl w:val="0"/>
          <w:numId w:val="4"/>
        </w:numPr>
        <w:ind w:left="2160" w:hanging="360"/>
        <w:rPr>
          <w:u w:val="none"/>
        </w:rPr>
      </w:pPr>
      <w:r w:rsidDel="00000000" w:rsidR="00000000" w:rsidRPr="00000000">
        <w:rPr>
          <w:rtl w:val="0"/>
        </w:rPr>
        <w:t xml:space="preserve">carga de las cajas desde el campo </w:t>
      </w:r>
      <w:r w:rsidDel="00000000" w:rsidR="00000000" w:rsidRPr="00000000">
        <w:rPr>
          <w:b w:val="1"/>
          <w:color w:val="55ab26"/>
          <w:rtl w:val="0"/>
        </w:rPr>
        <w:t xml:space="preserve">(1)</w:t>
      </w:r>
    </w:p>
    <w:p w:rsidR="00000000" w:rsidDel="00000000" w:rsidP="00000000" w:rsidRDefault="00000000" w:rsidRPr="00000000" w14:paraId="00000017">
      <w:pPr>
        <w:numPr>
          <w:ilvl w:val="0"/>
          <w:numId w:val="4"/>
        </w:numPr>
        <w:ind w:left="2160" w:hanging="360"/>
        <w:rPr>
          <w:u w:val="none"/>
        </w:rPr>
      </w:pPr>
      <w:r w:rsidDel="00000000" w:rsidR="00000000" w:rsidRPr="00000000">
        <w:rPr>
          <w:rtl w:val="0"/>
        </w:rPr>
        <w:t xml:space="preserve">separación por peso y color para diferentes envases </w:t>
      </w:r>
      <w:r w:rsidDel="00000000" w:rsidR="00000000" w:rsidRPr="00000000">
        <w:rPr>
          <w:b w:val="1"/>
          <w:color w:val="55ab26"/>
          <w:rtl w:val="0"/>
        </w:rPr>
        <w:t xml:space="preserve">(2)</w:t>
      </w:r>
    </w:p>
    <w:p w:rsidR="00000000" w:rsidDel="00000000" w:rsidP="00000000" w:rsidRDefault="00000000" w:rsidRPr="00000000" w14:paraId="00000018">
      <w:pPr>
        <w:pStyle w:val="Heading3"/>
        <w:rPr>
          <w:b w:val="1"/>
        </w:rPr>
      </w:pPr>
      <w:bookmarkStart w:colFirst="0" w:colLast="0" w:name="_mgbe9m76gtwz" w:id="7"/>
      <w:bookmarkEnd w:id="7"/>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ab/>
      </w:r>
      <w:r w:rsidDel="00000000" w:rsidR="00000000" w:rsidRPr="00000000">
        <w:rPr/>
        <w:drawing>
          <wp:inline distB="114300" distT="114300" distL="114300" distR="114300">
            <wp:extent cx="4243388" cy="272789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43388" cy="272789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b w:val="1"/>
          <w:sz w:val="23"/>
          <w:szCs w:val="23"/>
        </w:rPr>
      </w:pPr>
      <w:r w:rsidDel="00000000" w:rsidR="00000000" w:rsidRPr="00000000">
        <w:rPr>
          <w:b w:val="1"/>
          <w:sz w:val="23"/>
          <w:szCs w:val="23"/>
          <w:rtl w:val="0"/>
        </w:rPr>
        <w:tab/>
      </w:r>
    </w:p>
    <w:p w:rsidR="00000000" w:rsidDel="00000000" w:rsidP="00000000" w:rsidRDefault="00000000" w:rsidRPr="00000000" w14:paraId="0000001B">
      <w:pPr>
        <w:ind w:left="0" w:firstLine="0"/>
        <w:rPr>
          <w:b w:val="1"/>
          <w:sz w:val="23"/>
          <w:szCs w:val="23"/>
        </w:rPr>
      </w:pPr>
      <w:r w:rsidDel="00000000" w:rsidR="00000000" w:rsidRPr="00000000">
        <w:rPr>
          <w:rtl w:val="0"/>
        </w:rPr>
      </w:r>
    </w:p>
    <w:p w:rsidR="00000000" w:rsidDel="00000000" w:rsidP="00000000" w:rsidRDefault="00000000" w:rsidRPr="00000000" w14:paraId="0000001C">
      <w:pPr>
        <w:ind w:left="0" w:firstLine="0"/>
        <w:rPr>
          <w:b w:val="1"/>
          <w:sz w:val="23"/>
          <w:szCs w:val="23"/>
        </w:rPr>
      </w:pPr>
      <w:r w:rsidDel="00000000" w:rsidR="00000000" w:rsidRPr="00000000">
        <w:rPr>
          <w:rtl w:val="0"/>
        </w:rPr>
      </w:r>
    </w:p>
    <w:p w:rsidR="00000000" w:rsidDel="00000000" w:rsidP="00000000" w:rsidRDefault="00000000" w:rsidRPr="00000000" w14:paraId="0000001D">
      <w:pPr>
        <w:ind w:left="0" w:firstLine="0"/>
        <w:rPr>
          <w:b w:val="1"/>
          <w:sz w:val="23"/>
          <w:szCs w:val="23"/>
        </w:rPr>
      </w:pPr>
      <w:r w:rsidDel="00000000" w:rsidR="00000000" w:rsidRPr="00000000">
        <w:rPr>
          <w:b w:val="1"/>
          <w:sz w:val="23"/>
          <w:szCs w:val="23"/>
          <w:rtl w:val="0"/>
        </w:rPr>
        <w:tab/>
      </w:r>
    </w:p>
    <w:p w:rsidR="00000000" w:rsidDel="00000000" w:rsidP="00000000" w:rsidRDefault="00000000" w:rsidRPr="00000000" w14:paraId="0000001E">
      <w:pPr>
        <w:ind w:left="0" w:firstLine="0"/>
        <w:rPr>
          <w:b w:val="1"/>
          <w:sz w:val="23"/>
          <w:szCs w:val="23"/>
        </w:rPr>
      </w:pPr>
      <w:r w:rsidDel="00000000" w:rsidR="00000000" w:rsidRPr="00000000">
        <w:rPr>
          <w:rtl w:val="0"/>
        </w:rPr>
      </w:r>
    </w:p>
    <w:p w:rsidR="00000000" w:rsidDel="00000000" w:rsidP="00000000" w:rsidRDefault="00000000" w:rsidRPr="00000000" w14:paraId="0000001F">
      <w:pPr>
        <w:ind w:firstLine="720"/>
        <w:rPr>
          <w:sz w:val="23"/>
          <w:szCs w:val="23"/>
        </w:rPr>
      </w:pPr>
      <w:r w:rsidDel="00000000" w:rsidR="00000000" w:rsidRPr="00000000">
        <w:rPr>
          <w:rtl w:val="0"/>
        </w:rPr>
      </w:r>
    </w:p>
    <w:p w:rsidR="00000000" w:rsidDel="00000000" w:rsidP="00000000" w:rsidRDefault="00000000" w:rsidRPr="00000000" w14:paraId="00000020">
      <w:pPr>
        <w:ind w:firstLine="720"/>
        <w:rPr>
          <w:sz w:val="23"/>
          <w:szCs w:val="23"/>
        </w:rPr>
      </w:pPr>
      <w:r w:rsidDel="00000000" w:rsidR="00000000" w:rsidRPr="00000000">
        <w:rPr>
          <w:rtl w:val="0"/>
        </w:rPr>
      </w:r>
    </w:p>
    <w:p w:rsidR="00000000" w:rsidDel="00000000" w:rsidP="00000000" w:rsidRDefault="00000000" w:rsidRPr="00000000" w14:paraId="00000021">
      <w:pPr>
        <w:ind w:firstLine="720"/>
        <w:rPr>
          <w:sz w:val="23"/>
          <w:szCs w:val="23"/>
        </w:rPr>
      </w:pPr>
      <w:r w:rsidDel="00000000" w:rsidR="00000000" w:rsidRPr="00000000">
        <w:rPr>
          <w:rtl w:val="0"/>
        </w:rPr>
      </w:r>
    </w:p>
    <w:p w:rsidR="00000000" w:rsidDel="00000000" w:rsidP="00000000" w:rsidRDefault="00000000" w:rsidRPr="00000000" w14:paraId="00000022">
      <w:pPr>
        <w:ind w:firstLine="720"/>
        <w:rPr>
          <w:sz w:val="23"/>
          <w:szCs w:val="23"/>
        </w:rPr>
      </w:pPr>
      <w:r w:rsidDel="00000000" w:rsidR="00000000" w:rsidRPr="00000000">
        <w:rPr>
          <w:rtl w:val="0"/>
        </w:rPr>
      </w:r>
    </w:p>
    <w:p w:rsidR="00000000" w:rsidDel="00000000" w:rsidP="00000000" w:rsidRDefault="00000000" w:rsidRPr="00000000" w14:paraId="00000023">
      <w:pPr>
        <w:ind w:firstLine="720"/>
        <w:rPr>
          <w:sz w:val="23"/>
          <w:szCs w:val="23"/>
        </w:rPr>
      </w:pPr>
      <w:r w:rsidDel="00000000" w:rsidR="00000000" w:rsidRPr="00000000">
        <w:rPr>
          <w:rtl w:val="0"/>
        </w:rPr>
      </w:r>
    </w:p>
    <w:p w:rsidR="00000000" w:rsidDel="00000000" w:rsidP="00000000" w:rsidRDefault="00000000" w:rsidRPr="00000000" w14:paraId="00000024">
      <w:pPr>
        <w:ind w:firstLine="720"/>
        <w:rPr>
          <w:sz w:val="23"/>
          <w:szCs w:val="23"/>
        </w:rPr>
      </w:pPr>
      <w:r w:rsidDel="00000000" w:rsidR="00000000" w:rsidRPr="00000000">
        <w:rPr>
          <w:rtl w:val="0"/>
        </w:rPr>
      </w:r>
    </w:p>
    <w:p w:rsidR="00000000" w:rsidDel="00000000" w:rsidP="00000000" w:rsidRDefault="00000000" w:rsidRPr="00000000" w14:paraId="00000025">
      <w:pPr>
        <w:ind w:firstLine="720"/>
        <w:rPr>
          <w:sz w:val="23"/>
          <w:szCs w:val="23"/>
        </w:rPr>
      </w:pPr>
      <w:r w:rsidDel="00000000" w:rsidR="00000000" w:rsidRPr="00000000">
        <w:rPr>
          <w:rtl w:val="0"/>
        </w:rPr>
      </w:r>
    </w:p>
    <w:p w:rsidR="00000000" w:rsidDel="00000000" w:rsidP="00000000" w:rsidRDefault="00000000" w:rsidRPr="00000000" w14:paraId="00000026">
      <w:pPr>
        <w:ind w:firstLine="720"/>
        <w:rPr>
          <w:sz w:val="23"/>
          <w:szCs w:val="23"/>
        </w:rPr>
      </w:pPr>
      <w:r w:rsidDel="00000000" w:rsidR="00000000" w:rsidRPr="00000000">
        <w:rPr>
          <w:rtl w:val="0"/>
        </w:rPr>
      </w:r>
    </w:p>
    <w:p w:rsidR="00000000" w:rsidDel="00000000" w:rsidP="00000000" w:rsidRDefault="00000000" w:rsidRPr="00000000" w14:paraId="00000027">
      <w:pPr>
        <w:ind w:firstLine="720"/>
        <w:rPr>
          <w:sz w:val="23"/>
          <w:szCs w:val="23"/>
        </w:rPr>
      </w:pPr>
      <w:r w:rsidDel="00000000" w:rsidR="00000000" w:rsidRPr="00000000">
        <w:rPr>
          <w:rtl w:val="0"/>
        </w:rPr>
      </w:r>
    </w:p>
    <w:p w:rsidR="00000000" w:rsidDel="00000000" w:rsidP="00000000" w:rsidRDefault="00000000" w:rsidRPr="00000000" w14:paraId="00000028">
      <w:pPr>
        <w:ind w:firstLine="720"/>
        <w:rPr>
          <w:sz w:val="23"/>
          <w:szCs w:val="23"/>
        </w:rPr>
      </w:pPr>
      <w:r w:rsidDel="00000000" w:rsidR="00000000" w:rsidRPr="00000000">
        <w:rPr>
          <w:rtl w:val="0"/>
        </w:rPr>
      </w:r>
    </w:p>
    <w:p w:rsidR="00000000" w:rsidDel="00000000" w:rsidP="00000000" w:rsidRDefault="00000000" w:rsidRPr="00000000" w14:paraId="00000029">
      <w:pPr>
        <w:ind w:firstLine="720"/>
        <w:rPr>
          <w:sz w:val="23"/>
          <w:szCs w:val="23"/>
        </w:rPr>
      </w:pPr>
      <w:r w:rsidDel="00000000" w:rsidR="00000000" w:rsidRPr="00000000">
        <w:rPr>
          <w:rtl w:val="0"/>
        </w:rPr>
      </w:r>
    </w:p>
    <w:p w:rsidR="00000000" w:rsidDel="00000000" w:rsidP="00000000" w:rsidRDefault="00000000" w:rsidRPr="00000000" w14:paraId="0000002A">
      <w:pPr>
        <w:ind w:firstLine="720"/>
        <w:rPr>
          <w:sz w:val="23"/>
          <w:szCs w:val="23"/>
        </w:rPr>
      </w:pPr>
      <w:r w:rsidDel="00000000" w:rsidR="00000000" w:rsidRPr="00000000">
        <w:rPr>
          <w:rtl w:val="0"/>
        </w:rPr>
      </w:r>
    </w:p>
    <w:p w:rsidR="00000000" w:rsidDel="00000000" w:rsidP="00000000" w:rsidRDefault="00000000" w:rsidRPr="00000000" w14:paraId="0000002B">
      <w:pPr>
        <w:ind w:firstLine="720"/>
        <w:rPr>
          <w:sz w:val="23"/>
          <w:szCs w:val="23"/>
        </w:rPr>
      </w:pPr>
      <w:r w:rsidDel="00000000" w:rsidR="00000000" w:rsidRPr="00000000">
        <w:rPr>
          <w:rtl w:val="0"/>
        </w:rPr>
      </w:r>
    </w:p>
    <w:p w:rsidR="00000000" w:rsidDel="00000000" w:rsidP="00000000" w:rsidRDefault="00000000" w:rsidRPr="00000000" w14:paraId="0000002C">
      <w:pPr>
        <w:ind w:firstLine="720"/>
        <w:rPr>
          <w:sz w:val="23"/>
          <w:szCs w:val="23"/>
        </w:rPr>
      </w:pPr>
      <w:r w:rsidDel="00000000" w:rsidR="00000000" w:rsidRPr="00000000">
        <w:rPr>
          <w:rtl w:val="0"/>
        </w:rPr>
      </w:r>
    </w:p>
    <w:p w:rsidR="00000000" w:rsidDel="00000000" w:rsidP="00000000" w:rsidRDefault="00000000" w:rsidRPr="00000000" w14:paraId="0000002D">
      <w:pPr>
        <w:ind w:firstLine="720"/>
        <w:rPr>
          <w:sz w:val="23"/>
          <w:szCs w:val="23"/>
        </w:rPr>
      </w:pPr>
      <w:r w:rsidDel="00000000" w:rsidR="00000000" w:rsidRPr="00000000">
        <w:rPr>
          <w:rtl w:val="0"/>
        </w:rPr>
      </w:r>
    </w:p>
    <w:p w:rsidR="00000000" w:rsidDel="00000000" w:rsidP="00000000" w:rsidRDefault="00000000" w:rsidRPr="00000000" w14:paraId="0000002E">
      <w:pPr>
        <w:ind w:firstLine="720"/>
        <w:rPr>
          <w:sz w:val="23"/>
          <w:szCs w:val="23"/>
        </w:rPr>
      </w:pPr>
      <w:r w:rsidDel="00000000" w:rsidR="00000000" w:rsidRPr="00000000">
        <w:rPr>
          <w:rtl w:val="0"/>
        </w:rPr>
      </w:r>
    </w:p>
    <w:p w:rsidR="00000000" w:rsidDel="00000000" w:rsidP="00000000" w:rsidRDefault="00000000" w:rsidRPr="00000000" w14:paraId="0000002F">
      <w:pPr>
        <w:ind w:firstLine="720"/>
        <w:rPr>
          <w:sz w:val="23"/>
          <w:szCs w:val="23"/>
        </w:rPr>
      </w:pPr>
      <w:r w:rsidDel="00000000" w:rsidR="00000000" w:rsidRPr="00000000">
        <w:rPr>
          <w:rtl w:val="0"/>
        </w:rPr>
      </w:r>
    </w:p>
    <w:p w:rsidR="00000000" w:rsidDel="00000000" w:rsidP="00000000" w:rsidRDefault="00000000" w:rsidRPr="00000000" w14:paraId="00000030">
      <w:pPr>
        <w:ind w:firstLine="720"/>
        <w:rPr>
          <w:sz w:val="23"/>
          <w:szCs w:val="23"/>
        </w:rPr>
      </w:pPr>
      <w:r w:rsidDel="00000000" w:rsidR="00000000" w:rsidRPr="00000000">
        <w:rPr>
          <w:rtl w:val="0"/>
        </w:rPr>
      </w:r>
    </w:p>
    <w:p w:rsidR="00000000" w:rsidDel="00000000" w:rsidP="00000000" w:rsidRDefault="00000000" w:rsidRPr="00000000" w14:paraId="00000031">
      <w:pPr>
        <w:ind w:firstLine="720"/>
        <w:rPr>
          <w:sz w:val="23"/>
          <w:szCs w:val="23"/>
        </w:rPr>
      </w:pPr>
      <w:r w:rsidDel="00000000" w:rsidR="00000000" w:rsidRPr="00000000">
        <w:rPr>
          <w:rtl w:val="0"/>
        </w:rPr>
      </w:r>
    </w:p>
    <w:p w:rsidR="00000000" w:rsidDel="00000000" w:rsidP="00000000" w:rsidRDefault="00000000" w:rsidRPr="00000000" w14:paraId="00000032">
      <w:pPr>
        <w:ind w:firstLine="720"/>
        <w:rPr>
          <w:sz w:val="23"/>
          <w:szCs w:val="23"/>
        </w:rPr>
      </w:pPr>
      <w:r w:rsidDel="00000000" w:rsidR="00000000" w:rsidRPr="00000000">
        <w:rPr>
          <w:rtl w:val="0"/>
        </w:rPr>
      </w:r>
    </w:p>
    <w:p w:rsidR="00000000" w:rsidDel="00000000" w:rsidP="00000000" w:rsidRDefault="00000000" w:rsidRPr="00000000" w14:paraId="00000033">
      <w:pPr>
        <w:ind w:firstLine="720"/>
        <w:rPr>
          <w:sz w:val="29"/>
          <w:szCs w:val="29"/>
        </w:rPr>
      </w:pPr>
      <w:r w:rsidDel="00000000" w:rsidR="00000000" w:rsidRPr="00000000">
        <w:rPr>
          <w:sz w:val="29"/>
          <w:szCs w:val="29"/>
          <w:rtl w:val="0"/>
        </w:rPr>
        <w:t xml:space="preserve">Referencias:</w:t>
      </w:r>
    </w:p>
    <w:p w:rsidR="00000000" w:rsidDel="00000000" w:rsidP="00000000" w:rsidRDefault="00000000" w:rsidRPr="00000000" w14:paraId="00000034">
      <w:pPr>
        <w:ind w:firstLine="720"/>
        <w:rPr>
          <w:sz w:val="29"/>
          <w:szCs w:val="29"/>
        </w:rPr>
      </w:pPr>
      <w:hyperlink r:id="rId8">
        <w:r w:rsidDel="00000000" w:rsidR="00000000" w:rsidRPr="00000000">
          <w:rPr>
            <w:color w:val="1155cc"/>
            <w:sz w:val="29"/>
            <w:szCs w:val="29"/>
            <w:u w:val="single"/>
            <w:rtl w:val="0"/>
          </w:rPr>
          <w:t xml:space="preserve">www.shorturl.at/djG46</w:t>
        </w:r>
      </w:hyperlink>
      <w:r w:rsidDel="00000000" w:rsidR="00000000" w:rsidRPr="00000000">
        <w:rPr>
          <w:rtl w:val="0"/>
        </w:rPr>
      </w:r>
    </w:p>
    <w:p w:rsidR="00000000" w:rsidDel="00000000" w:rsidP="00000000" w:rsidRDefault="00000000" w:rsidRPr="00000000" w14:paraId="00000035">
      <w:pPr>
        <w:ind w:firstLine="720"/>
        <w:rPr>
          <w:sz w:val="29"/>
          <w:szCs w:val="29"/>
        </w:rPr>
      </w:pPr>
      <w:hyperlink r:id="rId9">
        <w:r w:rsidDel="00000000" w:rsidR="00000000" w:rsidRPr="00000000">
          <w:rPr>
            <w:color w:val="1155cc"/>
            <w:sz w:val="29"/>
            <w:szCs w:val="29"/>
            <w:u w:val="single"/>
            <w:rtl w:val="0"/>
          </w:rPr>
          <w:t xml:space="preserve">https://infoagro.com/frutas/frutas_tradicionales/manzana3.htm</w:t>
        </w:r>
      </w:hyperlink>
      <w:r w:rsidDel="00000000" w:rsidR="00000000" w:rsidRPr="00000000">
        <w:rPr>
          <w:rtl w:val="0"/>
        </w:rPr>
      </w:r>
    </w:p>
    <w:p w:rsidR="00000000" w:rsidDel="00000000" w:rsidP="00000000" w:rsidRDefault="00000000" w:rsidRPr="00000000" w14:paraId="00000036">
      <w:pPr>
        <w:ind w:firstLine="720"/>
        <w:rPr>
          <w:sz w:val="29"/>
          <w:szCs w:val="29"/>
        </w:rPr>
      </w:pPr>
      <w:hyperlink r:id="rId10">
        <w:r w:rsidDel="00000000" w:rsidR="00000000" w:rsidRPr="00000000">
          <w:rPr>
            <w:color w:val="1155cc"/>
            <w:sz w:val="29"/>
            <w:szCs w:val="29"/>
            <w:u w:val="single"/>
            <w:rtl w:val="0"/>
          </w:rPr>
          <w:t xml:space="preserve">http://www.wapa-association.org/asp/page_1.asp?doc_id=446</w:t>
        </w:r>
      </w:hyperlink>
      <w:r w:rsidDel="00000000" w:rsidR="00000000" w:rsidRPr="00000000">
        <w:rPr>
          <w:rtl w:val="0"/>
        </w:rPr>
      </w:r>
    </w:p>
    <w:p w:rsidR="00000000" w:rsidDel="00000000" w:rsidP="00000000" w:rsidRDefault="00000000" w:rsidRPr="00000000" w14:paraId="00000037">
      <w:pPr>
        <w:ind w:firstLine="720"/>
        <w:rPr>
          <w:sz w:val="29"/>
          <w:szCs w:val="29"/>
        </w:rPr>
      </w:pPr>
      <w:hyperlink r:id="rId11">
        <w:r w:rsidDel="00000000" w:rsidR="00000000" w:rsidRPr="00000000">
          <w:rPr>
            <w:color w:val="1155cc"/>
            <w:sz w:val="29"/>
            <w:szCs w:val="29"/>
            <w:u w:val="single"/>
            <w:rtl w:val="0"/>
          </w:rPr>
          <w:t xml:space="preserve">https://www.maf-roda.com/es/page/embalaje-manzanas.php</w:t>
        </w:r>
      </w:hyperlink>
      <w:r w:rsidDel="00000000" w:rsidR="00000000" w:rsidRPr="00000000">
        <w:rPr>
          <w:sz w:val="29"/>
          <w:szCs w:val="29"/>
          <w:rtl w:val="0"/>
        </w:rPr>
        <w:t xml:space="preserve"> - cada paso del proceso de empaque explicado con gran detalle</w:t>
      </w:r>
    </w:p>
    <w:p w:rsidR="00000000" w:rsidDel="00000000" w:rsidP="00000000" w:rsidRDefault="00000000" w:rsidRPr="00000000" w14:paraId="00000038">
      <w:pPr>
        <w:ind w:firstLine="720"/>
        <w:rPr>
          <w:sz w:val="29"/>
          <w:szCs w:val="29"/>
        </w:rPr>
      </w:pPr>
      <w:r w:rsidDel="00000000" w:rsidR="00000000" w:rsidRPr="00000000">
        <w:rPr>
          <w:rtl w:val="0"/>
        </w:rPr>
      </w:r>
    </w:p>
    <w:p w:rsidR="00000000" w:rsidDel="00000000" w:rsidP="00000000" w:rsidRDefault="00000000" w:rsidRPr="00000000" w14:paraId="00000039">
      <w:pPr>
        <w:ind w:firstLine="720"/>
        <w:rPr>
          <w:sz w:val="29"/>
          <w:szCs w:val="29"/>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https://es.wikipedia.org/wiki/Anna_(manzana)</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yperlink" Target="https://www.maf-roda.com/es/page/embalaje-manzanas.php" TargetMode="External"/><Relationship Id="rId10" Type="http://schemas.openxmlformats.org/officeDocument/2006/relationships/hyperlink" Target="http://www.wapa-association.org/asp/page_1.asp?doc_id=446" TargetMode="External"/><Relationship Id="rId9" Type="http://schemas.openxmlformats.org/officeDocument/2006/relationships/hyperlink" Target="https://infoagro.com/frutas/frutas_tradicionales/manzana3.ht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www.shorturl.at/djG46"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Anna_(manza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