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D8AF" w14:textId="5B6ECCA2" w:rsidR="00B76000" w:rsidRPr="00B76000" w:rsidRDefault="00B76000" w:rsidP="00B76000">
      <w:pPr>
        <w:jc w:val="center"/>
        <w:rPr>
          <w:b/>
          <w:bCs/>
          <w:sz w:val="48"/>
          <w:szCs w:val="48"/>
          <w:lang w:val="es-ES"/>
        </w:rPr>
      </w:pPr>
      <w:r>
        <w:rPr>
          <w:b/>
          <w:bCs/>
          <w:sz w:val="48"/>
          <w:szCs w:val="48"/>
          <w:lang w:val="es-ES"/>
        </w:rPr>
        <w:t>PIMENTON</w:t>
      </w:r>
    </w:p>
    <w:p w14:paraId="27C8972E" w14:textId="32DBA9BE" w:rsidR="00B76000" w:rsidRPr="00B76000" w:rsidRDefault="00B76000" w:rsidP="00B7600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Características</w:t>
      </w:r>
      <w:r w:rsidR="008450F4">
        <w:rPr>
          <w:b/>
          <w:bCs/>
          <w:sz w:val="28"/>
          <w:szCs w:val="28"/>
          <w:lang w:val="es-ES"/>
        </w:rPr>
        <w:t xml:space="preserve"> de la hortaliza</w:t>
      </w:r>
      <w:r>
        <w:rPr>
          <w:b/>
          <w:bCs/>
          <w:sz w:val="28"/>
          <w:szCs w:val="28"/>
          <w:lang w:val="es-ES"/>
        </w:rPr>
        <w:t>:</w:t>
      </w:r>
    </w:p>
    <w:p w14:paraId="0B29E674" w14:textId="27F6E7F1" w:rsidR="00B76000" w:rsidRDefault="008450F4" w:rsidP="00BC3F7C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8450F4">
        <w:rPr>
          <w:lang w:val="es-ES"/>
        </w:rPr>
        <w:t>Longitud: El pimentón debe tener una longitud de 10 a 15 centímetros, aunque la longitud final será en función del híbrido sembrado</w:t>
      </w:r>
      <w:r w:rsidR="00BC3F7C">
        <w:rPr>
          <w:lang w:val="es-ES"/>
        </w:rPr>
        <w:t>.</w:t>
      </w:r>
    </w:p>
    <w:p w14:paraId="66388E90" w14:textId="487D8C59" w:rsidR="008450F4" w:rsidRPr="008450F4" w:rsidRDefault="008450F4" w:rsidP="00BC3F7C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t>C</w:t>
      </w:r>
      <w:r>
        <w:t>olor: Los pimentones pueden tener una gran varie</w:t>
      </w:r>
      <w:r>
        <w:t>dad de colores, dependiendo del</w:t>
      </w:r>
      <w:r w:rsidR="00BC3F7C">
        <w:t xml:space="preserve"> </w:t>
      </w:r>
      <w:r>
        <w:t>h</w:t>
      </w:r>
      <w:r>
        <w:t>íbrido empleado; los más comunes son los amarillos, naranjas, verdes y rojos.</w:t>
      </w:r>
    </w:p>
    <w:p w14:paraId="7903DB40" w14:textId="5ED4E235" w:rsidR="008450F4" w:rsidRPr="00BC3F7C" w:rsidRDefault="008450F4" w:rsidP="00BC3F7C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t>Se debe mantener a una temperatura menor a los 38°C</w:t>
      </w:r>
      <w:r w:rsidR="00BC3F7C">
        <w:t>.</w:t>
      </w:r>
    </w:p>
    <w:p w14:paraId="5D2AB744" w14:textId="135C8131" w:rsidR="00BC3F7C" w:rsidRPr="008450F4" w:rsidRDefault="00BC3F7C" w:rsidP="00BC3F7C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t>Una producción anual de aproximadamente 45000 toneladas.</w:t>
      </w:r>
    </w:p>
    <w:p w14:paraId="29CE5CA9" w14:textId="48523C3B" w:rsidR="00B76000" w:rsidRDefault="00B76000" w:rsidP="00B7600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Normas Nacionales Implicadas</w:t>
      </w:r>
    </w:p>
    <w:p w14:paraId="15DD7A0E" w14:textId="5BAA83A6" w:rsidR="008450F4" w:rsidRPr="008450F4" w:rsidRDefault="008450F4" w:rsidP="00BC3F7C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NTC </w:t>
      </w:r>
      <w:r w:rsidR="00886A41">
        <w:rPr>
          <w:b/>
          <w:bCs/>
          <w:sz w:val="28"/>
          <w:szCs w:val="28"/>
          <w:lang w:val="es-ES"/>
        </w:rPr>
        <w:t xml:space="preserve">– </w:t>
      </w:r>
      <w:r>
        <w:rPr>
          <w:b/>
          <w:bCs/>
          <w:sz w:val="28"/>
          <w:szCs w:val="28"/>
          <w:lang w:val="es-ES"/>
        </w:rPr>
        <w:t>5400</w:t>
      </w:r>
      <w:r w:rsidR="00886A41">
        <w:rPr>
          <w:b/>
          <w:bCs/>
          <w:sz w:val="28"/>
          <w:szCs w:val="28"/>
          <w:lang w:val="es-ES"/>
        </w:rPr>
        <w:t>:</w:t>
      </w:r>
      <w:r>
        <w:rPr>
          <w:b/>
          <w:bCs/>
          <w:sz w:val="28"/>
          <w:szCs w:val="28"/>
          <w:lang w:val="es-ES"/>
        </w:rPr>
        <w:t xml:space="preserve"> </w:t>
      </w:r>
      <w:r>
        <w:t>En la que se definen los estándares del manejo del fruto: S</w:t>
      </w:r>
      <w:r>
        <w:t>e debe utilizar vehículos limpios y que no hayan sido usados en actividades que representen un riesgo de contaminación al producto. Estos vehículos deben ofrecer protección contra el sol, la lluvia, el viento o cualquier otro factor que pueda convertirse en un riesgo de contaminación y deterioro del producto y cuando sea necesario, se debe contar con transporte climatizado.</w:t>
      </w:r>
      <w:r>
        <w:t xml:space="preserve"> </w:t>
      </w:r>
    </w:p>
    <w:p w14:paraId="3C7BADA6" w14:textId="21BF7A65" w:rsidR="008450F4" w:rsidRDefault="008450F4" w:rsidP="00BC3F7C">
      <w:pPr>
        <w:pStyle w:val="ListParagraph"/>
        <w:jc w:val="both"/>
      </w:pPr>
      <w:r>
        <w:t>Todos los materiales de empaques y embalajes empleados deben almacenarse adecuadamente para evitar la contaminación cruzada y mantenerse en condiciones higiénicas. El material de los empaques no debe ser tóxico ni permitir la transferencia de olores o sabores extraños.</w:t>
      </w:r>
    </w:p>
    <w:p w14:paraId="66907210" w14:textId="77777777" w:rsidR="008450F4" w:rsidRDefault="008450F4" w:rsidP="00BC3F7C">
      <w:pPr>
        <w:pStyle w:val="ListParagraph"/>
        <w:jc w:val="both"/>
      </w:pPr>
      <w:r>
        <w:t xml:space="preserve">En cada unidad productiva debe existir un sistema de documentación disponible, actualizado y conservado adecuadamente, el cual deberá estar conformado como mínimo por: </w:t>
      </w:r>
    </w:p>
    <w:p w14:paraId="633B09A7" w14:textId="77777777" w:rsidR="008450F4" w:rsidRDefault="008450F4" w:rsidP="00BC3F7C">
      <w:pPr>
        <w:pStyle w:val="ListParagraph"/>
        <w:ind w:left="1440"/>
        <w:jc w:val="both"/>
      </w:pPr>
      <w:r>
        <w:t>a) Los procedimientos para todas las operaciones incluidas en la presente norma. b) Instructivos de trabajo, en donde se detalle el desarrollo de cada actividad, especificando el responsable.</w:t>
      </w:r>
    </w:p>
    <w:p w14:paraId="4EA8AC4F" w14:textId="77777777" w:rsidR="008450F4" w:rsidRDefault="008450F4" w:rsidP="00BC3F7C">
      <w:pPr>
        <w:pStyle w:val="ListParagraph"/>
        <w:ind w:left="1440"/>
        <w:jc w:val="both"/>
      </w:pPr>
      <w:r>
        <w:t xml:space="preserve">c) Registros de las actividades realizadas, los cuales deben conservarse por un periodo mínimo de dos años. </w:t>
      </w:r>
    </w:p>
    <w:p w14:paraId="411779CC" w14:textId="77777777" w:rsidR="008450F4" w:rsidRDefault="008450F4" w:rsidP="00BC3F7C">
      <w:pPr>
        <w:pStyle w:val="ListParagraph"/>
        <w:ind w:left="1440"/>
        <w:jc w:val="both"/>
      </w:pPr>
      <w:r>
        <w:t xml:space="preserve">d) Especificaciones y fichas técnicas actualizadas, de los insumos utilizados en el proceso productivo y </w:t>
      </w:r>
      <w:proofErr w:type="spellStart"/>
      <w:r>
        <w:t>poscosecha</w:t>
      </w:r>
      <w:proofErr w:type="spellEnd"/>
      <w:r>
        <w:t>.</w:t>
      </w:r>
    </w:p>
    <w:p w14:paraId="49C73BB9" w14:textId="206015B0" w:rsidR="008450F4" w:rsidRDefault="008450F4" w:rsidP="00BC3F7C">
      <w:pPr>
        <w:pStyle w:val="ListParagraph"/>
        <w:ind w:left="1440"/>
        <w:jc w:val="both"/>
      </w:pPr>
      <w:r>
        <w:t>e) Para el desarrollo de la trazabilidad o rastreabilidad, la cadena productiva debe contar con un sistema de identificación o codificación de las unidades productivas, de los insumos utilizados y el registro de los procesos aplicados a los productos agrícolas. Estos registros deben permitir rastrear la historia, el uso o la ubicación de un producto, a lo largo del proceso desde la finca hasta el consumidor. Los registros deben mantenerse al día y conservarse por un periodo mínimo de dos años</w:t>
      </w:r>
      <w:r>
        <w:t>.</w:t>
      </w:r>
    </w:p>
    <w:p w14:paraId="67E56FFF" w14:textId="77777777" w:rsidR="00886A41" w:rsidRDefault="008450F4" w:rsidP="00BC3F7C">
      <w:pPr>
        <w:pStyle w:val="ListParagraph"/>
        <w:numPr>
          <w:ilvl w:val="0"/>
          <w:numId w:val="4"/>
        </w:numPr>
        <w:jc w:val="both"/>
      </w:pPr>
      <w:r>
        <w:rPr>
          <w:b/>
          <w:bCs/>
          <w:sz w:val="28"/>
          <w:szCs w:val="28"/>
        </w:rPr>
        <w:t xml:space="preserve">NTC </w:t>
      </w:r>
      <w:r w:rsidR="00886A41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5422</w:t>
      </w:r>
      <w:r w:rsidR="00886A41">
        <w:rPr>
          <w:b/>
          <w:bCs/>
          <w:sz w:val="28"/>
          <w:szCs w:val="28"/>
        </w:rPr>
        <w:t xml:space="preserve">: </w:t>
      </w:r>
      <w:r w:rsidR="00886A41">
        <w:t xml:space="preserve">Características del empaquetado: </w:t>
      </w:r>
    </w:p>
    <w:p w14:paraId="49339E9A" w14:textId="237247EB" w:rsidR="00886A41" w:rsidRDefault="00886A41" w:rsidP="00BC3F7C">
      <w:pPr>
        <w:pStyle w:val="ListParagraph"/>
        <w:numPr>
          <w:ilvl w:val="0"/>
          <w:numId w:val="5"/>
        </w:numPr>
        <w:jc w:val="both"/>
      </w:pPr>
      <w:r>
        <w:t>Estar en condiciones adecuadas para permitir la manipulación,</w:t>
      </w:r>
      <w:r>
        <w:t xml:space="preserve"> </w:t>
      </w:r>
      <w:r>
        <w:t>almacenamiento, transporte, distribución, venta y consumo del</w:t>
      </w:r>
      <w:r>
        <w:t xml:space="preserve"> </w:t>
      </w:r>
      <w:r>
        <w:t>producto.</w:t>
      </w:r>
    </w:p>
    <w:p w14:paraId="4D698772" w14:textId="78DC6E93" w:rsidR="00886A41" w:rsidRDefault="00886A41" w:rsidP="00BC3F7C">
      <w:pPr>
        <w:pStyle w:val="ListParagraph"/>
        <w:numPr>
          <w:ilvl w:val="0"/>
          <w:numId w:val="5"/>
        </w:numPr>
        <w:jc w:val="both"/>
      </w:pPr>
      <w:r>
        <w:t>Permitir la consolidación (</w:t>
      </w:r>
      <w:proofErr w:type="spellStart"/>
      <w:r>
        <w:t>Packing</w:t>
      </w:r>
      <w:proofErr w:type="spellEnd"/>
      <w:r>
        <w:t>) y el alistamiento (</w:t>
      </w:r>
      <w:proofErr w:type="spellStart"/>
      <w:r>
        <w:t>Picking</w:t>
      </w:r>
      <w:proofErr w:type="spellEnd"/>
      <w:r>
        <w:t xml:space="preserve">) </w:t>
      </w:r>
      <w:r>
        <w:t>de los</w:t>
      </w:r>
      <w:r>
        <w:t xml:space="preserve"> productos empacados.</w:t>
      </w:r>
    </w:p>
    <w:p w14:paraId="7A95219E" w14:textId="0261A191" w:rsidR="00886A41" w:rsidRDefault="00886A41" w:rsidP="00BC3F7C">
      <w:pPr>
        <w:pStyle w:val="ListParagraph"/>
        <w:numPr>
          <w:ilvl w:val="0"/>
          <w:numId w:val="5"/>
        </w:numPr>
        <w:jc w:val="both"/>
      </w:pPr>
      <w:r>
        <w:lastRenderedPageBreak/>
        <w:t>Contribuir con la conservación y protección de la calidad del</w:t>
      </w:r>
      <w:r>
        <w:t xml:space="preserve"> </w:t>
      </w:r>
      <w:r>
        <w:t>product</w:t>
      </w:r>
      <w:r>
        <w:t>o</w:t>
      </w:r>
      <w:r>
        <w:t xml:space="preserve"> contenido durante el ciclo de comercialización y su vida útil.</w:t>
      </w:r>
    </w:p>
    <w:p w14:paraId="400AEA20" w14:textId="77777777" w:rsidR="00886A41" w:rsidRDefault="00886A41" w:rsidP="00BC3F7C">
      <w:pPr>
        <w:pStyle w:val="ListParagraph"/>
        <w:numPr>
          <w:ilvl w:val="0"/>
          <w:numId w:val="5"/>
        </w:numPr>
        <w:jc w:val="both"/>
      </w:pPr>
      <w:r>
        <w:t>Ser reciclables o reutilizables o biodegradables.</w:t>
      </w:r>
    </w:p>
    <w:p w14:paraId="17F109C3" w14:textId="5D4FAD3E" w:rsidR="00886A41" w:rsidRDefault="00886A41" w:rsidP="00BC3F7C">
      <w:pPr>
        <w:pStyle w:val="ListParagraph"/>
        <w:numPr>
          <w:ilvl w:val="0"/>
          <w:numId w:val="5"/>
        </w:numPr>
        <w:jc w:val="both"/>
      </w:pPr>
      <w:r>
        <w:t>Los materiales empleados en su elaboración deben</w:t>
      </w:r>
      <w:r>
        <w:t xml:space="preserve"> </w:t>
      </w:r>
      <w:r>
        <w:t>cumplir con las disposiciones establecidas en la NTC5023.</w:t>
      </w:r>
    </w:p>
    <w:p w14:paraId="6B19618A" w14:textId="61C4FDF6" w:rsidR="00886A41" w:rsidRDefault="00886A41" w:rsidP="00BC3F7C">
      <w:pPr>
        <w:pStyle w:val="ListParagraph"/>
        <w:numPr>
          <w:ilvl w:val="0"/>
          <w:numId w:val="5"/>
        </w:numPr>
        <w:jc w:val="both"/>
      </w:pPr>
      <w:r>
        <w:t>Su diseño debe permitir la ventilación requerida por el</w:t>
      </w:r>
      <w:r>
        <w:t xml:space="preserve"> </w:t>
      </w:r>
      <w:r>
        <w:t>producto.</w:t>
      </w:r>
    </w:p>
    <w:p w14:paraId="7DBBCA44" w14:textId="0FE890E3" w:rsidR="00886A41" w:rsidRDefault="00886A41" w:rsidP="00BC3F7C">
      <w:pPr>
        <w:pStyle w:val="ListParagraph"/>
        <w:numPr>
          <w:ilvl w:val="0"/>
          <w:numId w:val="5"/>
        </w:numPr>
        <w:jc w:val="both"/>
      </w:pPr>
      <w:r>
        <w:t>No deben transmitir olores, sabores ni</w:t>
      </w:r>
      <w:r>
        <w:t xml:space="preserve"> </w:t>
      </w:r>
      <w:r>
        <w:t>microrganismos que alteren la calidad del producto</w:t>
      </w:r>
      <w:r>
        <w:t xml:space="preserve"> </w:t>
      </w:r>
      <w:r>
        <w:t>contenido.</w:t>
      </w:r>
    </w:p>
    <w:p w14:paraId="44607510" w14:textId="3C5E7CDA" w:rsidR="00886A41" w:rsidRDefault="00886A41" w:rsidP="00BC3F7C">
      <w:pPr>
        <w:pStyle w:val="ListParagraph"/>
        <w:numPr>
          <w:ilvl w:val="0"/>
          <w:numId w:val="5"/>
        </w:numPr>
        <w:jc w:val="both"/>
      </w:pPr>
      <w:r>
        <w:t>No deben contener materiales ajenos al producto o al</w:t>
      </w:r>
      <w:r>
        <w:t xml:space="preserve"> </w:t>
      </w:r>
      <w:r>
        <w:t>empaque mismo.</w:t>
      </w:r>
    </w:p>
    <w:p w14:paraId="2A20A456" w14:textId="42F76857" w:rsidR="00886A41" w:rsidRDefault="00886A41" w:rsidP="00BC3F7C">
      <w:pPr>
        <w:pStyle w:val="ListParagraph"/>
        <w:numPr>
          <w:ilvl w:val="0"/>
          <w:numId w:val="5"/>
        </w:numPr>
        <w:jc w:val="both"/>
      </w:pPr>
      <w:r>
        <w:t xml:space="preserve">Tener las medidas apropiadas que además de modular con </w:t>
      </w:r>
      <w:r>
        <w:t>las estibas</w:t>
      </w:r>
      <w:r>
        <w:t xml:space="preserve">, tengan la altura apropiada para evitar el daño del </w:t>
      </w:r>
      <w:r>
        <w:t>producto en</w:t>
      </w:r>
      <w:r>
        <w:t xml:space="preserve"> las capas inferiores.</w:t>
      </w:r>
    </w:p>
    <w:p w14:paraId="6A4B419A" w14:textId="680B1833" w:rsidR="008450F4" w:rsidRDefault="00886A41" w:rsidP="00BC3F7C">
      <w:pPr>
        <w:pStyle w:val="ListParagraph"/>
        <w:numPr>
          <w:ilvl w:val="0"/>
          <w:numId w:val="5"/>
        </w:numPr>
        <w:jc w:val="both"/>
      </w:pPr>
      <w:r>
        <w:t xml:space="preserve">Durante el almacenamiento y transporte, el apilamiento </w:t>
      </w:r>
      <w:r>
        <w:t>o arrume</w:t>
      </w:r>
      <w:r>
        <w:t xml:space="preserve"> debe garantizar la adecuada circulación del aire.</w:t>
      </w:r>
    </w:p>
    <w:p w14:paraId="0CAC3E2A" w14:textId="4893C62F" w:rsidR="00886A41" w:rsidRDefault="00886A41" w:rsidP="00BC3F7C">
      <w:pPr>
        <w:pStyle w:val="ListParagraph"/>
        <w:numPr>
          <w:ilvl w:val="0"/>
          <w:numId w:val="5"/>
        </w:numPr>
        <w:jc w:val="both"/>
      </w:pPr>
      <w:r w:rsidRPr="00886A41">
        <w:t xml:space="preserve">Los </w:t>
      </w:r>
      <w:r w:rsidRPr="00886A41">
        <w:t>empaques dosificados</w:t>
      </w:r>
      <w:r w:rsidRPr="00886A41">
        <w:t xml:space="preserve"> </w:t>
      </w:r>
      <w:r w:rsidRPr="00886A41">
        <w:t>deben fabricarse</w:t>
      </w:r>
      <w:r w:rsidRPr="00886A41">
        <w:t xml:space="preserve"> con </w:t>
      </w:r>
      <w:r w:rsidRPr="00886A41">
        <w:t>materiales transparentes</w:t>
      </w:r>
      <w:r w:rsidRPr="00886A41">
        <w:t xml:space="preserve"> </w:t>
      </w:r>
      <w:r w:rsidRPr="00886A41">
        <w:t>que permitan</w:t>
      </w:r>
      <w:r w:rsidRPr="00886A41">
        <w:t xml:space="preserve"> apreciar </w:t>
      </w:r>
      <w:r w:rsidRPr="00886A41">
        <w:t>la calidad</w:t>
      </w:r>
      <w:r w:rsidRPr="00886A41">
        <w:t xml:space="preserve"> del producto.</w:t>
      </w:r>
    </w:p>
    <w:p w14:paraId="6826C69F" w14:textId="12BC1967" w:rsidR="00BC3F7C" w:rsidRPr="00886A41" w:rsidRDefault="00BC3F7C" w:rsidP="00BC3F7C">
      <w:pPr>
        <w:pStyle w:val="ListParagraph"/>
        <w:numPr>
          <w:ilvl w:val="0"/>
          <w:numId w:val="5"/>
        </w:numPr>
        <w:jc w:val="both"/>
      </w:pPr>
      <w:r w:rsidRPr="00BC3F7C">
        <w:t xml:space="preserve">Las canastas plásticas deben tener las medidas apropiadas que además demodular con las estibas tengan la </w:t>
      </w:r>
      <w:r w:rsidRPr="00BC3F7C">
        <w:t>altura apropiada</w:t>
      </w:r>
      <w:r w:rsidRPr="00BC3F7C">
        <w:t xml:space="preserve"> para evitar el daño </w:t>
      </w:r>
      <w:r w:rsidRPr="00BC3F7C">
        <w:t>del producto</w:t>
      </w:r>
      <w:r w:rsidRPr="00BC3F7C">
        <w:t xml:space="preserve"> en las capas inferiores.</w:t>
      </w:r>
    </w:p>
    <w:p w14:paraId="3A3E01BB" w14:textId="2D58BFEE" w:rsidR="00B76000" w:rsidRDefault="00B76000" w:rsidP="00B7600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Empaquetado</w:t>
      </w:r>
    </w:p>
    <w:p w14:paraId="40C7CDD3" w14:textId="4C2FF29D" w:rsidR="00B76000" w:rsidRDefault="00B76000" w:rsidP="00B76000">
      <w:pPr>
        <w:rPr>
          <w:b/>
          <w:bCs/>
          <w:sz w:val="28"/>
          <w:szCs w:val="28"/>
          <w:lang w:val="es-ES"/>
        </w:rPr>
      </w:pPr>
    </w:p>
    <w:p w14:paraId="3BF1E43A" w14:textId="68616FBF" w:rsidR="0048385C" w:rsidRDefault="00B7600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Diagrama general del proceso</w:t>
      </w:r>
    </w:p>
    <w:p w14:paraId="7D08DA75" w14:textId="57B1C62B" w:rsidR="00B76000" w:rsidRDefault="00B76000">
      <w:pPr>
        <w:rPr>
          <w:b/>
          <w:bCs/>
          <w:sz w:val="28"/>
          <w:szCs w:val="28"/>
          <w:lang w:val="es-ES"/>
        </w:rPr>
      </w:pPr>
    </w:p>
    <w:p w14:paraId="5A0C4FA3" w14:textId="4DF4C71F" w:rsidR="00B76000" w:rsidRDefault="00B7600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Etapas para automatizar</w:t>
      </w:r>
    </w:p>
    <w:p w14:paraId="4287C6A7" w14:textId="6DDCDF10" w:rsidR="00B76000" w:rsidRDefault="00B76000">
      <w:pPr>
        <w:rPr>
          <w:b/>
          <w:bCs/>
          <w:sz w:val="28"/>
          <w:szCs w:val="28"/>
          <w:lang w:val="es-ES"/>
        </w:rPr>
      </w:pPr>
    </w:p>
    <w:p w14:paraId="4D666651" w14:textId="6DE12464" w:rsidR="00B76000" w:rsidRPr="00B76000" w:rsidRDefault="00B7600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Fuentes</w:t>
      </w:r>
    </w:p>
    <w:sectPr w:rsidR="00B76000" w:rsidRPr="00B76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63AA6"/>
    <w:multiLevelType w:val="hybridMultilevel"/>
    <w:tmpl w:val="C53075EC"/>
    <w:lvl w:ilvl="0" w:tplc="5A2826A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861"/>
    <w:multiLevelType w:val="hybridMultilevel"/>
    <w:tmpl w:val="F4FC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E4116"/>
    <w:multiLevelType w:val="hybridMultilevel"/>
    <w:tmpl w:val="AC441FDC"/>
    <w:lvl w:ilvl="0" w:tplc="23C6E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9F559E"/>
    <w:multiLevelType w:val="hybridMultilevel"/>
    <w:tmpl w:val="3B4E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B01CD"/>
    <w:multiLevelType w:val="hybridMultilevel"/>
    <w:tmpl w:val="C6C29A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2E"/>
    <w:rsid w:val="0048385C"/>
    <w:rsid w:val="008450F4"/>
    <w:rsid w:val="00886A41"/>
    <w:rsid w:val="00B76000"/>
    <w:rsid w:val="00BC3F7C"/>
    <w:rsid w:val="00CC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AB8B"/>
  <w15:chartTrackingRefBased/>
  <w15:docId w15:val="{024C79B9-AE00-499D-A46E-91BEB884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000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0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es-CO"/>
    </w:rPr>
  </w:style>
  <w:style w:type="paragraph" w:styleId="ListParagraph">
    <w:name w:val="List Paragraph"/>
    <w:basedOn w:val="Normal"/>
    <w:uiPriority w:val="34"/>
    <w:qFormat/>
    <w:rsid w:val="00B760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60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75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57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3439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64383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10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Per12</b:Tag>
    <b:SourceType>Report</b:SourceType>
    <b:Guid>{F47BD2EE-E3C4-4757-BEE4-E74D996A3B0B}</b:Guid>
    <b:Title>Modelo de dinamica de sistemas para la logistica, distribucion y comercializacion del limon criollo en el Tolima</b:Title>
    <b:Year>2012</b:Year>
    <b:City>Bogota D.C.</b:City>
    <b:Publisher>Universidad Piloto de Colombia</b:Publisher>
    <b:Author>
      <b:Author>
        <b:NameList>
          <b:Person>
            <b:Last>Peralta Andrea</b:Last>
            <b:First>Tellez</b:First>
            <b:Middle>Erich</b:Middle>
          </b:Person>
        </b:NameList>
      </b:Author>
    </b:Author>
    <b:Department>Programa ingenieria de mercados</b:Department>
    <b:Institution>Facultad de Ingenieria </b:Institution>
    <b:RefOrder>1</b:RefOrder>
  </b:Source>
</b:Sources>
</file>

<file path=customXml/itemProps1.xml><?xml version="1.0" encoding="utf-8"?>
<ds:datastoreItem xmlns:ds="http://schemas.openxmlformats.org/officeDocument/2006/customXml" ds:itemID="{D48CBE15-5D8F-40F2-8D39-F45BD4930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Ramírez Salazar</dc:creator>
  <cp:keywords/>
  <dc:description/>
  <cp:lastModifiedBy>Juan David Ramírez Salazar</cp:lastModifiedBy>
  <cp:revision>3</cp:revision>
  <dcterms:created xsi:type="dcterms:W3CDTF">2021-10-20T04:06:00Z</dcterms:created>
  <dcterms:modified xsi:type="dcterms:W3CDTF">2021-10-20T15:24:00Z</dcterms:modified>
</cp:coreProperties>
</file>