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rFonts w:ascii="Arial Narrow" w:cs="Arial Narrow" w:eastAsia="Arial Narrow" w:hAnsi="Arial Narrow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Relatórios de Acompanhamento – Cthreads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rFonts w:ascii="Arial Narrow" w:cs="Arial Narrow" w:eastAsia="Arial Narrow" w:hAnsi="Arial Narrow"/>
          <w:b w:val="1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LEIA ATENTAMENTE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as instruções abaixo: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trabalho 1 da disciplina, biblioteca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cthreads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deverá ser desenvolvido por grupos de até três alunos.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grupo definido deverá permanecer o mesmo até a conclusão do trabalho 1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cthreads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Não serão aceitas modificações de membros do grupo (inclusão ou exclusão) após a entrega do primeiro relatório de acompanhamento.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Faz parte da execução do trabalho 1 a elaboração de um conjunto de cinco (5) relatórios de acompanhamentos que deverão ser entregues semanalmente. Os relatórios inicial (#1) e final (#2) terão informações diferentes dos relatórios intermediários e todos eles deverão seguir os modelos aqui definidos.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relatórios valem 4 pontos e a implementação vale 6 pontos.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IMPORTANTE: não existe certo ou errado de forma absoluta nesses relatórios. O objetivo desses relatórios é acompanhamento do trabalho e incentivar que as tarefas não sejam deixadas para o último final de semana. Os mesmos podem ter seus documentos de entrega (controle) revistos e atualizados semana 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DATAS DE ENTREGA DOS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Relatório #1: 27 de setembro de 2017. (Peso: 40%)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Relatório #2: 04 de outubro de 2017. (Peso 10%)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Relatório #3: 11 de outubro de 2017. (Peso 10%)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Relatório #4: 18 de outubro de 2017. (Peso 10%)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Relatório #5: 25 de outubro de 2017. (Peso 30%)</w:t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 entrega dos relatórios é obrigatória e não serão tolerados atrasos nas suas entregas. A entrega deverá ser feita de forma eletrônica, via Moodle da disciplina.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Atividades a serem executadas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Elaborar a lista de tarefas a serem executadas pelo grupo para a realização do trabalho e, com base nela, definir uma matriz de responsabilidade para o projeto. Uma matriz de responsabilidade resume as tarefas a serem executadas (linhas da matriz) e quem é responsável por quais tarefas em um projeto.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um diagrama de precedência das tarefas. Esse diagrama fornece como as tarefas estão relacionadas e a sequência em que elas podem/devem ser executas, onde as atividades são representadas por nós e a dependência entre tarefas por setas.  Existem três relações básicas entre as atividades (tarefas) que devem ser estabelecidas para formar o diagrama de precedência: predecessoras, sucessoras ou paralelas. Essas relações podem ser determinadas respondendo as seguintes questões: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atividades devem ser terminadas antes do inicio de uma dada atividade? Essas são atividades predecessoras.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atividades podem ser feitas após a conclusão de uma determinada atividade? Essas são as atividades sucessoras.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atividades podem ser executadas enquanto uma dada atividade está acontecendo? Essas são as atividades paralelas.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Elaborar um diagrama de Gantt definindo, em um cronograma de até seis semanas, quais são as tarefas previstas para uma determinada semana e qual o percentual de execução desta tarefa no momento da entrega do relatório.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Informar a dedicação e a carga horária de cada membro do grupo na semana referente ao relatório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APENAS dos itens listados como “entregáveis”.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tarefas com matriz de responsabilidades.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precedência de tarefas.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Gantt.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 de dedicação e carga horária.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5" w:type="first"/>
          <w:footerReference r:id="rId6" w:type="first"/>
          <w:pgSz w:h="16838" w:w="11906"/>
          <w:pgMar w:bottom="1440" w:top="1440" w:left="1080" w:right="1080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rFonts w:ascii="Arial Narrow" w:cs="Arial Narrow" w:eastAsia="Arial Narrow" w:hAnsi="Arial Narrow"/>
          <w:b w:val="1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Relatório de Acompanhamento #1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709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Nome: Alberto Pena Neto </w:t>
        <w:tab/>
        <w:tab/>
        <w:tab/>
        <w:tab/>
        <w:t xml:space="preserve">          Nro. Cartão: 217444</w:t>
      </w:r>
    </w:p>
    <w:p w:rsidR="00000000" w:rsidDel="00000000" w:rsidP="00000000" w:rsidRDefault="00000000" w:rsidRPr="00000000">
      <w:pPr>
        <w:spacing w:after="0" w:before="0" w:lineRule="auto"/>
        <w:ind w:left="0" w:right="0" w:firstLine="709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Iago Martins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Nro. Cartão:_____________</w:t>
      </w:r>
    </w:p>
    <w:p w:rsidR="00000000" w:rsidDel="00000000" w:rsidP="00000000" w:rsidRDefault="00000000" w:rsidRPr="00000000">
      <w:pPr>
        <w:spacing w:after="0" w:before="0" w:lineRule="auto"/>
        <w:ind w:left="0" w:right="0" w:firstLine="709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Nome: Mateus Heck</w:t>
        <w:tab/>
        <w:tab/>
        <w:tab/>
        <w:tab/>
        <w:t xml:space="preserve">          Nro. Cartão: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206740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Lista de tarefas com matriz de responsabilidade</w:t>
      </w: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.20000000000005"/>
        <w:gridCol w:w="6750.8"/>
        <w:gridCol w:w="863.9999999999999"/>
        <w:gridCol w:w="863.9999999999999"/>
        <w:gridCol w:w="863.9999999999999"/>
        <w:tblGridChange w:id="0">
          <w:tblGrid>
            <w:gridCol w:w="403.20000000000005"/>
            <w:gridCol w:w="6750.8"/>
            <w:gridCol w:w="863.9999999999999"/>
            <w:gridCol w:w="863.9999999999999"/>
            <w:gridCol w:w="863.9999999999999"/>
          </w:tblGrid>
        </w:tblGridChange>
      </w:tblGrid>
      <w:tr>
        <w:trPr>
          <w:trHeight w:val="400" w:hRule="atLeast"/>
        </w:trPr>
        <w:tc>
          <w:tcPr>
            <w:gridSpan w:val="2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Tarefa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Alberto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Iago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Mateus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dispatcher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cidentify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csem_init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Inserir processo em fila de aptos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Inserir processo em fila executando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Inserir processo em fila bloqueados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Arquivo Makefile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Função tratar término de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Preparação do relatório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Preparação do relatório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(R: responsável principal pela tarefa; S: suporte/auxilio)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Lista de precedência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66390" cy="1139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13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As tarefas “B” e “C” dependem da conclusão da tarefa “A” e podem ser feitas em paralelo. A tarefa “C” depende da conclusão da “B”. A tarefa “F” depende que as tarefas “C” e “E” sejam concluídas para ser realizada.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Diagrama de Gantt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tbl>
      <w:tblPr>
        <w:tblStyle w:val="Table2"/>
        <w:tblW w:w="9569.000000000004" w:type="dxa"/>
        <w:jc w:val="left"/>
        <w:tblInd w:w="0.0" w:type="dxa"/>
        <w:tblLayout w:type="fixed"/>
        <w:tblLook w:val="0000"/>
      </w:tblPr>
      <w:tblGrid>
        <w:gridCol w:w="5102"/>
        <w:gridCol w:w="425"/>
        <w:gridCol w:w="566"/>
        <w:gridCol w:w="567"/>
        <w:gridCol w:w="567"/>
        <w:gridCol w:w="566"/>
        <w:gridCol w:w="532"/>
        <w:gridCol w:w="2"/>
        <w:gridCol w:w="1242"/>
        <w:tblGridChange w:id="0">
          <w:tblGrid>
            <w:gridCol w:w="5102"/>
            <w:gridCol w:w="425"/>
            <w:gridCol w:w="566"/>
            <w:gridCol w:w="567"/>
            <w:gridCol w:w="567"/>
            <w:gridCol w:w="566"/>
            <w:gridCol w:w="532"/>
            <w:gridCol w:w="2"/>
            <w:gridCol w:w="1242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Percentual conclusão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Realizar levantamento bibliográfico e organizar material a ser 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Ler e resumir artigos e trabalhos relacionados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Elaborar proposta a ser implementada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Testes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Redigir relatório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Tabela de dedicação e carga horária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15.0" w:type="dxa"/>
        <w:jc w:val="left"/>
        <w:tblInd w:w="0.0" w:type="dxa"/>
        <w:tblLayout w:type="fixed"/>
        <w:tblLook w:val="0000"/>
      </w:tblPr>
      <w:tblGrid>
        <w:gridCol w:w="4394"/>
        <w:gridCol w:w="1521"/>
        <w:tblGridChange w:id="0">
          <w:tblGrid>
            <w:gridCol w:w="4394"/>
            <w:gridCol w:w="152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Nome do componente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e3bc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Horas gastas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Alberto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Mateus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Total de horas: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080" w:right="10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40" w:before="0" w:lineRule="auto"/>
      <w:contextualSpacing w:val="0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05.0" w:type="dxa"/>
      <w:jc w:val="left"/>
      <w:tblInd w:w="0.0" w:type="dxa"/>
      <w:tblLayout w:type="fixed"/>
      <w:tblLook w:val="0000"/>
    </w:tblPr>
    <w:tblGrid>
      <w:gridCol w:w="2092"/>
      <w:gridCol w:w="7513"/>
      <w:tblGridChange w:id="0">
        <w:tblGrid>
          <w:gridCol w:w="2092"/>
          <w:gridCol w:w="7513"/>
        </w:tblGrid>
      </w:tblGridChange>
    </w:tblGrid>
    <w:tr>
      <w:tc>
        <w:tcPr>
          <w:tcBorders>
            <w:bottom w:color="000000" w:space="0" w:sz="4" w:val="single"/>
          </w:tcBorders>
          <w:shd w:fill="ffffff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51890" cy="61658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890" cy="616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ffffff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UNIVERSIDADE FEDERAL DO RIO GRANDE DO SUL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INSTITUTO DE INFORMÁTICA – INFORMÁTICA APLICADA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INF01142 – Sistemas Operacionais I N – 2017/2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