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113C71">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102A461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empowering non-technical individuals. This low-code platform has made accessible app development, </w:t>
      </w:r>
      <w:proofErr w:type="gramStart"/>
      <w:r w:rsidR="004417A6">
        <w:lastRenderedPageBreak/>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D1F2737" w:rsidR="00DC4E90" w:rsidRDefault="00DC4E90" w:rsidP="0083342C">
      <w:pPr>
        <w:spacing w:line="360" w:lineRule="auto"/>
      </w:pPr>
      <w:r>
        <w:t>Inclusion in the application development process (</w:t>
      </w:r>
      <w:proofErr w:type="spellStart"/>
      <w:r>
        <w:t>Rokis</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1990242"/>
      <w:r>
        <w:t>Evolution of Development Approaches</w:t>
      </w:r>
      <w:bookmarkEnd w:id="4"/>
    </w:p>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91E8226"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 6(9), 960-961</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w:t>
        </w:r>
        <w:r w:rsidRPr="002327A1">
          <w:rPr>
            <w:rStyle w:val="Hyperlink"/>
            <w:rFonts w:cs="Times New Roman"/>
            <w:szCs w:val="24"/>
            <w:lang w:val="en-US"/>
          </w:rPr>
          <w:t>/</w:t>
        </w:r>
        <w:r w:rsidRPr="002327A1">
          <w:rPr>
            <w:rStyle w:val="Hyperlink"/>
            <w:rFonts w:cs="Times New Roman"/>
            <w:szCs w:val="24"/>
            <w:lang w:val="en-US"/>
          </w:rPr>
          <w:t>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7762CCB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 201-228</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3D49CA1C"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 (36), 68-86</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113C71">
          <w:headerReference w:type="default" r:id="rId17"/>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113C71">
      <w:headerReference w:type="default" r:id="rId18"/>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8F34" w14:textId="77777777" w:rsidR="00264219" w:rsidRDefault="00264219" w:rsidP="0060071B">
      <w:pPr>
        <w:spacing w:line="240" w:lineRule="auto"/>
      </w:pPr>
      <w:r>
        <w:separator/>
      </w:r>
    </w:p>
    <w:p w14:paraId="72BB70EA" w14:textId="77777777" w:rsidR="00264219" w:rsidRDefault="00264219"/>
  </w:endnote>
  <w:endnote w:type="continuationSeparator" w:id="0">
    <w:p w14:paraId="232E7A56" w14:textId="77777777" w:rsidR="00264219" w:rsidRDefault="00264219" w:rsidP="0060071B">
      <w:pPr>
        <w:spacing w:line="240" w:lineRule="auto"/>
      </w:pPr>
      <w:r>
        <w:continuationSeparator/>
      </w:r>
    </w:p>
    <w:p w14:paraId="49180138" w14:textId="77777777" w:rsidR="00264219" w:rsidRDefault="00264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AC15" w14:textId="77777777" w:rsidR="00264219" w:rsidRDefault="00264219" w:rsidP="0060071B">
      <w:pPr>
        <w:spacing w:line="240" w:lineRule="auto"/>
      </w:pPr>
      <w:r>
        <w:separator/>
      </w:r>
    </w:p>
    <w:p w14:paraId="1DB465F7" w14:textId="77777777" w:rsidR="00264219" w:rsidRDefault="00264219"/>
  </w:footnote>
  <w:footnote w:type="continuationSeparator" w:id="0">
    <w:p w14:paraId="3D48767A" w14:textId="77777777" w:rsidR="00264219" w:rsidRDefault="00264219" w:rsidP="0060071B">
      <w:pPr>
        <w:spacing w:line="240" w:lineRule="auto"/>
      </w:pPr>
      <w:r>
        <w:continuationSeparator/>
      </w:r>
    </w:p>
    <w:p w14:paraId="1FF5F30D" w14:textId="77777777" w:rsidR="00264219" w:rsidRDefault="002642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62E1"/>
    <w:rsid w:val="00165FED"/>
    <w:rsid w:val="0017123E"/>
    <w:rsid w:val="00183DF3"/>
    <w:rsid w:val="001A16BA"/>
    <w:rsid w:val="001A58C9"/>
    <w:rsid w:val="001A774F"/>
    <w:rsid w:val="001B5390"/>
    <w:rsid w:val="001C1412"/>
    <w:rsid w:val="001E5757"/>
    <w:rsid w:val="001F416B"/>
    <w:rsid w:val="00225363"/>
    <w:rsid w:val="00232281"/>
    <w:rsid w:val="002327A1"/>
    <w:rsid w:val="002438AD"/>
    <w:rsid w:val="00264219"/>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417A6"/>
    <w:rsid w:val="0045177A"/>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7514"/>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655F2"/>
    <w:rsid w:val="00A75F56"/>
    <w:rsid w:val="00A82141"/>
    <w:rsid w:val="00A8277C"/>
    <w:rsid w:val="00A85CEC"/>
    <w:rsid w:val="00A94DE0"/>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5744"/>
    <w:rsid w:val="00DA73C5"/>
    <w:rsid w:val="00DC348F"/>
    <w:rsid w:val="00DC4E90"/>
    <w:rsid w:val="00DC7D11"/>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7329E"/>
    <w:rsid w:val="00F81176"/>
    <w:rsid w:val="00F85FCA"/>
    <w:rsid w:val="00F91CE5"/>
    <w:rsid w:val="00F94AA8"/>
    <w:rsid w:val="00FA5CBD"/>
    <w:rsid w:val="00FB44A1"/>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1389</Words>
  <Characters>7922</Characters>
  <Application>Microsoft Office Word</Application>
  <DocSecurity>0</DocSecurity>
  <Lines>66</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31</cp:revision>
  <cp:lastPrinted>2015-09-17T10:09:00Z</cp:lastPrinted>
  <dcterms:created xsi:type="dcterms:W3CDTF">2023-04-24T07:08:00Z</dcterms:created>
  <dcterms:modified xsi:type="dcterms:W3CDTF">2023-12-27T08:44:00Z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