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color w:val="1F3864"/>
          <w:sz w:val="28"/>
          <w:u w:val="none"/>
        </w:rPr>
        <w:t>UPDATE: NEW RULES UNDER INDIAN LABOUR CODES</w:t>
      </w:r>
    </w:p>
    <w:p>
      <w:pPr>
        <w:spacing w:before="240" w:after="80"/>
      </w:pPr>
      <w:r>
        <w:rPr>
          <w:rFonts w:ascii="Times New Roman" w:hAnsi="Times New Roman"/>
          <w:b/>
          <w:i w:val="0"/>
          <w:color w:val="1F3864"/>
          <w:sz w:val="24"/>
          <w:u w:val="none"/>
        </w:rPr>
        <w:t>New Central Rules</w:t>
      </w:r>
    </w:p>
    <w:p>
      <w:pPr>
        <w:spacing w:before="0" w:after="120" w:line="253" w:lineRule="exact"/>
        <w:jc w:val="both"/>
      </w:pPr>
      <w:r>
        <w:rPr>
          <w:rFonts w:ascii="Times New Roman" w:hAnsi="Times New Roman"/>
          <w:b w:val="0"/>
          <w:i w:val="0"/>
          <w:sz w:val="22"/>
          <w:u w:val="none"/>
        </w:rPr>
        <w:t>The Central Government has on 8 May 2026 notified rules (collectively, "Central Rules") under India's four Labour Codes (collectively, "Codes"):</w:t>
      </w:r>
    </w:p>
    <w:p>
      <w:pPr>
        <w:pStyle w:val="ListBullet"/>
        <w:spacing w:before="40" w:after="40" w:line="260" w:lineRule="exact"/>
        <w:ind w:left="504"/>
      </w:pPr>
      <w:r>
        <w:rPr>
          <w:rFonts w:ascii="Times New Roman" w:hAnsi="Times New Roman"/>
          <w:b w:val="0"/>
          <w:i w:val="0"/>
          <w:sz w:val="22"/>
          <w:u w:val="none"/>
        </w:rPr>
        <w:t>Code on Wages, 2019 ("Wage Code"): Code on Wages (Central) Rules, 2026 ("Wage Rules");</w:t>
      </w:r>
    </w:p>
    <w:p>
      <w:pPr>
        <w:pStyle w:val="ListBullet"/>
        <w:spacing w:before="40" w:after="40" w:line="260" w:lineRule="exact"/>
        <w:ind w:left="504"/>
      </w:pPr>
      <w:r>
        <w:rPr>
          <w:rFonts w:ascii="Times New Roman" w:hAnsi="Times New Roman"/>
          <w:b w:val="0"/>
          <w:i w:val="0"/>
          <w:sz w:val="22"/>
          <w:u w:val="none"/>
        </w:rPr>
        <w:t>Industrial Relations Code, 2020 ("IR Code"): Industrial Relations (Central) Rules, 2026 ("IR Rules");</w:t>
      </w:r>
    </w:p>
    <w:p>
      <w:pPr>
        <w:pStyle w:val="ListBullet"/>
        <w:spacing w:before="40" w:after="40" w:line="260" w:lineRule="exact"/>
        <w:ind w:left="504"/>
      </w:pPr>
      <w:r>
        <w:rPr>
          <w:rFonts w:ascii="Times New Roman" w:hAnsi="Times New Roman"/>
          <w:b w:val="0"/>
          <w:i w:val="0"/>
          <w:sz w:val="22"/>
          <w:u w:val="none"/>
        </w:rPr>
        <w:t>Code on Social Security, 2020 ("Social Security Code"): Code on Social Security (Central) Rules, 2026 ("Social Security Rules");</w:t>
      </w:r>
    </w:p>
    <w:p>
      <w:pPr>
        <w:pStyle w:val="ListBullet"/>
        <w:spacing w:before="40" w:after="40" w:line="260" w:lineRule="exact"/>
        <w:ind w:left="504"/>
      </w:pPr>
      <w:r>
        <w:rPr>
          <w:rFonts w:ascii="Times New Roman" w:hAnsi="Times New Roman"/>
          <w:b w:val="0"/>
          <w:i w:val="0"/>
          <w:sz w:val="22"/>
          <w:u w:val="none"/>
        </w:rPr>
        <w:t>The Occupational Safety, Health and Working Conditions Code, 2020 ("OSH Code"): Occupational Safety, Health and Working Conditions (Central) Rules, 2026 ("OSH Rules").</w:t>
      </w:r>
    </w:p>
    <w:p>
      <w:pPr>
        <w:spacing w:before="0" w:after="120" w:line="253" w:lineRule="exact"/>
        <w:jc w:val="both"/>
      </w:pPr>
      <w:r>
        <w:rPr>
          <w:rFonts w:ascii="Times New Roman" w:hAnsi="Times New Roman"/>
          <w:b w:val="0"/>
          <w:i w:val="0"/>
          <w:sz w:val="22"/>
          <w:u w:val="none"/>
        </w:rPr>
        <w:t>The Codes themselves were brought into force on 21 November 2025.</w:t>
      </w:r>
      <w:r>
        <w:rPr>
          <w:sz w:val="16"/>
          <w:vertAlign w:val="superscript"/>
        </w:rPr>
        <w:footnoteReference w:id="1"/>
      </w:r>
      <w:r>
        <w:rPr>
          <w:rFonts w:ascii="Times New Roman" w:hAnsi="Times New Roman"/>
          <w:b w:val="0"/>
          <w:i w:val="0"/>
          <w:sz w:val="22"/>
          <w:u w:val="none"/>
        </w:rPr>
        <w:t xml:space="preserve"> During the intervening period, the government had clarified that existing labour regulations, along with their rules, notifications, and schemes, would continue to remain in force, creating a transitional grey zone for employers.</w:t>
      </w:r>
    </w:p>
    <w:p>
      <w:pPr>
        <w:spacing w:before="240" w:after="80"/>
      </w:pPr>
      <w:r>
        <w:rPr>
          <w:rFonts w:ascii="Times New Roman" w:hAnsi="Times New Roman"/>
          <w:b/>
          <w:i w:val="0"/>
          <w:color w:val="1F3864"/>
          <w:sz w:val="24"/>
          <w:u w:val="none"/>
        </w:rPr>
        <w:t>Are the Codes now completely operationalised?</w:t>
      </w:r>
    </w:p>
    <w:p>
      <w:pPr>
        <w:spacing w:before="0" w:after="120" w:line="253" w:lineRule="exact"/>
        <w:jc w:val="both"/>
      </w:pPr>
      <w:r>
        <w:rPr>
          <w:rFonts w:ascii="Times New Roman" w:hAnsi="Times New Roman"/>
          <w:b w:val="0"/>
          <w:i w:val="0"/>
          <w:sz w:val="22"/>
          <w:u w:val="none"/>
        </w:rPr>
        <w:t>Since labour and employment laws are a concurrent subject under the Constitution of India, both the central government and state governments have the power to make laws in this regard. The Codes require both the Central Government and the respective State Governments to notify their own rules before the Codes can come into force for establishments within their jurisdiction.</w:t>
      </w:r>
    </w:p>
    <w:p>
      <w:pPr>
        <w:spacing w:before="0" w:after="120" w:line="253" w:lineRule="exact"/>
        <w:jc w:val="both"/>
      </w:pPr>
      <w:r>
        <w:rPr>
          <w:rFonts w:ascii="Times New Roman" w:hAnsi="Times New Roman"/>
          <w:b w:val="0"/>
          <w:i w:val="0"/>
          <w:sz w:val="22"/>
          <w:u w:val="none"/>
        </w:rPr>
        <w:t>The central rules mainly apply to central government bodies and public sector enterprises. Private enterprises are mainly governed by the state rules. As an exception, for companies with offices in more than one state, the Central Government would be the ‘appropriate government’ under the Social Security Code, and the Social Security Rules would apply.</w:t>
      </w:r>
    </w:p>
    <w:p>
      <w:pPr>
        <w:spacing w:before="0" w:after="120" w:line="253" w:lineRule="exact"/>
        <w:jc w:val="both"/>
      </w:pPr>
      <w:r>
        <w:rPr>
          <w:rFonts w:ascii="Times New Roman" w:hAnsi="Times New Roman"/>
          <w:b w:val="0"/>
          <w:i w:val="0"/>
          <w:sz w:val="22"/>
          <w:u w:val="none"/>
        </w:rPr>
        <w:t>Most State Governments are yet to notify state rules under the Codes. It is expected that state governments will adopt rules in the near future. Nevertheless, to the extent that the Central Rules inform and set the template for the State Rules that are expected to follow, this is a welcome and meaningful step towards implementation of the Codes.</w:t>
      </w:r>
    </w:p>
    <w:p>
      <w:pPr>
        <w:spacing w:before="240" w:after="80"/>
      </w:pPr>
      <w:r>
        <w:rPr>
          <w:rFonts w:ascii="Times New Roman" w:hAnsi="Times New Roman"/>
          <w:b/>
          <w:i w:val="0"/>
          <w:color w:val="1F3864"/>
          <w:sz w:val="24"/>
          <w:u w:val="none"/>
        </w:rPr>
        <w:t>What are the key takeaways?</w:t>
      </w:r>
    </w:p>
    <w:p>
      <w:pPr>
        <w:spacing w:before="0" w:after="120" w:line="253" w:lineRule="exact"/>
        <w:jc w:val="both"/>
      </w:pPr>
      <w:r>
        <w:rPr>
          <w:rFonts w:ascii="Times New Roman" w:hAnsi="Times New Roman"/>
          <w:b w:val="0"/>
          <w:i w:val="0"/>
          <w:sz w:val="22"/>
          <w:u w:val="none"/>
        </w:rPr>
        <w:t>The Rules are procedural and operational in character, implementing rather than amending the Codes. Since, for the most part the Codes themselves did not substantially alter the existing legal regulations for employment in India, the Central Rules also do not change day to day operations of the employer. For example, the thresholds (in terms of number of employees in an establishment, maximum wage thresholds etc.) for providing statutory benefits such as provident fund benefits (“EPF”), employee state insurance benefits (“ESIC”), gratuity have not changed. Similarly, for establishments (other than for factories) the retrenchment and lay off mechanism and thresholds has also remained the same.</w:t>
      </w:r>
    </w:p>
    <w:p>
      <w:pPr>
        <w:spacing w:before="0" w:after="120" w:line="253" w:lineRule="exact"/>
        <w:jc w:val="both"/>
      </w:pPr>
      <w:r>
        <w:rPr>
          <w:rFonts w:ascii="Times New Roman" w:hAnsi="Times New Roman"/>
          <w:b w:val="0"/>
          <w:i w:val="0"/>
          <w:sz w:val="22"/>
          <w:u w:val="none"/>
        </w:rPr>
        <w:t>Some key takeaways from the Central Rules are as follows:</w:t>
      </w:r>
    </w:p>
    <w:p>
      <w:pPr>
        <w:spacing w:before="200" w:after="80"/>
      </w:pPr>
      <w:r>
        <w:rPr>
          <w:rFonts w:ascii="Times New Roman" w:hAnsi="Times New Roman"/>
          <w:b/>
          <w:i w:val="0"/>
          <w:sz w:val="22"/>
          <w:u w:val="single"/>
        </w:rPr>
        <w:t>Wage Rules</w:t>
      </w:r>
    </w:p>
    <w:p>
      <w:pPr>
        <w:spacing w:before="0" w:after="120" w:line="253" w:lineRule="exact"/>
        <w:jc w:val="both"/>
      </w:pPr>
      <w:r>
        <w:rPr>
          <w:rFonts w:ascii="Times New Roman" w:hAnsi="Times New Roman"/>
          <w:b/>
          <w:i w:val="0"/>
          <w:sz w:val="22"/>
          <w:u w:val="none"/>
        </w:rPr>
        <w:t xml:space="preserve">50% Wage Rule: </w:t>
      </w:r>
      <w:r>
        <w:rPr>
          <w:rFonts w:ascii="Times New Roman" w:hAnsi="Times New Roman"/>
          <w:b w:val="0"/>
          <w:i w:val="0"/>
          <w:sz w:val="22"/>
          <w:u w:val="none"/>
        </w:rPr>
        <w:t>The new regime introduces a structural floor ensuring that at least 50% of an employee’s total compensation must qualify as ‘wages’, preventing employers from artificially suppressing the wage component through allowances and exclusions. The Ministry’s FAQs (March 2026) and the Wages Rules together clarify the inclusions and exclusions to ‘wage’ for the purposes of computing the 50% wage calculation, which we have captured in the below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D9D9D9"/>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i w:val="0"/>
                <w:sz w:val="20"/>
                <w:u w:val="none"/>
              </w:rPr>
              <w:t>Inclusions</w:t>
            </w:r>
          </w:p>
        </w:tc>
        <w:tc>
          <w:tcPr>
            <w:tcW w:type="dxa" w:w="4680"/>
            <w:shd w:val="clear" w:color="auto" w:fill="D9D9D9"/>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i w:val="0"/>
                <w:sz w:val="20"/>
                <w:u w:val="none"/>
              </w:rPr>
              <w:t>Exclusions</w:t>
            </w:r>
          </w:p>
        </w:tc>
      </w:tr>
      <w:tr>
        <w:tc>
          <w:tcPr>
            <w:tcW w:type="dxa" w:w="4680"/>
            <w:tcBorders>
              <w:top w:val="single" w:sz="4" w:space="0" w:color="000000"/>
              <w:left w:val="single" w:sz="4" w:space="0" w:color="000000"/>
              <w:bottom w:val="single" w:sz="4" w:space="0" w:color="000000"/>
              <w:right w:val="single" w:sz="4" w:space="0" w:color="000000"/>
            </w:tcBorders>
          </w:tcPr>
          <w:p>
            <w:pPr>
              <w:spacing w:before="20" w:after="20"/>
            </w:pPr>
            <w:r/>
            <w:r>
              <w:rPr>
                <w:rFonts w:ascii="Times New Roman" w:hAnsi="Times New Roman"/>
                <w:b w:val="0"/>
                <w:i w:val="0"/>
                <w:sz w:val="20"/>
                <w:u w:val="none"/>
              </w:rPr>
              <w:t>• Employer provident fund contributions</w:t>
            </w:r>
          </w:p>
          <w:p>
            <w:pPr>
              <w:spacing w:before="20" w:after="20"/>
            </w:pPr>
            <w:r>
              <w:rPr>
                <w:rFonts w:ascii="Times New Roman" w:hAnsi="Times New Roman"/>
                <w:b w:val="0"/>
                <w:i w:val="0"/>
                <w:sz w:val="20"/>
                <w:u w:val="none"/>
              </w:rPr>
              <w:t>• Employer pension contributions</w:t>
            </w:r>
          </w:p>
          <w:p>
            <w:pPr>
              <w:spacing w:before="20" w:after="20"/>
            </w:pPr>
            <w:r>
              <w:rPr>
                <w:rFonts w:ascii="Times New Roman" w:hAnsi="Times New Roman"/>
                <w:b w:val="0"/>
                <w:i w:val="0"/>
                <w:sz w:val="20"/>
                <w:u w:val="none"/>
              </w:rPr>
              <w:t>• Statutory bonus</w:t>
            </w:r>
          </w:p>
          <w:p>
            <w:pPr>
              <w:spacing w:before="20" w:after="20"/>
            </w:pPr>
            <w:r>
              <w:rPr>
                <w:rFonts w:ascii="Times New Roman" w:hAnsi="Times New Roman"/>
                <w:b w:val="0"/>
                <w:i w:val="0"/>
                <w:sz w:val="20"/>
                <w:u w:val="none"/>
              </w:rPr>
              <w:t>• In-kind benefits (food coupons, ration items, mobile recharge)</w:t>
            </w:r>
          </w:p>
        </w:tc>
        <w:tc>
          <w:tcPr>
            <w:tcW w:type="dxa" w:w="4680"/>
            <w:tcBorders>
              <w:top w:val="single" w:sz="4" w:space="0" w:color="000000"/>
              <w:left w:val="single" w:sz="4" w:space="0" w:color="000000"/>
              <w:bottom w:val="single" w:sz="4" w:space="0" w:color="000000"/>
              <w:right w:val="single" w:sz="4" w:space="0" w:color="000000"/>
            </w:tcBorders>
          </w:tcPr>
          <w:p>
            <w:pPr>
              <w:spacing w:before="20" w:after="20"/>
            </w:pPr>
            <w:r/>
            <w:r>
              <w:rPr>
                <w:rFonts w:ascii="Times New Roman" w:hAnsi="Times New Roman"/>
                <w:b w:val="0"/>
                <w:i w:val="0"/>
                <w:sz w:val="20"/>
                <w:u w:val="none"/>
              </w:rPr>
              <w:t>• Gratuity</w:t>
            </w:r>
          </w:p>
          <w:p>
            <w:pPr>
              <w:spacing w:before="20" w:after="20"/>
            </w:pPr>
            <w:r>
              <w:rPr>
                <w:rFonts w:ascii="Times New Roman" w:hAnsi="Times New Roman"/>
                <w:b w:val="0"/>
                <w:i w:val="0"/>
                <w:sz w:val="20"/>
                <w:u w:val="none"/>
              </w:rPr>
              <w:t>• Employee state insurance contributions</w:t>
            </w:r>
          </w:p>
          <w:p>
            <w:pPr>
              <w:spacing w:before="20" w:after="20"/>
            </w:pPr>
            <w:r>
              <w:rPr>
                <w:rFonts w:ascii="Times New Roman" w:hAnsi="Times New Roman"/>
                <w:b w:val="0"/>
                <w:i w:val="0"/>
                <w:sz w:val="20"/>
                <w:u w:val="none"/>
              </w:rPr>
              <w:t>• Retirement benefits</w:t>
            </w:r>
          </w:p>
          <w:p>
            <w:pPr>
              <w:spacing w:before="20" w:after="20"/>
            </w:pPr>
            <w:r>
              <w:rPr>
                <w:rFonts w:ascii="Times New Roman" w:hAnsi="Times New Roman"/>
                <w:b w:val="0"/>
                <w:i w:val="0"/>
                <w:sz w:val="20"/>
                <w:u w:val="none"/>
              </w:rPr>
              <w:t>• House rent allowance</w:t>
            </w:r>
          </w:p>
          <w:p>
            <w:pPr>
              <w:spacing w:before="20" w:after="20"/>
            </w:pPr>
            <w:r>
              <w:rPr>
                <w:rFonts w:ascii="Times New Roman" w:hAnsi="Times New Roman"/>
                <w:b w:val="0"/>
                <w:i w:val="0"/>
                <w:sz w:val="20"/>
                <w:u w:val="none"/>
              </w:rPr>
              <w:t>• Overtime allowance</w:t>
            </w:r>
          </w:p>
          <w:p>
            <w:pPr>
              <w:spacing w:before="20" w:after="20"/>
            </w:pPr>
            <w:r>
              <w:rPr>
                <w:rFonts w:ascii="Times New Roman" w:hAnsi="Times New Roman"/>
                <w:b w:val="0"/>
                <w:i w:val="0"/>
                <w:sz w:val="20"/>
                <w:u w:val="none"/>
              </w:rPr>
              <w:t>• Conveyance allowance</w:t>
            </w:r>
          </w:p>
        </w:tc>
      </w:tr>
    </w:tbl>
    <w:p/>
    <w:p>
      <w:pPr>
        <w:spacing w:before="200" w:after="80"/>
      </w:pPr>
      <w:r>
        <w:rPr>
          <w:rFonts w:ascii="Times New Roman" w:hAnsi="Times New Roman"/>
          <w:b/>
          <w:i w:val="0"/>
          <w:sz w:val="22"/>
          <w:u w:val="single"/>
        </w:rPr>
        <w:t>IR Rules</w:t>
      </w:r>
    </w:p>
    <w:p>
      <w:pPr>
        <w:spacing w:before="0" w:after="120" w:line="253" w:lineRule="exact"/>
        <w:jc w:val="both"/>
      </w:pPr>
      <w:r>
        <w:rPr>
          <w:rFonts w:ascii="Times New Roman" w:hAnsi="Times New Roman"/>
          <w:b/>
          <w:i w:val="0"/>
          <w:sz w:val="22"/>
          <w:u w:val="none"/>
        </w:rPr>
        <w:t xml:space="preserve">Worker Re-skilling Fund Operationalised: </w:t>
      </w:r>
      <w:r>
        <w:rPr>
          <w:rFonts w:ascii="Times New Roman" w:hAnsi="Times New Roman"/>
          <w:b w:val="0"/>
          <w:i w:val="0"/>
          <w:sz w:val="22"/>
          <w:u w:val="none"/>
        </w:rPr>
        <w:t>The IR Rules now clarify how employers are required to deposit funds in the Worker Re-skilling Fund (a social safety measure for retrenched workers). As context, under the IR Code employers are required to deposit 15 days’ last-drawn wages of every retrenched worker into the Worker Re-skilling Fund, maintained by a labour officer</w:t>
      </w:r>
      <w:r>
        <w:rPr>
          <w:sz w:val="16"/>
          <w:vertAlign w:val="superscript"/>
        </w:rPr>
        <w:footnoteReference w:id="2"/>
      </w:r>
      <w:r>
        <w:rPr>
          <w:rFonts w:ascii="Times New Roman" w:hAnsi="Times New Roman"/>
          <w:b w:val="0"/>
          <w:i w:val="0"/>
          <w:sz w:val="22"/>
          <w:u w:val="none"/>
        </w:rPr>
        <w:t>, within 10 days of retrenchment of the worker. This amount is then transferred by the relevant labour officer from the fund to the retrenched worker within 45 days of retrenchment to enable such retrenched worker to utilise that amount for re-skilling. The Central Government operationalised the Worker Re-skilling Fund by way of a separate notification on 8 May 2026.</w:t>
      </w:r>
    </w:p>
    <w:p>
      <w:pPr>
        <w:spacing w:before="0" w:after="120" w:line="253" w:lineRule="exact"/>
        <w:jc w:val="both"/>
      </w:pPr>
      <w:r>
        <w:rPr>
          <w:rFonts w:ascii="Times New Roman" w:hAnsi="Times New Roman"/>
          <w:b w:val="0"/>
          <w:i w:val="0"/>
          <w:sz w:val="22"/>
          <w:u w:val="none"/>
        </w:rPr>
        <w:t>Sector Specific Model Standing Orders: The Central Government has also separately notified Model Standing Orders for manufacturing, mining, and services sectors. The model standing orders are largely aligned with the model standing orders under the old regulations.</w:t>
      </w:r>
    </w:p>
    <w:p>
      <w:pPr>
        <w:spacing w:before="0" w:after="120" w:line="253" w:lineRule="exact"/>
        <w:jc w:val="both"/>
      </w:pPr>
      <w:r>
        <w:rPr>
          <w:rFonts w:ascii="Times New Roman" w:hAnsi="Times New Roman"/>
          <w:b/>
          <w:i w:val="0"/>
          <w:sz w:val="22"/>
          <w:u w:val="none"/>
        </w:rPr>
        <w:t xml:space="preserve">Grievance Redressal Committee (GRC): </w:t>
      </w:r>
      <w:r>
        <w:rPr>
          <w:rFonts w:ascii="Times New Roman" w:hAnsi="Times New Roman"/>
          <w:b w:val="0"/>
          <w:i w:val="0"/>
          <w:sz w:val="22"/>
          <w:u w:val="none"/>
        </w:rPr>
        <w:t>Every covered establishment</w:t>
      </w:r>
      <w:r>
        <w:rPr>
          <w:sz w:val="16"/>
          <w:vertAlign w:val="superscript"/>
        </w:rPr>
        <w:footnoteReference w:id="3"/>
      </w:r>
      <w:r>
        <w:rPr>
          <w:rFonts w:ascii="Times New Roman" w:hAnsi="Times New Roman"/>
          <w:b w:val="0"/>
          <w:i w:val="0"/>
          <w:sz w:val="22"/>
          <w:u w:val="none"/>
        </w:rPr>
        <w:t xml:space="preserve"> is now mandatorily required to constitute a GRC, with no opt-out for those with pre-existing internal mechanisms. The IR Rules further clarify the manner in which the GRCs are to be constituted, with equal employer-worker representation and mandatory women’s representation. Grievances may be filed electronically or by post within one year from the date on which the cause of action arose. Unresolved grievances escalate to Conciliation Officers, the list of officers appointed for mediating in and promoting the settlement of disputes for different areas was specified on the same date through a separate notification on 8 May 2026.</w:t>
      </w:r>
    </w:p>
    <w:p>
      <w:pPr>
        <w:spacing w:before="0" w:after="120" w:line="253" w:lineRule="exact"/>
        <w:jc w:val="both"/>
      </w:pPr>
      <w:r>
        <w:rPr>
          <w:rFonts w:ascii="Times New Roman" w:hAnsi="Times New Roman"/>
          <w:b w:val="0"/>
          <w:i w:val="0"/>
          <w:sz w:val="22"/>
          <w:u w:val="none"/>
        </w:rPr>
        <w:t>Arbitration: Under the previous regime, an industrial dispute between an employer and workman could be referred to arbitration by a written agreement, any time before it had been referred to a Labour Court/Tribunal. However, once proceedings had commenced before the Labour Court or Tribunal, the dispute could no longer be referred to arbitration. This pre-condition has now been removed, and a dispute can be referred to arbitration via a written arbitration agreement (in the prescribed format) at any stage.</w:t>
      </w:r>
    </w:p>
    <w:p>
      <w:pPr>
        <w:spacing w:before="200" w:after="80"/>
      </w:pPr>
      <w:r>
        <w:rPr>
          <w:rFonts w:ascii="Times New Roman" w:hAnsi="Times New Roman"/>
          <w:b/>
          <w:i w:val="0"/>
          <w:sz w:val="22"/>
          <w:u w:val="single"/>
        </w:rPr>
        <w:t>OSH Rules</w:t>
      </w:r>
    </w:p>
    <w:p>
      <w:pPr>
        <w:spacing w:before="0" w:after="120" w:line="253" w:lineRule="exact"/>
        <w:jc w:val="both"/>
      </w:pPr>
      <w:r>
        <w:rPr>
          <w:rFonts w:ascii="Times New Roman" w:hAnsi="Times New Roman"/>
          <w:b w:val="0"/>
          <w:i w:val="0"/>
          <w:sz w:val="22"/>
          <w:u w:val="none"/>
        </w:rPr>
        <w:t>Mandatory Appointment Letters: The OSH Rules prescribe the format of the appointment letter that employers are required to issue to all their employees. This includes details such as employee’s designation, category, details of wages, and details of applicable social security benefits, including EPF and ESIC entitlements, allowances, and the broad nature of duties. This was previously not mandatory in most states.</w:t>
      </w:r>
    </w:p>
    <w:p>
      <w:pPr>
        <w:spacing w:before="0" w:after="120" w:line="253" w:lineRule="exact"/>
        <w:jc w:val="both"/>
      </w:pPr>
      <w:r>
        <w:rPr>
          <w:rFonts w:ascii="Times New Roman" w:hAnsi="Times New Roman"/>
          <w:b/>
          <w:i w:val="0"/>
          <w:sz w:val="22"/>
          <w:u w:val="none"/>
        </w:rPr>
        <w:t xml:space="preserve">Easing Compliance: </w:t>
      </w:r>
      <w:r>
        <w:rPr>
          <w:rFonts w:ascii="Times New Roman" w:hAnsi="Times New Roman"/>
          <w:b w:val="0"/>
          <w:i w:val="0"/>
          <w:sz w:val="22"/>
          <w:u w:val="none"/>
        </w:rPr>
        <w:t>The Codes ease compliance requirements by introducing a single registration regime under the OSH framework, in place of multiple registrations previously required under the Factories Act, Contract Labour (Regulation and Abolition) Act, Inter-State Migrant Workmen Act, and other enactments. In addition, both the Codes and the Central Rules encourage a move towards electronic filings and electronic maintenance of unified registers, rather than numerous statute-specific paper registers and returns.</w:t>
      </w:r>
      <w:r>
        <w:rPr>
          <w:sz w:val="16"/>
          <w:vertAlign w:val="superscript"/>
        </w:rPr>
        <w:footnoteReference w:id="4"/>
      </w:r>
    </w:p>
    <w:p>
      <w:pPr>
        <w:spacing w:before="0" w:after="120" w:line="253" w:lineRule="exact"/>
        <w:jc w:val="both"/>
      </w:pPr>
      <w:r>
        <w:rPr>
          <w:rFonts w:ascii="Times New Roman" w:hAnsi="Times New Roman"/>
          <w:b w:val="0"/>
          <w:i w:val="0"/>
          <w:sz w:val="22"/>
          <w:u w:val="none"/>
        </w:rPr>
        <w:t>Women Workers: During the transition when the rules were not operational and the old rules had to be followed, there was some confusion amongst industries/factories on how to reconcile the new code, which permitted women workers to work in all establishments at all times, with the old rules which specifically prohibited women workers from working at night. The OSH Rules have now clarified that women workers may be employed during night hours (between 7 PM and 6 AM) with their consent and subject to safety measures prescribed under the rules.</w:t>
      </w:r>
    </w:p>
    <w:p>
      <w:pPr>
        <w:spacing w:before="200" w:after="80"/>
      </w:pPr>
      <w:r>
        <w:rPr>
          <w:rFonts w:ascii="Times New Roman" w:hAnsi="Times New Roman"/>
          <w:b/>
          <w:i w:val="0"/>
          <w:sz w:val="22"/>
          <w:u w:val="single"/>
        </w:rPr>
        <w:t>Social Security Rules</w:t>
      </w:r>
    </w:p>
    <w:p>
      <w:pPr>
        <w:spacing w:before="0" w:after="120" w:line="253" w:lineRule="exact"/>
        <w:jc w:val="both"/>
      </w:pPr>
      <w:r>
        <w:rPr>
          <w:rFonts w:ascii="Times New Roman" w:hAnsi="Times New Roman"/>
          <w:b w:val="0"/>
          <w:i w:val="0"/>
          <w:sz w:val="22"/>
          <w:u w:val="none"/>
        </w:rPr>
        <w:t>Expanding statutory protection: The Social Security Code expands social security benefits to gig workers and platform workers. Further, the Social Security Rules has expanded the role of the National Social Security Board, to design and implement dedicated schemes for gig and platform workers under the Social Security Code (funded largely by mandatory contributions from aggregators). The NSSB will be composed of representatives of aggregators, gig and platform workers, ESIC and EPF, expert members and state representatives.</w:t>
      </w:r>
    </w:p>
    <w:p>
      <w:pPr>
        <w:spacing w:before="0" w:after="120" w:line="253" w:lineRule="exact"/>
        <w:jc w:val="both"/>
      </w:pPr>
      <w:r>
        <w:rPr>
          <w:rFonts w:ascii="Times New Roman" w:hAnsi="Times New Roman"/>
          <w:b w:val="0"/>
          <w:i w:val="0"/>
          <w:sz w:val="22"/>
          <w:u w:val="none"/>
        </w:rPr>
        <w:t>Maternity Benefits: Under the Social Security Rules, the certification process for availing maternity benefits has been made more accessible by allowing certification from a wider range of healthcare providers, including ASHA workers and auxiliary nurses, in addition to doctors and midwives.</w:t>
      </w:r>
    </w:p>
    <w:p>
      <w:pPr>
        <w:spacing w:before="240" w:after="80"/>
      </w:pPr>
      <w:r>
        <w:rPr>
          <w:rFonts w:ascii="Times New Roman" w:hAnsi="Times New Roman"/>
          <w:b/>
          <w:i w:val="0"/>
          <w:color w:val="1F3864"/>
          <w:sz w:val="24"/>
          <w:u w:val="none"/>
        </w:rPr>
        <w:t>Do we still need clarity on certain points?</w:t>
      </w:r>
    </w:p>
    <w:p>
      <w:pPr>
        <w:spacing w:before="0" w:after="120" w:line="253" w:lineRule="exact"/>
        <w:jc w:val="both"/>
      </w:pPr>
      <w:r>
        <w:rPr>
          <w:rFonts w:ascii="Times New Roman" w:hAnsi="Times New Roman"/>
          <w:b w:val="0"/>
          <w:i w:val="0"/>
          <w:sz w:val="22"/>
          <w:u w:val="none"/>
        </w:rPr>
        <w:t>While the Central Rules along with FAQs released by the Central Government from time to time provide clarity on most provisions in the Codes, certain areas remain works in progress. For example, Contribution rates and manner of such contribution for gig worker social security under the Social Security Code are yet to be prescribed. Likewise, while the OSH Code defines ‘core activities’ broadly for the purpose of regulating contract labour engagement, particularly in services, manufacturing, and IT sectors where significant contract workforce deployments are common, the rules themselves do not provide detailed guidance on what would constitute a core activity in practice.</w:t>
      </w:r>
    </w:p>
    <w:p>
      <w:r>
        <w:br w:type="page"/>
      </w:r>
    </w:p>
    <w:p>
      <w:pPr>
        <w:spacing w:after="80"/>
        <w:jc w:val="center"/>
      </w:pPr>
      <w:r>
        <w:rPr>
          <w:rFonts w:ascii="Times New Roman" w:hAnsi="Times New Roman"/>
          <w:b/>
          <w:i w:val="0"/>
          <w:color w:val="1F3864"/>
          <w:sz w:val="26"/>
          <w:u w:val="none"/>
        </w:rPr>
        <w:t>SCHEDULE 1</w:t>
      </w:r>
    </w:p>
    <w:p>
      <w:pPr>
        <w:spacing w:after="200"/>
        <w:jc w:val="center"/>
      </w:pPr>
      <w:r>
        <w:rPr>
          <w:rFonts w:ascii="Times New Roman" w:hAnsi="Times New Roman"/>
          <w:b/>
          <w:i w:val="0"/>
          <w:sz w:val="24"/>
          <w:u w:val="none"/>
        </w:rPr>
        <w:t>Status of State Rules under the Codes in Key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val="clear" w:color="auto" w:fill="1F3864"/>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i w:val="0"/>
                <w:color w:val="FFFFFF"/>
                <w:sz w:val="20"/>
                <w:u w:val="none"/>
              </w:rPr>
              <w:t>State / UT</w:t>
            </w:r>
          </w:p>
        </w:tc>
        <w:tc>
          <w:tcPr>
            <w:tcW w:type="dxa" w:w="1728"/>
            <w:shd w:val="clear" w:color="auto" w:fill="1F3864"/>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i w:val="0"/>
                <w:color w:val="FFFFFF"/>
                <w:sz w:val="20"/>
                <w:u w:val="none"/>
              </w:rPr>
              <w:t>Wage Code</w:t>
            </w:r>
          </w:p>
        </w:tc>
        <w:tc>
          <w:tcPr>
            <w:tcW w:type="dxa" w:w="2448"/>
            <w:shd w:val="clear" w:color="auto" w:fill="1F3864"/>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i w:val="0"/>
                <w:color w:val="FFFFFF"/>
                <w:sz w:val="20"/>
                <w:u w:val="none"/>
              </w:rPr>
              <w:t>Social Security Code</w:t>
            </w:r>
          </w:p>
        </w:tc>
        <w:tc>
          <w:tcPr>
            <w:tcW w:type="dxa" w:w="1728"/>
            <w:shd w:val="clear" w:color="auto" w:fill="1F3864"/>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i w:val="0"/>
                <w:color w:val="FFFFFF"/>
                <w:sz w:val="20"/>
                <w:u w:val="none"/>
              </w:rPr>
              <w:t>IR Code</w:t>
            </w:r>
          </w:p>
        </w:tc>
        <w:tc>
          <w:tcPr>
            <w:tcW w:type="dxa" w:w="1872"/>
            <w:shd w:val="clear" w:color="auto" w:fill="1F3864"/>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i w:val="0"/>
                <w:color w:val="FFFFFF"/>
                <w:sz w:val="20"/>
                <w:u w:val="none"/>
              </w:rPr>
              <w:t>OSHWC Code</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Karnataka</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244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Delhi</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244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Maharashtra</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244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Haryana</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244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Draft rules only</w:t>
            </w:r>
          </w:p>
        </w:tc>
      </w:tr>
      <w:tr>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Gujarat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Notified</w:t>
            </w:r>
          </w:p>
        </w:tc>
        <w:tc>
          <w:tcPr>
            <w:tcW w:type="dxa" w:w="244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Notified</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Notified</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
              <w:rPr>
                <w:rFonts w:ascii="Times New Roman" w:hAnsi="Times New Roman"/>
                <w:b w:val="0"/>
                <w:i w:val="0"/>
                <w:sz w:val="20"/>
                <w:u w:val="none"/>
              </w:rPr>
              <w:t>Notified</w:t>
            </w:r>
          </w:p>
        </w:tc>
      </w:tr>
    </w:tbl>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404040"/>
        <w:sz w:val="18"/>
        <w:u w:val="none"/>
      </w:rPr>
      <w:t>This update is for information purposes only. For further insights please reach out to contact@appartners.in</w:t>
    </w:r>
  </w:p>
</w:ftr>
</file>

<file path=word/footnotes.xml><?xml version="1.0" encoding="utf-8"?>
<w:footnotes xmlns:r="http://schemas.openxmlformats.org/officeDocument/2006/relationship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rPr>
          <w:sz w:val="18"/>
          <w:szCs w:val="18"/>
        </w:rPr>
        <w:t xml:space="preserve"> Ministry of Labour &amp; Employment, Press Note on Transitional Arrangements (Nov. 22, 2025) (India); see also Additional FAQs on Labour Codes (Mar. 16, 2026) (India)</w:t>
      </w:r>
    </w:p>
  </w:footnote>
  <w:footnote w:id="2">
    <w:p>
      <w:pPr>
        <w:pStyle w:val="FootnoteText"/>
      </w:pPr>
      <w:r>
        <w:rPr>
          <w:rStyle w:val="FootnoteReference"/>
        </w:rPr>
        <w:footnoteRef/>
      </w:r>
      <w:r>
        <w:rPr>
          <w:sz w:val="18"/>
          <w:szCs w:val="18"/>
        </w:rPr>
        <w:t xml:space="preserve"> The Worker Re-skilling Fund is required to be maintained by the Chief Labour Commissioner (Central) or the office of the Deputy Chief Labour Commissioner (Central) or the office of the Regional Labour Commissioner (Central) or the office of the Assistant Labour Commissioner (Central)</w:t>
      </w:r>
    </w:p>
  </w:footnote>
  <w:footnote w:id="3">
    <w:p>
      <w:pPr>
        <w:pStyle w:val="FootnoteText"/>
      </w:pPr>
      <w:r>
        <w:rPr>
          <w:rStyle w:val="FootnoteReference"/>
        </w:rPr>
        <w:footnoteRef/>
      </w:r>
      <w:r>
        <w:rPr>
          <w:sz w:val="18"/>
          <w:szCs w:val="18"/>
        </w:rPr>
        <w:t xml:space="preserve"> Covered establishment means any industrial establishment with twenty or more workers</w:t>
      </w:r>
    </w:p>
  </w:footnote>
  <w:footnote w:id="4">
    <w:p>
      <w:pPr>
        <w:pStyle w:val="FootnoteText"/>
      </w:pPr>
      <w:r>
        <w:rPr>
          <w:rStyle w:val="FootnoteReference"/>
        </w:rPr>
        <w:footnoteRef/>
      </w:r>
      <w:r>
        <w:rPr>
          <w:sz w:val="18"/>
          <w:szCs w:val="18"/>
        </w:rPr>
        <w:t xml:space="preserve"> Electronic registration can now be done on the Shram Suvidha Portal.</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