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Open Sans" w:cs="Open Sans" w:eastAsia="Open Sans" w:hAnsi="Open Sans"/>
          <w:sz w:val="36"/>
          <w:szCs w:val="36"/>
        </w:rPr>
      </w:pPr>
      <w:r w:rsidDel="00000000" w:rsidR="00000000" w:rsidRPr="00000000">
        <w:drawing>
          <wp:inline distB="114300" distT="114300" distL="114300" distR="114300">
            <wp:extent cx="5731200" cy="1447800"/>
            <wp:effectExtent b="0" l="0" r="0" t="0"/>
            <wp:docPr descr="OCIC17-header.jpg" id="1" name="image2.jpg"/>
            <a:graphic>
              <a:graphicData uri="http://schemas.openxmlformats.org/drawingml/2006/picture">
                <pic:pic>
                  <pic:nvPicPr>
                    <pic:cNvPr descr="OCIC17-header.jpg" id="0" name="image2.jpg"/>
                    <pic:cNvPicPr preferRelativeResize="0"/>
                  </pic:nvPicPr>
                  <pic:blipFill>
                    <a:blip r:embed="rId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jc w:val="center"/>
        <w:rPr>
          <w:rFonts w:ascii="Open Sans" w:cs="Open Sans" w:eastAsia="Open Sans" w:hAnsi="Open Sans"/>
          <w:b w:val="1"/>
          <w:sz w:val="36"/>
          <w:szCs w:val="36"/>
        </w:rPr>
      </w:pPr>
      <w:bookmarkStart w:colFirst="0" w:colLast="0" w:name="_oxy99c2le95o" w:id="0"/>
      <w:bookmarkEnd w:id="0"/>
      <w:r w:rsidDel="00000000" w:rsidR="00000000" w:rsidRPr="00000000">
        <w:rPr>
          <w:rFonts w:ascii="Open Sans" w:cs="Open Sans" w:eastAsia="Open Sans" w:hAnsi="Open Sans"/>
          <w:b w:val="1"/>
          <w:sz w:val="36"/>
          <w:szCs w:val="36"/>
          <w:rtl w:val="0"/>
        </w:rPr>
        <w:t xml:space="preserve">Eligibility Criteria</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sz w:val="28"/>
          <w:szCs w:val="28"/>
          <w:rtl w:val="0"/>
        </w:rPr>
        <w:t xml:space="preserve">The criteria below set out who can enter the Open Contracting Innovation Challenge and what ideas will be accepted.</w:t>
      </w:r>
      <w:r w:rsidDel="00000000" w:rsidR="00000000" w:rsidRPr="00000000">
        <w:rPr>
          <w:rFonts w:ascii="Open Sans" w:cs="Open Sans" w:eastAsia="Open Sans" w:hAnsi="Open Sans"/>
          <w:sz w:val="32"/>
          <w:szCs w:val="32"/>
          <w:rtl w:val="0"/>
        </w:rPr>
        <w:br w:type="textWrapping"/>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b w:val="1"/>
          <w:color w:val="333333"/>
          <w:sz w:val="24"/>
          <w:szCs w:val="24"/>
          <w:highlight w:val="white"/>
          <w:rtl w:val="0"/>
        </w:rPr>
        <w:t xml:space="preserve">Open to all</w:t>
      </w:r>
      <w:r w:rsidDel="00000000" w:rsidR="00000000" w:rsidRPr="00000000">
        <w:rPr>
          <w:rFonts w:ascii="Open Sans" w:cs="Open Sans" w:eastAsia="Open Sans" w:hAnsi="Open Sans"/>
          <w:color w:val="333333"/>
          <w:sz w:val="24"/>
          <w:szCs w:val="24"/>
          <w:highlight w:val="white"/>
          <w:rtl w:val="0"/>
        </w:rPr>
        <w:t xml:space="preserve"> </w:t>
      </w:r>
      <w:r w:rsidDel="00000000" w:rsidR="00000000" w:rsidRPr="00000000">
        <w:rPr>
          <w:rFonts w:ascii="Open Sans" w:cs="Open Sans" w:eastAsia="Open Sans" w:hAnsi="Open Sans"/>
          <w:color w:val="333333"/>
          <w:sz w:val="24"/>
          <w:szCs w:val="24"/>
          <w:highlight w:val="white"/>
          <w:rtl w:val="0"/>
        </w:rPr>
        <w:t xml:space="preserve">–</w:t>
      </w:r>
      <w:r w:rsidDel="00000000" w:rsidR="00000000" w:rsidRPr="00000000">
        <w:rPr>
          <w:rFonts w:ascii="Open Sans" w:cs="Open Sans" w:eastAsia="Open Sans" w:hAnsi="Open Sans"/>
          <w:color w:val="333333"/>
          <w:sz w:val="24"/>
          <w:szCs w:val="24"/>
          <w:highlight w:val="white"/>
          <w:rtl w:val="0"/>
        </w:rPr>
        <w:t xml:space="preserve"> We are open to solutions from individuals, groups, organizations and companies globally that do not already receive grant funding from the Open Contracting Partnership or the Open Data Institute. We are open to applications from all sources and sectors.</w:t>
        <w:br w:type="textWrapping"/>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Willingness to share learning</w:t>
      </w:r>
      <w:r w:rsidDel="00000000" w:rsidR="00000000" w:rsidRPr="00000000">
        <w:rPr>
          <w:rFonts w:ascii="Open Sans" w:cs="Open Sans" w:eastAsia="Open Sans" w:hAnsi="Open Sans"/>
          <w:color w:val="333333"/>
          <w:sz w:val="24"/>
          <w:szCs w:val="24"/>
          <w:highlight w:val="white"/>
          <w:rtl w:val="0"/>
        </w:rPr>
        <w:t xml:space="preserve">– All entrants need to demonstrate a willingness to share their experiences and learning to help establish a body of knowledge that can bring about a sustained change in the use of data to improve public procurement. A summary of each application will be made public to help generate discussion about each Challenge. We will also share progress and results stories from each project.</w:t>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Capacity to deliver</w:t>
      </w:r>
      <w:r w:rsidDel="00000000" w:rsidR="00000000" w:rsidRPr="00000000">
        <w:rPr>
          <w:rFonts w:ascii="Open Sans" w:cs="Open Sans" w:eastAsia="Open Sans" w:hAnsi="Open Sans"/>
          <w:color w:val="333333"/>
          <w:sz w:val="24"/>
          <w:szCs w:val="24"/>
          <w:highlight w:val="white"/>
          <w:rtl w:val="0"/>
        </w:rPr>
        <w:t xml:space="preserve"> – Entrants need to ensure that they have the capacity to quickly develop, or begin implementing their project or solution; and the capacity to work with procurement and contracting datasets.</w:t>
      </w:r>
    </w:p>
    <w:p w:rsidR="00000000" w:rsidDel="00000000" w:rsidP="00000000" w:rsidRDefault="00000000" w:rsidRPr="00000000">
      <w:pPr>
        <w:pBdr/>
        <w:contextualSpacing w:val="0"/>
        <w:rPr>
          <w:rFonts w:ascii="Open Sans" w:cs="Open Sans" w:eastAsia="Open Sans" w:hAnsi="Open Sans"/>
          <w:b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Intellectual Property</w:t>
      </w:r>
      <w:r w:rsidDel="00000000" w:rsidR="00000000" w:rsidRPr="00000000">
        <w:rPr>
          <w:rFonts w:ascii="Open Sans" w:cs="Open Sans" w:eastAsia="Open Sans" w:hAnsi="Open Sans"/>
          <w:color w:val="333333"/>
          <w:sz w:val="24"/>
          <w:szCs w:val="24"/>
          <w:highlight w:val="white"/>
          <w:rtl w:val="0"/>
        </w:rPr>
        <w:t xml:space="preserve"> – Any intellectual property in the submission must belong to the applicant. Applicants will retain the intellectual property rights to their entry to the Prize. Such Intellectual Property must be clearly marked as proprietary. It is the </w:t>
      </w:r>
      <w:r w:rsidDel="00000000" w:rsidR="00000000" w:rsidRPr="00000000">
        <w:rPr>
          <w:rFonts w:ascii="Open Sans" w:cs="Open Sans" w:eastAsia="Open Sans" w:hAnsi="Open Sans"/>
          <w:color w:val="333333"/>
          <w:sz w:val="24"/>
          <w:szCs w:val="24"/>
          <w:highlight w:val="white"/>
          <w:rtl w:val="0"/>
        </w:rPr>
        <w:t xml:space="preserve">a</w:t>
      </w:r>
      <w:r w:rsidDel="00000000" w:rsidR="00000000" w:rsidRPr="00000000">
        <w:rPr>
          <w:rFonts w:ascii="Open Sans" w:cs="Open Sans" w:eastAsia="Open Sans" w:hAnsi="Open Sans"/>
          <w:color w:val="333333"/>
          <w:sz w:val="24"/>
          <w:szCs w:val="24"/>
          <w:highlight w:val="white"/>
          <w:rtl w:val="0"/>
        </w:rPr>
        <w:t xml:space="preserve">pplicant’s responsibility to ensure that they are not infringing on the Intellectual Property of others.</w:t>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Incomplete Entries</w:t>
      </w:r>
      <w:r w:rsidDel="00000000" w:rsidR="00000000" w:rsidRPr="00000000">
        <w:rPr>
          <w:rFonts w:ascii="Open Sans" w:cs="Open Sans" w:eastAsia="Open Sans" w:hAnsi="Open Sans"/>
          <w:color w:val="333333"/>
          <w:sz w:val="24"/>
          <w:szCs w:val="24"/>
          <w:highlight w:val="white"/>
          <w:rtl w:val="0"/>
        </w:rPr>
        <w:t xml:space="preserve"> – Entries will not be assessed if all required fields have not been completed. This applies to any stage of submission for the Prize and also relates to missing documentation that may have been requested.</w:t>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b w:val="1"/>
          <w:color w:val="333333"/>
          <w:sz w:val="24"/>
          <w:szCs w:val="24"/>
          <w:highlight w:val="white"/>
          <w:rtl w:val="0"/>
        </w:rPr>
        <w:t xml:space="preserve">Responsibility Determination</w:t>
      </w:r>
      <w:r w:rsidDel="00000000" w:rsidR="00000000" w:rsidRPr="00000000">
        <w:rPr>
          <w:rFonts w:ascii="Open Sans" w:cs="Open Sans" w:eastAsia="Open Sans" w:hAnsi="Open Sans"/>
          <w:color w:val="333333"/>
          <w:sz w:val="24"/>
          <w:szCs w:val="24"/>
          <w:highlight w:val="white"/>
          <w:rtl w:val="0"/>
        </w:rPr>
        <w:t xml:space="preserve"> – We will conduct a responsibility determination prior to award, to ensure that award to the organization meets applicable U.S. laws.</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Over 18 -</w:t>
      </w:r>
      <w:r w:rsidDel="00000000" w:rsidR="00000000" w:rsidRPr="00000000">
        <w:rPr>
          <w:rFonts w:ascii="Open Sans" w:cs="Open Sans" w:eastAsia="Open Sans" w:hAnsi="Open Sans"/>
          <w:color w:val="333333"/>
          <w:sz w:val="24"/>
          <w:szCs w:val="24"/>
          <w:highlight w:val="white"/>
          <w:rtl w:val="0"/>
        </w:rPr>
        <w:t xml:space="preserve"> Individuals need to be 18 or over in order to take part in any of the Challenges. </w:t>
      </w:r>
      <w:r w:rsidDel="00000000" w:rsidR="00000000" w:rsidRPr="00000000">
        <w:rPr>
          <w:rFonts w:ascii="Open Sans" w:cs="Open Sans" w:eastAsia="Open Sans" w:hAnsi="Open Sans"/>
          <w:color w:val="333333"/>
          <w:sz w:val="24"/>
          <w:szCs w:val="24"/>
          <w:highlight w:val="white"/>
          <w:rtl w:val="0"/>
        </w:rPr>
        <w:t xml:space="preserve">Groups and organisations do not have to be legally constituted to enter.</w:t>
      </w:r>
      <w:r w:rsidDel="00000000" w:rsidR="00000000" w:rsidRPr="00000000">
        <w:rPr>
          <w:rFonts w:ascii="Open Sans" w:cs="Open Sans" w:eastAsia="Open Sans" w:hAnsi="Open Sans"/>
          <w:color w:val="333333"/>
          <w:sz w:val="24"/>
          <w:szCs w:val="24"/>
          <w:highlight w:val="white"/>
          <w:rtl w:val="0"/>
        </w:rPr>
        <w:t xml:space="preserve"> </w:t>
      </w:r>
    </w:p>
    <w:p w:rsidR="00000000" w:rsidDel="00000000" w:rsidP="00000000" w:rsidRDefault="00000000" w:rsidRPr="00000000">
      <w:pPr>
        <w:pBdr/>
        <w:contextualSpacing w:val="0"/>
        <w:rPr>
          <w:rFonts w:ascii="Open Sans" w:cs="Open Sans" w:eastAsia="Open Sans" w:hAnsi="Open Sans"/>
          <w:b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Cannot fund party-political activity </w:t>
      </w:r>
      <w:r w:rsidDel="00000000" w:rsidR="00000000" w:rsidRPr="00000000">
        <w:rPr>
          <w:rFonts w:ascii="Open Sans" w:cs="Open Sans" w:eastAsia="Open Sans" w:hAnsi="Open Sans"/>
          <w:color w:val="333333"/>
          <w:sz w:val="24"/>
          <w:szCs w:val="24"/>
          <w:highlight w:val="white"/>
          <w:rtl w:val="0"/>
        </w:rPr>
        <w:t xml:space="preserve">- We cannot fund activity which is party-political in intention, use, or presentation nor to support or promote religious activity. Funding cannot be used to carry on propaganda, influence legislation, fund any political campaign, influence the outcome of any election, carry on any voter registration drives, or violate any applicable local, state, federal or foreign law.</w:t>
        <w:br w:type="textWrapping"/>
      </w:r>
    </w:p>
    <w:p w:rsidR="00000000" w:rsidDel="00000000" w:rsidP="00000000" w:rsidRDefault="00000000" w:rsidRPr="00000000">
      <w:pPr>
        <w:pBdr/>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b w:val="1"/>
          <w:sz w:val="24"/>
          <w:szCs w:val="24"/>
          <w:rtl w:val="0"/>
        </w:rPr>
        <w:t xml:space="preserve">Prize funding - </w:t>
      </w:r>
      <w:r w:rsidDel="00000000" w:rsidR="00000000" w:rsidRPr="00000000">
        <w:rPr>
          <w:rFonts w:ascii="Open Sans" w:cs="Open Sans" w:eastAsia="Open Sans" w:hAnsi="Open Sans"/>
          <w:sz w:val="24"/>
          <w:szCs w:val="24"/>
          <w:rtl w:val="0"/>
        </w:rPr>
        <w:t xml:space="preserve">Prize funding</w:t>
      </w:r>
      <w:r w:rsidDel="00000000" w:rsidR="00000000" w:rsidRPr="00000000">
        <w:rPr>
          <w:rFonts w:ascii="Open Sans" w:cs="Open Sans" w:eastAsia="Open Sans" w:hAnsi="Open Sans"/>
          <w:sz w:val="24"/>
          <w:szCs w:val="24"/>
          <w:rtl w:val="0"/>
        </w:rPr>
        <w:t xml:space="preserve"> will only be awarded for projects that have an identifiable public benefit related to the aims of the Open Contracting Innovation Challenge and where any private benefit to individuals, companies or shareholders is incidental and not excessive. Winners of the Government Innovation Prize are not eligible for but receive mentorship to develop and execute their idea.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