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Центр поддержки цифровых инноваций </w:t>
      </w:r>
    </w:p>
    <w:p>
      <w:pPr>
        <w:pStyle w:val="Normal"/>
        <w:ind w:left="360" w:hanging="0"/>
        <w:jc w:val="center"/>
        <w:rPr>
          <w:sz w:val="32"/>
          <w:szCs w:val="32"/>
        </w:rPr>
      </w:pPr>
      <w:r>
        <w:rPr>
          <w:sz w:val="28"/>
          <w:szCs w:val="28"/>
        </w:rPr>
        <w:t>"Промышленный интернет вещей"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Миссия центра - содействие инновационному развитию основных секторов промышленности Украины, путем создания и/или продвижения инновационных цифровых продуктов и сервисов.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Потребности рынка</w:t>
      </w:r>
    </w:p>
    <w:p>
      <w:pPr>
        <w:pStyle w:val="Normal"/>
        <w:ind w:left="0" w:firstLine="708"/>
        <w:jc w:val="both"/>
        <w:rPr/>
      </w:pPr>
      <w:r>
        <w:rPr/>
        <w:t xml:space="preserve">На сегодняшний день в Украине не существует центров, играющих роль координаторов между участниками рынка услуг по цифровой трансформации промышленных предприятий. Существующие организации поддержки инноваций сфокусированы в основной мере на выводе новых инновационных продуктов на мировой рынок, поддержке и содействию участникам этого процесса.  Доля инновационных решений, предлагаемых внутреннему рынку Украины невелика, среди них часть, направленная на клиентов - крупные предприятия Украины - исчезающе мала. Вследствие этого инвестиционный портфель промышленных предприятий Украины как правило содержит крайне небольшую долю проектов, внедрение которых подразумевает переход в формат цифровой экономики если не всего предприятия, то хотя бы объекта инвестиций.  Готовность к цифровой трансформации и уровень цифровизации предприятия становятся одним из ключевых факторов, влияющих на эффективность инвестиций и сдерживающих их привлечение в промышленность Украины. Уровень применения цифровых технологий является маркером современности предприятия, и цифровизация становится необходимым условием привлечения инвестиций. В поисках решений большинство крупных предприятий традиционно сотрудничает с представителями крупных международных технологических брендов и производителей. Они, в свою очередь также находятся на определенной стадии цифровизации и уровень их предложения в лучшем случае соответствует, но, как правило, отстает от уровня их собственной внутренней цифровой зрелости. Являясь крупными международными компаниями, им достаточно непросто поддерживать уровень гибкости, требуемый революционным характером перехода к цифровой экономике.  Таким образом - малые и средние предприятия гораздо быстрее и качественней проходят процедуры цифровой трансформации внутри, и могут предложить услуги и продукты для цифровой экономики, более высокого уровня инновационности и степени цифровизации. Однако в силу разницы масштабов взаимодействие между инновационными МСП и крупными промышленниками сопряжено с рядом рисков финансового характера и вопросами обеспечения долгосрочной стабильности и комплексности предложения.  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Функции, направления работы:</w:t>
      </w:r>
    </w:p>
    <w:p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Обеспечение деятельности центра компетенций по вопросам цифровой трансформации крупных промышленных предприятий</w:t>
      </w:r>
    </w:p>
    <w:p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Обеспечение поддержки МСП в процессе внутренней цифровой трансформации их деятельности</w:t>
      </w:r>
    </w:p>
    <w:p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Обеспечение поддержки МСП в процессе предложения их услуг и продуктов  цифрового характера крупным промышленным предприятиям</w:t>
      </w:r>
    </w:p>
    <w:p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Обеспечение поддержки МСП в процессе разработки новых видов продукции и услуг цифрового характера</w:t>
      </w:r>
    </w:p>
    <w:p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Координация R&amp;D деятельности участников - исключение пересечений, кооперация.</w:t>
      </w:r>
    </w:p>
    <w:p>
      <w:pPr>
        <w:pStyle w:val="Normal"/>
        <w:ind w:left="708" w:hanging="0"/>
        <w:rPr/>
      </w:pPr>
      <w:r>
        <w:rPr/>
        <w:t>Границы деятельности центра - в сферу активностей центра не входит:</w:t>
      </w:r>
    </w:p>
    <w:p>
      <w:pPr>
        <w:pStyle w:val="Normal"/>
        <w:ind w:left="708" w:hanging="0"/>
        <w:jc w:val="both"/>
        <w:rPr/>
      </w:pPr>
      <w:r>
        <w:rPr/>
        <w:t xml:space="preserve">         </w:t>
      </w:r>
      <w:r>
        <w:rPr/>
        <w:t>-  поддержка "стартапов".  Деятельность центра сосредоточена на поддержке МСП, существующих на рынке, а не создание новых. Процессы цифровой трансформации действующего предприятия, в том числе и разработка новых цифровых видов продукции, носят иной характер чем при создании нового инновационного продукта и выводе его на глобальный рынок. Необходимость обеспечения долгосрочной стабильности решений для крупных промышленных предприятий также препятствует  формату "стартап" и вероятностно-посевной венчурной модели инвестирования.</w:t>
      </w:r>
    </w:p>
    <w:p>
      <w:pPr>
        <w:pStyle w:val="Normal"/>
        <w:ind w:left="708" w:hanging="0"/>
        <w:jc w:val="both"/>
        <w:rPr/>
      </w:pPr>
      <w:r>
        <w:rPr/>
        <w:t xml:space="preserve">         </w:t>
      </w:r>
      <w:r>
        <w:rPr/>
        <w:t>-  поддержка продуктов и МСП, не ориентированных на промышленный сектор, т.е. решения и продукты для индивидуального использования и другие.  Продукты и услуги не индустриальной направленности не соответствуют миссии центра  и не имеют отношения к рыночной проблеме, которую он призван решить.</w:t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Начальный состав - партнеры и стейкхолдеры:</w:t>
      </w:r>
    </w:p>
    <w:p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Крупные индустриальные предприятия - конечные заказчики из секторов:</w:t>
      </w:r>
    </w:p>
    <w:p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Горно-металлургическая отрасль</w:t>
      </w:r>
    </w:p>
    <w:p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Агросектор и пищевая промышленность</w:t>
      </w:r>
    </w:p>
    <w:p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Энергетика</w:t>
      </w:r>
    </w:p>
    <w:p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Транспорт и логистика</w:t>
      </w:r>
    </w:p>
    <w:p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Машиностроение</w:t>
      </w:r>
    </w:p>
    <w:p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Химическая, фармакологическая промышленность.</w:t>
      </w:r>
    </w:p>
    <w:p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Малый и средний бизнес, направленный на крупных индустриальных клиентов</w:t>
      </w:r>
    </w:p>
    <w:p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Прямые услуги  и сервис в области продуктов </w:t>
      </w:r>
    </w:p>
    <w:p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Прямые услуги  и сервис в области процессов</w:t>
      </w:r>
    </w:p>
    <w:p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Прямые услуги  и сервис в области управления активами</w:t>
      </w:r>
    </w:p>
    <w:p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Энергосервисные услуги</w:t>
      </w:r>
    </w:p>
    <w:p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Опосредованные сервисы, инфраструктура ( услуги системным интеграторам, кооперация, персонал, финансовые услуги и консалтинг)</w:t>
      </w:r>
    </w:p>
    <w:p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Научно - исследовательские организации и институты</w:t>
      </w:r>
    </w:p>
    <w:p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Предприятия - представители крупных международных технологических брендов.</w:t>
      </w:r>
    </w:p>
    <w:p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Информационные партнеры, консалтинговые агентства и другие участники экосистемы инноваций Украины.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Движение - Индустрия 4.0 в Украине. </w:t>
      </w:r>
    </w:p>
    <w:p>
      <w:pPr>
        <w:pStyle w:val="Normal"/>
        <w:bidi w:val="0"/>
        <w:spacing w:lineRule="auto" w:line="259" w:beforeAutospacing="0" w:before="0" w:afterAutospacing="0" w:after="160"/>
        <w:ind w:left="360" w:right="0" w:hanging="0"/>
        <w:jc w:val="left"/>
        <w:rPr/>
      </w:pPr>
      <w:r>
        <w:rPr/>
        <w:t>Предложение о создании такого центра является ответом на 3 принцип Движения Индустрия 4.0 в Украине - "</w:t>
      </w:r>
      <w:r>
        <w:rPr>
          <w:lang w:val="ru-RU"/>
        </w:rPr>
        <w:t>Об’єднання означає конкретні дії в конкретних напрямках</w:t>
      </w:r>
      <w:r>
        <w:rPr/>
        <w:t>"  по пунктам 3-5: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Спільна розробка галузевих дорожніх карт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Ріст та об’єднання технологічних інноваторів в рамках проектів 4.0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Всебічне сприяння створенню та розвитку хай-тек та інноваційних кластерів</w:t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>
          <w:lang w:val="ru-RU"/>
        </w:rPr>
        <w:t xml:space="preserve">      </w:t>
      </w:r>
      <w:r>
        <w:rPr>
          <w:lang w:val="ru-RU"/>
        </w:rPr>
        <w:t>6. Аdded value of the IIOT DIH</w:t>
      </w:r>
    </w:p>
    <w:p>
      <w:pPr>
        <w:pStyle w:val="Normal"/>
        <w:bidi w:val="0"/>
        <w:spacing w:lineRule="auto" w:line="259" w:beforeAutospacing="0" w:before="0" w:afterAutospacing="0" w:after="46"/>
        <w:ind w:right="0" w:firstLine="708"/>
        <w:jc w:val="left"/>
        <w:rPr>
          <w:lang w:val="ru-RU"/>
        </w:rPr>
      </w:pPr>
      <w:r>
        <w:rPr>
          <w:lang w:val="ru-RU"/>
        </w:rPr>
        <w:t>Центр создает добавленную ценность для всех стейкхолдеров и партнеров:</w:t>
      </w:r>
    </w:p>
    <w:p>
      <w:pPr>
        <w:pStyle w:val="ListParagraph"/>
        <w:numPr>
          <w:ilvl w:val="2"/>
          <w:numId w:val="3"/>
        </w:numPr>
        <w:bidi w:val="0"/>
        <w:spacing w:lineRule="auto" w:line="259" w:beforeAutospacing="0" w:before="0" w:afterAutospacing="0" w:after="46"/>
        <w:ind w:left="216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Промышленным предприятиям: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Сокращение сроков окупаемости инвестиционных проектов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Сокращение совокупной стоимости владения</w:t>
      </w:r>
    </w:p>
    <w:p>
      <w:pPr>
        <w:pStyle w:val="ListParagraph"/>
        <w:numPr>
          <w:ilvl w:val="2"/>
          <w:numId w:val="3"/>
        </w:numPr>
        <w:bidi w:val="0"/>
        <w:spacing w:lineRule="auto" w:line="259" w:beforeAutospacing="0" w:before="0" w:afterAutospacing="0" w:after="46"/>
        <w:ind w:left="216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МСП: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Новые заказы и преимущества на этапе предложения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Сокращение сроков и стоимости разработки новых видов продуктов и услуг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Сокращение себестоимости за счет внутренней цифровой трансформации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Выгоды от кооперации</w:t>
      </w:r>
    </w:p>
    <w:p>
      <w:pPr>
        <w:pStyle w:val="ListParagraph"/>
        <w:numPr>
          <w:ilvl w:val="2"/>
          <w:numId w:val="3"/>
        </w:numPr>
        <w:bidi w:val="0"/>
        <w:spacing w:lineRule="auto" w:line="259" w:beforeAutospacing="0" w:before="0" w:afterAutospacing="0" w:after="46"/>
        <w:ind w:left="216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НИИ: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Увеличение возврата на инвестиции в R&amp;D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Фокусировка на потребностях промышленного сектора</w:t>
      </w:r>
    </w:p>
    <w:p>
      <w:pPr>
        <w:pStyle w:val="ListParagraph"/>
        <w:numPr>
          <w:ilvl w:val="2"/>
          <w:numId w:val="3"/>
        </w:numPr>
        <w:bidi w:val="0"/>
        <w:spacing w:lineRule="auto" w:line="259" w:beforeAutospacing="0" w:before="0" w:afterAutospacing="0" w:after="46"/>
        <w:ind w:left="216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 xml:space="preserve">Вендоры:   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lang w:val="ru-RU"/>
        </w:rPr>
        <w:t>Сокращение сроков и затрат в процессе вывода на рынок новых видов цифровых продуктов и услуг</w:t>
      </w:r>
    </w:p>
    <w:p>
      <w:pPr>
        <w:pStyle w:val="ListParagraph"/>
        <w:numPr>
          <w:ilvl w:val="3"/>
          <w:numId w:val="3"/>
        </w:numPr>
        <w:bidi w:val="0"/>
        <w:spacing w:lineRule="auto" w:line="259" w:beforeAutospacing="0" w:before="0" w:afterAutospacing="0" w:after="46"/>
        <w:ind w:left="2880" w:right="0" w:hanging="36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ru-RU"/>
        </w:rPr>
      </w:pPr>
      <w:r>
        <w:rPr>
          <w:rFonts w:eastAsia="Calibri" w:cs="Calibri" w:cstheme="minorAscii" w:eastAsiaTheme="minorAscii"/>
          <w:sz w:val="22"/>
          <w:szCs w:val="22"/>
          <w:lang w:val="ru-RU"/>
        </w:rPr>
        <w:t>Дополнительный канал продаж.</w:t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lang w:val="ru-RU"/>
        </w:rPr>
      </w:pPr>
      <w:r>
        <w:rPr>
          <w:lang w:val="ru-RU"/>
        </w:rPr>
        <w:t xml:space="preserve">       </w:t>
      </w:r>
      <w:r>
        <w:rPr>
          <w:lang w:val="ru-RU"/>
        </w:rPr>
        <w:t>7. Executive summary of the future business plan</w:t>
      </w:r>
    </w:p>
    <w:p>
      <w:pPr>
        <w:pStyle w:val="Normal"/>
        <w:bidi w:val="0"/>
        <w:spacing w:lineRule="auto" w:line="259" w:beforeAutospacing="0" w:before="0" w:afterAutospacing="0" w:after="160"/>
        <w:ind w:left="360" w:right="0" w:hanging="0"/>
        <w:jc w:val="left"/>
        <w:rPr/>
      </w:pPr>
      <w:r>
        <w:rPr/>
        <w:t xml:space="preserve">     </w:t>
      </w:r>
      <w:r>
        <w:rPr/>
        <w:t>Источники дохода  Центра симметричны предложению добавленной ценности: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Доход от продажи услуг по экспертизе инвестиционных проектов (пропорционально изменению ROI и TCO при экспертизе ТЗ или проектной документации, как процент в себестоимости решения)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Доход от продажи консалтинговых услуг при организации R&amp;D ( как процент от снижения затрат на новые виды продукции,  как отдельная статья в рамках бюджета проекта, как процент от будущих продаж продукта)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Доход от продажи консалтинговых услуг по цифровой трансформации ( фиксированная цена или пропорционально достигнутому)</w:t>
      </w:r>
    </w:p>
    <w:p>
      <w:pPr>
        <w:pStyle w:val="Normal"/>
        <w:bidi w:val="0"/>
        <w:spacing w:lineRule="auto" w:line="259" w:beforeAutospacing="0" w:before="0" w:afterAutospacing="0" w:after="160"/>
        <w:ind w:left="360" w:right="0" w:hanging="0"/>
        <w:jc w:val="left"/>
        <w:rPr/>
      </w:pPr>
      <w:r>
        <w:rPr/>
        <w:t xml:space="preserve">    </w:t>
      </w:r>
      <w:r>
        <w:rPr/>
        <w:t>Затраты на обеспечение работы центра делятся на: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46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Заработная плата постоянных экспертов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46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Оплата услуг привлеченных экспертов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46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Заработная плата административного персонала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46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Административные затраты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46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Оплата членства в отраслевых ассоциациях и консорциумах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46"/>
        <w:ind w:left="360" w:right="0" w:firstLine="708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Командировочные расходы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46"/>
        <w:ind w:left="360" w:right="0" w:firstLine="708"/>
        <w:jc w:val="left"/>
        <w:rPr/>
      </w:pPr>
      <w:r>
        <w:rPr/>
        <w:t xml:space="preserve">Оплата услуг перевода и </w:t>
      </w:r>
      <w:r>
        <w:rPr>
          <w:lang w:val="en-US"/>
        </w:rPr>
        <w:t>technical writers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LibreOffice/5.3.1.2$Windows_x86 LibreOffice_project/e80a0e0fd1875e1696614d24c32df0f95f03deb2</Application>
  <Pages>3</Pages>
  <Words>865</Words>
  <Characters>5907</Characters>
  <CharactersWithSpaces>6718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2017-04-15T09:43:21Z</dcterms:created>
  <dc:creator>Romanov Maksim</dc:creator>
  <dc:description/>
  <dc:language>ru</dc:language>
  <cp:lastModifiedBy/>
  <dcterms:modified xsi:type="dcterms:W3CDTF">2017-04-15T16:34:20Z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