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"Comparative Analysis of Successful and Failed Enterprise System Implementations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Case Study 1: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Company Overview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b.1. </w:t>
      </w: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Amazon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Industry</w:t>
      </w:r>
      <w:r w:rsidDel="00000000" w:rsidR="00000000" w:rsidRPr="00000000">
        <w:rPr>
          <w:rtl w:val="0"/>
        </w:rPr>
        <w:t xml:space="preserve">: E -commerce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Enterprise System:</w:t>
      </w:r>
      <w:r w:rsidDel="00000000" w:rsidR="00000000" w:rsidRPr="00000000">
        <w:rPr>
          <w:rtl w:val="0"/>
        </w:rPr>
        <w:t xml:space="preserve"> ERP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Reason for Implementation: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reaso</w:t>
      </w:r>
      <w:r w:rsidDel="00000000" w:rsidR="00000000" w:rsidRPr="00000000">
        <w:rPr>
          <w:rtl w:val="0"/>
        </w:rPr>
        <w:t xml:space="preserve">n why they use Amazon FBA sellers, integration with an ERP system automates inventory management, order processing, and shipping updates. It saves 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tl w:val="0"/>
        </w:rPr>
        <w:t xml:space="preserve"> time by eliminating manual tasks and helps their businesses to take full advantage of Amazon's Prime shipping and also fulfillment services.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b.2 Implementation 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Amazon's upskilling programs encourage employees to transition into new roles and future-proof their careers.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Design and Customization: </w:t>
      </w:r>
      <w:r w:rsidDel="00000000" w:rsidR="00000000" w:rsidRPr="00000000">
        <w:rPr>
          <w:rtl w:val="0"/>
        </w:rPr>
        <w:t xml:space="preserve">Amazon Custom they let customers tailor your products from a list of options or with their own text, images, or logos.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You can freely test and also experiment with most of the features Amazon Payment Services offers.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b.3. Key success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Employee involvement.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Plan to optimize business processes.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Project management tools.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b.4. Outcomes and Impact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Boost efficiency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Improve collaboration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Enhance data visibility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