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0843D"/>
          <w:sz w:val="18"/>
          <w:szCs w:val="18"/>
        </w:rPr>
        <w:t xml:space="preserve">TVS CREDIT  ·  EPIC 8  ·  ANALYTICS CASE STUDY 2</w:t>
      </w:r>
    </w:p>
    <w:p>
      <w:pPr>
        <w:spacing w:after="80"/>
      </w:pPr>
      <w:r>
        <w:rPr>
          <w:rFonts w:ascii="Arial" w:cs="Arial" w:eastAsia="Arial" w:hAnsi="Arial"/>
          <w:b/>
          <w:bCs/>
          <w:color w:val="16326B"/>
          <w:sz w:val="38"/>
          <w:szCs w:val="38"/>
        </w:rPr>
        <w:t xml:space="preserve">Offer Amount Generation for Personal Loan</w:t>
      </w:r>
    </w:p>
    <w:p>
      <w:pPr>
        <w:spacing w:after="240"/>
      </w:pPr>
      <w:r>
        <w:rPr>
          <w:rFonts w:ascii="Arial" w:cs="Arial" w:eastAsia="Arial" w:hAnsi="Arial"/>
          <w:color w:val="5A6472"/>
          <w:sz w:val="22"/>
          <w:szCs w:val="22"/>
        </w:rPr>
        <w:t xml:space="preserve">Method report — data, models, evaluation metric and results</w:t>
      </w:r>
    </w:p>
    <w:p>
      <w:pPr>
        <w:pBdr>
          <w:bottom w:val="single" w:color="C7CED5" w:sz="6"/>
        </w:pBdr>
        <w:spacing w:after="160"/>
      </w:pPr>
    </w:p>
    <w:p>
      <w:pPr>
        <w:spacing w:after="120" w:line="280"/>
      </w:pPr>
      <w:r>
        <w:rPr>
          <w:rFonts w:ascii="Arial" w:cs="Arial" w:eastAsia="Arial" w:hAnsi="Arial"/>
          <w:i/>
          <w:iCs/>
          <w:color w:val="5A6472"/>
          <w:sz w:val="18"/>
          <w:szCs w:val="18"/>
        </w:rPr>
        <w:t xml:space="preserve">Every figure in this report is reproduced end to end by the accompanying notebook from the source file epic_challenge_base_final_shared2.xlsb. Nothing is quoted from memory.</w:t>
      </w:r>
    </w:p>
    <w:p>
      <w:pPr>
        <w:pStyle w:val="Heading1"/>
        <w:spacing w:after="140" w:before="320"/>
      </w:pPr>
      <w:r>
        <w:rPr>
          <w:rFonts w:ascii="Arial" w:cs="Arial" w:eastAsia="Arial" w:hAnsi="Arial"/>
          <w:b/>
          <w:bCs/>
          <w:color w:val="16326B"/>
          <w:sz w:val="26"/>
          <w:szCs w:val="26"/>
        </w:rPr>
        <w:t xml:space="preserve">1. Executive summary</w:t>
      </w:r>
    </w:p>
    <w:p>
      <w:pPr>
        <w:spacing w:after="120" w:line="280"/>
      </w:pPr>
      <w:r>
        <w:rPr>
          <w:rFonts w:ascii="Arial" w:cs="Arial" w:eastAsia="Arial" w:hAnsi="Arial"/>
          <w:color w:val="1A1A1A"/>
          <w:sz w:val="20"/>
          <w:szCs w:val="20"/>
        </w:rPr>
        <w:t xml:space="preserve">TVS Credit offers pre-approved personal loans to its existing customers and quotes a maximum amount. A material share of customers reply that the amount is not enough, and do not take the loan. The brief asks for a better offer-amount logic: higher for lower-risk customers, lower or unchanged for higher-risk ones.</w:t>
      </w:r>
    </w:p>
    <w:p>
      <w:pPr>
        <w:spacing w:after="120" w:line="280"/>
      </w:pPr>
      <w:r>
        <w:rPr>
          <w:rFonts w:ascii="Arial" w:cs="Arial" w:eastAsia="Arial" w:hAnsi="Arial"/>
          <w:color w:val="1A1A1A"/>
          <w:sz w:val="20"/>
          <w:szCs w:val="20"/>
        </w:rPr>
        <w:t xml:space="preserve">The diagnostic finding is that the incumbent logic is an eligibility grid rather than an affordability assessment. The offer moves 2.6 times across bureau risk grades but is almost uncorrelated with what the customer has demonstrated they can actually repay. Correlation with the bureau income proxy is 0.04.</w:t>
      </w:r>
    </w:p>
    <w:p>
      <w:pPr>
        <w:spacing w:after="120" w:line="280"/>
      </w:pPr>
      <w:r>
        <w:rPr>
          <w:rFonts w:ascii="Arial" w:cs="Arial" w:eastAsia="Arial" w:hAnsi="Arial"/>
          <w:color w:val="1A1A1A"/>
          <w:sz w:val="20"/>
          <w:szCs w:val="20"/>
        </w:rPr>
        <w:t xml:space="preserve">The proposed logic re-anchors the offer on demonstrated repayment capacity and then modulates it by a risk score built from behavioural and on-us data. It is a redistribution, not an inflation: the same rupees in aggregate, moved toward customers who have proved they can service an instalment.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00"/>
        <w:gridCol w:w="2740"/>
        <w:gridCol w:w="2740"/>
      </w:tblGrid>
      <w:tr>
        <w:trPr>
          <w:tblHeader/>
        </w:trPr>
        <w:tc>
          <w:tcPr>
            <w:tcW w:type="dxa" w:w="4600"/>
            <w:shd w:fill="16326B" w:color="auto" w:val="clear"/>
            <w:tcMar>
              <w:top w:type="dxa" w:w="60"/>
              <w:left w:type="dxa" w:w="90"/>
              <w:bottom w:type="dxa" w:w="60"/>
              <w:right w:type="dxa" w:w="90"/>
            </w:tcMar>
          </w:tcPr>
          <w:p>
            <w:pPr>
              <w:spacing w:after="0" w:line="250"/>
            </w:pPr>
            <w:r>
              <w:rPr>
                <w:rFonts w:ascii="Arial" w:cs="Arial" w:eastAsia="Arial" w:hAnsi="Arial"/>
                <w:b/>
                <w:bCs/>
                <w:color w:val="FFFFFF"/>
                <w:sz w:val="16"/>
                <w:szCs w:val="16"/>
              </w:rPr>
              <w:t xml:space="preserve">Result</w:t>
            </w:r>
          </w:p>
        </w:tc>
        <w:tc>
          <w:tcPr>
            <w:tcW w:type="dxa" w:w="2740"/>
            <w:shd w:fill="16326B" w:color="auto" w:val="clear"/>
            <w:tcMar>
              <w:top w:type="dxa" w:w="60"/>
              <w:left w:type="dxa" w:w="90"/>
              <w:bottom w:type="dxa" w:w="60"/>
              <w:right w:type="dxa" w:w="90"/>
            </w:tcMar>
          </w:tcPr>
          <w:p>
            <w:pPr>
              <w:spacing w:after="0" w:line="250"/>
            </w:pPr>
            <w:r>
              <w:rPr>
                <w:rFonts w:ascii="Arial" w:cs="Arial" w:eastAsia="Arial" w:hAnsi="Arial"/>
                <w:b/>
                <w:bCs/>
                <w:color w:val="FFFFFF"/>
                <w:sz w:val="16"/>
                <w:szCs w:val="16"/>
              </w:rPr>
              <w:t xml:space="preserve">Incumbent</w:t>
            </w:r>
          </w:p>
        </w:tc>
        <w:tc>
          <w:tcPr>
            <w:tcW w:type="dxa" w:w="2740"/>
            <w:shd w:fill="16326B" w:color="auto" w:val="clear"/>
            <w:tcMar>
              <w:top w:type="dxa" w:w="60"/>
              <w:left w:type="dxa" w:w="90"/>
              <w:bottom w:type="dxa" w:w="60"/>
              <w:right w:type="dxa" w:w="90"/>
            </w:tcMar>
          </w:tcPr>
          <w:p>
            <w:pPr>
              <w:spacing w:after="0" w:line="250"/>
            </w:pPr>
            <w:r>
              <w:rPr>
                <w:rFonts w:ascii="Arial" w:cs="Arial" w:eastAsia="Arial" w:hAnsi="Arial"/>
                <w:b/>
                <w:bCs/>
                <w:color w:val="FFFFFF"/>
                <w:sz w:val="16"/>
                <w:szCs w:val="16"/>
              </w:rPr>
              <w:t xml:space="preserve">Proposed</w:t>
            </w:r>
          </w:p>
        </w:tc>
      </w:tr>
      <w:tr>
        <w:tc>
          <w:tcPr>
            <w:tcW w:type="dxa" w:w="4600"/>
            <w:tcMar>
              <w:top w:type="dxa" w:w="60"/>
              <w:left w:type="dxa" w:w="90"/>
              <w:bottom w:type="dxa" w:w="60"/>
              <w:right w:type="dxa" w:w="90"/>
            </w:tcMar>
          </w:tcPr>
          <w:p>
            <w:pPr>
              <w:spacing w:after="0" w:line="250"/>
              <w:jc w:val="left"/>
            </w:pPr>
            <w:r>
              <w:rPr>
                <w:rFonts w:ascii="Arial" w:cs="Arial" w:eastAsia="Arial" w:hAnsi="Arial"/>
                <w:b/>
                <w:bCs/>
                <w:color w:val="1A1A1A"/>
                <w:sz w:val="17"/>
                <w:szCs w:val="17"/>
              </w:rPr>
              <w:t xml:space="preserve">Weighted score on the brief's metric</w:t>
            </w:r>
          </w:p>
        </w:tc>
        <w:tc>
          <w:tcPr>
            <w:tcW w:type="dxa" w:w="2740"/>
            <w:tcMar>
              <w:top w:type="dxa" w:w="60"/>
              <w:left w:type="dxa" w:w="90"/>
              <w:bottom w:type="dxa" w:w="60"/>
              <w:right w:type="dxa" w:w="90"/>
            </w:tcMar>
          </w:tcPr>
          <w:p>
            <w:pPr>
              <w:spacing w:after="0" w:line="250"/>
              <w:jc w:val="right"/>
            </w:pPr>
            <w:r>
              <w:rPr>
                <w:rFonts w:ascii="Arial" w:cs="Arial" w:eastAsia="Arial" w:hAnsi="Arial"/>
                <w:b/>
                <w:bCs/>
                <w:color w:val="1A1A1A"/>
                <w:sz w:val="17"/>
                <w:szCs w:val="17"/>
              </w:rPr>
              <w:t xml:space="preserve">60.0 / 100</w:t>
            </w:r>
          </w:p>
        </w:tc>
        <w:tc>
          <w:tcPr>
            <w:tcW w:type="dxa" w:w="2740"/>
            <w:tcMar>
              <w:top w:type="dxa" w:w="60"/>
              <w:left w:type="dxa" w:w="90"/>
              <w:bottom w:type="dxa" w:w="60"/>
              <w:right w:type="dxa" w:w="90"/>
            </w:tcMar>
          </w:tcPr>
          <w:p>
            <w:pPr>
              <w:spacing w:after="0" w:line="250"/>
              <w:jc w:val="right"/>
            </w:pPr>
            <w:r>
              <w:rPr>
                <w:rFonts w:ascii="Arial" w:cs="Arial" w:eastAsia="Arial" w:hAnsi="Arial"/>
                <w:b/>
                <w:bCs/>
                <w:color w:val="1A1A1A"/>
                <w:sz w:val="17"/>
                <w:szCs w:val="17"/>
              </w:rPr>
              <w:t xml:space="preserve">89.6 / 100</w:t>
            </w:r>
          </w:p>
        </w:tc>
      </w:tr>
      <w:tr>
        <w:tc>
          <w:tcPr>
            <w:tcW w:type="dxa" w:w="4600"/>
            <w:shd w:fill="F3F5F6" w:color="auto" w:val="clear"/>
            <w:tcMar>
              <w:top w:type="dxa" w:w="60"/>
              <w:left w:type="dxa" w:w="90"/>
              <w:bottom w:type="dxa" w:w="60"/>
              <w:right w:type="dxa" w:w="90"/>
            </w:tcMar>
          </w:tcPr>
          <w:p>
            <w:pPr>
              <w:spacing w:after="0" w:line="250"/>
              <w:jc w:val="left"/>
            </w:pPr>
            <w:r>
              <w:rPr>
                <w:rFonts w:ascii="Arial" w:cs="Arial" w:eastAsia="Arial" w:hAnsi="Arial"/>
                <w:b w:val="false"/>
                <w:bCs w:val="false"/>
                <w:color w:val="1A1A1A"/>
                <w:sz w:val="17"/>
                <w:szCs w:val="17"/>
              </w:rPr>
              <w:t xml:space="preserve">Overall average offer</w:t>
            </w:r>
          </w:p>
        </w:tc>
        <w:tc>
          <w:tcPr>
            <w:tcW w:type="dxa" w:w="2740"/>
            <w:shd w:fill="F3F5F6" w:color="auto" w:val="clear"/>
            <w:tcMar>
              <w:top w:type="dxa" w:w="60"/>
              <w:left w:type="dxa" w:w="90"/>
              <w:bottom w:type="dxa" w:w="60"/>
              <w:right w:type="dxa" w:w="90"/>
            </w:tcMar>
          </w:tcPr>
          <w:p>
            <w:pPr>
              <w:spacing w:after="0" w:line="250"/>
              <w:jc w:val="left"/>
            </w:pPr>
            <w:r>
              <w:rPr>
                <w:rFonts w:ascii="Arial" w:cs="Arial" w:eastAsia="Arial" w:hAnsi="Arial"/>
                <w:b w:val="false"/>
                <w:bCs w:val="false"/>
                <w:color w:val="1A1A1A"/>
                <w:sz w:val="17"/>
                <w:szCs w:val="17"/>
              </w:rPr>
              <w:t xml:space="preserve">baseline</w:t>
            </w:r>
          </w:p>
        </w:tc>
        <w:tc>
          <w:tcPr>
            <w:tcW w:type="dxa" w:w="2740"/>
            <w:shd w:fill="F3F5F6" w:color="auto" w:val="clear"/>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1.004x — higher</w:t>
            </w:r>
          </w:p>
        </w:tc>
      </w:tr>
      <w:tr>
        <w:tc>
          <w:tcPr>
            <w:tcW w:type="dxa" w:w="4600"/>
            <w:tcMar>
              <w:top w:type="dxa" w:w="60"/>
              <w:left w:type="dxa" w:w="90"/>
              <w:bottom w:type="dxa" w:w="60"/>
              <w:right w:type="dxa" w:w="90"/>
            </w:tcMar>
          </w:tcPr>
          <w:p>
            <w:pPr>
              <w:spacing w:after="0" w:line="250"/>
              <w:jc w:val="left"/>
            </w:pPr>
            <w:r>
              <w:rPr>
                <w:rFonts w:ascii="Arial" w:cs="Arial" w:eastAsia="Arial" w:hAnsi="Arial"/>
                <w:b w:val="false"/>
                <w:bCs w:val="false"/>
                <w:color w:val="1A1A1A"/>
                <w:sz w:val="17"/>
                <w:szCs w:val="17"/>
              </w:rPr>
              <w:t xml:space="preserve">Average offer to customers who went 30+ DPD</w:t>
            </w:r>
          </w:p>
        </w:tc>
        <w:tc>
          <w:tcPr>
            <w:tcW w:type="dxa" w:w="2740"/>
            <w:tcMar>
              <w:top w:type="dxa" w:w="60"/>
              <w:left w:type="dxa" w:w="90"/>
              <w:bottom w:type="dxa" w:w="60"/>
              <w:right w:type="dxa" w:w="90"/>
            </w:tcMar>
          </w:tcPr>
          <w:p>
            <w:pPr>
              <w:spacing w:after="0" w:line="250"/>
              <w:jc w:val="left"/>
            </w:pPr>
            <w:r>
              <w:rPr>
                <w:rFonts w:ascii="Arial" w:cs="Arial" w:eastAsia="Arial" w:hAnsi="Arial"/>
                <w:b w:val="false"/>
                <w:bCs w:val="false"/>
                <w:color w:val="1A1A1A"/>
                <w:sz w:val="17"/>
                <w:szCs w:val="17"/>
              </w:rPr>
              <w:t xml:space="preserve">baseline</w:t>
            </w:r>
          </w:p>
        </w:tc>
        <w:tc>
          <w:tcPr>
            <w:tcW w:type="dxa" w:w="2740"/>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0.815x — 18.5% lower</w:t>
            </w:r>
          </w:p>
        </w:tc>
      </w:tr>
      <w:tr>
        <w:tc>
          <w:tcPr>
            <w:tcW w:type="dxa" w:w="4600"/>
            <w:shd w:fill="F3F5F6" w:color="auto" w:val="clear"/>
            <w:tcMar>
              <w:top w:type="dxa" w:w="60"/>
              <w:left w:type="dxa" w:w="90"/>
              <w:bottom w:type="dxa" w:w="60"/>
              <w:right w:type="dxa" w:w="90"/>
            </w:tcMar>
          </w:tcPr>
          <w:p>
            <w:pPr>
              <w:spacing w:after="0" w:line="250"/>
              <w:jc w:val="left"/>
            </w:pPr>
            <w:r>
              <w:rPr>
                <w:rFonts w:ascii="Arial" w:cs="Arial" w:eastAsia="Arial" w:hAnsi="Arial"/>
                <w:b w:val="false"/>
                <w:bCs w:val="false"/>
                <w:color w:val="1A1A1A"/>
                <w:sz w:val="17"/>
                <w:szCs w:val="17"/>
              </w:rPr>
              <w:t xml:space="preserve">Average offer to customers who repaid cleanly</w:t>
            </w:r>
          </w:p>
        </w:tc>
        <w:tc>
          <w:tcPr>
            <w:tcW w:type="dxa" w:w="2740"/>
            <w:shd w:fill="F3F5F6" w:color="auto" w:val="clear"/>
            <w:tcMar>
              <w:top w:type="dxa" w:w="60"/>
              <w:left w:type="dxa" w:w="90"/>
              <w:bottom w:type="dxa" w:w="60"/>
              <w:right w:type="dxa" w:w="90"/>
            </w:tcMar>
          </w:tcPr>
          <w:p>
            <w:pPr>
              <w:spacing w:after="0" w:line="250"/>
              <w:jc w:val="left"/>
            </w:pPr>
            <w:r>
              <w:rPr>
                <w:rFonts w:ascii="Arial" w:cs="Arial" w:eastAsia="Arial" w:hAnsi="Arial"/>
                <w:b w:val="false"/>
                <w:bCs w:val="false"/>
                <w:color w:val="1A1A1A"/>
                <w:sz w:val="17"/>
                <w:szCs w:val="17"/>
              </w:rPr>
              <w:t xml:space="preserve">baseline</w:t>
            </w:r>
          </w:p>
        </w:tc>
        <w:tc>
          <w:tcPr>
            <w:tcW w:type="dxa" w:w="2740"/>
            <w:shd w:fill="F3F5F6" w:color="auto" w:val="clear"/>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1.006x — higher</w:t>
            </w:r>
          </w:p>
        </w:tc>
      </w:tr>
      <w:tr>
        <w:tc>
          <w:tcPr>
            <w:tcW w:type="dxa" w:w="4600"/>
            <w:tcMar>
              <w:top w:type="dxa" w:w="60"/>
              <w:left w:type="dxa" w:w="90"/>
              <w:bottom w:type="dxa" w:w="60"/>
              <w:right w:type="dxa" w:w="90"/>
            </w:tcMar>
          </w:tcPr>
          <w:p>
            <w:pPr>
              <w:spacing w:after="0" w:line="250"/>
              <w:jc w:val="left"/>
            </w:pPr>
            <w:r>
              <w:rPr>
                <w:rFonts w:ascii="Arial" w:cs="Arial" w:eastAsia="Arial" w:hAnsi="Arial"/>
                <w:b w:val="false"/>
                <w:bCs w:val="false"/>
                <w:color w:val="1A1A1A"/>
                <w:sz w:val="17"/>
                <w:szCs w:val="17"/>
              </w:rPr>
              <w:t xml:space="preserve">Risk gradient across offer quintiles (holdout)</w:t>
            </w:r>
          </w:p>
        </w:tc>
        <w:tc>
          <w:tcPr>
            <w:tcW w:type="dxa" w:w="2740"/>
            <w:tcMar>
              <w:top w:type="dxa" w:w="60"/>
              <w:left w:type="dxa" w:w="90"/>
              <w:bottom w:type="dxa" w:w="60"/>
              <w:right w:type="dxa" w:w="90"/>
            </w:tcMar>
          </w:tcPr>
          <w:p>
            <w:pPr>
              <w:spacing w:after="0" w:line="250"/>
              <w:jc w:val="left"/>
            </w:pPr>
            <w:r>
              <w:rPr>
                <w:rFonts w:ascii="Arial" w:cs="Arial" w:eastAsia="Arial" w:hAnsi="Arial"/>
                <w:b w:val="false"/>
                <w:bCs w:val="false"/>
                <w:color w:val="1A1A1A"/>
                <w:sz w:val="17"/>
                <w:szCs w:val="17"/>
              </w:rPr>
              <w:t xml:space="preserve">not measured</w:t>
            </w:r>
          </w:p>
        </w:tc>
        <w:tc>
          <w:tcPr>
            <w:tcW w:type="dxa" w:w="2740"/>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2.21% down to 0.77% — 2.9x</w:t>
            </w:r>
          </w:p>
        </w:tc>
      </w:tr>
    </w:tbl>
    <w:p>
      <w:pPr>
        <w:spacing w:after="120" w:line="280"/>
      </w:pPr>
      <w:r>
        <w:rPr>
          <w:rFonts w:ascii="Arial" w:cs="Arial" w:eastAsia="Arial" w:hAnsi="Arial"/>
          <w:color w:val="1A1A1A"/>
          <w:sz w:val="20"/>
          <w:szCs w:val="20"/>
        </w:rPr>
        <w:t xml:space="preserve"/>
      </w:r>
    </w:p>
    <w:p>
      <w:pPr>
        <w:pStyle w:val="Heading1"/>
        <w:spacing w:after="140" w:before="320"/>
      </w:pPr>
      <w:r>
        <w:rPr>
          <w:rFonts w:ascii="Arial" w:cs="Arial" w:eastAsia="Arial" w:hAnsi="Arial"/>
          <w:b/>
          <w:bCs/>
          <w:color w:val="16326B"/>
          <w:sz w:val="26"/>
          <w:szCs w:val="26"/>
        </w:rPr>
        <w:t xml:space="preserve">2. Data</w:t>
      </w:r>
    </w:p>
    <w:p>
      <w:pPr>
        <w:spacing w:after="120" w:line="280"/>
      </w:pPr>
      <w:r>
        <w:rPr>
          <w:rFonts w:ascii="Arial" w:cs="Arial" w:eastAsia="Arial" w:hAnsi="Arial"/>
          <w:color w:val="1A1A1A"/>
          <w:sz w:val="20"/>
          <w:szCs w:val="20"/>
        </w:rPr>
        <w:t xml:space="preserve">Source: epic_challenge_base_final_shared2.xlsb, sheet Epic_Challenge_Base. 157,557 customer records across 128 fields, covering bureau history, on-us product holding, enquiry behaviour, EMI history, propensity bands, the quoted offer amount, the disbursal outcome and a six-month delinquency flag.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5100"/>
        <w:gridCol w:w="1440"/>
        <w:gridCol w:w="1440"/>
      </w:tblGrid>
      <w:tr>
        <w:trPr>
          <w:tblHeader/>
        </w:trPr>
        <w:tc>
          <w:tcPr>
            <w:tcW w:type="dxa" w:w="2100"/>
            <w:shd w:fill="16326B" w:color="auto" w:val="clear"/>
            <w:tcMar>
              <w:top w:type="dxa" w:w="60"/>
              <w:left w:type="dxa" w:w="90"/>
              <w:bottom w:type="dxa" w:w="60"/>
              <w:right w:type="dxa" w:w="90"/>
            </w:tcMar>
          </w:tcPr>
          <w:p>
            <w:pPr>
              <w:spacing w:after="0" w:line="250"/>
            </w:pPr>
            <w:r>
              <w:rPr>
                <w:rFonts w:ascii="Arial" w:cs="Arial" w:eastAsia="Arial" w:hAnsi="Arial"/>
                <w:b/>
                <w:bCs/>
                <w:color w:val="FFFFFF"/>
                <w:sz w:val="16"/>
                <w:szCs w:val="16"/>
              </w:rPr>
              <w:t xml:space="preserve">Cohort</w:t>
            </w:r>
          </w:p>
        </w:tc>
        <w:tc>
          <w:tcPr>
            <w:tcW w:type="dxa" w:w="5100"/>
            <w:shd w:fill="16326B" w:color="auto" w:val="clear"/>
            <w:tcMar>
              <w:top w:type="dxa" w:w="60"/>
              <w:left w:type="dxa" w:w="90"/>
              <w:bottom w:type="dxa" w:w="60"/>
              <w:right w:type="dxa" w:w="90"/>
            </w:tcMar>
          </w:tcPr>
          <w:p>
            <w:pPr>
              <w:spacing w:after="0" w:line="250"/>
            </w:pPr>
            <w:r>
              <w:rPr>
                <w:rFonts w:ascii="Arial" w:cs="Arial" w:eastAsia="Arial" w:hAnsi="Arial"/>
                <w:b/>
                <w:bCs/>
                <w:color w:val="FFFFFF"/>
                <w:sz w:val="16"/>
                <w:szCs w:val="16"/>
              </w:rPr>
              <w:t xml:space="preserve">Definition</w:t>
            </w:r>
          </w:p>
        </w:tc>
        <w:tc>
          <w:tcPr>
            <w:tcW w:type="dxa" w:w="1440"/>
            <w:shd w:fill="16326B" w:color="auto" w:val="clear"/>
            <w:tcMar>
              <w:top w:type="dxa" w:w="60"/>
              <w:left w:type="dxa" w:w="90"/>
              <w:bottom w:type="dxa" w:w="60"/>
              <w:right w:type="dxa" w:w="90"/>
            </w:tcMar>
          </w:tcPr>
          <w:p>
            <w:pPr>
              <w:spacing w:after="0" w:line="250"/>
            </w:pPr>
            <w:r>
              <w:rPr>
                <w:rFonts w:ascii="Arial" w:cs="Arial" w:eastAsia="Arial" w:hAnsi="Arial"/>
                <w:b/>
                <w:bCs/>
                <w:color w:val="FFFFFF"/>
                <w:sz w:val="16"/>
                <w:szCs w:val="16"/>
              </w:rPr>
              <w:t xml:space="preserve">Rows</w:t>
            </w:r>
          </w:p>
        </w:tc>
        <w:tc>
          <w:tcPr>
            <w:tcW w:type="dxa" w:w="1440"/>
            <w:shd w:fill="16326B" w:color="auto" w:val="clear"/>
            <w:tcMar>
              <w:top w:type="dxa" w:w="60"/>
              <w:left w:type="dxa" w:w="90"/>
              <w:bottom w:type="dxa" w:w="60"/>
              <w:right w:type="dxa" w:w="90"/>
            </w:tcMar>
          </w:tcPr>
          <w:p>
            <w:pPr>
              <w:spacing w:after="0" w:line="250"/>
            </w:pPr>
            <w:r>
              <w:rPr>
                <w:rFonts w:ascii="Arial" w:cs="Arial" w:eastAsia="Arial" w:hAnsi="Arial"/>
                <w:b/>
                <w:bCs/>
                <w:color w:val="FFFFFF"/>
                <w:sz w:val="16"/>
                <w:szCs w:val="16"/>
              </w:rPr>
              <w:t xml:space="preserve">Risk events</w:t>
            </w:r>
          </w:p>
        </w:tc>
      </w:tr>
      <w:tr>
        <w:tc>
          <w:tcPr>
            <w:tcW w:type="dxa" w:w="2100"/>
            <w:tcMar>
              <w:top w:type="dxa" w:w="60"/>
              <w:left w:type="dxa" w:w="90"/>
              <w:bottom w:type="dxa" w:w="60"/>
              <w:right w:type="dxa" w:w="90"/>
            </w:tcMar>
          </w:tcPr>
          <w:p>
            <w:pPr>
              <w:spacing w:after="0" w:line="250"/>
              <w:jc w:val="left"/>
            </w:pPr>
            <w:r>
              <w:rPr>
                <w:rFonts w:ascii="Arial" w:cs="Arial" w:eastAsia="Arial" w:hAnsi="Arial"/>
                <w:color w:val="1A1A1A"/>
                <w:sz w:val="17"/>
                <w:szCs w:val="17"/>
              </w:rPr>
              <w:t xml:space="preserve">Full base</w:t>
            </w:r>
          </w:p>
        </w:tc>
        <w:tc>
          <w:tcPr>
            <w:tcW w:type="dxa" w:w="5100"/>
            <w:tcMar>
              <w:top w:type="dxa" w:w="60"/>
              <w:left w:type="dxa" w:w="90"/>
              <w:bottom w:type="dxa" w:w="60"/>
              <w:right w:type="dxa" w:w="90"/>
            </w:tcMar>
          </w:tcPr>
          <w:p>
            <w:pPr>
              <w:spacing w:after="0" w:line="250"/>
              <w:jc w:val="left"/>
            </w:pPr>
            <w:r>
              <w:rPr>
                <w:rFonts w:ascii="Arial" w:cs="Arial" w:eastAsia="Arial" w:hAnsi="Arial"/>
                <w:color w:val="1A1A1A"/>
                <w:sz w:val="17"/>
                <w:szCs w:val="17"/>
              </w:rPr>
              <w:t xml:space="preserve">All records</w:t>
            </w:r>
          </w:p>
        </w:tc>
        <w:tc>
          <w:tcPr>
            <w:tcW w:type="dxa" w:w="1440"/>
            <w:tcMar>
              <w:top w:type="dxa" w:w="60"/>
              <w:left w:type="dxa" w:w="90"/>
              <w:bottom w:type="dxa" w:w="60"/>
              <w:right w:type="dxa" w:w="90"/>
            </w:tcMar>
          </w:tcPr>
          <w:p>
            <w:pPr>
              <w:spacing w:after="0" w:line="250"/>
              <w:jc w:val="right"/>
            </w:pPr>
            <w:r>
              <w:rPr>
                <w:rFonts w:ascii="Arial" w:cs="Arial" w:eastAsia="Arial" w:hAnsi="Arial"/>
                <w:color w:val="1A1A1A"/>
                <w:sz w:val="17"/>
                <w:szCs w:val="17"/>
              </w:rPr>
              <w:t xml:space="preserve">157,557</w:t>
            </w:r>
          </w:p>
        </w:tc>
        <w:tc>
          <w:tcPr>
            <w:tcW w:type="dxa" w:w="1440"/>
            <w:tcMar>
              <w:top w:type="dxa" w:w="60"/>
              <w:left w:type="dxa" w:w="90"/>
              <w:bottom w:type="dxa" w:w="60"/>
              <w:right w:type="dxa" w:w="90"/>
            </w:tcMar>
          </w:tcPr>
          <w:p>
            <w:pPr>
              <w:spacing w:after="0" w:line="250"/>
              <w:jc w:val="right"/>
            </w:pPr>
            <w:r>
              <w:rPr>
                <w:rFonts w:ascii="Arial" w:cs="Arial" w:eastAsia="Arial" w:hAnsi="Arial"/>
                <w:color w:val="1A1A1A"/>
                <w:sz w:val="17"/>
                <w:szCs w:val="17"/>
              </w:rPr>
              <w:t xml:space="preserve">288</w:t>
            </w:r>
          </w:p>
        </w:tc>
      </w:tr>
      <w:tr>
        <w:tc>
          <w:tcPr>
            <w:tcW w:type="dxa" w:w="2100"/>
            <w:shd w:fill="F3F5F6" w:color="auto" w:val="clear"/>
            <w:tcMar>
              <w:top w:type="dxa" w:w="60"/>
              <w:left w:type="dxa" w:w="90"/>
              <w:bottom w:type="dxa" w:w="60"/>
              <w:right w:type="dxa" w:w="90"/>
            </w:tcMar>
          </w:tcPr>
          <w:p>
            <w:pPr>
              <w:spacing w:after="0" w:line="250"/>
              <w:jc w:val="left"/>
            </w:pPr>
            <w:r>
              <w:rPr>
                <w:rFonts w:ascii="Arial" w:cs="Arial" w:eastAsia="Arial" w:hAnsi="Arial"/>
                <w:color w:val="1A1A1A"/>
                <w:sz w:val="17"/>
                <w:szCs w:val="17"/>
              </w:rPr>
              <w:t xml:space="preserve">Build</w:t>
            </w:r>
          </w:p>
        </w:tc>
        <w:tc>
          <w:tcPr>
            <w:tcW w:type="dxa" w:w="5100"/>
            <w:shd w:fill="F3F5F6" w:color="auto" w:val="clear"/>
            <w:tcMar>
              <w:top w:type="dxa" w:w="60"/>
              <w:left w:type="dxa" w:w="90"/>
              <w:bottom w:type="dxa" w:w="60"/>
              <w:right w:type="dxa" w:w="90"/>
            </w:tcMar>
          </w:tcPr>
          <w:p>
            <w:pPr>
              <w:spacing w:after="0" w:line="250"/>
              <w:jc w:val="left"/>
            </w:pPr>
            <w:r>
              <w:rPr>
                <w:rFonts w:ascii="Arial" w:cs="Arial" w:eastAsia="Arial" w:hAnsi="Arial"/>
                <w:color w:val="1A1A1A"/>
                <w:sz w:val="17"/>
                <w:szCs w:val="17"/>
              </w:rPr>
              <w:t xml:space="preserve">BASE_TYPE = TEST and CATEGORY_NEW = ONUS_DISB</w:t>
            </w:r>
          </w:p>
        </w:tc>
        <w:tc>
          <w:tcPr>
            <w:tcW w:type="dxa" w:w="1440"/>
            <w:shd w:fill="F3F5F6" w:color="auto" w:val="clear"/>
            <w:tcMar>
              <w:top w:type="dxa" w:w="60"/>
              <w:left w:type="dxa" w:w="90"/>
              <w:bottom w:type="dxa" w:w="60"/>
              <w:right w:type="dxa" w:w="90"/>
            </w:tcMar>
          </w:tcPr>
          <w:p>
            <w:pPr>
              <w:spacing w:after="0" w:line="250"/>
              <w:jc w:val="right"/>
            </w:pPr>
            <w:r>
              <w:rPr>
                <w:rFonts w:ascii="Arial" w:cs="Arial" w:eastAsia="Arial" w:hAnsi="Arial"/>
                <w:color w:val="1A1A1A"/>
                <w:sz w:val="17"/>
                <w:szCs w:val="17"/>
              </w:rPr>
              <w:t xml:space="preserve">16,621</w:t>
            </w:r>
          </w:p>
        </w:tc>
        <w:tc>
          <w:tcPr>
            <w:tcW w:type="dxa" w:w="1440"/>
            <w:shd w:fill="F3F5F6" w:color="auto" w:val="clear"/>
            <w:tcMar>
              <w:top w:type="dxa" w:w="60"/>
              <w:left w:type="dxa" w:w="90"/>
              <w:bottom w:type="dxa" w:w="60"/>
              <w:right w:type="dxa" w:w="90"/>
            </w:tcMar>
          </w:tcPr>
          <w:p>
            <w:pPr>
              <w:spacing w:after="0" w:line="250"/>
              <w:jc w:val="right"/>
            </w:pPr>
            <w:r>
              <w:rPr>
                <w:rFonts w:ascii="Arial" w:cs="Arial" w:eastAsia="Arial" w:hAnsi="Arial"/>
                <w:color w:val="1A1A1A"/>
                <w:sz w:val="17"/>
                <w:szCs w:val="17"/>
              </w:rPr>
              <w:t xml:space="preserve">216  (1.30%)</w:t>
            </w:r>
          </w:p>
        </w:tc>
      </w:tr>
      <w:tr>
        <w:tc>
          <w:tcPr>
            <w:tcW w:type="dxa" w:w="2100"/>
            <w:tcMar>
              <w:top w:type="dxa" w:w="60"/>
              <w:left w:type="dxa" w:w="90"/>
              <w:bottom w:type="dxa" w:w="60"/>
              <w:right w:type="dxa" w:w="90"/>
            </w:tcMar>
          </w:tcPr>
          <w:p>
            <w:pPr>
              <w:spacing w:after="0" w:line="250"/>
              <w:jc w:val="left"/>
            </w:pPr>
            <w:r>
              <w:rPr>
                <w:rFonts w:ascii="Arial" w:cs="Arial" w:eastAsia="Arial" w:hAnsi="Arial"/>
                <w:color w:val="1A1A1A"/>
                <w:sz w:val="17"/>
                <w:szCs w:val="17"/>
              </w:rPr>
              <w:t xml:space="preserve">Holdout</w:t>
            </w:r>
          </w:p>
        </w:tc>
        <w:tc>
          <w:tcPr>
            <w:tcW w:type="dxa" w:w="5100"/>
            <w:tcMar>
              <w:top w:type="dxa" w:w="60"/>
              <w:left w:type="dxa" w:w="90"/>
              <w:bottom w:type="dxa" w:w="60"/>
              <w:right w:type="dxa" w:w="90"/>
            </w:tcMar>
          </w:tcPr>
          <w:p>
            <w:pPr>
              <w:spacing w:after="0" w:line="250"/>
              <w:jc w:val="left"/>
            </w:pPr>
            <w:r>
              <w:rPr>
                <w:rFonts w:ascii="Arial" w:cs="Arial" w:eastAsia="Arial" w:hAnsi="Arial"/>
                <w:color w:val="1A1A1A"/>
                <w:sz w:val="17"/>
                <w:szCs w:val="17"/>
              </w:rPr>
              <w:t xml:space="preserve">BASE_TYPE = VALIDATION and CATEGORY_NEW = ONUS_DISB</w:t>
            </w:r>
          </w:p>
        </w:tc>
        <w:tc>
          <w:tcPr>
            <w:tcW w:type="dxa" w:w="1440"/>
            <w:tcMar>
              <w:top w:type="dxa" w:w="60"/>
              <w:left w:type="dxa" w:w="90"/>
              <w:bottom w:type="dxa" w:w="60"/>
              <w:right w:type="dxa" w:w="90"/>
            </w:tcMar>
          </w:tcPr>
          <w:p>
            <w:pPr>
              <w:spacing w:after="0" w:line="250"/>
              <w:jc w:val="right"/>
            </w:pPr>
            <w:r>
              <w:rPr>
                <w:rFonts w:ascii="Arial" w:cs="Arial" w:eastAsia="Arial" w:hAnsi="Arial"/>
                <w:color w:val="1A1A1A"/>
                <w:sz w:val="17"/>
                <w:szCs w:val="17"/>
              </w:rPr>
              <w:t xml:space="preserve">5,203</w:t>
            </w:r>
          </w:p>
        </w:tc>
        <w:tc>
          <w:tcPr>
            <w:tcW w:type="dxa" w:w="1440"/>
            <w:tcMar>
              <w:top w:type="dxa" w:w="60"/>
              <w:left w:type="dxa" w:w="90"/>
              <w:bottom w:type="dxa" w:w="60"/>
              <w:right w:type="dxa" w:w="90"/>
            </w:tcMar>
          </w:tcPr>
          <w:p>
            <w:pPr>
              <w:spacing w:after="0" w:line="250"/>
              <w:jc w:val="right"/>
            </w:pPr>
            <w:r>
              <w:rPr>
                <w:rFonts w:ascii="Arial" w:cs="Arial" w:eastAsia="Arial" w:hAnsi="Arial"/>
                <w:color w:val="1A1A1A"/>
                <w:sz w:val="17"/>
                <w:szCs w:val="17"/>
              </w:rPr>
              <w:t xml:space="preserve">72  (1.38%)</w:t>
            </w:r>
          </w:p>
        </w:tc>
      </w:tr>
    </w:tbl>
    <w:p>
      <w:pPr>
        <w:spacing w:after="120" w:line="280"/>
      </w:pPr>
      <w:r>
        <w:rPr>
          <w:rFonts w:ascii="Arial" w:cs="Arial" w:eastAsia="Arial" w:hAnsi="Arial"/>
          <w:color w:val="1A1A1A"/>
          <w:sz w:val="20"/>
          <w:szCs w:val="20"/>
        </w:rPr>
        <w:t xml:space="preserve"/>
      </w:r>
    </w:p>
    <w:p>
      <w:pPr>
        <w:spacing w:after="120" w:line="280"/>
      </w:pPr>
      <w:r>
        <w:rPr>
          <w:rFonts w:ascii="Arial" w:cs="Arial" w:eastAsia="Arial" w:hAnsi="Arial"/>
          <w:color w:val="1A1A1A"/>
          <w:sz w:val="20"/>
          <w:szCs w:val="20"/>
        </w:rPr>
        <w:t xml:space="preserve">FINAL_LOAN_AMOUNT is withheld — coded −1 — on all 37,568 validation rows. The comparison against the incumbent offer can therefore only be made on the build cohort. The validation cohort still carries the six-month outcome flag, which makes it a genuine out-of-sample test of the risk model and of the ordering the proposed offers impose.</w:t>
      </w:r>
    </w:p>
    <w:p>
      <w:pPr>
        <w:pStyle w:val="Heading2"/>
        <w:spacing w:after="100" w:before="220"/>
      </w:pPr>
      <w:r>
        <w:rPr>
          <w:rFonts w:ascii="Arial" w:cs="Arial" w:eastAsia="Arial" w:hAnsi="Arial"/>
          <w:b/>
          <w:bCs/>
          <w:color w:val="00843D"/>
          <w:sz w:val="22"/>
          <w:szCs w:val="22"/>
        </w:rPr>
        <w:t xml:space="preserve">2.1 Governance</w:t>
      </w:r>
    </w:p>
    <w:p>
      <w:pPr>
        <w:spacing w:after="120" w:line="280"/>
      </w:pPr>
      <w:r>
        <w:rPr>
          <w:rFonts w:ascii="Arial" w:cs="Arial" w:eastAsia="Arial" w:hAnsi="Arial"/>
          <w:color w:val="1A1A1A"/>
          <w:sz w:val="20"/>
          <w:szCs w:val="20"/>
        </w:rPr>
        <w:t xml:space="preserve">The data dictionary marks ten fields with the instruction "do not use this field in the loan creation logic": the six risk-event flags, CATEGORY_NEW, BEST OUTCOME, BEST OUTCOME Remarks and LAST OUTCOME. All ten are removed from the feature set at the top of the pipeline, before any modelling, so that nothing downstream can reach them. 114 of 128 columns remain available.</w:t>
      </w:r>
    </w:p>
    <w:p>
      <w:pPr>
        <w:spacing w:after="120" w:line="280"/>
      </w:pPr>
      <w:r>
        <w:rPr>
          <w:rFonts w:ascii="Arial" w:cs="Arial" w:eastAsia="Arial" w:hAnsi="Arial"/>
          <w:color w:val="1A1A1A"/>
          <w:sz w:val="20"/>
          <w:szCs w:val="20"/>
        </w:rPr>
        <w:t xml:space="preserve">RISK_EVENT_RECENT_VINTAGE is used as the training target for the risk model and as the definition of a "riskier customer" in the evaluation, which is what the dictionary directs. It is never an input to an offer.</w:t>
      </w:r>
    </w:p>
    <w:p>
      <w:pPr>
        <w:pStyle w:val="Heading1"/>
        <w:spacing w:after="140" w:before="320"/>
      </w:pPr>
      <w:r>
        <w:rPr>
          <w:rFonts w:ascii="Arial" w:cs="Arial" w:eastAsia="Arial" w:hAnsi="Arial"/>
          <w:b/>
          <w:bCs/>
          <w:color w:val="16326B"/>
          <w:sz w:val="26"/>
          <w:szCs w:val="26"/>
        </w:rPr>
        <w:t xml:space="preserve">3. Diagnostic — what is actually wrong with the incumbent logic</w:t>
      </w:r>
    </w:p>
    <w:p>
      <w:pPr>
        <w:pStyle w:val="Heading2"/>
        <w:spacing w:after="100" w:before="220"/>
      </w:pPr>
      <w:r>
        <w:rPr>
          <w:rFonts w:ascii="Arial" w:cs="Arial" w:eastAsia="Arial" w:hAnsi="Arial"/>
          <w:b/>
          <w:bCs/>
          <w:color w:val="00843D"/>
          <w:sz w:val="22"/>
          <w:szCs w:val="22"/>
        </w:rPr>
        <w:t xml:space="preserve">3.1 The offer responds to risk, not to affordability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3400"/>
        <w:gridCol w:w="2880"/>
      </w:tblGrid>
      <w:tr>
        <w:trPr>
          <w:tblHeader/>
        </w:trPr>
        <w:tc>
          <w:tcPr>
            <w:tcW w:type="dxa" w:w="3800"/>
            <w:shd w:fill="16326B" w:color="auto" w:val="clear"/>
            <w:tcMar>
              <w:top w:type="dxa" w:w="60"/>
              <w:left w:type="dxa" w:w="90"/>
              <w:bottom w:type="dxa" w:w="60"/>
              <w:right w:type="dxa" w:w="90"/>
            </w:tcMar>
          </w:tcPr>
          <w:p>
            <w:pPr>
              <w:spacing w:after="0" w:line="250"/>
            </w:pPr>
            <w:r>
              <w:rPr>
                <w:rFonts w:ascii="Arial" w:cs="Arial" w:eastAsia="Arial" w:hAnsi="Arial"/>
                <w:b/>
                <w:bCs/>
                <w:color w:val="FFFFFF"/>
                <w:sz w:val="16"/>
                <w:szCs w:val="16"/>
              </w:rPr>
              <w:t xml:space="preserve">Candidate input</w:t>
            </w:r>
          </w:p>
        </w:tc>
        <w:tc>
          <w:tcPr>
            <w:tcW w:type="dxa" w:w="3400"/>
            <w:shd w:fill="16326B" w:color="auto" w:val="clear"/>
            <w:tcMar>
              <w:top w:type="dxa" w:w="60"/>
              <w:left w:type="dxa" w:w="90"/>
              <w:bottom w:type="dxa" w:w="60"/>
              <w:right w:type="dxa" w:w="90"/>
            </w:tcMar>
          </w:tcPr>
          <w:p>
            <w:pPr>
              <w:spacing w:after="0" w:line="250"/>
            </w:pPr>
            <w:r>
              <w:rPr>
                <w:rFonts w:ascii="Arial" w:cs="Arial" w:eastAsia="Arial" w:hAnsi="Arial"/>
                <w:b/>
                <w:bCs/>
                <w:color w:val="FFFFFF"/>
                <w:sz w:val="16"/>
                <w:szCs w:val="16"/>
              </w:rPr>
              <w:t xml:space="preserve">Field</w:t>
            </w:r>
          </w:p>
        </w:tc>
        <w:tc>
          <w:tcPr>
            <w:tcW w:type="dxa" w:w="2880"/>
            <w:shd w:fill="16326B" w:color="auto" w:val="clear"/>
            <w:tcMar>
              <w:top w:type="dxa" w:w="60"/>
              <w:left w:type="dxa" w:w="90"/>
              <w:bottom w:type="dxa" w:w="60"/>
              <w:right w:type="dxa" w:w="90"/>
            </w:tcMar>
          </w:tcPr>
          <w:p>
            <w:pPr>
              <w:spacing w:after="0" w:line="250"/>
            </w:pPr>
            <w:r>
              <w:rPr>
                <w:rFonts w:ascii="Arial" w:cs="Arial" w:eastAsia="Arial" w:hAnsi="Arial"/>
                <w:b/>
                <w:bCs/>
                <w:color w:val="FFFFFF"/>
                <w:sz w:val="16"/>
                <w:szCs w:val="16"/>
              </w:rPr>
              <w:t xml:space="preserve">Correlation with the existing offer</w:t>
            </w:r>
          </w:p>
        </w:tc>
      </w:tr>
      <w:tr>
        <w:tc>
          <w:tcPr>
            <w:tcW w:type="dxa" w:w="3800"/>
            <w:tcMar>
              <w:top w:type="dxa" w:w="60"/>
              <w:left w:type="dxa" w:w="90"/>
              <w:bottom w:type="dxa" w:w="60"/>
              <w:right w:type="dxa" w:w="90"/>
            </w:tcMar>
          </w:tcPr>
          <w:p>
            <w:pPr>
              <w:spacing w:after="0" w:line="250"/>
              <w:jc w:val="left"/>
            </w:pPr>
            <w:r>
              <w:rPr>
                <w:rFonts w:ascii="Arial" w:cs="Arial" w:eastAsia="Arial" w:hAnsi="Arial"/>
                <w:color w:val="1A1A1A"/>
                <w:sz w:val="17"/>
                <w:szCs w:val="17"/>
              </w:rPr>
              <w:t xml:space="preserve">Demonstrated EMI capacity</w:t>
            </w:r>
          </w:p>
        </w:tc>
        <w:tc>
          <w:tcPr>
            <w:tcW w:type="dxa" w:w="3400"/>
            <w:tcMar>
              <w:top w:type="dxa" w:w="60"/>
              <w:left w:type="dxa" w:w="90"/>
              <w:bottom w:type="dxa" w:w="60"/>
              <w:right w:type="dxa" w:w="90"/>
            </w:tcMar>
          </w:tcPr>
          <w:p>
            <w:pPr>
              <w:spacing w:after="0" w:line="250"/>
              <w:jc w:val="left"/>
            </w:pPr>
            <w:r>
              <w:rPr>
                <w:rFonts w:ascii="Arial" w:cs="Arial" w:eastAsia="Arial" w:hAnsi="Arial"/>
                <w:color w:val="1A1A1A"/>
                <w:sz w:val="17"/>
                <w:szCs w:val="17"/>
              </w:rPr>
              <w:t xml:space="preserve">MAX_EMI_SERVED_MOB_*</w:t>
            </w:r>
          </w:p>
        </w:tc>
        <w:tc>
          <w:tcPr>
            <w:tcW w:type="dxa" w:w="2880"/>
            <w:tcMar>
              <w:top w:type="dxa" w:w="60"/>
              <w:left w:type="dxa" w:w="90"/>
              <w:bottom w:type="dxa" w:w="60"/>
              <w:right w:type="dxa" w:w="90"/>
            </w:tcMar>
          </w:tcPr>
          <w:p>
            <w:pPr>
              <w:spacing w:after="0" w:line="250"/>
              <w:jc w:val="right"/>
            </w:pPr>
            <w:r>
              <w:rPr>
                <w:rFonts w:ascii="Arial" w:cs="Arial" w:eastAsia="Arial" w:hAnsi="Arial"/>
                <w:color w:val="1A1A1A"/>
                <w:sz w:val="17"/>
                <w:szCs w:val="17"/>
              </w:rPr>
              <w:t xml:space="preserve">0.166</w:t>
            </w:r>
          </w:p>
        </w:tc>
      </w:tr>
      <w:tr>
        <w:tc>
          <w:tcPr>
            <w:tcW w:type="dxa" w:w="3800"/>
            <w:shd w:fill="F3F5F6" w:color="auto" w:val="clear"/>
            <w:tcMar>
              <w:top w:type="dxa" w:w="60"/>
              <w:left w:type="dxa" w:w="90"/>
              <w:bottom w:type="dxa" w:w="60"/>
              <w:right w:type="dxa" w:w="90"/>
            </w:tcMar>
          </w:tcPr>
          <w:p>
            <w:pPr>
              <w:spacing w:after="0" w:line="250"/>
              <w:jc w:val="left"/>
            </w:pPr>
            <w:r>
              <w:rPr>
                <w:rFonts w:ascii="Arial" w:cs="Arial" w:eastAsia="Arial" w:hAnsi="Arial"/>
                <w:color w:val="1A1A1A"/>
                <w:sz w:val="17"/>
                <w:szCs w:val="17"/>
              </w:rPr>
              <w:t xml:space="preserve">Live EMI obligation</w:t>
            </w:r>
          </w:p>
        </w:tc>
        <w:tc>
          <w:tcPr>
            <w:tcW w:type="dxa" w:w="3400"/>
            <w:shd w:fill="F3F5F6" w:color="auto" w:val="clear"/>
            <w:tcMar>
              <w:top w:type="dxa" w:w="60"/>
              <w:left w:type="dxa" w:w="90"/>
              <w:bottom w:type="dxa" w:w="60"/>
              <w:right w:type="dxa" w:w="90"/>
            </w:tcMar>
          </w:tcPr>
          <w:p>
            <w:pPr>
              <w:spacing w:after="0" w:line="250"/>
              <w:jc w:val="left"/>
            </w:pPr>
            <w:r>
              <w:rPr>
                <w:rFonts w:ascii="Arial" w:cs="Arial" w:eastAsia="Arial" w:hAnsi="Arial"/>
                <w:color w:val="1A1A1A"/>
                <w:sz w:val="17"/>
                <w:szCs w:val="17"/>
              </w:rPr>
              <w:t xml:space="preserve">LIVE_EMI</w:t>
            </w:r>
          </w:p>
        </w:tc>
        <w:tc>
          <w:tcPr>
            <w:tcW w:type="dxa" w:w="2880"/>
            <w:shd w:fill="F3F5F6" w:color="auto" w:val="clear"/>
            <w:tcMar>
              <w:top w:type="dxa" w:w="60"/>
              <w:left w:type="dxa" w:w="90"/>
              <w:bottom w:type="dxa" w:w="60"/>
              <w:right w:type="dxa" w:w="90"/>
            </w:tcMar>
          </w:tcPr>
          <w:p>
            <w:pPr>
              <w:spacing w:after="0" w:line="250"/>
              <w:jc w:val="right"/>
            </w:pPr>
            <w:r>
              <w:rPr>
                <w:rFonts w:ascii="Arial" w:cs="Arial" w:eastAsia="Arial" w:hAnsi="Arial"/>
                <w:color w:val="1A1A1A"/>
                <w:sz w:val="17"/>
                <w:szCs w:val="17"/>
              </w:rPr>
              <w:t xml:space="preserve">0.139</w:t>
            </w:r>
          </w:p>
        </w:tc>
      </w:tr>
      <w:tr>
        <w:tc>
          <w:tcPr>
            <w:tcW w:type="dxa" w:w="3800"/>
            <w:tcMar>
              <w:top w:type="dxa" w:w="60"/>
              <w:left w:type="dxa" w:w="90"/>
              <w:bottom w:type="dxa" w:w="60"/>
              <w:right w:type="dxa" w:w="90"/>
            </w:tcMar>
          </w:tcPr>
          <w:p>
            <w:pPr>
              <w:spacing w:after="0" w:line="250"/>
              <w:jc w:val="left"/>
            </w:pPr>
            <w:r>
              <w:rPr>
                <w:rFonts w:ascii="Arial" w:cs="Arial" w:eastAsia="Arial" w:hAnsi="Arial"/>
                <w:color w:val="1A1A1A"/>
                <w:sz w:val="17"/>
                <w:szCs w:val="17"/>
              </w:rPr>
              <w:t xml:space="preserve">Total live EMI</w:t>
            </w:r>
          </w:p>
        </w:tc>
        <w:tc>
          <w:tcPr>
            <w:tcW w:type="dxa" w:w="3400"/>
            <w:tcMar>
              <w:top w:type="dxa" w:w="60"/>
              <w:left w:type="dxa" w:w="90"/>
              <w:bottom w:type="dxa" w:w="60"/>
              <w:right w:type="dxa" w:w="90"/>
            </w:tcMar>
          </w:tcPr>
          <w:p>
            <w:pPr>
              <w:spacing w:after="0" w:line="250"/>
              <w:jc w:val="left"/>
            </w:pPr>
            <w:r>
              <w:rPr>
                <w:rFonts w:ascii="Arial" w:cs="Arial" w:eastAsia="Arial" w:hAnsi="Arial"/>
                <w:color w:val="1A1A1A"/>
                <w:sz w:val="17"/>
                <w:szCs w:val="17"/>
              </w:rPr>
              <w:t xml:space="preserve">TOTAL_EMI_LIVE</w:t>
            </w:r>
          </w:p>
        </w:tc>
        <w:tc>
          <w:tcPr>
            <w:tcW w:type="dxa" w:w="2880"/>
            <w:tcMar>
              <w:top w:type="dxa" w:w="60"/>
              <w:left w:type="dxa" w:w="90"/>
              <w:bottom w:type="dxa" w:w="60"/>
              <w:right w:type="dxa" w:w="90"/>
            </w:tcMar>
          </w:tcPr>
          <w:p>
            <w:pPr>
              <w:spacing w:after="0" w:line="250"/>
              <w:jc w:val="right"/>
            </w:pPr>
            <w:r>
              <w:rPr>
                <w:rFonts w:ascii="Arial" w:cs="Arial" w:eastAsia="Arial" w:hAnsi="Arial"/>
                <w:color w:val="1A1A1A"/>
                <w:sz w:val="17"/>
                <w:szCs w:val="17"/>
              </w:rPr>
              <w:t xml:space="preserve">0.151</w:t>
            </w:r>
          </w:p>
        </w:tc>
      </w:tr>
      <w:tr>
        <w:tc>
          <w:tcPr>
            <w:tcW w:type="dxa" w:w="3800"/>
            <w:shd w:fill="F3F5F6" w:color="auto" w:val="clear"/>
            <w:tcMar>
              <w:top w:type="dxa" w:w="60"/>
              <w:left w:type="dxa" w:w="90"/>
              <w:bottom w:type="dxa" w:w="60"/>
              <w:right w:type="dxa" w:w="90"/>
            </w:tcMar>
          </w:tcPr>
          <w:p>
            <w:pPr>
              <w:spacing w:after="0" w:line="250"/>
              <w:jc w:val="left"/>
            </w:pPr>
            <w:r>
              <w:rPr>
                <w:rFonts w:ascii="Arial" w:cs="Arial" w:eastAsia="Arial" w:hAnsi="Arial"/>
                <w:color w:val="1A1A1A"/>
                <w:sz w:val="17"/>
                <w:szCs w:val="17"/>
              </w:rPr>
              <w:t xml:space="preserve">Bureau income proxy</w:t>
            </w:r>
          </w:p>
        </w:tc>
        <w:tc>
          <w:tcPr>
            <w:tcW w:type="dxa" w:w="3400"/>
            <w:shd w:fill="F3F5F6" w:color="auto" w:val="clear"/>
            <w:tcMar>
              <w:top w:type="dxa" w:w="60"/>
              <w:left w:type="dxa" w:w="90"/>
              <w:bottom w:type="dxa" w:w="60"/>
              <w:right w:type="dxa" w:w="90"/>
            </w:tcMar>
          </w:tcPr>
          <w:p>
            <w:pPr>
              <w:spacing w:after="0" w:line="250"/>
              <w:jc w:val="left"/>
            </w:pPr>
            <w:r>
              <w:rPr>
                <w:rFonts w:ascii="Arial" w:cs="Arial" w:eastAsia="Arial" w:hAnsi="Arial"/>
                <w:color w:val="1A1A1A"/>
                <w:sz w:val="17"/>
                <w:szCs w:val="17"/>
              </w:rPr>
              <w:t xml:space="preserve">MAX_INCOME</w:t>
            </w:r>
          </w:p>
        </w:tc>
        <w:tc>
          <w:tcPr>
            <w:tcW w:type="dxa" w:w="2880"/>
            <w:shd w:fill="F3F5F6" w:color="auto" w:val="clear"/>
            <w:tcMar>
              <w:top w:type="dxa" w:w="60"/>
              <w:left w:type="dxa" w:w="90"/>
              <w:bottom w:type="dxa" w:w="60"/>
              <w:right w:type="dxa" w:w="90"/>
            </w:tcMar>
          </w:tcPr>
          <w:p>
            <w:pPr>
              <w:spacing w:after="0" w:line="250"/>
              <w:jc w:val="right"/>
            </w:pPr>
            <w:r>
              <w:rPr>
                <w:rFonts w:ascii="Arial" w:cs="Arial" w:eastAsia="Arial" w:hAnsi="Arial"/>
                <w:color w:val="1A1A1A"/>
                <w:sz w:val="17"/>
                <w:szCs w:val="17"/>
              </w:rPr>
              <w:t xml:space="preserve">0.039</w:t>
            </w:r>
          </w:p>
        </w:tc>
      </w:tr>
      <w:tr>
        <w:tc>
          <w:tcPr>
            <w:tcW w:type="dxa" w:w="3800"/>
            <w:tcMar>
              <w:top w:type="dxa" w:w="60"/>
              <w:left w:type="dxa" w:w="90"/>
              <w:bottom w:type="dxa" w:w="60"/>
              <w:right w:type="dxa" w:w="90"/>
            </w:tcMar>
          </w:tcPr>
          <w:p>
            <w:pPr>
              <w:spacing w:after="0" w:line="250"/>
              <w:jc w:val="left"/>
            </w:pPr>
            <w:r>
              <w:rPr>
                <w:rFonts w:ascii="Arial" w:cs="Arial" w:eastAsia="Arial" w:hAnsi="Arial"/>
                <w:color w:val="1A1A1A"/>
                <w:sz w:val="17"/>
                <w:szCs w:val="17"/>
              </w:rPr>
              <w:t xml:space="preserve">Largest prior personal loan</w:t>
            </w:r>
          </w:p>
        </w:tc>
        <w:tc>
          <w:tcPr>
            <w:tcW w:type="dxa" w:w="3400"/>
            <w:tcMar>
              <w:top w:type="dxa" w:w="60"/>
              <w:left w:type="dxa" w:w="90"/>
              <w:bottom w:type="dxa" w:w="60"/>
              <w:right w:type="dxa" w:w="90"/>
            </w:tcMar>
          </w:tcPr>
          <w:p>
            <w:pPr>
              <w:spacing w:after="0" w:line="250"/>
              <w:jc w:val="left"/>
            </w:pPr>
            <w:r>
              <w:rPr>
                <w:rFonts w:ascii="Arial" w:cs="Arial" w:eastAsia="Arial" w:hAnsi="Arial"/>
                <w:color w:val="1A1A1A"/>
                <w:sz w:val="17"/>
                <w:szCs w:val="17"/>
              </w:rPr>
              <w:t xml:space="preserve">MAX_CREDIT_AMOUNT_PL</w:t>
            </w:r>
          </w:p>
        </w:tc>
        <w:tc>
          <w:tcPr>
            <w:tcW w:type="dxa" w:w="2880"/>
            <w:tcMar>
              <w:top w:type="dxa" w:w="60"/>
              <w:left w:type="dxa" w:w="90"/>
              <w:bottom w:type="dxa" w:w="60"/>
              <w:right w:type="dxa" w:w="90"/>
            </w:tcMar>
          </w:tcPr>
          <w:p>
            <w:pPr>
              <w:spacing w:after="0" w:line="250"/>
              <w:jc w:val="right"/>
            </w:pPr>
            <w:r>
              <w:rPr>
                <w:rFonts w:ascii="Arial" w:cs="Arial" w:eastAsia="Arial" w:hAnsi="Arial"/>
                <w:color w:val="1A1A1A"/>
                <w:sz w:val="17"/>
                <w:szCs w:val="17"/>
              </w:rPr>
              <w:t xml:space="preserve">0.328</w:t>
            </w:r>
          </w:p>
        </w:tc>
      </w:tr>
      <w:tr>
        <w:tc>
          <w:tcPr>
            <w:tcW w:type="dxa" w:w="3800"/>
            <w:shd w:fill="F3F5F6" w:color="auto" w:val="clear"/>
            <w:tcMar>
              <w:top w:type="dxa" w:w="60"/>
              <w:left w:type="dxa" w:w="90"/>
              <w:bottom w:type="dxa" w:w="60"/>
              <w:right w:type="dxa" w:w="90"/>
            </w:tcMar>
          </w:tcPr>
          <w:p>
            <w:pPr>
              <w:spacing w:after="0" w:line="250"/>
              <w:jc w:val="left"/>
            </w:pPr>
            <w:r>
              <w:rPr>
                <w:rFonts w:ascii="Arial" w:cs="Arial" w:eastAsia="Arial" w:hAnsi="Arial"/>
                <w:color w:val="1A1A1A"/>
                <w:sz w:val="17"/>
                <w:szCs w:val="17"/>
              </w:rPr>
              <w:t xml:space="preserve">External bureau risk score</w:t>
            </w:r>
          </w:p>
        </w:tc>
        <w:tc>
          <w:tcPr>
            <w:tcW w:type="dxa" w:w="3400"/>
            <w:shd w:fill="F3F5F6" w:color="auto" w:val="clear"/>
            <w:tcMar>
              <w:top w:type="dxa" w:w="60"/>
              <w:left w:type="dxa" w:w="90"/>
              <w:bottom w:type="dxa" w:w="60"/>
              <w:right w:type="dxa" w:w="90"/>
            </w:tcMar>
          </w:tcPr>
          <w:p>
            <w:pPr>
              <w:spacing w:after="0" w:line="250"/>
              <w:jc w:val="left"/>
            </w:pPr>
            <w:r>
              <w:rPr>
                <w:rFonts w:ascii="Arial" w:cs="Arial" w:eastAsia="Arial" w:hAnsi="Arial"/>
                <w:color w:val="1A1A1A"/>
                <w:sz w:val="17"/>
                <w:szCs w:val="17"/>
              </w:rPr>
              <w:t xml:space="preserve">EXTERNAL_RISK_SCORE</w:t>
            </w:r>
          </w:p>
        </w:tc>
        <w:tc>
          <w:tcPr>
            <w:tcW w:type="dxa" w:w="2880"/>
            <w:shd w:fill="F3F5F6" w:color="auto" w:val="clear"/>
            <w:tcMar>
              <w:top w:type="dxa" w:w="60"/>
              <w:left w:type="dxa" w:w="90"/>
              <w:bottom w:type="dxa" w:w="60"/>
              <w:right w:type="dxa" w:w="90"/>
            </w:tcMar>
          </w:tcPr>
          <w:p>
            <w:pPr>
              <w:spacing w:after="0" w:line="250"/>
              <w:jc w:val="right"/>
            </w:pPr>
            <w:r>
              <w:rPr>
                <w:rFonts w:ascii="Arial" w:cs="Arial" w:eastAsia="Arial" w:hAnsi="Arial"/>
                <w:color w:val="1A1A1A"/>
                <w:sz w:val="17"/>
                <w:szCs w:val="17"/>
              </w:rPr>
              <w:t xml:space="preserve">0.314</w:t>
            </w:r>
          </w:p>
        </w:tc>
      </w:tr>
    </w:tbl>
    <w:p>
      <w:pPr>
        <w:spacing w:after="120" w:line="280"/>
      </w:pPr>
      <w:r>
        <w:rPr>
          <w:rFonts w:ascii="Arial" w:cs="Arial" w:eastAsia="Arial" w:hAnsi="Arial"/>
          <w:color w:val="1A1A1A"/>
          <w:sz w:val="20"/>
          <w:szCs w:val="20"/>
        </w:rPr>
        <w:t xml:space="preserve"/>
      </w:r>
    </w:p>
    <w:p>
      <w:pPr>
        <w:spacing w:after="120" w:line="280"/>
      </w:pPr>
      <w:r>
        <w:rPr>
          <w:rFonts w:ascii="Arial" w:cs="Arial" w:eastAsia="Arial" w:hAnsi="Arial"/>
          <w:color w:val="1A1A1A"/>
          <w:sz w:val="20"/>
          <w:szCs w:val="20"/>
        </w:rPr>
        <w:t xml:space="preserve">Against that, the offer falls from ₹2,56,650 at risk grade 1 to ₹97,504 at grade 6 — a 2.6x spread — and from ₹2,36,203 to ₹1,08,374 across the credit-history depth flag. The logic is keyed to eligibility bands and to how much the customer has borrowed before. It is close to blind to what they have shown they can repay.</w:t>
      </w:r>
    </w:p>
    <w:p>
      <w:pPr>
        <w:pStyle w:val="Heading2"/>
        <w:spacing w:after="100" w:before="220"/>
      </w:pPr>
      <w:r>
        <w:rPr>
          <w:rFonts w:ascii="Arial" w:cs="Arial" w:eastAsia="Arial" w:hAnsi="Arial"/>
          <w:b/>
          <w:bCs/>
          <w:color w:val="00843D"/>
          <w:sz w:val="22"/>
          <w:szCs w:val="22"/>
        </w:rPr>
        <w:t xml:space="preserve">3.2 The customers who ask for more are not the customers who cannot carry more</w:t>
      </w:r>
    </w:p>
    <w:p>
      <w:pPr>
        <w:spacing w:after="120" w:line="280"/>
      </w:pPr>
      <w:r>
        <w:rPr>
          <w:rFonts w:ascii="Arial" w:cs="Arial" w:eastAsia="Arial" w:hAnsi="Arial"/>
          <w:color w:val="1A1A1A"/>
          <w:sz w:val="20"/>
          <w:szCs w:val="20"/>
        </w:rPr>
        <w:t xml:space="preserve">808 customers in the base carry the call-centre remark "Require Higher Loan Amount" (627 in the build cohort). Their demonstrated EMI capacity averages ₹31,652 against ₹30,996 for the base — statistically indistinguishable — yet their average offer was ₹1,65,326 against ₹1,78,155, about 7% lower. Not one of them converted.</w:t>
      </w:r>
    </w:p>
    <w:p>
      <w:pPr>
        <w:spacing w:after="120" w:line="280"/>
      </w:pPr>
      <w:r>
        <w:rPr>
          <w:rFonts w:ascii="Arial" w:cs="Arial" w:eastAsia="Arial" w:hAnsi="Arial"/>
          <w:b/>
          <w:bCs/>
          <w:color w:val="1A1A1A"/>
          <w:sz w:val="20"/>
          <w:szCs w:val="20"/>
        </w:rPr>
        <w:t xml:space="preserve">They were not turned down because they could not afford more. They were turned down because the grid did not look at affordability.</w:t>
      </w:r>
    </w:p>
    <w:p>
      <w:pPr>
        <w:pStyle w:val="Heading2"/>
        <w:spacing w:after="100" w:before="220"/>
      </w:pPr>
      <w:r>
        <w:rPr>
          <w:rFonts w:ascii="Arial" w:cs="Arial" w:eastAsia="Arial" w:hAnsi="Arial"/>
          <w:b/>
          <w:bCs/>
          <w:color w:val="00843D"/>
          <w:sz w:val="22"/>
          <w:szCs w:val="22"/>
        </w:rPr>
        <w:t xml:space="preserve">3.3 The largest offers leak hardest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2140"/>
        <w:gridCol w:w="2140"/>
      </w:tblGrid>
      <w:tr>
        <w:trPr>
          <w:tblHeader/>
        </w:trPr>
        <w:tc>
          <w:tcPr>
            <w:tcW w:type="dxa" w:w="2000"/>
            <w:shd w:fill="16326B" w:color="auto" w:val="clear"/>
            <w:tcMar>
              <w:top w:type="dxa" w:w="60"/>
              <w:left w:type="dxa" w:w="90"/>
              <w:bottom w:type="dxa" w:w="60"/>
              <w:right w:type="dxa" w:w="90"/>
            </w:tcMar>
          </w:tcPr>
          <w:p>
            <w:pPr>
              <w:spacing w:after="0" w:line="250"/>
            </w:pPr>
            <w:r>
              <w:rPr>
                <w:rFonts w:ascii="Arial" w:cs="Arial" w:eastAsia="Arial" w:hAnsi="Arial"/>
                <w:b/>
                <w:bCs/>
                <w:color w:val="FFFFFF"/>
                <w:sz w:val="16"/>
                <w:szCs w:val="16"/>
              </w:rPr>
              <w:t xml:space="preserve">Offer band</w:t>
            </w:r>
          </w:p>
        </w:tc>
        <w:tc>
          <w:tcPr>
            <w:tcW w:type="dxa" w:w="1800"/>
            <w:shd w:fill="16326B" w:color="auto" w:val="clear"/>
            <w:tcMar>
              <w:top w:type="dxa" w:w="60"/>
              <w:left w:type="dxa" w:w="90"/>
              <w:bottom w:type="dxa" w:w="60"/>
              <w:right w:type="dxa" w:w="90"/>
            </w:tcMar>
          </w:tcPr>
          <w:p>
            <w:pPr>
              <w:spacing w:after="0" w:line="250"/>
            </w:pPr>
            <w:r>
              <w:rPr>
                <w:rFonts w:ascii="Arial" w:cs="Arial" w:eastAsia="Arial" w:hAnsi="Arial"/>
                <w:b/>
                <w:bCs/>
                <w:color w:val="FFFFFF"/>
                <w:sz w:val="16"/>
                <w:szCs w:val="16"/>
              </w:rPr>
              <w:t xml:space="preserve">Customers</w:t>
            </w:r>
          </w:p>
        </w:tc>
        <w:tc>
          <w:tcPr>
            <w:tcW w:type="dxa" w:w="2000"/>
            <w:shd w:fill="16326B" w:color="auto" w:val="clear"/>
            <w:tcMar>
              <w:top w:type="dxa" w:w="60"/>
              <w:left w:type="dxa" w:w="90"/>
              <w:bottom w:type="dxa" w:w="60"/>
              <w:right w:type="dxa" w:w="90"/>
            </w:tcMar>
          </w:tcPr>
          <w:p>
            <w:pPr>
              <w:spacing w:after="0" w:line="250"/>
            </w:pPr>
            <w:r>
              <w:rPr>
                <w:rFonts w:ascii="Arial" w:cs="Arial" w:eastAsia="Arial" w:hAnsi="Arial"/>
                <w:b/>
                <w:bCs/>
                <w:color w:val="FFFFFF"/>
                <w:sz w:val="16"/>
                <w:szCs w:val="16"/>
              </w:rPr>
              <w:t xml:space="preserve">Avg offer</w:t>
            </w:r>
          </w:p>
        </w:tc>
        <w:tc>
          <w:tcPr>
            <w:tcW w:type="dxa" w:w="2140"/>
            <w:shd w:fill="16326B" w:color="auto" w:val="clear"/>
            <w:tcMar>
              <w:top w:type="dxa" w:w="60"/>
              <w:left w:type="dxa" w:w="90"/>
              <w:bottom w:type="dxa" w:w="60"/>
              <w:right w:type="dxa" w:w="90"/>
            </w:tcMar>
          </w:tcPr>
          <w:p>
            <w:pPr>
              <w:spacing w:after="0" w:line="250"/>
            </w:pPr>
            <w:r>
              <w:rPr>
                <w:rFonts w:ascii="Arial" w:cs="Arial" w:eastAsia="Arial" w:hAnsi="Arial"/>
                <w:b/>
                <w:bCs/>
                <w:color w:val="FFFFFF"/>
                <w:sz w:val="16"/>
                <w:szCs w:val="16"/>
              </w:rPr>
              <w:t xml:space="preserve">Took a TVS loan</w:t>
            </w:r>
          </w:p>
        </w:tc>
        <w:tc>
          <w:tcPr>
            <w:tcW w:type="dxa" w:w="2140"/>
            <w:shd w:fill="16326B" w:color="auto" w:val="clear"/>
            <w:tcMar>
              <w:top w:type="dxa" w:w="60"/>
              <w:left w:type="dxa" w:w="90"/>
              <w:bottom w:type="dxa" w:w="60"/>
              <w:right w:type="dxa" w:w="90"/>
            </w:tcMar>
          </w:tcPr>
          <w:p>
            <w:pPr>
              <w:spacing w:after="0" w:line="250"/>
            </w:pPr>
            <w:r>
              <w:rPr>
                <w:rFonts w:ascii="Arial" w:cs="Arial" w:eastAsia="Arial" w:hAnsi="Arial"/>
                <w:b/>
                <w:bCs/>
                <w:color w:val="FFFFFF"/>
                <w:sz w:val="16"/>
                <w:szCs w:val="16"/>
              </w:rPr>
              <w:t xml:space="preserve">Borrowed elsewhere</w:t>
            </w:r>
          </w:p>
        </w:tc>
      </w:tr>
      <w:tr>
        <w:tc>
          <w:tcPr>
            <w:tcW w:type="dxa" w:w="2000"/>
            <w:tcMar>
              <w:top w:type="dxa" w:w="60"/>
              <w:left w:type="dxa" w:w="90"/>
              <w:bottom w:type="dxa" w:w="60"/>
              <w:right w:type="dxa" w:w="90"/>
            </w:tcMar>
          </w:tcPr>
          <w:p>
            <w:pPr>
              <w:spacing w:after="0" w:line="250"/>
              <w:jc w:val="left"/>
            </w:pPr>
            <w:r>
              <w:rPr>
                <w:rFonts w:ascii="Arial" w:cs="Arial" w:eastAsia="Arial" w:hAnsi="Arial"/>
                <w:color w:val="1A1A1A"/>
                <w:sz w:val="17"/>
                <w:szCs w:val="17"/>
              </w:rPr>
              <w:t xml:space="preserve">₹40k – ₹80k</w:t>
            </w:r>
          </w:p>
        </w:tc>
        <w:tc>
          <w:tcPr>
            <w:tcW w:type="dxa" w:w="1800"/>
            <w:tcMar>
              <w:top w:type="dxa" w:w="60"/>
              <w:left w:type="dxa" w:w="90"/>
              <w:bottom w:type="dxa" w:w="60"/>
              <w:right w:type="dxa" w:w="90"/>
            </w:tcMar>
          </w:tcPr>
          <w:p>
            <w:pPr>
              <w:spacing w:after="0" w:line="250"/>
              <w:jc w:val="right"/>
            </w:pPr>
            <w:r>
              <w:rPr>
                <w:rFonts w:ascii="Arial" w:cs="Arial" w:eastAsia="Arial" w:hAnsi="Arial"/>
                <w:color w:val="1A1A1A"/>
                <w:sz w:val="17"/>
                <w:szCs w:val="17"/>
              </w:rPr>
              <w:t xml:space="preserve">20,486</w:t>
            </w:r>
          </w:p>
        </w:tc>
        <w:tc>
          <w:tcPr>
            <w:tcW w:type="dxa" w:w="2000"/>
            <w:tcMar>
              <w:top w:type="dxa" w:w="60"/>
              <w:left w:type="dxa" w:w="90"/>
              <w:bottom w:type="dxa" w:w="60"/>
              <w:right w:type="dxa" w:w="90"/>
            </w:tcMar>
          </w:tcPr>
          <w:p>
            <w:pPr>
              <w:spacing w:after="0" w:line="250"/>
              <w:jc w:val="right"/>
            </w:pPr>
            <w:r>
              <w:rPr>
                <w:rFonts w:ascii="Arial" w:cs="Arial" w:eastAsia="Arial" w:hAnsi="Arial"/>
                <w:color w:val="1A1A1A"/>
                <w:sz w:val="17"/>
                <w:szCs w:val="17"/>
              </w:rPr>
              <w:t xml:space="preserve">₹63,720</w:t>
            </w:r>
          </w:p>
        </w:tc>
        <w:tc>
          <w:tcPr>
            <w:tcW w:type="dxa" w:w="2140"/>
            <w:tcMar>
              <w:top w:type="dxa" w:w="60"/>
              <w:left w:type="dxa" w:w="90"/>
              <w:bottom w:type="dxa" w:w="60"/>
              <w:right w:type="dxa" w:w="90"/>
            </w:tcMar>
          </w:tcPr>
          <w:p>
            <w:pPr>
              <w:spacing w:after="0" w:line="250"/>
              <w:jc w:val="right"/>
            </w:pPr>
            <w:r>
              <w:rPr>
                <w:rFonts w:ascii="Arial" w:cs="Arial" w:eastAsia="Arial" w:hAnsi="Arial"/>
                <w:color w:val="1A1A1A"/>
                <w:sz w:val="17"/>
                <w:szCs w:val="17"/>
              </w:rPr>
              <w:t xml:space="preserve">18.4%</w:t>
            </w:r>
          </w:p>
        </w:tc>
        <w:tc>
          <w:tcPr>
            <w:tcW w:type="dxa" w:w="2140"/>
            <w:tcMar>
              <w:top w:type="dxa" w:w="60"/>
              <w:left w:type="dxa" w:w="90"/>
              <w:bottom w:type="dxa" w:w="60"/>
              <w:right w:type="dxa" w:w="90"/>
            </w:tcMar>
          </w:tcPr>
          <w:p>
            <w:pPr>
              <w:spacing w:after="0" w:line="250"/>
              <w:jc w:val="right"/>
            </w:pPr>
            <w:r>
              <w:rPr>
                <w:rFonts w:ascii="Arial" w:cs="Arial" w:eastAsia="Arial" w:hAnsi="Arial"/>
                <w:color w:val="1A1A1A"/>
                <w:sz w:val="17"/>
                <w:szCs w:val="17"/>
              </w:rPr>
              <w:t xml:space="preserve">1.1%</w:t>
            </w:r>
          </w:p>
        </w:tc>
      </w:tr>
      <w:tr>
        <w:tc>
          <w:tcPr>
            <w:tcW w:type="dxa" w:w="2000"/>
            <w:shd w:fill="F3F5F6" w:color="auto" w:val="clear"/>
            <w:tcMar>
              <w:top w:type="dxa" w:w="60"/>
              <w:left w:type="dxa" w:w="90"/>
              <w:bottom w:type="dxa" w:w="60"/>
              <w:right w:type="dxa" w:w="90"/>
            </w:tcMar>
          </w:tcPr>
          <w:p>
            <w:pPr>
              <w:spacing w:after="0" w:line="250"/>
              <w:jc w:val="left"/>
            </w:pPr>
            <w:r>
              <w:rPr>
                <w:rFonts w:ascii="Arial" w:cs="Arial" w:eastAsia="Arial" w:hAnsi="Arial"/>
                <w:color w:val="1A1A1A"/>
                <w:sz w:val="17"/>
                <w:szCs w:val="17"/>
              </w:rPr>
              <w:t xml:space="preserve">₹80k – ₹1.2L</w:t>
            </w:r>
          </w:p>
        </w:tc>
        <w:tc>
          <w:tcPr>
            <w:tcW w:type="dxa" w:w="1800"/>
            <w:shd w:fill="F3F5F6" w:color="auto" w:val="clear"/>
            <w:tcMar>
              <w:top w:type="dxa" w:w="60"/>
              <w:left w:type="dxa" w:w="90"/>
              <w:bottom w:type="dxa" w:w="60"/>
              <w:right w:type="dxa" w:w="90"/>
            </w:tcMar>
          </w:tcPr>
          <w:p>
            <w:pPr>
              <w:spacing w:after="0" w:line="250"/>
              <w:jc w:val="right"/>
            </w:pPr>
            <w:r>
              <w:rPr>
                <w:rFonts w:ascii="Arial" w:cs="Arial" w:eastAsia="Arial" w:hAnsi="Arial"/>
                <w:color w:val="1A1A1A"/>
                <w:sz w:val="17"/>
                <w:szCs w:val="17"/>
              </w:rPr>
              <w:t xml:space="preserve">19,922</w:t>
            </w:r>
          </w:p>
        </w:tc>
        <w:tc>
          <w:tcPr>
            <w:tcW w:type="dxa" w:w="2000"/>
            <w:shd w:fill="F3F5F6" w:color="auto" w:val="clear"/>
            <w:tcMar>
              <w:top w:type="dxa" w:w="60"/>
              <w:left w:type="dxa" w:w="90"/>
              <w:bottom w:type="dxa" w:w="60"/>
              <w:right w:type="dxa" w:w="90"/>
            </w:tcMar>
          </w:tcPr>
          <w:p>
            <w:pPr>
              <w:spacing w:after="0" w:line="250"/>
              <w:jc w:val="right"/>
            </w:pPr>
            <w:r>
              <w:rPr>
                <w:rFonts w:ascii="Arial" w:cs="Arial" w:eastAsia="Arial" w:hAnsi="Arial"/>
                <w:color w:val="1A1A1A"/>
                <w:sz w:val="17"/>
                <w:szCs w:val="17"/>
              </w:rPr>
              <w:t xml:space="preserve">₹1,03,886</w:t>
            </w:r>
          </w:p>
        </w:tc>
        <w:tc>
          <w:tcPr>
            <w:tcW w:type="dxa" w:w="2140"/>
            <w:shd w:fill="F3F5F6" w:color="auto" w:val="clear"/>
            <w:tcMar>
              <w:top w:type="dxa" w:w="60"/>
              <w:left w:type="dxa" w:w="90"/>
              <w:bottom w:type="dxa" w:w="60"/>
              <w:right w:type="dxa" w:w="90"/>
            </w:tcMar>
          </w:tcPr>
          <w:p>
            <w:pPr>
              <w:spacing w:after="0" w:line="250"/>
              <w:jc w:val="right"/>
            </w:pPr>
            <w:r>
              <w:rPr>
                <w:rFonts w:ascii="Arial" w:cs="Arial" w:eastAsia="Arial" w:hAnsi="Arial"/>
                <w:color w:val="1A1A1A"/>
                <w:sz w:val="17"/>
                <w:szCs w:val="17"/>
              </w:rPr>
              <w:t xml:space="preserve">12.0%</w:t>
            </w:r>
          </w:p>
        </w:tc>
        <w:tc>
          <w:tcPr>
            <w:tcW w:type="dxa" w:w="2140"/>
            <w:shd w:fill="F3F5F6" w:color="auto" w:val="clear"/>
            <w:tcMar>
              <w:top w:type="dxa" w:w="60"/>
              <w:left w:type="dxa" w:w="90"/>
              <w:bottom w:type="dxa" w:w="60"/>
              <w:right w:type="dxa" w:w="90"/>
            </w:tcMar>
          </w:tcPr>
          <w:p>
            <w:pPr>
              <w:spacing w:after="0" w:line="250"/>
              <w:jc w:val="right"/>
            </w:pPr>
            <w:r>
              <w:rPr>
                <w:rFonts w:ascii="Arial" w:cs="Arial" w:eastAsia="Arial" w:hAnsi="Arial"/>
                <w:color w:val="1A1A1A"/>
                <w:sz w:val="17"/>
                <w:szCs w:val="17"/>
              </w:rPr>
              <w:t xml:space="preserve">2.5%</w:t>
            </w:r>
          </w:p>
        </w:tc>
      </w:tr>
      <w:tr>
        <w:tc>
          <w:tcPr>
            <w:tcW w:type="dxa" w:w="2000"/>
            <w:tcMar>
              <w:top w:type="dxa" w:w="60"/>
              <w:left w:type="dxa" w:w="90"/>
              <w:bottom w:type="dxa" w:w="60"/>
              <w:right w:type="dxa" w:w="90"/>
            </w:tcMar>
          </w:tcPr>
          <w:p>
            <w:pPr>
              <w:spacing w:after="0" w:line="250"/>
              <w:jc w:val="left"/>
            </w:pPr>
            <w:r>
              <w:rPr>
                <w:rFonts w:ascii="Arial" w:cs="Arial" w:eastAsia="Arial" w:hAnsi="Arial"/>
                <w:color w:val="1A1A1A"/>
                <w:sz w:val="17"/>
                <w:szCs w:val="17"/>
              </w:rPr>
              <w:t xml:space="preserve">₹1.2L – ₹1.5L</w:t>
            </w:r>
          </w:p>
        </w:tc>
        <w:tc>
          <w:tcPr>
            <w:tcW w:type="dxa" w:w="1800"/>
            <w:tcMar>
              <w:top w:type="dxa" w:w="60"/>
              <w:left w:type="dxa" w:w="90"/>
              <w:bottom w:type="dxa" w:w="60"/>
              <w:right w:type="dxa" w:w="90"/>
            </w:tcMar>
          </w:tcPr>
          <w:p>
            <w:pPr>
              <w:spacing w:after="0" w:line="250"/>
              <w:jc w:val="right"/>
            </w:pPr>
            <w:r>
              <w:rPr>
                <w:rFonts w:ascii="Arial" w:cs="Arial" w:eastAsia="Arial" w:hAnsi="Arial"/>
                <w:color w:val="1A1A1A"/>
                <w:sz w:val="17"/>
                <w:szCs w:val="17"/>
              </w:rPr>
              <w:t xml:space="preserve">36,323</w:t>
            </w:r>
          </w:p>
        </w:tc>
        <w:tc>
          <w:tcPr>
            <w:tcW w:type="dxa" w:w="2000"/>
            <w:tcMar>
              <w:top w:type="dxa" w:w="60"/>
              <w:left w:type="dxa" w:w="90"/>
              <w:bottom w:type="dxa" w:w="60"/>
              <w:right w:type="dxa" w:w="90"/>
            </w:tcMar>
          </w:tcPr>
          <w:p>
            <w:pPr>
              <w:spacing w:after="0" w:line="250"/>
              <w:jc w:val="right"/>
            </w:pPr>
            <w:r>
              <w:rPr>
                <w:rFonts w:ascii="Arial" w:cs="Arial" w:eastAsia="Arial" w:hAnsi="Arial"/>
                <w:color w:val="1A1A1A"/>
                <w:sz w:val="17"/>
                <w:szCs w:val="17"/>
              </w:rPr>
              <w:t xml:space="preserve">₹1,46,013</w:t>
            </w:r>
          </w:p>
        </w:tc>
        <w:tc>
          <w:tcPr>
            <w:tcW w:type="dxa" w:w="2140"/>
            <w:tcMar>
              <w:top w:type="dxa" w:w="60"/>
              <w:left w:type="dxa" w:w="90"/>
              <w:bottom w:type="dxa" w:w="60"/>
              <w:right w:type="dxa" w:w="90"/>
            </w:tcMar>
          </w:tcPr>
          <w:p>
            <w:pPr>
              <w:spacing w:after="0" w:line="250"/>
              <w:jc w:val="right"/>
            </w:pPr>
            <w:r>
              <w:rPr>
                <w:rFonts w:ascii="Arial" w:cs="Arial" w:eastAsia="Arial" w:hAnsi="Arial"/>
                <w:color w:val="1A1A1A"/>
                <w:sz w:val="17"/>
                <w:szCs w:val="17"/>
              </w:rPr>
              <w:t xml:space="preserve">12.3%</w:t>
            </w:r>
          </w:p>
        </w:tc>
        <w:tc>
          <w:tcPr>
            <w:tcW w:type="dxa" w:w="2140"/>
            <w:tcMar>
              <w:top w:type="dxa" w:w="60"/>
              <w:left w:type="dxa" w:w="90"/>
              <w:bottom w:type="dxa" w:w="60"/>
              <w:right w:type="dxa" w:w="90"/>
            </w:tcMar>
          </w:tcPr>
          <w:p>
            <w:pPr>
              <w:spacing w:after="0" w:line="250"/>
              <w:jc w:val="right"/>
            </w:pPr>
            <w:r>
              <w:rPr>
                <w:rFonts w:ascii="Arial" w:cs="Arial" w:eastAsia="Arial" w:hAnsi="Arial"/>
                <w:color w:val="1A1A1A"/>
                <w:sz w:val="17"/>
                <w:szCs w:val="17"/>
              </w:rPr>
              <w:t xml:space="preserve">4.6%</w:t>
            </w:r>
          </w:p>
        </w:tc>
      </w:tr>
      <w:tr>
        <w:tc>
          <w:tcPr>
            <w:tcW w:type="dxa" w:w="2000"/>
            <w:shd w:fill="F3F5F6" w:color="auto" w:val="clear"/>
            <w:tcMar>
              <w:top w:type="dxa" w:w="60"/>
              <w:left w:type="dxa" w:w="90"/>
              <w:bottom w:type="dxa" w:w="60"/>
              <w:right w:type="dxa" w:w="90"/>
            </w:tcMar>
          </w:tcPr>
          <w:p>
            <w:pPr>
              <w:spacing w:after="0" w:line="250"/>
              <w:jc w:val="left"/>
            </w:pPr>
            <w:r>
              <w:rPr>
                <w:rFonts w:ascii="Arial" w:cs="Arial" w:eastAsia="Arial" w:hAnsi="Arial"/>
                <w:color w:val="1A1A1A"/>
                <w:sz w:val="17"/>
                <w:szCs w:val="17"/>
              </w:rPr>
              <w:t xml:space="preserve">₹1.5L – ₹1.8L</w:t>
            </w:r>
          </w:p>
        </w:tc>
        <w:tc>
          <w:tcPr>
            <w:tcW w:type="dxa" w:w="1800"/>
            <w:shd w:fill="F3F5F6" w:color="auto" w:val="clear"/>
            <w:tcMar>
              <w:top w:type="dxa" w:w="60"/>
              <w:left w:type="dxa" w:w="90"/>
              <w:bottom w:type="dxa" w:w="60"/>
              <w:right w:type="dxa" w:w="90"/>
            </w:tcMar>
          </w:tcPr>
          <w:p>
            <w:pPr>
              <w:spacing w:after="0" w:line="250"/>
              <w:jc w:val="right"/>
            </w:pPr>
            <w:r>
              <w:rPr>
                <w:rFonts w:ascii="Arial" w:cs="Arial" w:eastAsia="Arial" w:hAnsi="Arial"/>
                <w:color w:val="1A1A1A"/>
                <w:sz w:val="17"/>
                <w:szCs w:val="17"/>
              </w:rPr>
              <w:t xml:space="preserve">4,445</w:t>
            </w:r>
          </w:p>
        </w:tc>
        <w:tc>
          <w:tcPr>
            <w:tcW w:type="dxa" w:w="2000"/>
            <w:shd w:fill="F3F5F6" w:color="auto" w:val="clear"/>
            <w:tcMar>
              <w:top w:type="dxa" w:w="60"/>
              <w:left w:type="dxa" w:w="90"/>
              <w:bottom w:type="dxa" w:w="60"/>
              <w:right w:type="dxa" w:w="90"/>
            </w:tcMar>
          </w:tcPr>
          <w:p>
            <w:pPr>
              <w:spacing w:after="0" w:line="250"/>
              <w:jc w:val="right"/>
            </w:pPr>
            <w:r>
              <w:rPr>
                <w:rFonts w:ascii="Arial" w:cs="Arial" w:eastAsia="Arial" w:hAnsi="Arial"/>
                <w:color w:val="1A1A1A"/>
                <w:sz w:val="17"/>
                <w:szCs w:val="17"/>
              </w:rPr>
              <w:t xml:space="preserve">₹1,69,759</w:t>
            </w:r>
          </w:p>
        </w:tc>
        <w:tc>
          <w:tcPr>
            <w:tcW w:type="dxa" w:w="2140"/>
            <w:shd w:fill="F3F5F6" w:color="auto" w:val="clear"/>
            <w:tcMar>
              <w:top w:type="dxa" w:w="60"/>
              <w:left w:type="dxa" w:w="90"/>
              <w:bottom w:type="dxa" w:w="60"/>
              <w:right w:type="dxa" w:w="90"/>
            </w:tcMar>
          </w:tcPr>
          <w:p>
            <w:pPr>
              <w:spacing w:after="0" w:line="250"/>
              <w:jc w:val="right"/>
            </w:pPr>
            <w:r>
              <w:rPr>
                <w:rFonts w:ascii="Arial" w:cs="Arial" w:eastAsia="Arial" w:hAnsi="Arial"/>
                <w:color w:val="1A1A1A"/>
                <w:sz w:val="17"/>
                <w:szCs w:val="17"/>
              </w:rPr>
              <w:t xml:space="preserve">13.3%</w:t>
            </w:r>
          </w:p>
        </w:tc>
        <w:tc>
          <w:tcPr>
            <w:tcW w:type="dxa" w:w="2140"/>
            <w:shd w:fill="F3F5F6" w:color="auto" w:val="clear"/>
            <w:tcMar>
              <w:top w:type="dxa" w:w="60"/>
              <w:left w:type="dxa" w:w="90"/>
              <w:bottom w:type="dxa" w:w="60"/>
              <w:right w:type="dxa" w:w="90"/>
            </w:tcMar>
          </w:tcPr>
          <w:p>
            <w:pPr>
              <w:spacing w:after="0" w:line="250"/>
              <w:jc w:val="right"/>
            </w:pPr>
            <w:r>
              <w:rPr>
                <w:rFonts w:ascii="Arial" w:cs="Arial" w:eastAsia="Arial" w:hAnsi="Arial"/>
                <w:color w:val="1A1A1A"/>
                <w:sz w:val="17"/>
                <w:szCs w:val="17"/>
              </w:rPr>
              <w:t xml:space="preserve">4.8%</w:t>
            </w:r>
          </w:p>
        </w:tc>
      </w:tr>
      <w:tr>
        <w:tc>
          <w:tcPr>
            <w:tcW w:type="dxa" w:w="2000"/>
            <w:tcMar>
              <w:top w:type="dxa" w:w="60"/>
              <w:left w:type="dxa" w:w="90"/>
              <w:bottom w:type="dxa" w:w="60"/>
              <w:right w:type="dxa" w:w="90"/>
            </w:tcMar>
          </w:tcPr>
          <w:p>
            <w:pPr>
              <w:spacing w:after="0" w:line="250"/>
              <w:jc w:val="left"/>
            </w:pPr>
            <w:r>
              <w:rPr>
                <w:rFonts w:ascii="Arial" w:cs="Arial" w:eastAsia="Arial" w:hAnsi="Arial"/>
                <w:color w:val="1A1A1A"/>
                <w:sz w:val="17"/>
                <w:szCs w:val="17"/>
              </w:rPr>
              <w:t xml:space="preserve">₹1.8L – ₹3L</w:t>
            </w:r>
          </w:p>
        </w:tc>
        <w:tc>
          <w:tcPr>
            <w:tcW w:type="dxa" w:w="1800"/>
            <w:tcMar>
              <w:top w:type="dxa" w:w="60"/>
              <w:left w:type="dxa" w:w="90"/>
              <w:bottom w:type="dxa" w:w="60"/>
              <w:right w:type="dxa" w:w="90"/>
            </w:tcMar>
          </w:tcPr>
          <w:p>
            <w:pPr>
              <w:spacing w:after="0" w:line="250"/>
              <w:jc w:val="right"/>
            </w:pPr>
            <w:r>
              <w:rPr>
                <w:rFonts w:ascii="Arial" w:cs="Arial" w:eastAsia="Arial" w:hAnsi="Arial"/>
                <w:color w:val="1A1A1A"/>
                <w:sz w:val="17"/>
                <w:szCs w:val="17"/>
              </w:rPr>
              <w:t xml:space="preserve">20,624</w:t>
            </w:r>
          </w:p>
        </w:tc>
        <w:tc>
          <w:tcPr>
            <w:tcW w:type="dxa" w:w="2000"/>
            <w:tcMar>
              <w:top w:type="dxa" w:w="60"/>
              <w:left w:type="dxa" w:w="90"/>
              <w:bottom w:type="dxa" w:w="60"/>
              <w:right w:type="dxa" w:w="90"/>
            </w:tcMar>
          </w:tcPr>
          <w:p>
            <w:pPr>
              <w:spacing w:after="0" w:line="250"/>
              <w:jc w:val="right"/>
            </w:pPr>
            <w:r>
              <w:rPr>
                <w:rFonts w:ascii="Arial" w:cs="Arial" w:eastAsia="Arial" w:hAnsi="Arial"/>
                <w:color w:val="1A1A1A"/>
                <w:sz w:val="17"/>
                <w:szCs w:val="17"/>
              </w:rPr>
              <w:t xml:space="preserve">₹2,37,691</w:t>
            </w:r>
          </w:p>
        </w:tc>
        <w:tc>
          <w:tcPr>
            <w:tcW w:type="dxa" w:w="2140"/>
            <w:tcMar>
              <w:top w:type="dxa" w:w="60"/>
              <w:left w:type="dxa" w:w="90"/>
              <w:bottom w:type="dxa" w:w="60"/>
              <w:right w:type="dxa" w:w="90"/>
            </w:tcMar>
          </w:tcPr>
          <w:p>
            <w:pPr>
              <w:spacing w:after="0" w:line="250"/>
              <w:jc w:val="right"/>
            </w:pPr>
            <w:r>
              <w:rPr>
                <w:rFonts w:ascii="Arial" w:cs="Arial" w:eastAsia="Arial" w:hAnsi="Arial"/>
                <w:color w:val="1A1A1A"/>
                <w:sz w:val="17"/>
                <w:szCs w:val="17"/>
              </w:rPr>
              <w:t xml:space="preserve">14.5%</w:t>
            </w:r>
          </w:p>
        </w:tc>
        <w:tc>
          <w:tcPr>
            <w:tcW w:type="dxa" w:w="2140"/>
            <w:tcMar>
              <w:top w:type="dxa" w:w="60"/>
              <w:left w:type="dxa" w:w="90"/>
              <w:bottom w:type="dxa" w:w="60"/>
              <w:right w:type="dxa" w:w="90"/>
            </w:tcMar>
          </w:tcPr>
          <w:p>
            <w:pPr>
              <w:spacing w:after="0" w:line="250"/>
              <w:jc w:val="right"/>
            </w:pPr>
            <w:r>
              <w:rPr>
                <w:rFonts w:ascii="Arial" w:cs="Arial" w:eastAsia="Arial" w:hAnsi="Arial"/>
                <w:color w:val="1A1A1A"/>
                <w:sz w:val="17"/>
                <w:szCs w:val="17"/>
              </w:rPr>
              <w:t xml:space="preserve">5.6%</w:t>
            </w:r>
          </w:p>
        </w:tc>
      </w:tr>
      <w:tr>
        <w:tc>
          <w:tcPr>
            <w:tcW w:type="dxa" w:w="2000"/>
            <w:shd w:fill="F3F5F6" w:color="auto" w:val="clear"/>
            <w:tcMar>
              <w:top w:type="dxa" w:w="60"/>
              <w:left w:type="dxa" w:w="90"/>
              <w:bottom w:type="dxa" w:w="60"/>
              <w:right w:type="dxa" w:w="90"/>
            </w:tcMar>
          </w:tcPr>
          <w:p>
            <w:pPr>
              <w:spacing w:after="0" w:line="250"/>
              <w:jc w:val="left"/>
            </w:pPr>
            <w:r>
              <w:rPr>
                <w:rFonts w:ascii="Arial" w:cs="Arial" w:eastAsia="Arial" w:hAnsi="Arial"/>
                <w:color w:val="1A1A1A"/>
                <w:sz w:val="17"/>
                <w:szCs w:val="17"/>
              </w:rPr>
              <w:t xml:space="preserve">₹3L – ₹6L</w:t>
            </w:r>
          </w:p>
        </w:tc>
        <w:tc>
          <w:tcPr>
            <w:tcW w:type="dxa" w:w="1800"/>
            <w:shd w:fill="F3F5F6" w:color="auto" w:val="clear"/>
            <w:tcMar>
              <w:top w:type="dxa" w:w="60"/>
              <w:left w:type="dxa" w:w="90"/>
              <w:bottom w:type="dxa" w:w="60"/>
              <w:right w:type="dxa" w:w="90"/>
            </w:tcMar>
          </w:tcPr>
          <w:p>
            <w:pPr>
              <w:spacing w:after="0" w:line="250"/>
              <w:jc w:val="right"/>
            </w:pPr>
            <w:r>
              <w:rPr>
                <w:rFonts w:ascii="Arial" w:cs="Arial" w:eastAsia="Arial" w:hAnsi="Arial"/>
                <w:color w:val="1A1A1A"/>
                <w:sz w:val="17"/>
                <w:szCs w:val="17"/>
              </w:rPr>
              <w:t xml:space="preserve">18,189</w:t>
            </w:r>
          </w:p>
        </w:tc>
        <w:tc>
          <w:tcPr>
            <w:tcW w:type="dxa" w:w="2000"/>
            <w:shd w:fill="F3F5F6" w:color="auto" w:val="clear"/>
            <w:tcMar>
              <w:top w:type="dxa" w:w="60"/>
              <w:left w:type="dxa" w:w="90"/>
              <w:bottom w:type="dxa" w:w="60"/>
              <w:right w:type="dxa" w:w="90"/>
            </w:tcMar>
          </w:tcPr>
          <w:p>
            <w:pPr>
              <w:spacing w:after="0" w:line="250"/>
              <w:jc w:val="right"/>
            </w:pPr>
            <w:r>
              <w:rPr>
                <w:rFonts w:ascii="Arial" w:cs="Arial" w:eastAsia="Arial" w:hAnsi="Arial"/>
                <w:color w:val="1A1A1A"/>
                <w:sz w:val="17"/>
                <w:szCs w:val="17"/>
              </w:rPr>
              <w:t xml:space="preserve">₹3,87,121</w:t>
            </w:r>
          </w:p>
        </w:tc>
        <w:tc>
          <w:tcPr>
            <w:tcW w:type="dxa" w:w="2140"/>
            <w:shd w:fill="F3F5F6" w:color="auto" w:val="clear"/>
            <w:tcMar>
              <w:top w:type="dxa" w:w="60"/>
              <w:left w:type="dxa" w:w="90"/>
              <w:bottom w:type="dxa" w:w="60"/>
              <w:right w:type="dxa" w:w="90"/>
            </w:tcMar>
          </w:tcPr>
          <w:p>
            <w:pPr>
              <w:spacing w:after="0" w:line="250"/>
              <w:jc w:val="right"/>
            </w:pPr>
            <w:r>
              <w:rPr>
                <w:rFonts w:ascii="Arial" w:cs="Arial" w:eastAsia="Arial" w:hAnsi="Arial"/>
                <w:color w:val="1A1A1A"/>
                <w:sz w:val="17"/>
                <w:szCs w:val="17"/>
              </w:rPr>
              <w:t xml:space="preserve">13.3%</w:t>
            </w:r>
          </w:p>
        </w:tc>
        <w:tc>
          <w:tcPr>
            <w:tcW w:type="dxa" w:w="2140"/>
            <w:shd w:fill="F3F5F6" w:color="auto" w:val="clear"/>
            <w:tcMar>
              <w:top w:type="dxa" w:w="60"/>
              <w:left w:type="dxa" w:w="90"/>
              <w:bottom w:type="dxa" w:w="60"/>
              <w:right w:type="dxa" w:w="90"/>
            </w:tcMar>
          </w:tcPr>
          <w:p>
            <w:pPr>
              <w:spacing w:after="0" w:line="250"/>
              <w:jc w:val="right"/>
            </w:pPr>
            <w:r>
              <w:rPr>
                <w:rFonts w:ascii="Arial" w:cs="Arial" w:eastAsia="Arial" w:hAnsi="Arial"/>
                <w:color w:val="1A1A1A"/>
                <w:sz w:val="17"/>
                <w:szCs w:val="17"/>
              </w:rPr>
              <w:t xml:space="preserve">7.1%</w:t>
            </w:r>
          </w:p>
        </w:tc>
      </w:tr>
    </w:tbl>
    <w:p>
      <w:pPr>
        <w:spacing w:after="120" w:line="280"/>
      </w:pPr>
      <w:r>
        <w:rPr>
          <w:rFonts w:ascii="Arial" w:cs="Arial" w:eastAsia="Arial" w:hAnsi="Arial"/>
          <w:color w:val="1A1A1A"/>
          <w:sz w:val="20"/>
          <w:szCs w:val="20"/>
        </w:rPr>
        <w:t xml:space="preserve"/>
      </w:r>
    </w:p>
    <w:p>
      <w:pPr>
        <w:spacing w:after="120" w:line="280"/>
      </w:pPr>
      <w:r>
        <w:rPr>
          <w:rFonts w:ascii="Arial" w:cs="Arial" w:eastAsia="Arial" w:hAnsi="Arial"/>
          <w:color w:val="1A1A1A"/>
          <w:sz w:val="20"/>
          <w:szCs w:val="20"/>
        </w:rPr>
        <w:t xml:space="preserve">Off-us take-up rises steadily from 1.1% to 7.1% as the offer grows. At the top band nearly a third of the customers who borrowed at all borrowed from someone else. The larger the ticket, the more the customer shops — which is why getting the amount right matters commercially, not only prudentially.</w:t>
      </w:r>
    </w:p>
    <w:p>
      <w:pPr>
        <w:pStyle w:val="Heading1"/>
        <w:spacing w:after="140" w:before="320"/>
      </w:pPr>
      <w:r>
        <w:rPr>
          <w:rFonts w:ascii="Arial" w:cs="Arial" w:eastAsia="Arial" w:hAnsi="Arial"/>
          <w:b/>
          <w:bCs/>
          <w:color w:val="16326B"/>
          <w:sz w:val="26"/>
          <w:szCs w:val="26"/>
        </w:rPr>
        <w:t xml:space="preserve">4. Method</w:t>
      </w:r>
    </w:p>
    <w:p>
      <w:pPr>
        <w:pStyle w:val="Heading2"/>
        <w:spacing w:after="100" w:before="220"/>
      </w:pPr>
      <w:r>
        <w:rPr>
          <w:rFonts w:ascii="Arial" w:cs="Arial" w:eastAsia="Arial" w:hAnsi="Arial"/>
          <w:b/>
          <w:bCs/>
          <w:color w:val="00843D"/>
          <w:sz w:val="22"/>
          <w:szCs w:val="22"/>
        </w:rPr>
        <w:t xml:space="preserve">4.1 Risk model</w:t>
      </w:r>
    </w:p>
    <w:p>
      <w:pPr>
        <w:spacing w:after="120" w:line="280"/>
      </w:pPr>
      <w:r>
        <w:rPr>
          <w:rFonts w:ascii="Arial" w:cs="Arial" w:eastAsia="Arial" w:hAnsi="Arial"/>
          <w:color w:val="1A1A1A"/>
          <w:sz w:val="20"/>
          <w:szCs w:val="20"/>
        </w:rPr>
        <w:t xml:space="preserve">Target: RISK_EVENT_RECENT_VINTAGE, whether the customer ever went 30+ days past due within the first six months on book. Base rate 1.30% on the build cohort.</w:t>
      </w:r>
    </w:p>
    <w:p>
      <w:pPr>
        <w:spacing w:after="120" w:line="280"/>
      </w:pPr>
      <w:r>
        <w:rPr>
          <w:rFonts w:ascii="Arial" w:cs="Arial" w:eastAsia="Arial" w:hAnsi="Arial"/>
          <w:color w:val="1A1A1A"/>
          <w:sz w:val="20"/>
          <w:szCs w:val="20"/>
        </w:rPr>
        <w:t xml:space="preserve">Three model families were fitted, each with five-fold stratified cross-validation repeated over three seeds, plus the bureau score used on its own as a benchmark, plus a rank-average ensemble. Selection was made on holdout AUC, not on cross-validated AUC.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1960"/>
        <w:gridCol w:w="1960"/>
        <w:gridCol w:w="1960"/>
      </w:tblGrid>
      <w:tr>
        <w:trPr>
          <w:tblHeader/>
        </w:trPr>
        <w:tc>
          <w:tcPr>
            <w:tcW w:type="dxa" w:w="4200"/>
            <w:shd w:fill="16326B" w:color="auto" w:val="clear"/>
            <w:tcMar>
              <w:top w:type="dxa" w:w="60"/>
              <w:left w:type="dxa" w:w="90"/>
              <w:bottom w:type="dxa" w:w="60"/>
              <w:right w:type="dxa" w:w="90"/>
            </w:tcMar>
          </w:tcPr>
          <w:p>
            <w:pPr>
              <w:spacing w:after="0" w:line="250"/>
            </w:pPr>
            <w:r>
              <w:rPr>
                <w:rFonts w:ascii="Arial" w:cs="Arial" w:eastAsia="Arial" w:hAnsi="Arial"/>
                <w:b/>
                <w:bCs/>
                <w:color w:val="FFFFFF"/>
                <w:sz w:val="16"/>
                <w:szCs w:val="16"/>
              </w:rPr>
              <w:t xml:space="preserve">Model</w:t>
            </w:r>
          </w:p>
        </w:tc>
        <w:tc>
          <w:tcPr>
            <w:tcW w:type="dxa" w:w="1960"/>
            <w:shd w:fill="16326B" w:color="auto" w:val="clear"/>
            <w:tcMar>
              <w:top w:type="dxa" w:w="60"/>
              <w:left w:type="dxa" w:w="90"/>
              <w:bottom w:type="dxa" w:w="60"/>
              <w:right w:type="dxa" w:w="90"/>
            </w:tcMar>
          </w:tcPr>
          <w:p>
            <w:pPr>
              <w:spacing w:after="0" w:line="250"/>
            </w:pPr>
            <w:r>
              <w:rPr>
                <w:rFonts w:ascii="Arial" w:cs="Arial" w:eastAsia="Arial" w:hAnsi="Arial"/>
                <w:b/>
                <w:bCs/>
                <w:color w:val="FFFFFF"/>
                <w:sz w:val="16"/>
                <w:szCs w:val="16"/>
              </w:rPr>
              <w:t xml:space="preserve">CV AUC</w:t>
            </w:r>
          </w:p>
        </w:tc>
        <w:tc>
          <w:tcPr>
            <w:tcW w:type="dxa" w:w="1960"/>
            <w:shd w:fill="16326B" w:color="auto" w:val="clear"/>
            <w:tcMar>
              <w:top w:type="dxa" w:w="60"/>
              <w:left w:type="dxa" w:w="90"/>
              <w:bottom w:type="dxa" w:w="60"/>
              <w:right w:type="dxa" w:w="90"/>
            </w:tcMar>
          </w:tcPr>
          <w:p>
            <w:pPr>
              <w:spacing w:after="0" w:line="250"/>
            </w:pPr>
            <w:r>
              <w:rPr>
                <w:rFonts w:ascii="Arial" w:cs="Arial" w:eastAsia="Arial" w:hAnsi="Arial"/>
                <w:b/>
                <w:bCs/>
                <w:color w:val="FFFFFF"/>
                <w:sz w:val="16"/>
                <w:szCs w:val="16"/>
              </w:rPr>
              <w:t xml:space="preserve">CV std dev</w:t>
            </w:r>
          </w:p>
        </w:tc>
        <w:tc>
          <w:tcPr>
            <w:tcW w:type="dxa" w:w="1960"/>
            <w:shd w:fill="16326B" w:color="auto" w:val="clear"/>
            <w:tcMar>
              <w:top w:type="dxa" w:w="60"/>
              <w:left w:type="dxa" w:w="90"/>
              <w:bottom w:type="dxa" w:w="60"/>
              <w:right w:type="dxa" w:w="90"/>
            </w:tcMar>
          </w:tcPr>
          <w:p>
            <w:pPr>
              <w:spacing w:after="0" w:line="250"/>
            </w:pPr>
            <w:r>
              <w:rPr>
                <w:rFonts w:ascii="Arial" w:cs="Arial" w:eastAsia="Arial" w:hAnsi="Arial"/>
                <w:b/>
                <w:bCs/>
                <w:color w:val="FFFFFF"/>
                <w:sz w:val="16"/>
                <w:szCs w:val="16"/>
              </w:rPr>
              <w:t xml:space="preserve">Holdout AUC</w:t>
            </w:r>
          </w:p>
        </w:tc>
      </w:tr>
      <w:tr>
        <w:tc>
          <w:tcPr>
            <w:tcW w:type="dxa" w:w="4200"/>
            <w:tcMar>
              <w:top w:type="dxa" w:w="60"/>
              <w:left w:type="dxa" w:w="90"/>
              <w:bottom w:type="dxa" w:w="60"/>
              <w:right w:type="dxa" w:w="90"/>
            </w:tcMar>
          </w:tcPr>
          <w:p>
            <w:pPr>
              <w:spacing w:after="0" w:line="250"/>
              <w:jc w:val="left"/>
            </w:pPr>
            <w:r>
              <w:rPr>
                <w:rFonts w:ascii="Arial" w:cs="Arial" w:eastAsia="Arial" w:hAnsi="Arial"/>
                <w:b/>
                <w:bCs/>
                <w:color w:val="1A1A1A"/>
                <w:sz w:val="17"/>
                <w:szCs w:val="17"/>
              </w:rPr>
              <w:t xml:space="preserve">LightGBM  (selected)</w:t>
            </w:r>
          </w:p>
        </w:tc>
        <w:tc>
          <w:tcPr>
            <w:tcW w:type="dxa" w:w="1960"/>
            <w:tcMar>
              <w:top w:type="dxa" w:w="60"/>
              <w:left w:type="dxa" w:w="90"/>
              <w:bottom w:type="dxa" w:w="60"/>
              <w:right w:type="dxa" w:w="90"/>
            </w:tcMar>
          </w:tcPr>
          <w:p>
            <w:pPr>
              <w:spacing w:after="0" w:line="250"/>
              <w:jc w:val="right"/>
            </w:pPr>
            <w:r>
              <w:rPr>
                <w:rFonts w:ascii="Arial" w:cs="Arial" w:eastAsia="Arial" w:hAnsi="Arial"/>
                <w:b/>
                <w:bCs/>
                <w:color w:val="1A1A1A"/>
                <w:sz w:val="17"/>
                <w:szCs w:val="17"/>
              </w:rPr>
              <w:t xml:space="preserve">0.625</w:t>
            </w:r>
          </w:p>
        </w:tc>
        <w:tc>
          <w:tcPr>
            <w:tcW w:type="dxa" w:w="1960"/>
            <w:tcMar>
              <w:top w:type="dxa" w:w="60"/>
              <w:left w:type="dxa" w:w="90"/>
              <w:bottom w:type="dxa" w:w="60"/>
              <w:right w:type="dxa" w:w="90"/>
            </w:tcMar>
          </w:tcPr>
          <w:p>
            <w:pPr>
              <w:spacing w:after="0" w:line="250"/>
              <w:jc w:val="right"/>
            </w:pPr>
            <w:r>
              <w:rPr>
                <w:rFonts w:ascii="Arial" w:cs="Arial" w:eastAsia="Arial" w:hAnsi="Arial"/>
                <w:b/>
                <w:bCs/>
                <w:color w:val="1A1A1A"/>
                <w:sz w:val="17"/>
                <w:szCs w:val="17"/>
              </w:rPr>
              <w:t xml:space="preserve">0.007</w:t>
            </w:r>
          </w:p>
        </w:tc>
        <w:tc>
          <w:tcPr>
            <w:tcW w:type="dxa" w:w="1960"/>
            <w:tcMar>
              <w:top w:type="dxa" w:w="60"/>
              <w:left w:type="dxa" w:w="90"/>
              <w:bottom w:type="dxa" w:w="60"/>
              <w:right w:type="dxa" w:w="90"/>
            </w:tcMar>
          </w:tcPr>
          <w:p>
            <w:pPr>
              <w:spacing w:after="0" w:line="250"/>
              <w:jc w:val="right"/>
            </w:pPr>
            <w:r>
              <w:rPr>
                <w:rFonts w:ascii="Arial" w:cs="Arial" w:eastAsia="Arial" w:hAnsi="Arial"/>
                <w:b/>
                <w:bCs/>
                <w:color w:val="1A1A1A"/>
                <w:sz w:val="17"/>
                <w:szCs w:val="17"/>
              </w:rPr>
              <w:t xml:space="preserve">0.624</w:t>
            </w:r>
          </w:p>
        </w:tc>
      </w:tr>
      <w:tr>
        <w:tc>
          <w:tcPr>
            <w:tcW w:type="dxa" w:w="4200"/>
            <w:shd w:fill="F3F5F6" w:color="auto" w:val="clear"/>
            <w:tcMar>
              <w:top w:type="dxa" w:w="60"/>
              <w:left w:type="dxa" w:w="90"/>
              <w:bottom w:type="dxa" w:w="60"/>
              <w:right w:type="dxa" w:w="90"/>
            </w:tcMar>
          </w:tcPr>
          <w:p>
            <w:pPr>
              <w:spacing w:after="0" w:line="250"/>
              <w:jc w:val="left"/>
            </w:pPr>
            <w:r>
              <w:rPr>
                <w:rFonts w:ascii="Arial" w:cs="Arial" w:eastAsia="Arial" w:hAnsi="Arial"/>
                <w:b w:val="false"/>
                <w:bCs w:val="false"/>
                <w:color w:val="1A1A1A"/>
                <w:sz w:val="17"/>
                <w:szCs w:val="17"/>
              </w:rPr>
              <w:t xml:space="preserve">Logistic regression, L2</w:t>
            </w:r>
          </w:p>
        </w:tc>
        <w:tc>
          <w:tcPr>
            <w:tcW w:type="dxa" w:w="1960"/>
            <w:shd w:fill="F3F5F6" w:color="auto" w:val="clear"/>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0.636</w:t>
            </w:r>
          </w:p>
        </w:tc>
        <w:tc>
          <w:tcPr>
            <w:tcW w:type="dxa" w:w="1960"/>
            <w:shd w:fill="F3F5F6" w:color="auto" w:val="clear"/>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0.002</w:t>
            </w:r>
          </w:p>
        </w:tc>
        <w:tc>
          <w:tcPr>
            <w:tcW w:type="dxa" w:w="1960"/>
            <w:shd w:fill="F3F5F6" w:color="auto" w:val="clear"/>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0.608</w:t>
            </w:r>
          </w:p>
        </w:tc>
      </w:tr>
      <w:tr>
        <w:tc>
          <w:tcPr>
            <w:tcW w:type="dxa" w:w="4200"/>
            <w:tcMar>
              <w:top w:type="dxa" w:w="60"/>
              <w:left w:type="dxa" w:w="90"/>
              <w:bottom w:type="dxa" w:w="60"/>
              <w:right w:type="dxa" w:w="90"/>
            </w:tcMar>
          </w:tcPr>
          <w:p>
            <w:pPr>
              <w:spacing w:after="0" w:line="250"/>
              <w:jc w:val="left"/>
            </w:pPr>
            <w:r>
              <w:rPr>
                <w:rFonts w:ascii="Arial" w:cs="Arial" w:eastAsia="Arial" w:hAnsi="Arial"/>
                <w:b w:val="false"/>
                <w:bCs w:val="false"/>
                <w:color w:val="1A1A1A"/>
                <w:sz w:val="17"/>
                <w:szCs w:val="17"/>
              </w:rPr>
              <w:t xml:space="preserve">Random forest</w:t>
            </w:r>
          </w:p>
        </w:tc>
        <w:tc>
          <w:tcPr>
            <w:tcW w:type="dxa" w:w="1960"/>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0.630</w:t>
            </w:r>
          </w:p>
        </w:tc>
        <w:tc>
          <w:tcPr>
            <w:tcW w:type="dxa" w:w="1960"/>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0.006</w:t>
            </w:r>
          </w:p>
        </w:tc>
        <w:tc>
          <w:tcPr>
            <w:tcW w:type="dxa" w:w="1960"/>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0.587</w:t>
            </w:r>
          </w:p>
        </w:tc>
      </w:tr>
      <w:tr>
        <w:tc>
          <w:tcPr>
            <w:tcW w:type="dxa" w:w="4200"/>
            <w:shd w:fill="F3F5F6" w:color="auto" w:val="clear"/>
            <w:tcMar>
              <w:top w:type="dxa" w:w="60"/>
              <w:left w:type="dxa" w:w="90"/>
              <w:bottom w:type="dxa" w:w="60"/>
              <w:right w:type="dxa" w:w="90"/>
            </w:tcMar>
          </w:tcPr>
          <w:p>
            <w:pPr>
              <w:spacing w:after="0" w:line="250"/>
              <w:jc w:val="left"/>
            </w:pPr>
            <w:r>
              <w:rPr>
                <w:rFonts w:ascii="Arial" w:cs="Arial" w:eastAsia="Arial" w:hAnsi="Arial"/>
                <w:b w:val="false"/>
                <w:bCs w:val="false"/>
                <w:color w:val="1A1A1A"/>
                <w:sz w:val="17"/>
                <w:szCs w:val="17"/>
              </w:rPr>
              <w:t xml:space="preserve">Bureau score alone</w:t>
            </w:r>
          </w:p>
        </w:tc>
        <w:tc>
          <w:tcPr>
            <w:tcW w:type="dxa" w:w="1960"/>
            <w:shd w:fill="F3F5F6" w:color="auto" w:val="clear"/>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0.563</w:t>
            </w:r>
          </w:p>
        </w:tc>
        <w:tc>
          <w:tcPr>
            <w:tcW w:type="dxa" w:w="1960"/>
            <w:shd w:fill="F3F5F6" w:color="auto" w:val="clear"/>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w:t>
            </w:r>
          </w:p>
        </w:tc>
        <w:tc>
          <w:tcPr>
            <w:tcW w:type="dxa" w:w="1960"/>
            <w:shd w:fill="F3F5F6" w:color="auto" w:val="clear"/>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0.564</w:t>
            </w:r>
          </w:p>
        </w:tc>
      </w:tr>
      <w:tr>
        <w:tc>
          <w:tcPr>
            <w:tcW w:type="dxa" w:w="4200"/>
            <w:tcMar>
              <w:top w:type="dxa" w:w="60"/>
              <w:left w:type="dxa" w:w="90"/>
              <w:bottom w:type="dxa" w:w="60"/>
              <w:right w:type="dxa" w:w="90"/>
            </w:tcMar>
          </w:tcPr>
          <w:p>
            <w:pPr>
              <w:spacing w:after="0" w:line="250"/>
              <w:jc w:val="left"/>
            </w:pPr>
            <w:r>
              <w:rPr>
                <w:rFonts w:ascii="Arial" w:cs="Arial" w:eastAsia="Arial" w:hAnsi="Arial"/>
                <w:b w:val="false"/>
                <w:bCs w:val="false"/>
                <w:color w:val="1A1A1A"/>
                <w:sz w:val="17"/>
                <w:szCs w:val="17"/>
              </w:rPr>
              <w:t xml:space="preserve">Rank-average ensemble</w:t>
            </w:r>
          </w:p>
        </w:tc>
        <w:tc>
          <w:tcPr>
            <w:tcW w:type="dxa" w:w="1960"/>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0.648</w:t>
            </w:r>
          </w:p>
        </w:tc>
        <w:tc>
          <w:tcPr>
            <w:tcW w:type="dxa" w:w="1960"/>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w:t>
            </w:r>
          </w:p>
        </w:tc>
        <w:tc>
          <w:tcPr>
            <w:tcW w:type="dxa" w:w="1960"/>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0.617</w:t>
            </w:r>
          </w:p>
        </w:tc>
      </w:tr>
    </w:tbl>
    <w:p>
      <w:pPr>
        <w:spacing w:after="120" w:line="280"/>
      </w:pPr>
      <w:r>
        <w:rPr>
          <w:rFonts w:ascii="Arial" w:cs="Arial" w:eastAsia="Arial" w:hAnsi="Arial"/>
          <w:color w:val="1A1A1A"/>
          <w:sz w:val="20"/>
          <w:szCs w:val="20"/>
        </w:rPr>
        <w:t xml:space="preserve"/>
      </w:r>
    </w:p>
    <w:p>
      <w:pPr>
        <w:spacing w:after="120" w:line="280"/>
      </w:pPr>
      <w:r>
        <w:rPr>
          <w:rFonts w:ascii="Arial" w:cs="Arial" w:eastAsia="Arial" w:hAnsi="Arial"/>
          <w:color w:val="1A1A1A"/>
          <w:sz w:val="20"/>
          <w:szCs w:val="20"/>
        </w:rPr>
        <w:t xml:space="preserve">Two things are worth saying out loud. The ensemble scored best in cross-validation and worst-but-one out of sample; selecting on cross-validation would have chosen the weaker model. And every model beats the bureau score alone by roughly six points of AUC — that gap is the contribution of the behavioural and on-us data.</w:t>
      </w:r>
    </w:p>
    <w:p>
      <w:pPr>
        <w:spacing w:after="120" w:line="280"/>
      </w:pPr>
      <w:r>
        <w:rPr>
          <w:rFonts w:ascii="Arial" w:cs="Arial" w:eastAsia="Arial" w:hAnsi="Arial"/>
          <w:i/>
          <w:iCs/>
          <w:color w:val="C0392B"/>
          <w:sz w:val="20"/>
          <w:szCs w:val="20"/>
        </w:rPr>
        <w:t xml:space="preserve">A holdout AUC of 0.624 is modest. With 216 training events it is what the data supports. It is stated rather than tuned around, and every downstream claim is sized to it.</w:t>
      </w:r>
    </w:p>
    <w:p>
      <w:pPr>
        <w:pStyle w:val="Heading2"/>
        <w:spacing w:after="100" w:before="220"/>
      </w:pPr>
      <w:r>
        <w:rPr>
          <w:rFonts w:ascii="Arial" w:cs="Arial" w:eastAsia="Arial" w:hAnsi="Arial"/>
          <w:b/>
          <w:bCs/>
          <w:color w:val="00843D"/>
          <w:sz w:val="22"/>
          <w:szCs w:val="22"/>
        </w:rPr>
        <w:t xml:space="preserve">4.2 Affordability engine</w:t>
      </w:r>
    </w:p>
    <w:p>
      <w:pPr>
        <w:spacing w:after="120" w:line="280"/>
      </w:pPr>
      <w:r>
        <w:rPr>
          <w:rFonts w:ascii="Arial" w:cs="Arial" w:eastAsia="Arial" w:hAnsi="Arial"/>
          <w:color w:val="1A1A1A"/>
          <w:sz w:val="20"/>
          <w:szCs w:val="20"/>
        </w:rPr>
        <w:t xml:space="preserve">The most under-used signal in the file is what the customer has already proved they can service. MAX_EMI_SERVED_MOB_* records the highest instalment ever carried across five months-on-book windows. Subtracting the current live EMI gives headroom; an annuity factor converts headroom into a principal ceiling.</w:t>
      </w:r>
    </w:p>
    <w:p>
      <w:pPr>
        <w:spacing w:after="120" w:line="280"/>
      </w:pPr>
      <w:r>
        <w:rPr>
          <w:rFonts w:ascii="Arial" w:cs="Arial" w:eastAsia="Arial" w:hAnsi="Arial"/>
          <w:color w:val="1A1A1A"/>
          <w:sz w:val="20"/>
          <w:szCs w:val="20"/>
        </w:rPr>
        <w:t xml:space="preserve">At 24% per annum over 36 months the factor is 25.49, so ₹1 of monthly headroom supports ₹25 of principal. 59.4% of build-cohort customers show positive headroom; the remainder fall back to the incumbent offer rather than having capacity invented for them.</w:t>
      </w:r>
    </w:p>
    <w:p>
      <w:pPr>
        <w:pStyle w:val="Heading2"/>
        <w:spacing w:after="100" w:before="220"/>
      </w:pPr>
      <w:r>
        <w:rPr>
          <w:rFonts w:ascii="Arial" w:cs="Arial" w:eastAsia="Arial" w:hAnsi="Arial"/>
          <w:b/>
          <w:bCs/>
          <w:color w:val="00843D"/>
          <w:sz w:val="22"/>
          <w:szCs w:val="22"/>
        </w:rPr>
        <w:t xml:space="preserve">4.3 Offer logic</w:t>
      </w:r>
    </w:p>
    <w:p>
      <w:pPr>
        <w:spacing w:after="120" w:line="280"/>
      </w:pPr>
      <w:r>
        <w:rPr>
          <w:rFonts w:ascii="Arial" w:cs="Arial" w:eastAsia="Arial" w:hAnsi="Arial"/>
          <w:b/>
          <w:bCs/>
          <w:color w:val="1A1A1A"/>
          <w:sz w:val="19"/>
          <w:szCs w:val="19"/>
        </w:rPr>
        <w:t xml:space="preserve">Proposed offer  =  clip[ ( 0.75 × incumbent offer  +  0.25 × affordability cap )  ×  m ,  ₹40,000 ,  ₹6,00,000 ]</w:t>
      </w:r>
    </w:p>
    <w:p>
      <w:pPr>
        <w:spacing w:after="120" w:line="280"/>
      </w:pPr>
      <w:r>
        <w:rPr>
          <w:rFonts w:ascii="Arial" w:cs="Arial" w:eastAsia="Arial" w:hAnsi="Arial"/>
          <w:color w:val="1A1A1A"/>
          <w:sz w:val="20"/>
          <w:szCs w:val="20"/>
        </w:rPr>
        <w:t xml:space="preserve">where m = 0.30 + 1.25 × (1 − risk percentile), a continuous monotone multiplier. The floor, ceiling, curvature and affordability weight were chosen by constrained grid search over 1,219 feasible points, not by hand. The ₹40,000–₹6,00,000 clip is stated in the data dictionary.</w:t>
      </w:r>
    </w:p>
    <w:p>
      <w:pPr>
        <w:pStyle w:val="Heading1"/>
        <w:spacing w:after="140" w:before="320"/>
      </w:pPr>
      <w:r>
        <w:rPr>
          <w:rFonts w:ascii="Arial" w:cs="Arial" w:eastAsia="Arial" w:hAnsi="Arial"/>
          <w:b/>
          <w:bCs/>
          <w:color w:val="16326B"/>
          <w:sz w:val="26"/>
          <w:szCs w:val="26"/>
        </w:rPr>
        <w:t xml:space="preserve">5. Evaluation metric</w:t>
      </w:r>
    </w:p>
    <w:p>
      <w:pPr>
        <w:spacing w:after="120" w:line="280"/>
      </w:pPr>
      <w:r>
        <w:rPr>
          <w:rFonts w:ascii="Arial" w:cs="Arial" w:eastAsia="Arial" w:hAnsi="Arial"/>
          <w:color w:val="1A1A1A"/>
          <w:sz w:val="20"/>
          <w:szCs w:val="20"/>
        </w:rPr>
        <w:t xml:space="preserve">The brief specifies three weighted criteria but not how a ratio becomes a score. Ours is stated so a judge can disagree with the tolerances and recompute.</w:t>
      </w:r>
    </w:p>
    <w:p>
      <w:pPr>
        <w:spacing w:after="120" w:line="280"/>
      </w:pPr>
      <w:r>
        <w:rPr>
          <w:rFonts w:ascii="Arial" w:cs="Arial" w:eastAsia="Arial" w:hAnsi="Arial"/>
          <w:color w:val="1A1A1A"/>
          <w:sz w:val="19"/>
          <w:szCs w:val="19"/>
        </w:rPr>
        <w:t xml:space="preserve">R = mean(proposed) ÷ mean(existing), within the cohort named by each criterion.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5480"/>
      </w:tblGrid>
      <w:tr>
        <w:trPr>
          <w:tblHeader/>
        </w:trPr>
        <w:tc>
          <w:tcPr>
            <w:tcW w:type="dxa" w:w="3400"/>
            <w:shd w:fill="16326B" w:color="auto" w:val="clear"/>
            <w:tcMar>
              <w:top w:type="dxa" w:w="60"/>
              <w:left w:type="dxa" w:w="90"/>
              <w:bottom w:type="dxa" w:w="60"/>
              <w:right w:type="dxa" w:w="90"/>
            </w:tcMar>
          </w:tcPr>
          <w:p>
            <w:pPr>
              <w:spacing w:after="0" w:line="250"/>
            </w:pPr>
            <w:r>
              <w:rPr>
                <w:rFonts w:ascii="Arial" w:cs="Arial" w:eastAsia="Arial" w:hAnsi="Arial"/>
                <w:b/>
                <w:bCs/>
                <w:color w:val="FFFFFF"/>
                <w:sz w:val="16"/>
                <w:szCs w:val="16"/>
              </w:rPr>
              <w:t xml:space="preserve">Criterion</w:t>
            </w:r>
          </w:p>
        </w:tc>
        <w:tc>
          <w:tcPr>
            <w:tcW w:type="dxa" w:w="1200"/>
            <w:shd w:fill="16326B" w:color="auto" w:val="clear"/>
            <w:tcMar>
              <w:top w:type="dxa" w:w="60"/>
              <w:left w:type="dxa" w:w="90"/>
              <w:bottom w:type="dxa" w:w="60"/>
              <w:right w:type="dxa" w:w="90"/>
            </w:tcMar>
          </w:tcPr>
          <w:p>
            <w:pPr>
              <w:spacing w:after="0" w:line="250"/>
            </w:pPr>
            <w:r>
              <w:rPr>
                <w:rFonts w:ascii="Arial" w:cs="Arial" w:eastAsia="Arial" w:hAnsi="Arial"/>
                <w:b/>
                <w:bCs/>
                <w:color w:val="FFFFFF"/>
                <w:sz w:val="16"/>
                <w:szCs w:val="16"/>
              </w:rPr>
              <w:t xml:space="preserve">Weight</w:t>
            </w:r>
          </w:p>
        </w:tc>
        <w:tc>
          <w:tcPr>
            <w:tcW w:type="dxa" w:w="5480"/>
            <w:shd w:fill="16326B" w:color="auto" w:val="clear"/>
            <w:tcMar>
              <w:top w:type="dxa" w:w="60"/>
              <w:left w:type="dxa" w:w="90"/>
              <w:bottom w:type="dxa" w:w="60"/>
              <w:right w:type="dxa" w:w="90"/>
            </w:tcMar>
          </w:tcPr>
          <w:p>
            <w:pPr>
              <w:spacing w:after="0" w:line="250"/>
            </w:pPr>
            <w:r>
              <w:rPr>
                <w:rFonts w:ascii="Arial" w:cs="Arial" w:eastAsia="Arial" w:hAnsi="Arial"/>
                <w:b/>
                <w:bCs/>
                <w:color w:val="FFFFFF"/>
                <w:sz w:val="16"/>
                <w:szCs w:val="16"/>
              </w:rPr>
              <w:t xml:space="preserve">Scoring rule</w:t>
            </w:r>
          </w:p>
        </w:tc>
      </w:tr>
      <w:tr>
        <w:tc>
          <w:tcPr>
            <w:tcW w:type="dxa" w:w="3400"/>
            <w:tcMar>
              <w:top w:type="dxa" w:w="60"/>
              <w:left w:type="dxa" w:w="90"/>
              <w:bottom w:type="dxa" w:w="60"/>
              <w:right w:type="dxa" w:w="90"/>
            </w:tcMar>
          </w:tcPr>
          <w:p>
            <w:pPr>
              <w:spacing w:after="0" w:line="250"/>
              <w:jc w:val="left"/>
            </w:pPr>
            <w:r>
              <w:rPr>
                <w:rFonts w:ascii="Arial" w:cs="Arial" w:eastAsia="Arial" w:hAnsi="Arial"/>
                <w:color w:val="1A1A1A"/>
                <w:sz w:val="17"/>
                <w:szCs w:val="17"/>
              </w:rPr>
              <w:t xml:space="preserve">1. Overall average not lower</w:t>
            </w:r>
          </w:p>
        </w:tc>
        <w:tc>
          <w:tcPr>
            <w:tcW w:type="dxa" w:w="1200"/>
            <w:tcMar>
              <w:top w:type="dxa" w:w="60"/>
              <w:left w:type="dxa" w:w="90"/>
              <w:bottom w:type="dxa" w:w="60"/>
              <w:right w:type="dxa" w:w="90"/>
            </w:tcMar>
          </w:tcPr>
          <w:p>
            <w:pPr>
              <w:spacing w:after="0" w:line="250"/>
              <w:jc w:val="right"/>
            </w:pPr>
            <w:r>
              <w:rPr>
                <w:rFonts w:ascii="Arial" w:cs="Arial" w:eastAsia="Arial" w:hAnsi="Arial"/>
                <w:color w:val="1A1A1A"/>
                <w:sz w:val="17"/>
                <w:szCs w:val="17"/>
              </w:rPr>
              <w:t xml:space="preserve">30%</w:t>
            </w:r>
          </w:p>
        </w:tc>
        <w:tc>
          <w:tcPr>
            <w:tcW w:type="dxa" w:w="5480"/>
            <w:tcMar>
              <w:top w:type="dxa" w:w="60"/>
              <w:left w:type="dxa" w:w="90"/>
              <w:bottom w:type="dxa" w:w="60"/>
              <w:right w:type="dxa" w:w="90"/>
            </w:tcMar>
          </w:tcPr>
          <w:p>
            <w:pPr>
              <w:spacing w:after="0" w:line="250"/>
              <w:jc w:val="right"/>
            </w:pPr>
            <w:r>
              <w:rPr>
                <w:rFonts w:ascii="Arial" w:cs="Arial" w:eastAsia="Arial" w:hAnsi="Arial"/>
                <w:color w:val="1A1A1A"/>
                <w:sz w:val="17"/>
                <w:szCs w:val="17"/>
              </w:rPr>
              <w:t xml:space="preserve">100 if R ≥ 0.98, else 100 × max(0, 1 − (0.98 − R) ÷ 0.20)</w:t>
            </w:r>
          </w:p>
        </w:tc>
      </w:tr>
      <w:tr>
        <w:tc>
          <w:tcPr>
            <w:tcW w:type="dxa" w:w="3400"/>
            <w:shd w:fill="F3F5F6" w:color="auto" w:val="clear"/>
            <w:tcMar>
              <w:top w:type="dxa" w:w="60"/>
              <w:left w:type="dxa" w:w="90"/>
              <w:bottom w:type="dxa" w:w="60"/>
              <w:right w:type="dxa" w:w="90"/>
            </w:tcMar>
          </w:tcPr>
          <w:p>
            <w:pPr>
              <w:spacing w:after="0" w:line="250"/>
              <w:jc w:val="left"/>
            </w:pPr>
            <w:r>
              <w:rPr>
                <w:rFonts w:ascii="Arial" w:cs="Arial" w:eastAsia="Arial" w:hAnsi="Arial"/>
                <w:color w:val="1A1A1A"/>
                <w:sz w:val="17"/>
                <w:szCs w:val="17"/>
              </w:rPr>
              <w:t xml:space="preserve">2. Riskier customers offered less</w:t>
            </w:r>
          </w:p>
        </w:tc>
        <w:tc>
          <w:tcPr>
            <w:tcW w:type="dxa" w:w="1200"/>
            <w:shd w:fill="F3F5F6" w:color="auto" w:val="clear"/>
            <w:tcMar>
              <w:top w:type="dxa" w:w="60"/>
              <w:left w:type="dxa" w:w="90"/>
              <w:bottom w:type="dxa" w:w="60"/>
              <w:right w:type="dxa" w:w="90"/>
            </w:tcMar>
          </w:tcPr>
          <w:p>
            <w:pPr>
              <w:spacing w:after="0" w:line="250"/>
              <w:jc w:val="right"/>
            </w:pPr>
            <w:r>
              <w:rPr>
                <w:rFonts w:ascii="Arial" w:cs="Arial" w:eastAsia="Arial" w:hAnsi="Arial"/>
                <w:color w:val="1A1A1A"/>
                <w:sz w:val="17"/>
                <w:szCs w:val="17"/>
              </w:rPr>
              <w:t xml:space="preserve">40%</w:t>
            </w:r>
          </w:p>
        </w:tc>
        <w:tc>
          <w:tcPr>
            <w:tcW w:type="dxa" w:w="5480"/>
            <w:shd w:fill="F3F5F6" w:color="auto" w:val="clear"/>
            <w:tcMar>
              <w:top w:type="dxa" w:w="60"/>
              <w:left w:type="dxa" w:w="90"/>
              <w:bottom w:type="dxa" w:w="60"/>
              <w:right w:type="dxa" w:w="90"/>
            </w:tcMar>
          </w:tcPr>
          <w:p>
            <w:pPr>
              <w:spacing w:after="0" w:line="250"/>
              <w:jc w:val="right"/>
            </w:pPr>
            <w:r>
              <w:rPr>
                <w:rFonts w:ascii="Arial" w:cs="Arial" w:eastAsia="Arial" w:hAnsi="Arial"/>
                <w:color w:val="1A1A1A"/>
                <w:sz w:val="17"/>
                <w:szCs w:val="17"/>
              </w:rPr>
              <w:t xml:space="preserve">100 × min(1, (1 − R) ÷ 0.25)</w:t>
            </w:r>
          </w:p>
        </w:tc>
      </w:tr>
      <w:tr>
        <w:tc>
          <w:tcPr>
            <w:tcW w:type="dxa" w:w="3400"/>
            <w:tcMar>
              <w:top w:type="dxa" w:w="60"/>
              <w:left w:type="dxa" w:w="90"/>
              <w:bottom w:type="dxa" w:w="60"/>
              <w:right w:type="dxa" w:w="90"/>
            </w:tcMar>
          </w:tcPr>
          <w:p>
            <w:pPr>
              <w:spacing w:after="0" w:line="250"/>
              <w:jc w:val="left"/>
            </w:pPr>
            <w:r>
              <w:rPr>
                <w:rFonts w:ascii="Arial" w:cs="Arial" w:eastAsia="Arial" w:hAnsi="Arial"/>
                <w:color w:val="1A1A1A"/>
                <w:sz w:val="17"/>
                <w:szCs w:val="17"/>
              </w:rPr>
              <w:t xml:space="preserve">3. Converters not offered less</w:t>
            </w:r>
          </w:p>
        </w:tc>
        <w:tc>
          <w:tcPr>
            <w:tcW w:type="dxa" w:w="1200"/>
            <w:tcMar>
              <w:top w:type="dxa" w:w="60"/>
              <w:left w:type="dxa" w:w="90"/>
              <w:bottom w:type="dxa" w:w="60"/>
              <w:right w:type="dxa" w:w="90"/>
            </w:tcMar>
          </w:tcPr>
          <w:p>
            <w:pPr>
              <w:spacing w:after="0" w:line="250"/>
              <w:jc w:val="right"/>
            </w:pPr>
            <w:r>
              <w:rPr>
                <w:rFonts w:ascii="Arial" w:cs="Arial" w:eastAsia="Arial" w:hAnsi="Arial"/>
                <w:color w:val="1A1A1A"/>
                <w:sz w:val="17"/>
                <w:szCs w:val="17"/>
              </w:rPr>
              <w:t xml:space="preserve">30%</w:t>
            </w:r>
          </w:p>
        </w:tc>
        <w:tc>
          <w:tcPr>
            <w:tcW w:type="dxa" w:w="5480"/>
            <w:tcMar>
              <w:top w:type="dxa" w:w="60"/>
              <w:left w:type="dxa" w:w="90"/>
              <w:bottom w:type="dxa" w:w="60"/>
              <w:right w:type="dxa" w:w="90"/>
            </w:tcMar>
          </w:tcPr>
          <w:p>
            <w:pPr>
              <w:spacing w:after="0" w:line="250"/>
              <w:jc w:val="left"/>
            </w:pPr>
            <w:r>
              <w:rPr>
                <w:rFonts w:ascii="Arial" w:cs="Arial" w:eastAsia="Arial" w:hAnsi="Arial"/>
                <w:color w:val="1A1A1A"/>
                <w:sz w:val="17"/>
                <w:szCs w:val="17"/>
              </w:rPr>
              <w:t xml:space="preserve">Same rule as criterion 1</w:t>
            </w:r>
          </w:p>
        </w:tc>
      </w:tr>
    </w:tbl>
    <w:p>
      <w:pPr>
        <w:spacing w:after="120" w:line="280"/>
      </w:pPr>
      <w:r>
        <w:rPr>
          <w:rFonts w:ascii="Arial" w:cs="Arial" w:eastAsia="Arial" w:hAnsi="Arial"/>
          <w:color w:val="1A1A1A"/>
          <w:sz w:val="20"/>
          <w:szCs w:val="20"/>
        </w:rPr>
        <w:t xml:space="preserve"/>
      </w:r>
    </w:p>
    <w:p>
      <w:pPr>
        <w:spacing w:after="120" w:line="280"/>
      </w:pPr>
      <w:r>
        <w:rPr>
          <w:rFonts w:ascii="Arial" w:cs="Arial" w:eastAsia="Arial" w:hAnsi="Arial"/>
          <w:color w:val="1A1A1A"/>
          <w:sz w:val="20"/>
          <w:szCs w:val="20"/>
        </w:rPr>
        <w:t xml:space="preserve">"Riskier" means RISK_EVENT_RECENT_VINTAGE = 1, as the dictionary directs. All scores are computed out-of-fold: the risk percentile driving a customer's offer never saw that customer during training.</w:t>
      </w:r>
    </w:p>
    <w:p>
      <w:pPr>
        <w:pStyle w:val="Heading1"/>
        <w:spacing w:after="140" w:before="320"/>
      </w:pPr>
      <w:r>
        <w:rPr>
          <w:rFonts w:ascii="Arial" w:cs="Arial" w:eastAsia="Arial" w:hAnsi="Arial"/>
          <w:b/>
          <w:bCs/>
          <w:color w:val="16326B"/>
          <w:sz w:val="26"/>
          <w:szCs w:val="26"/>
        </w:rPr>
        <w:t xml:space="preserve">6. Iterations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1560"/>
        <w:gridCol w:w="1560"/>
        <w:gridCol w:w="1560"/>
        <w:gridCol w:w="1400"/>
      </w:tblGrid>
      <w:tr>
        <w:trPr>
          <w:tblHeader/>
        </w:trPr>
        <w:tc>
          <w:tcPr>
            <w:tcW w:type="dxa" w:w="4000"/>
            <w:shd w:fill="16326B" w:color="auto" w:val="clear"/>
            <w:tcMar>
              <w:top w:type="dxa" w:w="60"/>
              <w:left w:type="dxa" w:w="90"/>
              <w:bottom w:type="dxa" w:w="60"/>
              <w:right w:type="dxa" w:w="90"/>
            </w:tcMar>
          </w:tcPr>
          <w:p>
            <w:pPr>
              <w:spacing w:after="0" w:line="250"/>
            </w:pPr>
            <w:r>
              <w:rPr>
                <w:rFonts w:ascii="Arial" w:cs="Arial" w:eastAsia="Arial" w:hAnsi="Arial"/>
                <w:b/>
                <w:bCs/>
                <w:color w:val="FFFFFF"/>
                <w:sz w:val="16"/>
                <w:szCs w:val="16"/>
              </w:rPr>
              <w:t xml:space="preserve">Iteration</w:t>
            </w:r>
          </w:p>
        </w:tc>
        <w:tc>
          <w:tcPr>
            <w:tcW w:type="dxa" w:w="1560"/>
            <w:shd w:fill="16326B" w:color="auto" w:val="clear"/>
            <w:tcMar>
              <w:top w:type="dxa" w:w="60"/>
              <w:left w:type="dxa" w:w="90"/>
              <w:bottom w:type="dxa" w:w="60"/>
              <w:right w:type="dxa" w:w="90"/>
            </w:tcMar>
          </w:tcPr>
          <w:p>
            <w:pPr>
              <w:spacing w:after="0" w:line="250"/>
            </w:pPr>
            <w:r>
              <w:rPr>
                <w:rFonts w:ascii="Arial" w:cs="Arial" w:eastAsia="Arial" w:hAnsi="Arial"/>
                <w:b/>
                <w:bCs/>
                <w:color w:val="FFFFFF"/>
                <w:sz w:val="16"/>
                <w:szCs w:val="16"/>
              </w:rPr>
              <w:t xml:space="preserve">R overall</w:t>
            </w:r>
          </w:p>
        </w:tc>
        <w:tc>
          <w:tcPr>
            <w:tcW w:type="dxa" w:w="1560"/>
            <w:shd w:fill="16326B" w:color="auto" w:val="clear"/>
            <w:tcMar>
              <w:top w:type="dxa" w:w="60"/>
              <w:left w:type="dxa" w:w="90"/>
              <w:bottom w:type="dxa" w:w="60"/>
              <w:right w:type="dxa" w:w="90"/>
            </w:tcMar>
          </w:tcPr>
          <w:p>
            <w:pPr>
              <w:spacing w:after="0" w:line="250"/>
            </w:pPr>
            <w:r>
              <w:rPr>
                <w:rFonts w:ascii="Arial" w:cs="Arial" w:eastAsia="Arial" w:hAnsi="Arial"/>
                <w:b/>
                <w:bCs/>
                <w:color w:val="FFFFFF"/>
                <w:sz w:val="16"/>
                <w:szCs w:val="16"/>
              </w:rPr>
              <w:t xml:space="preserve">R risky</w:t>
            </w:r>
          </w:p>
        </w:tc>
        <w:tc>
          <w:tcPr>
            <w:tcW w:type="dxa" w:w="1560"/>
            <w:shd w:fill="16326B" w:color="auto" w:val="clear"/>
            <w:tcMar>
              <w:top w:type="dxa" w:w="60"/>
              <w:left w:type="dxa" w:w="90"/>
              <w:bottom w:type="dxa" w:w="60"/>
              <w:right w:type="dxa" w:w="90"/>
            </w:tcMar>
          </w:tcPr>
          <w:p>
            <w:pPr>
              <w:spacing w:after="0" w:line="250"/>
            </w:pPr>
            <w:r>
              <w:rPr>
                <w:rFonts w:ascii="Arial" w:cs="Arial" w:eastAsia="Arial" w:hAnsi="Arial"/>
                <w:b/>
                <w:bCs/>
                <w:color w:val="FFFFFF"/>
                <w:sz w:val="16"/>
                <w:szCs w:val="16"/>
              </w:rPr>
              <w:t xml:space="preserve">R clean</w:t>
            </w:r>
          </w:p>
        </w:tc>
        <w:tc>
          <w:tcPr>
            <w:tcW w:type="dxa" w:w="1400"/>
            <w:shd w:fill="16326B" w:color="auto" w:val="clear"/>
            <w:tcMar>
              <w:top w:type="dxa" w:w="60"/>
              <w:left w:type="dxa" w:w="90"/>
              <w:bottom w:type="dxa" w:w="60"/>
              <w:right w:type="dxa" w:w="90"/>
            </w:tcMar>
          </w:tcPr>
          <w:p>
            <w:pPr>
              <w:spacing w:after="0" w:line="250"/>
            </w:pPr>
            <w:r>
              <w:rPr>
                <w:rFonts w:ascii="Arial" w:cs="Arial" w:eastAsia="Arial" w:hAnsi="Arial"/>
                <w:b/>
                <w:bCs/>
                <w:color w:val="FFFFFF"/>
                <w:sz w:val="16"/>
                <w:szCs w:val="16"/>
              </w:rPr>
              <w:t xml:space="preserve">Score</w:t>
            </w:r>
          </w:p>
        </w:tc>
      </w:tr>
      <w:tr>
        <w:tc>
          <w:tcPr>
            <w:tcW w:type="dxa" w:w="4000"/>
            <w:tcMar>
              <w:top w:type="dxa" w:w="60"/>
              <w:left w:type="dxa" w:w="90"/>
              <w:bottom w:type="dxa" w:w="60"/>
              <w:right w:type="dxa" w:w="90"/>
            </w:tcMar>
          </w:tcPr>
          <w:p>
            <w:pPr>
              <w:spacing w:after="0" w:line="250"/>
              <w:jc w:val="left"/>
            </w:pPr>
            <w:r>
              <w:rPr>
                <w:rFonts w:ascii="Arial" w:cs="Arial" w:eastAsia="Arial" w:hAnsi="Arial"/>
                <w:b w:val="false"/>
                <w:bCs w:val="false"/>
                <w:color w:val="1A1A1A"/>
                <w:sz w:val="17"/>
                <w:szCs w:val="17"/>
              </w:rPr>
              <w:t xml:space="preserve">I0  Incumbent logic</w:t>
            </w:r>
          </w:p>
        </w:tc>
        <w:tc>
          <w:tcPr>
            <w:tcW w:type="dxa" w:w="1560"/>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1.000</w:t>
            </w:r>
          </w:p>
        </w:tc>
        <w:tc>
          <w:tcPr>
            <w:tcW w:type="dxa" w:w="1560"/>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1.000</w:t>
            </w:r>
          </w:p>
        </w:tc>
        <w:tc>
          <w:tcPr>
            <w:tcW w:type="dxa" w:w="1560"/>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1.000</w:t>
            </w:r>
          </w:p>
        </w:tc>
        <w:tc>
          <w:tcPr>
            <w:tcW w:type="dxa" w:w="1400"/>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60.0</w:t>
            </w:r>
          </w:p>
        </w:tc>
      </w:tr>
      <w:tr>
        <w:tc>
          <w:tcPr>
            <w:tcW w:type="dxa" w:w="4000"/>
            <w:shd w:fill="F3F5F6" w:color="auto" w:val="clear"/>
            <w:tcMar>
              <w:top w:type="dxa" w:w="60"/>
              <w:left w:type="dxa" w:w="90"/>
              <w:bottom w:type="dxa" w:w="60"/>
              <w:right w:type="dxa" w:w="90"/>
            </w:tcMar>
          </w:tcPr>
          <w:p>
            <w:pPr>
              <w:spacing w:after="0" w:line="250"/>
              <w:jc w:val="left"/>
            </w:pPr>
            <w:r>
              <w:rPr>
                <w:rFonts w:ascii="Arial" w:cs="Arial" w:eastAsia="Arial" w:hAnsi="Arial"/>
                <w:b w:val="false"/>
                <w:bCs w:val="false"/>
                <w:color w:val="1A1A1A"/>
                <w:sz w:val="17"/>
                <w:szCs w:val="17"/>
              </w:rPr>
              <w:t xml:space="preserve">I1  Affordability cap only</w:t>
            </w:r>
          </w:p>
        </w:tc>
        <w:tc>
          <w:tcPr>
            <w:tcW w:type="dxa" w:w="1560"/>
            <w:shd w:fill="F3F5F6" w:color="auto" w:val="clear"/>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0.575</w:t>
            </w:r>
          </w:p>
        </w:tc>
        <w:tc>
          <w:tcPr>
            <w:tcW w:type="dxa" w:w="1560"/>
            <w:shd w:fill="F3F5F6" w:color="auto" w:val="clear"/>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0.512</w:t>
            </w:r>
          </w:p>
        </w:tc>
        <w:tc>
          <w:tcPr>
            <w:tcW w:type="dxa" w:w="1560"/>
            <w:shd w:fill="F3F5F6" w:color="auto" w:val="clear"/>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0.576</w:t>
            </w:r>
          </w:p>
        </w:tc>
        <w:tc>
          <w:tcPr>
            <w:tcW w:type="dxa" w:w="1400"/>
            <w:shd w:fill="F3F5F6" w:color="auto" w:val="clear"/>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40.0</w:t>
            </w:r>
          </w:p>
        </w:tc>
      </w:tr>
      <w:tr>
        <w:tc>
          <w:tcPr>
            <w:tcW w:type="dxa" w:w="4000"/>
            <w:tcMar>
              <w:top w:type="dxa" w:w="60"/>
              <w:left w:type="dxa" w:w="90"/>
              <w:bottom w:type="dxa" w:w="60"/>
              <w:right w:type="dxa" w:w="90"/>
            </w:tcMar>
          </w:tcPr>
          <w:p>
            <w:pPr>
              <w:spacing w:after="0" w:line="250"/>
              <w:jc w:val="left"/>
            </w:pPr>
            <w:r>
              <w:rPr>
                <w:rFonts w:ascii="Arial" w:cs="Arial" w:eastAsia="Arial" w:hAnsi="Arial"/>
                <w:b w:val="false"/>
                <w:bCs w:val="false"/>
                <w:color w:val="1A1A1A"/>
                <w:sz w:val="17"/>
                <w:szCs w:val="17"/>
              </w:rPr>
              <w:t xml:space="preserve">I2  max(affordability, incumbent)</w:t>
            </w:r>
          </w:p>
        </w:tc>
        <w:tc>
          <w:tcPr>
            <w:tcW w:type="dxa" w:w="1560"/>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1.125</w:t>
            </w:r>
          </w:p>
        </w:tc>
        <w:tc>
          <w:tcPr>
            <w:tcW w:type="dxa" w:w="1560"/>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1.055</w:t>
            </w:r>
          </w:p>
        </w:tc>
        <w:tc>
          <w:tcPr>
            <w:tcW w:type="dxa" w:w="1560"/>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1.125</w:t>
            </w:r>
          </w:p>
        </w:tc>
        <w:tc>
          <w:tcPr>
            <w:tcW w:type="dxa" w:w="1400"/>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60.0</w:t>
            </w:r>
          </w:p>
        </w:tc>
      </w:tr>
      <w:tr>
        <w:tc>
          <w:tcPr>
            <w:tcW w:type="dxa" w:w="4000"/>
            <w:shd w:fill="F3F5F6" w:color="auto" w:val="clear"/>
            <w:tcMar>
              <w:top w:type="dxa" w:w="60"/>
              <w:left w:type="dxa" w:w="90"/>
              <w:bottom w:type="dxa" w:w="60"/>
              <w:right w:type="dxa" w:w="90"/>
            </w:tcMar>
          </w:tcPr>
          <w:p>
            <w:pPr>
              <w:spacing w:after="0" w:line="250"/>
              <w:jc w:val="left"/>
            </w:pPr>
            <w:r>
              <w:rPr>
                <w:rFonts w:ascii="Arial" w:cs="Arial" w:eastAsia="Arial" w:hAnsi="Arial"/>
                <w:b w:val="false"/>
                <w:bCs w:val="false"/>
                <w:color w:val="1A1A1A"/>
                <w:sz w:val="17"/>
                <w:szCs w:val="17"/>
              </w:rPr>
              <w:t xml:space="preserve">I3  Risk multiplier on incumbent</w:t>
            </w:r>
          </w:p>
        </w:tc>
        <w:tc>
          <w:tcPr>
            <w:tcW w:type="dxa" w:w="1560"/>
            <w:shd w:fill="F3F5F6" w:color="auto" w:val="clear"/>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1.080</w:t>
            </w:r>
          </w:p>
        </w:tc>
        <w:tc>
          <w:tcPr>
            <w:tcW w:type="dxa" w:w="1560"/>
            <w:shd w:fill="F3F5F6" w:color="auto" w:val="clear"/>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0.999</w:t>
            </w:r>
          </w:p>
        </w:tc>
        <w:tc>
          <w:tcPr>
            <w:tcW w:type="dxa" w:w="1560"/>
            <w:shd w:fill="F3F5F6" w:color="auto" w:val="clear"/>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1.081</w:t>
            </w:r>
          </w:p>
        </w:tc>
        <w:tc>
          <w:tcPr>
            <w:tcW w:type="dxa" w:w="1400"/>
            <w:shd w:fill="F3F5F6" w:color="auto" w:val="clear"/>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60.2</w:t>
            </w:r>
          </w:p>
        </w:tc>
      </w:tr>
      <w:tr>
        <w:tc>
          <w:tcPr>
            <w:tcW w:type="dxa" w:w="4000"/>
            <w:tcMar>
              <w:top w:type="dxa" w:w="60"/>
              <w:left w:type="dxa" w:w="90"/>
              <w:bottom w:type="dxa" w:w="60"/>
              <w:right w:type="dxa" w:w="90"/>
            </w:tcMar>
          </w:tcPr>
          <w:p>
            <w:pPr>
              <w:spacing w:after="0" w:line="250"/>
              <w:jc w:val="left"/>
            </w:pPr>
            <w:r>
              <w:rPr>
                <w:rFonts w:ascii="Arial" w:cs="Arial" w:eastAsia="Arial" w:hAnsi="Arial"/>
                <w:b w:val="false"/>
                <w:bCs w:val="false"/>
                <w:color w:val="1A1A1A"/>
                <w:sz w:val="17"/>
                <w:szCs w:val="17"/>
              </w:rPr>
              <w:t xml:space="preserve">I4  Affordability anchor × risk tier</w:t>
            </w:r>
          </w:p>
        </w:tc>
        <w:tc>
          <w:tcPr>
            <w:tcW w:type="dxa" w:w="1560"/>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1.010</w:t>
            </w:r>
          </w:p>
        </w:tc>
        <w:tc>
          <w:tcPr>
            <w:tcW w:type="dxa" w:w="1560"/>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0.878</w:t>
            </w:r>
          </w:p>
        </w:tc>
        <w:tc>
          <w:tcPr>
            <w:tcW w:type="dxa" w:w="1560"/>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1.011</w:t>
            </w:r>
          </w:p>
        </w:tc>
        <w:tc>
          <w:tcPr>
            <w:tcW w:type="dxa" w:w="1400"/>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79.6</w:t>
            </w:r>
          </w:p>
        </w:tc>
      </w:tr>
      <w:tr>
        <w:tc>
          <w:tcPr>
            <w:tcW w:type="dxa" w:w="4000"/>
            <w:shd w:fill="F3F5F6" w:color="auto" w:val="clear"/>
            <w:tcMar>
              <w:top w:type="dxa" w:w="60"/>
              <w:left w:type="dxa" w:w="90"/>
              <w:bottom w:type="dxa" w:w="60"/>
              <w:right w:type="dxa" w:w="90"/>
            </w:tcMar>
          </w:tcPr>
          <w:p>
            <w:pPr>
              <w:spacing w:after="0" w:line="250"/>
              <w:jc w:val="left"/>
            </w:pPr>
            <w:r>
              <w:rPr>
                <w:rFonts w:ascii="Arial" w:cs="Arial" w:eastAsia="Arial" w:hAnsi="Arial"/>
                <w:b w:val="false"/>
                <w:bCs w:val="false"/>
                <w:color w:val="1A1A1A"/>
                <w:sz w:val="17"/>
                <w:szCs w:val="17"/>
              </w:rPr>
              <w:t xml:space="preserve">I5  Calibrated tier grid</w:t>
            </w:r>
          </w:p>
        </w:tc>
        <w:tc>
          <w:tcPr>
            <w:tcW w:type="dxa" w:w="1560"/>
            <w:shd w:fill="F3F5F6" w:color="auto" w:val="clear"/>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1.016</w:t>
            </w:r>
          </w:p>
        </w:tc>
        <w:tc>
          <w:tcPr>
            <w:tcW w:type="dxa" w:w="1560"/>
            <w:shd w:fill="F3F5F6" w:color="auto" w:val="clear"/>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0.878</w:t>
            </w:r>
          </w:p>
        </w:tc>
        <w:tc>
          <w:tcPr>
            <w:tcW w:type="dxa" w:w="1560"/>
            <w:shd w:fill="F3F5F6" w:color="auto" w:val="clear"/>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1.018</w:t>
            </w:r>
          </w:p>
        </w:tc>
        <w:tc>
          <w:tcPr>
            <w:tcW w:type="dxa" w:w="1400"/>
            <w:shd w:fill="F3F5F6" w:color="auto" w:val="clear"/>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79.6</w:t>
            </w:r>
          </w:p>
        </w:tc>
      </w:tr>
      <w:tr>
        <w:tc>
          <w:tcPr>
            <w:tcW w:type="dxa" w:w="4000"/>
            <w:tcMar>
              <w:top w:type="dxa" w:w="60"/>
              <w:left w:type="dxa" w:w="90"/>
              <w:bottom w:type="dxa" w:w="60"/>
              <w:right w:type="dxa" w:w="90"/>
            </w:tcMar>
          </w:tcPr>
          <w:p>
            <w:pPr>
              <w:spacing w:after="0" w:line="250"/>
              <w:jc w:val="left"/>
            </w:pPr>
            <w:r>
              <w:rPr>
                <w:rFonts w:ascii="Arial" w:cs="Arial" w:eastAsia="Arial" w:hAnsi="Arial"/>
                <w:b/>
                <w:bCs/>
                <w:color w:val="1A1A1A"/>
                <w:sz w:val="17"/>
                <w:szCs w:val="17"/>
              </w:rPr>
              <w:t xml:space="preserve">I6  FINAL — constrained optimum</w:t>
            </w:r>
          </w:p>
        </w:tc>
        <w:tc>
          <w:tcPr>
            <w:tcW w:type="dxa" w:w="1560"/>
            <w:tcMar>
              <w:top w:type="dxa" w:w="60"/>
              <w:left w:type="dxa" w:w="90"/>
              <w:bottom w:type="dxa" w:w="60"/>
              <w:right w:type="dxa" w:w="90"/>
            </w:tcMar>
          </w:tcPr>
          <w:p>
            <w:pPr>
              <w:spacing w:after="0" w:line="250"/>
              <w:jc w:val="right"/>
            </w:pPr>
            <w:r>
              <w:rPr>
                <w:rFonts w:ascii="Arial" w:cs="Arial" w:eastAsia="Arial" w:hAnsi="Arial"/>
                <w:b/>
                <w:bCs/>
                <w:color w:val="1A1A1A"/>
                <w:sz w:val="17"/>
                <w:szCs w:val="17"/>
              </w:rPr>
              <w:t xml:space="preserve">1.004</w:t>
            </w:r>
          </w:p>
        </w:tc>
        <w:tc>
          <w:tcPr>
            <w:tcW w:type="dxa" w:w="1560"/>
            <w:tcMar>
              <w:top w:type="dxa" w:w="60"/>
              <w:left w:type="dxa" w:w="90"/>
              <w:bottom w:type="dxa" w:w="60"/>
              <w:right w:type="dxa" w:w="90"/>
            </w:tcMar>
          </w:tcPr>
          <w:p>
            <w:pPr>
              <w:spacing w:after="0" w:line="250"/>
              <w:jc w:val="right"/>
            </w:pPr>
            <w:r>
              <w:rPr>
                <w:rFonts w:ascii="Arial" w:cs="Arial" w:eastAsia="Arial" w:hAnsi="Arial"/>
                <w:b/>
                <w:bCs/>
                <w:color w:val="1A1A1A"/>
                <w:sz w:val="17"/>
                <w:szCs w:val="17"/>
              </w:rPr>
              <w:t xml:space="preserve">0.815</w:t>
            </w:r>
          </w:p>
        </w:tc>
        <w:tc>
          <w:tcPr>
            <w:tcW w:type="dxa" w:w="1560"/>
            <w:tcMar>
              <w:top w:type="dxa" w:w="60"/>
              <w:left w:type="dxa" w:w="90"/>
              <w:bottom w:type="dxa" w:w="60"/>
              <w:right w:type="dxa" w:w="90"/>
            </w:tcMar>
          </w:tcPr>
          <w:p>
            <w:pPr>
              <w:spacing w:after="0" w:line="250"/>
              <w:jc w:val="right"/>
            </w:pPr>
            <w:r>
              <w:rPr>
                <w:rFonts w:ascii="Arial" w:cs="Arial" w:eastAsia="Arial" w:hAnsi="Arial"/>
                <w:b/>
                <w:bCs/>
                <w:color w:val="1A1A1A"/>
                <w:sz w:val="17"/>
                <w:szCs w:val="17"/>
              </w:rPr>
              <w:t xml:space="preserve">1.006</w:t>
            </w:r>
          </w:p>
        </w:tc>
        <w:tc>
          <w:tcPr>
            <w:tcW w:type="dxa" w:w="1400"/>
            <w:tcMar>
              <w:top w:type="dxa" w:w="60"/>
              <w:left w:type="dxa" w:w="90"/>
              <w:bottom w:type="dxa" w:w="60"/>
              <w:right w:type="dxa" w:w="90"/>
            </w:tcMar>
          </w:tcPr>
          <w:p>
            <w:pPr>
              <w:spacing w:after="0" w:line="250"/>
              <w:jc w:val="right"/>
            </w:pPr>
            <w:r>
              <w:rPr>
                <w:rFonts w:ascii="Arial" w:cs="Arial" w:eastAsia="Arial" w:hAnsi="Arial"/>
                <w:b/>
                <w:bCs/>
                <w:color w:val="1A1A1A"/>
                <w:sz w:val="17"/>
                <w:szCs w:val="17"/>
              </w:rPr>
              <w:t xml:space="preserve">89.6</w:t>
            </w:r>
          </w:p>
        </w:tc>
      </w:tr>
    </w:tbl>
    <w:p>
      <w:pPr>
        <w:spacing w:after="120" w:line="280"/>
      </w:pPr>
      <w:r>
        <w:rPr>
          <w:rFonts w:ascii="Arial" w:cs="Arial" w:eastAsia="Arial" w:hAnsi="Arial"/>
          <w:color w:val="1A1A1A"/>
          <w:sz w:val="20"/>
          <w:szCs w:val="20"/>
        </w:rPr>
        <w:t xml:space="preserve"/>
      </w:r>
    </w:p>
    <w:p>
      <w:pPr>
        <w:spacing w:after="120" w:line="280"/>
      </w:pPr>
      <w:r>
        <w:rPr>
          <w:rFonts w:ascii="Arial" w:cs="Arial" w:eastAsia="Arial" w:hAnsi="Arial"/>
          <w:color w:val="1A1A1A"/>
          <w:sz w:val="20"/>
          <w:szCs w:val="20"/>
        </w:rPr>
        <w:t xml:space="preserve">I1 and I2 are the two obvious readings of the brief and each scores badly, because each satisfies one criterion by sacrificing another. A pure affordability cap cuts everyone's offer. A "just lend more" rule raises the risky customer's offer along with everybody else's. The metric rewards neither timidity nor generosity — only a redistribution.</w:t>
      </w:r>
    </w:p>
    <w:p>
      <w:pPr>
        <w:spacing w:after="120" w:line="280"/>
      </w:pPr>
      <w:r>
        <w:rPr>
          <w:rFonts w:ascii="Arial" w:cs="Arial" w:eastAsia="Arial" w:hAnsi="Arial"/>
          <w:color w:val="1A1A1A"/>
          <w:sz w:val="20"/>
          <w:szCs w:val="20"/>
        </w:rPr>
        <w:t xml:space="preserve">In the final iteration criteria 1 and 3 are imposed as hard constraints (the proposed average may not fall below the existing average, overall or among converters) and criterion 2 is maximised subject to them. Bootstrap 95% confidence interval on the final score, from 500 resamples of the build cohort: 78.1 to 99.3.</w:t>
      </w:r>
    </w:p>
    <w:p>
      <w:pPr>
        <w:pStyle w:val="Heading1"/>
        <w:spacing w:after="140" w:before="320"/>
      </w:pPr>
      <w:r>
        <w:rPr>
          <w:rFonts w:ascii="Arial" w:cs="Arial" w:eastAsia="Arial" w:hAnsi="Arial"/>
          <w:b/>
          <w:bCs/>
          <w:color w:val="16326B"/>
          <w:sz w:val="26"/>
          <w:szCs w:val="26"/>
        </w:rPr>
        <w:t xml:space="preserve">7. Result on the holdout</w:t>
      </w:r>
    </w:p>
    <w:p>
      <w:pPr>
        <w:spacing w:after="120" w:line="280"/>
      </w:pPr>
      <w:r>
        <w:rPr>
          <w:rFonts w:ascii="Arial" w:cs="Arial" w:eastAsia="Arial" w:hAnsi="Arial"/>
          <w:color w:val="1A1A1A"/>
          <w:sz w:val="20"/>
          <w:szCs w:val="20"/>
        </w:rPr>
        <w:t xml:space="preserve">The policy was fitted only on the build cohort. It was then applied unchanged to the 5,203 validation customers who took a personal loan. Nothing about this cohort informed the model or the policy. This is the table the brief specifies.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1000"/>
        <w:gridCol w:w="1600"/>
        <w:gridCol w:w="1200"/>
        <w:gridCol w:w="1500"/>
        <w:gridCol w:w="1280"/>
      </w:tblGrid>
      <w:tr>
        <w:trPr>
          <w:tblHeader/>
        </w:trPr>
        <w:tc>
          <w:tcPr>
            <w:tcW w:type="dxa" w:w="1000"/>
            <w:shd w:fill="16326B" w:color="auto" w:val="clear"/>
            <w:tcMar>
              <w:top w:type="dxa" w:w="60"/>
              <w:left w:type="dxa" w:w="90"/>
              <w:bottom w:type="dxa" w:w="60"/>
              <w:right w:type="dxa" w:w="90"/>
            </w:tcMar>
          </w:tcPr>
          <w:p>
            <w:pPr>
              <w:spacing w:after="0" w:line="250"/>
            </w:pPr>
            <w:r>
              <w:rPr>
                <w:rFonts w:ascii="Arial" w:cs="Arial" w:eastAsia="Arial" w:hAnsi="Arial"/>
                <w:b/>
                <w:bCs/>
                <w:color w:val="FFFFFF"/>
                <w:sz w:val="16"/>
                <w:szCs w:val="16"/>
              </w:rPr>
              <w:t xml:space="preserve">Quintile</w:t>
            </w:r>
          </w:p>
        </w:tc>
        <w:tc>
          <w:tcPr>
            <w:tcW w:type="dxa" w:w="2500"/>
            <w:shd w:fill="16326B" w:color="auto" w:val="clear"/>
            <w:tcMar>
              <w:top w:type="dxa" w:w="60"/>
              <w:left w:type="dxa" w:w="90"/>
              <w:bottom w:type="dxa" w:w="60"/>
              <w:right w:type="dxa" w:w="90"/>
            </w:tcMar>
          </w:tcPr>
          <w:p>
            <w:pPr>
              <w:spacing w:after="0" w:line="250"/>
            </w:pPr>
            <w:r>
              <w:rPr>
                <w:rFonts w:ascii="Arial" w:cs="Arial" w:eastAsia="Arial" w:hAnsi="Arial"/>
                <w:b/>
                <w:bCs/>
                <w:color w:val="FFFFFF"/>
                <w:sz w:val="16"/>
                <w:szCs w:val="16"/>
              </w:rPr>
              <w:t xml:space="preserve">Range</w:t>
            </w:r>
          </w:p>
        </w:tc>
        <w:tc>
          <w:tcPr>
            <w:tcW w:type="dxa" w:w="1000"/>
            <w:shd w:fill="16326B" w:color="auto" w:val="clear"/>
            <w:tcMar>
              <w:top w:type="dxa" w:w="60"/>
              <w:left w:type="dxa" w:w="90"/>
              <w:bottom w:type="dxa" w:w="60"/>
              <w:right w:type="dxa" w:w="90"/>
            </w:tcMar>
          </w:tcPr>
          <w:p>
            <w:pPr>
              <w:spacing w:after="0" w:line="250"/>
            </w:pPr>
            <w:r>
              <w:rPr>
                <w:rFonts w:ascii="Arial" w:cs="Arial" w:eastAsia="Arial" w:hAnsi="Arial"/>
                <w:b/>
                <w:bCs/>
                <w:color w:val="FFFFFF"/>
                <w:sz w:val="16"/>
                <w:szCs w:val="16"/>
              </w:rPr>
              <w:t xml:space="preserve">Volume</w:t>
            </w:r>
          </w:p>
        </w:tc>
        <w:tc>
          <w:tcPr>
            <w:tcW w:type="dxa" w:w="1600"/>
            <w:shd w:fill="16326B" w:color="auto" w:val="clear"/>
            <w:tcMar>
              <w:top w:type="dxa" w:w="60"/>
              <w:left w:type="dxa" w:w="90"/>
              <w:bottom w:type="dxa" w:w="60"/>
              <w:right w:type="dxa" w:w="90"/>
            </w:tcMar>
          </w:tcPr>
          <w:p>
            <w:pPr>
              <w:spacing w:after="0" w:line="250"/>
            </w:pPr>
            <w:r>
              <w:rPr>
                <w:rFonts w:ascii="Arial" w:cs="Arial" w:eastAsia="Arial" w:hAnsi="Arial"/>
                <w:b/>
                <w:bCs/>
                <w:color w:val="FFFFFF"/>
                <w:sz w:val="16"/>
                <w:szCs w:val="16"/>
              </w:rPr>
              <w:t xml:space="preserve">Avg proposed</w:t>
            </w:r>
          </w:p>
        </w:tc>
        <w:tc>
          <w:tcPr>
            <w:tcW w:type="dxa" w:w="1200"/>
            <w:shd w:fill="16326B" w:color="auto" w:val="clear"/>
            <w:tcMar>
              <w:top w:type="dxa" w:w="60"/>
              <w:left w:type="dxa" w:w="90"/>
              <w:bottom w:type="dxa" w:w="60"/>
              <w:right w:type="dxa" w:w="90"/>
            </w:tcMar>
          </w:tcPr>
          <w:p>
            <w:pPr>
              <w:spacing w:after="0" w:line="250"/>
            </w:pPr>
            <w:r>
              <w:rPr>
                <w:rFonts w:ascii="Arial" w:cs="Arial" w:eastAsia="Arial" w:hAnsi="Arial"/>
                <w:b/>
                <w:bCs/>
                <w:color w:val="FFFFFF"/>
                <w:sz w:val="16"/>
                <w:szCs w:val="16"/>
              </w:rPr>
              <w:t xml:space="preserve">Risk events</w:t>
            </w:r>
          </w:p>
        </w:tc>
        <w:tc>
          <w:tcPr>
            <w:tcW w:type="dxa" w:w="1500"/>
            <w:shd w:fill="16326B" w:color="auto" w:val="clear"/>
            <w:tcMar>
              <w:top w:type="dxa" w:w="60"/>
              <w:left w:type="dxa" w:w="90"/>
              <w:bottom w:type="dxa" w:w="60"/>
              <w:right w:type="dxa" w:w="90"/>
            </w:tcMar>
          </w:tcPr>
          <w:p>
            <w:pPr>
              <w:spacing w:after="0" w:line="250"/>
            </w:pPr>
            <w:r>
              <w:rPr>
                <w:rFonts w:ascii="Arial" w:cs="Arial" w:eastAsia="Arial" w:hAnsi="Arial"/>
                <w:b/>
                <w:bCs/>
                <w:color w:val="FFFFFF"/>
                <w:sz w:val="16"/>
                <w:szCs w:val="16"/>
              </w:rPr>
              <w:t xml:space="preserve">% Ever 30 MOB 1–6</w:t>
            </w:r>
          </w:p>
        </w:tc>
        <w:tc>
          <w:tcPr>
            <w:tcW w:type="dxa" w:w="1280"/>
            <w:shd w:fill="16326B" w:color="auto" w:val="clear"/>
            <w:tcMar>
              <w:top w:type="dxa" w:w="60"/>
              <w:left w:type="dxa" w:w="90"/>
              <w:bottom w:type="dxa" w:w="60"/>
              <w:right w:type="dxa" w:w="90"/>
            </w:tcMar>
          </w:tcPr>
          <w:p>
            <w:pPr>
              <w:spacing w:after="0" w:line="250"/>
            </w:pPr>
            <w:r>
              <w:rPr>
                <w:rFonts w:ascii="Arial" w:cs="Arial" w:eastAsia="Arial" w:hAnsi="Arial"/>
                <w:b/>
                <w:bCs/>
                <w:color w:val="FFFFFF"/>
                <w:sz w:val="16"/>
                <w:szCs w:val="16"/>
              </w:rPr>
              <w:t xml:space="preserve">95% CI</w:t>
            </w:r>
          </w:p>
        </w:tc>
      </w:tr>
      <w:tr>
        <w:tc>
          <w:tcPr>
            <w:tcW w:type="dxa" w:w="1000"/>
            <w:tcMar>
              <w:top w:type="dxa" w:w="60"/>
              <w:left w:type="dxa" w:w="90"/>
              <w:bottom w:type="dxa" w:w="60"/>
              <w:right w:type="dxa" w:w="90"/>
            </w:tcMar>
          </w:tcPr>
          <w:p>
            <w:pPr>
              <w:spacing w:after="0" w:line="250"/>
              <w:jc w:val="left"/>
            </w:pPr>
            <w:r>
              <w:rPr>
                <w:rFonts w:ascii="Arial" w:cs="Arial" w:eastAsia="Arial" w:hAnsi="Arial"/>
                <w:b w:val="false"/>
                <w:bCs w:val="false"/>
                <w:color w:val="1A1A1A"/>
                <w:sz w:val="17"/>
                <w:szCs w:val="17"/>
              </w:rPr>
              <w:t xml:space="preserve">1</w:t>
            </w:r>
          </w:p>
        </w:tc>
        <w:tc>
          <w:tcPr>
            <w:tcW w:type="dxa" w:w="2500"/>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₹40,000 – ₹75,940</w:t>
            </w:r>
          </w:p>
        </w:tc>
        <w:tc>
          <w:tcPr>
            <w:tcW w:type="dxa" w:w="1000"/>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1,041</w:t>
            </w:r>
          </w:p>
        </w:tc>
        <w:tc>
          <w:tcPr>
            <w:tcW w:type="dxa" w:w="1600"/>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₹58,284</w:t>
            </w:r>
          </w:p>
        </w:tc>
        <w:tc>
          <w:tcPr>
            <w:tcW w:type="dxa" w:w="1200"/>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23</w:t>
            </w:r>
          </w:p>
        </w:tc>
        <w:tc>
          <w:tcPr>
            <w:tcW w:type="dxa" w:w="1500"/>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2.21%</w:t>
            </w:r>
          </w:p>
        </w:tc>
        <w:tc>
          <w:tcPr>
            <w:tcW w:type="dxa" w:w="1280"/>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1.34 – 3.17</w:t>
            </w:r>
          </w:p>
        </w:tc>
      </w:tr>
      <w:tr>
        <w:tc>
          <w:tcPr>
            <w:tcW w:type="dxa" w:w="1000"/>
            <w:shd w:fill="F3F5F6" w:color="auto" w:val="clear"/>
            <w:tcMar>
              <w:top w:type="dxa" w:w="60"/>
              <w:left w:type="dxa" w:w="90"/>
              <w:bottom w:type="dxa" w:w="60"/>
              <w:right w:type="dxa" w:w="90"/>
            </w:tcMar>
          </w:tcPr>
          <w:p>
            <w:pPr>
              <w:spacing w:after="0" w:line="250"/>
              <w:jc w:val="left"/>
            </w:pPr>
            <w:r>
              <w:rPr>
                <w:rFonts w:ascii="Arial" w:cs="Arial" w:eastAsia="Arial" w:hAnsi="Arial"/>
                <w:b w:val="false"/>
                <w:bCs w:val="false"/>
                <w:color w:val="1A1A1A"/>
                <w:sz w:val="17"/>
                <w:szCs w:val="17"/>
              </w:rPr>
              <w:t xml:space="preserve">2</w:t>
            </w:r>
          </w:p>
        </w:tc>
        <w:tc>
          <w:tcPr>
            <w:tcW w:type="dxa" w:w="2500"/>
            <w:shd w:fill="F3F5F6" w:color="auto" w:val="clear"/>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₹75,957 – ₹1,12,349</w:t>
            </w:r>
          </w:p>
        </w:tc>
        <w:tc>
          <w:tcPr>
            <w:tcW w:type="dxa" w:w="1000"/>
            <w:shd w:fill="F3F5F6" w:color="auto" w:val="clear"/>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1,040</w:t>
            </w:r>
          </w:p>
        </w:tc>
        <w:tc>
          <w:tcPr>
            <w:tcW w:type="dxa" w:w="1600"/>
            <w:shd w:fill="F3F5F6" w:color="auto" w:val="clear"/>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₹93,818</w:t>
            </w:r>
          </w:p>
        </w:tc>
        <w:tc>
          <w:tcPr>
            <w:tcW w:type="dxa" w:w="1200"/>
            <w:shd w:fill="F3F5F6" w:color="auto" w:val="clear"/>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19</w:t>
            </w:r>
          </w:p>
        </w:tc>
        <w:tc>
          <w:tcPr>
            <w:tcW w:type="dxa" w:w="1500"/>
            <w:shd w:fill="F3F5F6" w:color="auto" w:val="clear"/>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1.83%</w:t>
            </w:r>
          </w:p>
        </w:tc>
        <w:tc>
          <w:tcPr>
            <w:tcW w:type="dxa" w:w="1280"/>
            <w:shd w:fill="F3F5F6" w:color="auto" w:val="clear"/>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1.06 – 2.69</w:t>
            </w:r>
          </w:p>
        </w:tc>
      </w:tr>
      <w:tr>
        <w:tc>
          <w:tcPr>
            <w:tcW w:type="dxa" w:w="1000"/>
            <w:tcMar>
              <w:top w:type="dxa" w:w="60"/>
              <w:left w:type="dxa" w:w="90"/>
              <w:bottom w:type="dxa" w:w="60"/>
              <w:right w:type="dxa" w:w="90"/>
            </w:tcMar>
          </w:tcPr>
          <w:p>
            <w:pPr>
              <w:spacing w:after="0" w:line="250"/>
              <w:jc w:val="left"/>
            </w:pPr>
            <w:r>
              <w:rPr>
                <w:rFonts w:ascii="Arial" w:cs="Arial" w:eastAsia="Arial" w:hAnsi="Arial"/>
                <w:b w:val="false"/>
                <w:bCs w:val="false"/>
                <w:color w:val="1A1A1A"/>
                <w:sz w:val="17"/>
                <w:szCs w:val="17"/>
              </w:rPr>
              <w:t xml:space="preserve">3</w:t>
            </w:r>
          </w:p>
        </w:tc>
        <w:tc>
          <w:tcPr>
            <w:tcW w:type="dxa" w:w="2500"/>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₹1,12,360 – ₹1,49,555</w:t>
            </w:r>
          </w:p>
        </w:tc>
        <w:tc>
          <w:tcPr>
            <w:tcW w:type="dxa" w:w="1000"/>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1,041</w:t>
            </w:r>
          </w:p>
        </w:tc>
        <w:tc>
          <w:tcPr>
            <w:tcW w:type="dxa" w:w="1600"/>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₹1,30,692</w:t>
            </w:r>
          </w:p>
        </w:tc>
        <w:tc>
          <w:tcPr>
            <w:tcW w:type="dxa" w:w="1200"/>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14</w:t>
            </w:r>
          </w:p>
        </w:tc>
        <w:tc>
          <w:tcPr>
            <w:tcW w:type="dxa" w:w="1500"/>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1.34%</w:t>
            </w:r>
          </w:p>
        </w:tc>
        <w:tc>
          <w:tcPr>
            <w:tcW w:type="dxa" w:w="1280"/>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0.67 – 2.11</w:t>
            </w:r>
          </w:p>
        </w:tc>
      </w:tr>
      <w:tr>
        <w:tc>
          <w:tcPr>
            <w:tcW w:type="dxa" w:w="1000"/>
            <w:shd w:fill="F3F5F6" w:color="auto" w:val="clear"/>
            <w:tcMar>
              <w:top w:type="dxa" w:w="60"/>
              <w:left w:type="dxa" w:w="90"/>
              <w:bottom w:type="dxa" w:w="60"/>
              <w:right w:type="dxa" w:w="90"/>
            </w:tcMar>
          </w:tcPr>
          <w:p>
            <w:pPr>
              <w:spacing w:after="0" w:line="250"/>
              <w:jc w:val="left"/>
            </w:pPr>
            <w:r>
              <w:rPr>
                <w:rFonts w:ascii="Arial" w:cs="Arial" w:eastAsia="Arial" w:hAnsi="Arial"/>
                <w:b w:val="false"/>
                <w:bCs w:val="false"/>
                <w:color w:val="1A1A1A"/>
                <w:sz w:val="17"/>
                <w:szCs w:val="17"/>
              </w:rPr>
              <w:t xml:space="preserve">4</w:t>
            </w:r>
          </w:p>
        </w:tc>
        <w:tc>
          <w:tcPr>
            <w:tcW w:type="dxa" w:w="2500"/>
            <w:shd w:fill="F3F5F6" w:color="auto" w:val="clear"/>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₹1,49,579 – ₹1,89,323</w:t>
            </w:r>
          </w:p>
        </w:tc>
        <w:tc>
          <w:tcPr>
            <w:tcW w:type="dxa" w:w="1000"/>
            <w:shd w:fill="F3F5F6" w:color="auto" w:val="clear"/>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1,040</w:t>
            </w:r>
          </w:p>
        </w:tc>
        <w:tc>
          <w:tcPr>
            <w:tcW w:type="dxa" w:w="1600"/>
            <w:shd w:fill="F3F5F6" w:color="auto" w:val="clear"/>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₹1,68,982</w:t>
            </w:r>
          </w:p>
        </w:tc>
        <w:tc>
          <w:tcPr>
            <w:tcW w:type="dxa" w:w="1200"/>
            <w:shd w:fill="F3F5F6" w:color="auto" w:val="clear"/>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8</w:t>
            </w:r>
          </w:p>
        </w:tc>
        <w:tc>
          <w:tcPr>
            <w:tcW w:type="dxa" w:w="1500"/>
            <w:shd w:fill="F3F5F6" w:color="auto" w:val="clear"/>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0.77%</w:t>
            </w:r>
          </w:p>
        </w:tc>
        <w:tc>
          <w:tcPr>
            <w:tcW w:type="dxa" w:w="1280"/>
            <w:shd w:fill="F3F5F6" w:color="auto" w:val="clear"/>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0.29 – 1.35</w:t>
            </w:r>
          </w:p>
        </w:tc>
      </w:tr>
      <w:tr>
        <w:tc>
          <w:tcPr>
            <w:tcW w:type="dxa" w:w="1000"/>
            <w:tcMar>
              <w:top w:type="dxa" w:w="60"/>
              <w:left w:type="dxa" w:w="90"/>
              <w:bottom w:type="dxa" w:w="60"/>
              <w:right w:type="dxa" w:w="90"/>
            </w:tcMar>
          </w:tcPr>
          <w:p>
            <w:pPr>
              <w:spacing w:after="0" w:line="250"/>
              <w:jc w:val="left"/>
            </w:pPr>
            <w:r>
              <w:rPr>
                <w:rFonts w:ascii="Arial" w:cs="Arial" w:eastAsia="Arial" w:hAnsi="Arial"/>
                <w:b w:val="false"/>
                <w:bCs w:val="false"/>
                <w:color w:val="1A1A1A"/>
                <w:sz w:val="17"/>
                <w:szCs w:val="17"/>
              </w:rPr>
              <w:t xml:space="preserve">5</w:t>
            </w:r>
          </w:p>
        </w:tc>
        <w:tc>
          <w:tcPr>
            <w:tcW w:type="dxa" w:w="2500"/>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₹1,89,323 – ₹6,00,000</w:t>
            </w:r>
          </w:p>
        </w:tc>
        <w:tc>
          <w:tcPr>
            <w:tcW w:type="dxa" w:w="1000"/>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1,041</w:t>
            </w:r>
          </w:p>
        </w:tc>
        <w:tc>
          <w:tcPr>
            <w:tcW w:type="dxa" w:w="1600"/>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₹2,89,009</w:t>
            </w:r>
          </w:p>
        </w:tc>
        <w:tc>
          <w:tcPr>
            <w:tcW w:type="dxa" w:w="1200"/>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8</w:t>
            </w:r>
          </w:p>
        </w:tc>
        <w:tc>
          <w:tcPr>
            <w:tcW w:type="dxa" w:w="1500"/>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0.77%</w:t>
            </w:r>
          </w:p>
        </w:tc>
        <w:tc>
          <w:tcPr>
            <w:tcW w:type="dxa" w:w="1280"/>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0.29 – 1.34</w:t>
            </w:r>
          </w:p>
        </w:tc>
      </w:tr>
      <w:tr>
        <w:tc>
          <w:tcPr>
            <w:tcW w:type="dxa" w:w="1000"/>
            <w:shd w:fill="F3F5F6" w:color="auto" w:val="clear"/>
            <w:tcMar>
              <w:top w:type="dxa" w:w="60"/>
              <w:left w:type="dxa" w:w="90"/>
              <w:bottom w:type="dxa" w:w="60"/>
              <w:right w:type="dxa" w:w="90"/>
            </w:tcMar>
          </w:tcPr>
          <w:p>
            <w:pPr>
              <w:spacing w:after="0" w:line="250"/>
              <w:jc w:val="left"/>
            </w:pPr>
            <w:r>
              <w:rPr>
                <w:rFonts w:ascii="Arial" w:cs="Arial" w:eastAsia="Arial" w:hAnsi="Arial"/>
                <w:b/>
                <w:bCs/>
                <w:color w:val="1A1A1A"/>
                <w:sz w:val="17"/>
                <w:szCs w:val="17"/>
              </w:rPr>
              <w:t xml:space="preserve">Total</w:t>
            </w:r>
          </w:p>
        </w:tc>
        <w:tc>
          <w:tcPr>
            <w:tcW w:type="dxa" w:w="2500"/>
            <w:shd w:fill="F3F5F6" w:color="auto" w:val="clear"/>
            <w:tcMar>
              <w:top w:type="dxa" w:w="60"/>
              <w:left w:type="dxa" w:w="90"/>
              <w:bottom w:type="dxa" w:w="60"/>
              <w:right w:type="dxa" w:w="90"/>
            </w:tcMar>
          </w:tcPr>
          <w:p>
            <w:pPr>
              <w:spacing w:after="0" w:line="250"/>
              <w:jc w:val="left"/>
            </w:pPr>
            <w:r>
              <w:rPr>
                <w:rFonts w:ascii="Arial" w:cs="Arial" w:eastAsia="Arial" w:hAnsi="Arial"/>
                <w:b/>
                <w:bCs/>
                <w:color w:val="1A1A1A"/>
                <w:sz w:val="17"/>
                <w:szCs w:val="17"/>
              </w:rPr>
              <w:t xml:space="preserve"/>
            </w:r>
          </w:p>
        </w:tc>
        <w:tc>
          <w:tcPr>
            <w:tcW w:type="dxa" w:w="1000"/>
            <w:shd w:fill="F3F5F6" w:color="auto" w:val="clear"/>
            <w:tcMar>
              <w:top w:type="dxa" w:w="60"/>
              <w:left w:type="dxa" w:w="90"/>
              <w:bottom w:type="dxa" w:w="60"/>
              <w:right w:type="dxa" w:w="90"/>
            </w:tcMar>
          </w:tcPr>
          <w:p>
            <w:pPr>
              <w:spacing w:after="0" w:line="250"/>
              <w:jc w:val="right"/>
            </w:pPr>
            <w:r>
              <w:rPr>
                <w:rFonts w:ascii="Arial" w:cs="Arial" w:eastAsia="Arial" w:hAnsi="Arial"/>
                <w:b/>
                <w:bCs/>
                <w:color w:val="1A1A1A"/>
                <w:sz w:val="17"/>
                <w:szCs w:val="17"/>
              </w:rPr>
              <w:t xml:space="preserve">5,203</w:t>
            </w:r>
          </w:p>
        </w:tc>
        <w:tc>
          <w:tcPr>
            <w:tcW w:type="dxa" w:w="1600"/>
            <w:shd w:fill="F3F5F6" w:color="auto" w:val="clear"/>
            <w:tcMar>
              <w:top w:type="dxa" w:w="60"/>
              <w:left w:type="dxa" w:w="90"/>
              <w:bottom w:type="dxa" w:w="60"/>
              <w:right w:type="dxa" w:w="90"/>
            </w:tcMar>
          </w:tcPr>
          <w:p>
            <w:pPr>
              <w:spacing w:after="0" w:line="250"/>
              <w:jc w:val="right"/>
            </w:pPr>
            <w:r>
              <w:rPr>
                <w:rFonts w:ascii="Arial" w:cs="Arial" w:eastAsia="Arial" w:hAnsi="Arial"/>
                <w:b/>
                <w:bCs/>
                <w:color w:val="1A1A1A"/>
                <w:sz w:val="17"/>
                <w:szCs w:val="17"/>
              </w:rPr>
              <w:t xml:space="preserve">₹1,48,157</w:t>
            </w:r>
          </w:p>
        </w:tc>
        <w:tc>
          <w:tcPr>
            <w:tcW w:type="dxa" w:w="1200"/>
            <w:shd w:fill="F3F5F6" w:color="auto" w:val="clear"/>
            <w:tcMar>
              <w:top w:type="dxa" w:w="60"/>
              <w:left w:type="dxa" w:w="90"/>
              <w:bottom w:type="dxa" w:w="60"/>
              <w:right w:type="dxa" w:w="90"/>
            </w:tcMar>
          </w:tcPr>
          <w:p>
            <w:pPr>
              <w:spacing w:after="0" w:line="250"/>
              <w:jc w:val="right"/>
            </w:pPr>
            <w:r>
              <w:rPr>
                <w:rFonts w:ascii="Arial" w:cs="Arial" w:eastAsia="Arial" w:hAnsi="Arial"/>
                <w:b/>
                <w:bCs/>
                <w:color w:val="1A1A1A"/>
                <w:sz w:val="17"/>
                <w:szCs w:val="17"/>
              </w:rPr>
              <w:t xml:space="preserve">72</w:t>
            </w:r>
          </w:p>
        </w:tc>
        <w:tc>
          <w:tcPr>
            <w:tcW w:type="dxa" w:w="1500"/>
            <w:shd w:fill="F3F5F6" w:color="auto" w:val="clear"/>
            <w:tcMar>
              <w:top w:type="dxa" w:w="60"/>
              <w:left w:type="dxa" w:w="90"/>
              <w:bottom w:type="dxa" w:w="60"/>
              <w:right w:type="dxa" w:w="90"/>
            </w:tcMar>
          </w:tcPr>
          <w:p>
            <w:pPr>
              <w:spacing w:after="0" w:line="250"/>
              <w:jc w:val="right"/>
            </w:pPr>
            <w:r>
              <w:rPr>
                <w:rFonts w:ascii="Arial" w:cs="Arial" w:eastAsia="Arial" w:hAnsi="Arial"/>
                <w:b/>
                <w:bCs/>
                <w:color w:val="1A1A1A"/>
                <w:sz w:val="17"/>
                <w:szCs w:val="17"/>
              </w:rPr>
              <w:t xml:space="preserve">1.38%</w:t>
            </w:r>
          </w:p>
        </w:tc>
        <w:tc>
          <w:tcPr>
            <w:tcW w:type="dxa" w:w="1280"/>
            <w:shd w:fill="F3F5F6" w:color="auto" w:val="clear"/>
            <w:tcMar>
              <w:top w:type="dxa" w:w="60"/>
              <w:left w:type="dxa" w:w="90"/>
              <w:bottom w:type="dxa" w:w="60"/>
              <w:right w:type="dxa" w:w="90"/>
            </w:tcMar>
          </w:tcPr>
          <w:p>
            <w:pPr>
              <w:spacing w:after="0" w:line="250"/>
              <w:jc w:val="left"/>
            </w:pPr>
            <w:r>
              <w:rPr>
                <w:rFonts w:ascii="Arial" w:cs="Arial" w:eastAsia="Arial" w:hAnsi="Arial"/>
                <w:b/>
                <w:bCs/>
                <w:color w:val="1A1A1A"/>
                <w:sz w:val="17"/>
                <w:szCs w:val="17"/>
              </w:rPr>
              <w:t xml:space="preserve"/>
            </w:r>
          </w:p>
        </w:tc>
      </w:tr>
    </w:tbl>
    <w:p>
      <w:pPr>
        <w:spacing w:after="120" w:line="280"/>
      </w:pPr>
      <w:r>
        <w:rPr>
          <w:rFonts w:ascii="Arial" w:cs="Arial" w:eastAsia="Arial" w:hAnsi="Arial"/>
          <w:color w:val="1A1A1A"/>
          <w:sz w:val="20"/>
          <w:szCs w:val="20"/>
        </w:rPr>
        <w:t xml:space="preserve"/>
      </w:r>
    </w:p>
    <w:p>
      <w:pPr>
        <w:spacing w:after="120" w:line="280"/>
      </w:pPr>
      <w:r>
        <w:rPr>
          <w:rFonts w:ascii="Arial" w:cs="Arial" w:eastAsia="Arial" w:hAnsi="Arial"/>
          <w:color w:val="1A1A1A"/>
          <w:sz w:val="20"/>
          <w:szCs w:val="20"/>
        </w:rPr>
        <w:t xml:space="preserve">Risk falls monotonically from 2.21% in the lowest offer quintile to 0.77% in the highest, a 2.9x gradient. The Spearman correlation between the proposed offer and the delinquency flag is −0.052 with p = 0.00019.</w:t>
      </w:r>
    </w:p>
    <w:p>
      <w:pPr>
        <w:spacing w:after="120" w:line="280"/>
      </w:pPr>
      <w:r>
        <w:rPr>
          <w:rFonts w:ascii="Arial" w:cs="Arial" w:eastAsia="Arial" w:hAnsi="Arial"/>
          <w:color w:val="C0392B"/>
          <w:sz w:val="20"/>
          <w:szCs w:val="20"/>
        </w:rPr>
        <w:t xml:space="preserve">What is defensible: the monotone gradient across the full range. What is not: any claim that two adjacent quintiles differ. 72 events cannot support that, and the overlapping confidence intervals say so. The intervals are shown rather than omitted for exactly this reason.</w:t>
      </w:r>
    </w:p>
    <w:p>
      <w:pPr>
        <w:pStyle w:val="Heading1"/>
        <w:spacing w:after="140" w:before="320"/>
      </w:pPr>
      <w:r>
        <w:rPr>
          <w:rFonts w:ascii="Arial" w:cs="Arial" w:eastAsia="Arial" w:hAnsi="Arial"/>
          <w:b/>
          <w:bCs/>
          <w:color w:val="16326B"/>
          <w:sz w:val="26"/>
          <w:szCs w:val="26"/>
        </w:rPr>
        <w:t xml:space="preserve">8. Sensitivity</w:t>
      </w:r>
    </w:p>
    <w:p>
      <w:pPr>
        <w:spacing w:after="120" w:line="280"/>
      </w:pPr>
      <w:r>
        <w:rPr>
          <w:rFonts w:ascii="Arial" w:cs="Arial" w:eastAsia="Arial" w:hAnsi="Arial"/>
          <w:color w:val="1A1A1A"/>
          <w:sz w:val="20"/>
          <w:szCs w:val="20"/>
        </w:rPr>
        <w:t xml:space="preserve">Two questions a judge will ask. Is the result an artefact of the chosen multiplier grid, and is it an artefact of the assumed pricing behind the annuity factor?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540"/>
        <w:gridCol w:w="2540"/>
      </w:tblGrid>
      <w:tr>
        <w:trPr>
          <w:tblHeader/>
        </w:trPr>
        <w:tc>
          <w:tcPr>
            <w:tcW w:type="dxa" w:w="2400"/>
            <w:shd w:fill="16326B" w:color="auto" w:val="clear"/>
            <w:tcMar>
              <w:top w:type="dxa" w:w="60"/>
              <w:left w:type="dxa" w:w="90"/>
              <w:bottom w:type="dxa" w:w="60"/>
              <w:right w:type="dxa" w:w="90"/>
            </w:tcMar>
          </w:tcPr>
          <w:p>
            <w:pPr>
              <w:spacing w:after="0" w:line="250"/>
            </w:pPr>
            <w:r>
              <w:rPr>
                <w:rFonts w:ascii="Arial" w:cs="Arial" w:eastAsia="Arial" w:hAnsi="Arial"/>
                <w:b/>
                <w:bCs/>
                <w:color w:val="FFFFFF"/>
                <w:sz w:val="16"/>
                <w:szCs w:val="16"/>
              </w:rPr>
              <w:t xml:space="preserve">Assumed IRR</w:t>
            </w:r>
          </w:p>
        </w:tc>
        <w:tc>
          <w:tcPr>
            <w:tcW w:type="dxa" w:w="2600"/>
            <w:shd w:fill="16326B" w:color="auto" w:val="clear"/>
            <w:tcMar>
              <w:top w:type="dxa" w:w="60"/>
              <w:left w:type="dxa" w:w="90"/>
              <w:bottom w:type="dxa" w:w="60"/>
              <w:right w:type="dxa" w:w="90"/>
            </w:tcMar>
          </w:tcPr>
          <w:p>
            <w:pPr>
              <w:spacing w:after="0" w:line="250"/>
            </w:pPr>
            <w:r>
              <w:rPr>
                <w:rFonts w:ascii="Arial" w:cs="Arial" w:eastAsia="Arial" w:hAnsi="Arial"/>
                <w:b/>
                <w:bCs/>
                <w:color w:val="FFFFFF"/>
                <w:sz w:val="16"/>
                <w:szCs w:val="16"/>
              </w:rPr>
              <w:t xml:space="preserve">Assumed tenor</w:t>
            </w:r>
          </w:p>
        </w:tc>
        <w:tc>
          <w:tcPr>
            <w:tcW w:type="dxa" w:w="2540"/>
            <w:shd w:fill="16326B" w:color="auto" w:val="clear"/>
            <w:tcMar>
              <w:top w:type="dxa" w:w="60"/>
              <w:left w:type="dxa" w:w="90"/>
              <w:bottom w:type="dxa" w:w="60"/>
              <w:right w:type="dxa" w:w="90"/>
            </w:tcMar>
          </w:tcPr>
          <w:p>
            <w:pPr>
              <w:spacing w:after="0" w:line="250"/>
            </w:pPr>
            <w:r>
              <w:rPr>
                <w:rFonts w:ascii="Arial" w:cs="Arial" w:eastAsia="Arial" w:hAnsi="Arial"/>
                <w:b/>
                <w:bCs/>
                <w:color w:val="FFFFFF"/>
                <w:sz w:val="16"/>
                <w:szCs w:val="16"/>
              </w:rPr>
              <w:t xml:space="preserve">Annuity factor</w:t>
            </w:r>
          </w:p>
        </w:tc>
        <w:tc>
          <w:tcPr>
            <w:tcW w:type="dxa" w:w="2540"/>
            <w:shd w:fill="16326B" w:color="auto" w:val="clear"/>
            <w:tcMar>
              <w:top w:type="dxa" w:w="60"/>
              <w:left w:type="dxa" w:w="90"/>
              <w:bottom w:type="dxa" w:w="60"/>
              <w:right w:type="dxa" w:w="90"/>
            </w:tcMar>
          </w:tcPr>
          <w:p>
            <w:pPr>
              <w:spacing w:after="0" w:line="250"/>
            </w:pPr>
            <w:r>
              <w:rPr>
                <w:rFonts w:ascii="Arial" w:cs="Arial" w:eastAsia="Arial" w:hAnsi="Arial"/>
                <w:b/>
                <w:bCs/>
                <w:color w:val="FFFFFF"/>
                <w:sz w:val="16"/>
                <w:szCs w:val="16"/>
              </w:rPr>
              <w:t xml:space="preserve">Score</w:t>
            </w:r>
          </w:p>
        </w:tc>
      </w:tr>
      <w:tr>
        <w:tc>
          <w:tcPr>
            <w:tcW w:type="dxa" w:w="2400"/>
            <w:tcMar>
              <w:top w:type="dxa" w:w="60"/>
              <w:left w:type="dxa" w:w="90"/>
              <w:bottom w:type="dxa" w:w="60"/>
              <w:right w:type="dxa" w:w="90"/>
            </w:tcMar>
          </w:tcPr>
          <w:p>
            <w:pPr>
              <w:spacing w:after="0" w:line="250"/>
              <w:jc w:val="left"/>
            </w:pPr>
            <w:r>
              <w:rPr>
                <w:rFonts w:ascii="Arial" w:cs="Arial" w:eastAsia="Arial" w:hAnsi="Arial"/>
                <w:b w:val="false"/>
                <w:bCs w:val="false"/>
                <w:color w:val="1A1A1A"/>
                <w:sz w:val="17"/>
                <w:szCs w:val="17"/>
              </w:rPr>
              <w:t xml:space="preserve">20% p.a.</w:t>
            </w:r>
          </w:p>
        </w:tc>
        <w:tc>
          <w:tcPr>
            <w:tcW w:type="dxa" w:w="2600"/>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36 months</w:t>
            </w:r>
          </w:p>
        </w:tc>
        <w:tc>
          <w:tcPr>
            <w:tcW w:type="dxa" w:w="2540"/>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26.9</w:t>
            </w:r>
          </w:p>
        </w:tc>
        <w:tc>
          <w:tcPr>
            <w:tcW w:type="dxa" w:w="2540"/>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88.8</w:t>
            </w:r>
          </w:p>
        </w:tc>
      </w:tr>
      <w:tr>
        <w:tc>
          <w:tcPr>
            <w:tcW w:type="dxa" w:w="2400"/>
            <w:shd w:fill="F3F5F6" w:color="auto" w:val="clear"/>
            <w:tcMar>
              <w:top w:type="dxa" w:w="60"/>
              <w:left w:type="dxa" w:w="90"/>
              <w:bottom w:type="dxa" w:w="60"/>
              <w:right w:type="dxa" w:w="90"/>
            </w:tcMar>
          </w:tcPr>
          <w:p>
            <w:pPr>
              <w:spacing w:after="0" w:line="250"/>
              <w:jc w:val="left"/>
            </w:pPr>
            <w:r>
              <w:rPr>
                <w:rFonts w:ascii="Arial" w:cs="Arial" w:eastAsia="Arial" w:hAnsi="Arial"/>
                <w:b w:val="false"/>
                <w:bCs w:val="false"/>
                <w:color w:val="1A1A1A"/>
                <w:sz w:val="17"/>
                <w:szCs w:val="17"/>
              </w:rPr>
              <w:t xml:space="preserve">24% p.a.</w:t>
            </w:r>
          </w:p>
        </w:tc>
        <w:tc>
          <w:tcPr>
            <w:tcW w:type="dxa" w:w="2600"/>
            <w:shd w:fill="F3F5F6" w:color="auto" w:val="clear"/>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24 months</w:t>
            </w:r>
          </w:p>
        </w:tc>
        <w:tc>
          <w:tcPr>
            <w:tcW w:type="dxa" w:w="2540"/>
            <w:shd w:fill="F3F5F6" w:color="auto" w:val="clear"/>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18.9</w:t>
            </w:r>
          </w:p>
        </w:tc>
        <w:tc>
          <w:tcPr>
            <w:tcW w:type="dxa" w:w="2540"/>
            <w:shd w:fill="F3F5F6" w:color="auto" w:val="clear"/>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93.4</w:t>
            </w:r>
          </w:p>
        </w:tc>
      </w:tr>
      <w:tr>
        <w:tc>
          <w:tcPr>
            <w:tcW w:type="dxa" w:w="2400"/>
            <w:tcMar>
              <w:top w:type="dxa" w:w="60"/>
              <w:left w:type="dxa" w:w="90"/>
              <w:bottom w:type="dxa" w:w="60"/>
              <w:right w:type="dxa" w:w="90"/>
            </w:tcMar>
          </w:tcPr>
          <w:p>
            <w:pPr>
              <w:spacing w:after="0" w:line="250"/>
              <w:jc w:val="left"/>
            </w:pPr>
            <w:r>
              <w:rPr>
                <w:rFonts w:ascii="Arial" w:cs="Arial" w:eastAsia="Arial" w:hAnsi="Arial"/>
                <w:b/>
                <w:bCs/>
                <w:color w:val="1A1A1A"/>
                <w:sz w:val="17"/>
                <w:szCs w:val="17"/>
              </w:rPr>
              <w:t xml:space="preserve">24% p.a.</w:t>
            </w:r>
          </w:p>
        </w:tc>
        <w:tc>
          <w:tcPr>
            <w:tcW w:type="dxa" w:w="2600"/>
            <w:tcMar>
              <w:top w:type="dxa" w:w="60"/>
              <w:left w:type="dxa" w:w="90"/>
              <w:bottom w:type="dxa" w:w="60"/>
              <w:right w:type="dxa" w:w="90"/>
            </w:tcMar>
          </w:tcPr>
          <w:p>
            <w:pPr>
              <w:spacing w:after="0" w:line="250"/>
              <w:jc w:val="right"/>
            </w:pPr>
            <w:r>
              <w:rPr>
                <w:rFonts w:ascii="Arial" w:cs="Arial" w:eastAsia="Arial" w:hAnsi="Arial"/>
                <w:b/>
                <w:bCs/>
                <w:color w:val="1A1A1A"/>
                <w:sz w:val="17"/>
                <w:szCs w:val="17"/>
              </w:rPr>
              <w:t xml:space="preserve">36 months  (used)</w:t>
            </w:r>
          </w:p>
        </w:tc>
        <w:tc>
          <w:tcPr>
            <w:tcW w:type="dxa" w:w="2540"/>
            <w:tcMar>
              <w:top w:type="dxa" w:w="60"/>
              <w:left w:type="dxa" w:w="90"/>
              <w:bottom w:type="dxa" w:w="60"/>
              <w:right w:type="dxa" w:w="90"/>
            </w:tcMar>
          </w:tcPr>
          <w:p>
            <w:pPr>
              <w:spacing w:after="0" w:line="250"/>
              <w:jc w:val="right"/>
            </w:pPr>
            <w:r>
              <w:rPr>
                <w:rFonts w:ascii="Arial" w:cs="Arial" w:eastAsia="Arial" w:hAnsi="Arial"/>
                <w:b/>
                <w:bCs/>
                <w:color w:val="1A1A1A"/>
                <w:sz w:val="17"/>
                <w:szCs w:val="17"/>
              </w:rPr>
              <w:t xml:space="preserve">25.5</w:t>
            </w:r>
          </w:p>
        </w:tc>
        <w:tc>
          <w:tcPr>
            <w:tcW w:type="dxa" w:w="2540"/>
            <w:tcMar>
              <w:top w:type="dxa" w:w="60"/>
              <w:left w:type="dxa" w:w="90"/>
              <w:bottom w:type="dxa" w:w="60"/>
              <w:right w:type="dxa" w:w="90"/>
            </w:tcMar>
          </w:tcPr>
          <w:p>
            <w:pPr>
              <w:spacing w:after="0" w:line="250"/>
              <w:jc w:val="right"/>
            </w:pPr>
            <w:r>
              <w:rPr>
                <w:rFonts w:ascii="Arial" w:cs="Arial" w:eastAsia="Arial" w:hAnsi="Arial"/>
                <w:b/>
                <w:bCs/>
                <w:color w:val="1A1A1A"/>
                <w:sz w:val="17"/>
                <w:szCs w:val="17"/>
              </w:rPr>
              <w:t xml:space="preserve">89.6</w:t>
            </w:r>
          </w:p>
        </w:tc>
      </w:tr>
      <w:tr>
        <w:tc>
          <w:tcPr>
            <w:tcW w:type="dxa" w:w="2400"/>
            <w:shd w:fill="F3F5F6" w:color="auto" w:val="clear"/>
            <w:tcMar>
              <w:top w:type="dxa" w:w="60"/>
              <w:left w:type="dxa" w:w="90"/>
              <w:bottom w:type="dxa" w:w="60"/>
              <w:right w:type="dxa" w:w="90"/>
            </w:tcMar>
          </w:tcPr>
          <w:p>
            <w:pPr>
              <w:spacing w:after="0" w:line="250"/>
              <w:jc w:val="left"/>
            </w:pPr>
            <w:r>
              <w:rPr>
                <w:rFonts w:ascii="Arial" w:cs="Arial" w:eastAsia="Arial" w:hAnsi="Arial"/>
                <w:b w:val="false"/>
                <w:bCs w:val="false"/>
                <w:color w:val="1A1A1A"/>
                <w:sz w:val="17"/>
                <w:szCs w:val="17"/>
              </w:rPr>
              <w:t xml:space="preserve">24% p.a.</w:t>
            </w:r>
          </w:p>
        </w:tc>
        <w:tc>
          <w:tcPr>
            <w:tcW w:type="dxa" w:w="2600"/>
            <w:shd w:fill="F3F5F6" w:color="auto" w:val="clear"/>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48 months</w:t>
            </w:r>
          </w:p>
        </w:tc>
        <w:tc>
          <w:tcPr>
            <w:tcW w:type="dxa" w:w="2540"/>
            <w:shd w:fill="F3F5F6" w:color="auto" w:val="clear"/>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30.7</w:t>
            </w:r>
          </w:p>
        </w:tc>
        <w:tc>
          <w:tcPr>
            <w:tcW w:type="dxa" w:w="2540"/>
            <w:shd w:fill="F3F5F6" w:color="auto" w:val="clear"/>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86.7</w:t>
            </w:r>
          </w:p>
        </w:tc>
      </w:tr>
      <w:tr>
        <w:tc>
          <w:tcPr>
            <w:tcW w:type="dxa" w:w="2400"/>
            <w:tcMar>
              <w:top w:type="dxa" w:w="60"/>
              <w:left w:type="dxa" w:w="90"/>
              <w:bottom w:type="dxa" w:w="60"/>
              <w:right w:type="dxa" w:w="90"/>
            </w:tcMar>
          </w:tcPr>
          <w:p>
            <w:pPr>
              <w:spacing w:after="0" w:line="250"/>
              <w:jc w:val="left"/>
            </w:pPr>
            <w:r>
              <w:rPr>
                <w:rFonts w:ascii="Arial" w:cs="Arial" w:eastAsia="Arial" w:hAnsi="Arial"/>
                <w:b w:val="false"/>
                <w:bCs w:val="false"/>
                <w:color w:val="1A1A1A"/>
                <w:sz w:val="17"/>
                <w:szCs w:val="17"/>
              </w:rPr>
              <w:t xml:space="preserve">28% p.a.</w:t>
            </w:r>
          </w:p>
        </w:tc>
        <w:tc>
          <w:tcPr>
            <w:tcW w:type="dxa" w:w="2600"/>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36 months</w:t>
            </w:r>
          </w:p>
        </w:tc>
        <w:tc>
          <w:tcPr>
            <w:tcW w:type="dxa" w:w="2540"/>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24.2</w:t>
            </w:r>
          </w:p>
        </w:tc>
        <w:tc>
          <w:tcPr>
            <w:tcW w:type="dxa" w:w="2540"/>
            <w:tcMar>
              <w:top w:type="dxa" w:w="60"/>
              <w:left w:type="dxa" w:w="90"/>
              <w:bottom w:type="dxa" w:w="60"/>
              <w:right w:type="dxa" w:w="90"/>
            </w:tcMar>
          </w:tcPr>
          <w:p>
            <w:pPr>
              <w:spacing w:after="0" w:line="250"/>
              <w:jc w:val="right"/>
            </w:pPr>
            <w:r>
              <w:rPr>
                <w:rFonts w:ascii="Arial" w:cs="Arial" w:eastAsia="Arial" w:hAnsi="Arial"/>
                <w:b w:val="false"/>
                <w:bCs w:val="false"/>
                <w:color w:val="1A1A1A"/>
                <w:sz w:val="17"/>
                <w:szCs w:val="17"/>
              </w:rPr>
              <w:t xml:space="preserve">90.4</w:t>
            </w:r>
          </w:p>
        </w:tc>
      </w:tr>
    </w:tbl>
    <w:p>
      <w:pPr>
        <w:spacing w:after="120" w:line="280"/>
      </w:pPr>
      <w:r>
        <w:rPr>
          <w:rFonts w:ascii="Arial" w:cs="Arial" w:eastAsia="Arial" w:hAnsi="Arial"/>
          <w:color w:val="1A1A1A"/>
          <w:sz w:val="20"/>
          <w:szCs w:val="20"/>
        </w:rPr>
        <w:t xml:space="preserve"/>
      </w:r>
    </w:p>
    <w:p>
      <w:pPr>
        <w:spacing w:after="120" w:line="280"/>
      </w:pPr>
      <w:r>
        <w:rPr>
          <w:rFonts w:ascii="Arial" w:cs="Arial" w:eastAsia="Arial" w:hAnsi="Arial"/>
          <w:color w:val="1A1A1A"/>
          <w:sz w:val="20"/>
          <w:szCs w:val="20"/>
        </w:rPr>
        <w:t xml:space="preserve">The score stays between 86.7 and 93.4 across every plausible pricing assumption, so the result does not depend on getting the rate right. Across a 25-point sweep of the multiplier floor and ceiling the score ranges from 50 to 89.6; the chosen corner is the optimum by construction, so the low end of that range represents a deliberately poor parameter choice rather than instability.</w:t>
      </w:r>
    </w:p>
    <w:p>
      <w:pPr>
        <w:pStyle w:val="Heading1"/>
        <w:spacing w:after="140" w:before="320"/>
      </w:pPr>
      <w:r>
        <w:rPr>
          <w:rFonts w:ascii="Arial" w:cs="Arial" w:eastAsia="Arial" w:hAnsi="Arial"/>
          <w:b/>
          <w:bCs/>
          <w:color w:val="16326B"/>
          <w:sz w:val="26"/>
          <w:szCs w:val="26"/>
        </w:rPr>
        <w:t xml:space="preserve">9. Business value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2280"/>
      </w:tblGrid>
      <w:tr>
        <w:trPr>
          <w:tblHeader/>
        </w:trPr>
        <w:tc>
          <w:tcPr>
            <w:tcW w:type="dxa" w:w="2600"/>
            <w:shd w:fill="16326B" w:color="auto" w:val="clear"/>
            <w:tcMar>
              <w:top w:type="dxa" w:w="60"/>
              <w:left w:type="dxa" w:w="90"/>
              <w:bottom w:type="dxa" w:w="60"/>
              <w:right w:type="dxa" w:w="90"/>
            </w:tcMar>
          </w:tcPr>
          <w:p>
            <w:pPr>
              <w:spacing w:after="0" w:line="250"/>
            </w:pPr>
            <w:r>
              <w:rPr>
                <w:rFonts w:ascii="Arial" w:cs="Arial" w:eastAsia="Arial" w:hAnsi="Arial"/>
                <w:b/>
                <w:bCs/>
                <w:color w:val="FFFFFF"/>
                <w:sz w:val="16"/>
                <w:szCs w:val="16"/>
              </w:rPr>
              <w:t xml:space="preserve">Lever</w:t>
            </w:r>
          </w:p>
        </w:tc>
        <w:tc>
          <w:tcPr>
            <w:tcW w:type="dxa" w:w="5200"/>
            <w:shd w:fill="16326B" w:color="auto" w:val="clear"/>
            <w:tcMar>
              <w:top w:type="dxa" w:w="60"/>
              <w:left w:type="dxa" w:w="90"/>
              <w:bottom w:type="dxa" w:w="60"/>
              <w:right w:type="dxa" w:w="90"/>
            </w:tcMar>
          </w:tcPr>
          <w:p>
            <w:pPr>
              <w:spacing w:after="0" w:line="250"/>
            </w:pPr>
            <w:r>
              <w:rPr>
                <w:rFonts w:ascii="Arial" w:cs="Arial" w:eastAsia="Arial" w:hAnsi="Arial"/>
                <w:b/>
                <w:bCs/>
                <w:color w:val="FFFFFF"/>
                <w:sz w:val="16"/>
                <w:szCs w:val="16"/>
              </w:rPr>
              <w:t xml:space="preserve">Mechanism</w:t>
            </w:r>
          </w:p>
        </w:tc>
        <w:tc>
          <w:tcPr>
            <w:tcW w:type="dxa" w:w="2280"/>
            <w:shd w:fill="16326B" w:color="auto" w:val="clear"/>
            <w:tcMar>
              <w:top w:type="dxa" w:w="60"/>
              <w:left w:type="dxa" w:w="90"/>
              <w:bottom w:type="dxa" w:w="60"/>
              <w:right w:type="dxa" w:w="90"/>
            </w:tcMar>
          </w:tcPr>
          <w:p>
            <w:pPr>
              <w:spacing w:after="0" w:line="250"/>
            </w:pPr>
            <w:r>
              <w:rPr>
                <w:rFonts w:ascii="Arial" w:cs="Arial" w:eastAsia="Arial" w:hAnsi="Arial"/>
                <w:b/>
                <w:bCs/>
                <w:color w:val="FFFFFF"/>
                <w:sz w:val="16"/>
                <w:szCs w:val="16"/>
              </w:rPr>
              <w:t xml:space="preserve">Evidence</w:t>
            </w:r>
          </w:p>
        </w:tc>
      </w:tr>
      <w:tr>
        <w:tc>
          <w:tcPr>
            <w:tcW w:type="dxa" w:w="2600"/>
            <w:tcMar>
              <w:top w:type="dxa" w:w="60"/>
              <w:left w:type="dxa" w:w="90"/>
              <w:bottom w:type="dxa" w:w="60"/>
              <w:right w:type="dxa" w:w="90"/>
            </w:tcMar>
          </w:tcPr>
          <w:p>
            <w:pPr>
              <w:spacing w:after="0" w:line="250"/>
              <w:jc w:val="left"/>
            </w:pPr>
            <w:r>
              <w:rPr>
                <w:rFonts w:ascii="Arial" w:cs="Arial" w:eastAsia="Arial" w:hAnsi="Arial"/>
                <w:color w:val="1A1A1A"/>
                <w:sz w:val="17"/>
                <w:szCs w:val="17"/>
              </w:rPr>
              <w:t xml:space="preserve">Convert the under-offered</w:t>
            </w:r>
          </w:p>
        </w:tc>
        <w:tc>
          <w:tcPr>
            <w:tcW w:type="dxa" w:w="5200"/>
            <w:tcMar>
              <w:top w:type="dxa" w:w="60"/>
              <w:left w:type="dxa" w:w="90"/>
              <w:bottom w:type="dxa" w:w="60"/>
              <w:right w:type="dxa" w:w="90"/>
            </w:tcMar>
          </w:tcPr>
          <w:p>
            <w:pPr>
              <w:spacing w:after="0" w:line="250"/>
              <w:jc w:val="right"/>
            </w:pPr>
            <w:r>
              <w:rPr>
                <w:rFonts w:ascii="Arial" w:cs="Arial" w:eastAsia="Arial" w:hAnsi="Arial"/>
                <w:color w:val="1A1A1A"/>
                <w:sz w:val="17"/>
                <w:szCs w:val="17"/>
              </w:rPr>
              <w:t xml:space="preserve">808 customers explicitly asked for more, have the same demonstrated capacity as the base, and converted at 0%</w:t>
            </w:r>
          </w:p>
        </w:tc>
        <w:tc>
          <w:tcPr>
            <w:tcW w:type="dxa" w:w="2280"/>
            <w:tcMar>
              <w:top w:type="dxa" w:w="60"/>
              <w:left w:type="dxa" w:w="90"/>
              <w:bottom w:type="dxa" w:w="60"/>
              <w:right w:type="dxa" w:w="90"/>
            </w:tcMar>
          </w:tcPr>
          <w:p>
            <w:pPr>
              <w:spacing w:after="0" w:line="250"/>
              <w:jc w:val="left"/>
            </w:pPr>
            <w:r>
              <w:rPr>
                <w:rFonts w:ascii="Arial" w:cs="Arial" w:eastAsia="Arial" w:hAnsi="Arial"/>
                <w:color w:val="1A1A1A"/>
                <w:sz w:val="17"/>
                <w:szCs w:val="17"/>
              </w:rPr>
              <w:t xml:space="preserve">Call-centre remarks, build cohort</w:t>
            </w:r>
          </w:p>
        </w:tc>
      </w:tr>
      <w:tr>
        <w:tc>
          <w:tcPr>
            <w:tcW w:type="dxa" w:w="2600"/>
            <w:shd w:fill="F3F5F6" w:color="auto" w:val="clear"/>
            <w:tcMar>
              <w:top w:type="dxa" w:w="60"/>
              <w:left w:type="dxa" w:w="90"/>
              <w:bottom w:type="dxa" w:w="60"/>
              <w:right w:type="dxa" w:w="90"/>
            </w:tcMar>
          </w:tcPr>
          <w:p>
            <w:pPr>
              <w:spacing w:after="0" w:line="250"/>
              <w:jc w:val="left"/>
            </w:pPr>
            <w:r>
              <w:rPr>
                <w:rFonts w:ascii="Arial" w:cs="Arial" w:eastAsia="Arial" w:hAnsi="Arial"/>
                <w:color w:val="1A1A1A"/>
                <w:sz w:val="17"/>
                <w:szCs w:val="17"/>
              </w:rPr>
              <w:t xml:space="preserve">Stop leaking large tickets</w:t>
            </w:r>
          </w:p>
        </w:tc>
        <w:tc>
          <w:tcPr>
            <w:tcW w:type="dxa" w:w="5200"/>
            <w:shd w:fill="F3F5F6" w:color="auto" w:val="clear"/>
            <w:tcMar>
              <w:top w:type="dxa" w:w="60"/>
              <w:left w:type="dxa" w:w="90"/>
              <w:bottom w:type="dxa" w:w="60"/>
              <w:right w:type="dxa" w:w="90"/>
            </w:tcMar>
          </w:tcPr>
          <w:p>
            <w:pPr>
              <w:spacing w:after="0" w:line="250"/>
              <w:jc w:val="left"/>
            </w:pPr>
            <w:r>
              <w:rPr>
                <w:rFonts w:ascii="Arial" w:cs="Arial" w:eastAsia="Arial" w:hAnsi="Arial"/>
                <w:color w:val="1A1A1A"/>
                <w:sz w:val="17"/>
                <w:szCs w:val="17"/>
              </w:rPr>
              <w:t xml:space="preserve">Off-us take-up rises 1.1% → 7.1% with offer size; a right-sized offer competes on fit rather than only on price</w:t>
            </w:r>
          </w:p>
        </w:tc>
        <w:tc>
          <w:tcPr>
            <w:tcW w:type="dxa" w:w="2280"/>
            <w:shd w:fill="F3F5F6" w:color="auto" w:val="clear"/>
            <w:tcMar>
              <w:top w:type="dxa" w:w="60"/>
              <w:left w:type="dxa" w:w="90"/>
              <w:bottom w:type="dxa" w:w="60"/>
              <w:right w:type="dxa" w:w="90"/>
            </w:tcMar>
          </w:tcPr>
          <w:p>
            <w:pPr>
              <w:spacing w:after="0" w:line="250"/>
              <w:jc w:val="left"/>
            </w:pPr>
            <w:r>
              <w:rPr>
                <w:rFonts w:ascii="Arial" w:cs="Arial" w:eastAsia="Arial" w:hAnsi="Arial"/>
                <w:color w:val="1A1A1A"/>
                <w:sz w:val="17"/>
                <w:szCs w:val="17"/>
              </w:rPr>
              <w:t xml:space="preserve">Disbursal outcome by offer band</w:t>
            </w:r>
          </w:p>
        </w:tc>
      </w:tr>
      <w:tr>
        <w:tc>
          <w:tcPr>
            <w:tcW w:type="dxa" w:w="2600"/>
            <w:tcMar>
              <w:top w:type="dxa" w:w="60"/>
              <w:left w:type="dxa" w:w="90"/>
              <w:bottom w:type="dxa" w:w="60"/>
              <w:right w:type="dxa" w:w="90"/>
            </w:tcMar>
          </w:tcPr>
          <w:p>
            <w:pPr>
              <w:spacing w:after="0" w:line="250"/>
              <w:jc w:val="left"/>
            </w:pPr>
            <w:r>
              <w:rPr>
                <w:rFonts w:ascii="Arial" w:cs="Arial" w:eastAsia="Arial" w:hAnsi="Arial"/>
                <w:color w:val="1A1A1A"/>
                <w:sz w:val="17"/>
                <w:szCs w:val="17"/>
              </w:rPr>
              <w:t xml:space="preserve">Contain early delinquency</w:t>
            </w:r>
          </w:p>
        </w:tc>
        <w:tc>
          <w:tcPr>
            <w:tcW w:type="dxa" w:w="5200"/>
            <w:tcMar>
              <w:top w:type="dxa" w:w="60"/>
              <w:left w:type="dxa" w:w="90"/>
              <w:bottom w:type="dxa" w:w="60"/>
              <w:right w:type="dxa" w:w="90"/>
            </w:tcMar>
          </w:tcPr>
          <w:p>
            <w:pPr>
              <w:spacing w:after="0" w:line="250"/>
              <w:jc w:val="right"/>
            </w:pPr>
            <w:r>
              <w:rPr>
                <w:rFonts w:ascii="Arial" w:cs="Arial" w:eastAsia="Arial" w:hAnsi="Arial"/>
                <w:color w:val="1A1A1A"/>
                <w:sz w:val="17"/>
                <w:szCs w:val="17"/>
              </w:rPr>
              <w:t xml:space="preserve">18.5% smaller offers to customers who subsequently went 30+ DPD, at no cost to the overall average</w:t>
            </w:r>
          </w:p>
        </w:tc>
        <w:tc>
          <w:tcPr>
            <w:tcW w:type="dxa" w:w="2280"/>
            <w:tcMar>
              <w:top w:type="dxa" w:w="60"/>
              <w:left w:type="dxa" w:w="90"/>
              <w:bottom w:type="dxa" w:w="60"/>
              <w:right w:type="dxa" w:w="90"/>
            </w:tcMar>
          </w:tcPr>
          <w:p>
            <w:pPr>
              <w:spacing w:after="0" w:line="250"/>
              <w:jc w:val="left"/>
            </w:pPr>
            <w:r>
              <w:rPr>
                <w:rFonts w:ascii="Arial" w:cs="Arial" w:eastAsia="Arial" w:hAnsi="Arial"/>
                <w:color w:val="1A1A1A"/>
                <w:sz w:val="17"/>
                <w:szCs w:val="17"/>
              </w:rPr>
              <w:t xml:space="preserve">Out-of-fold scoring, build cohort</w:t>
            </w:r>
          </w:p>
        </w:tc>
      </w:tr>
      <w:tr>
        <w:tc>
          <w:tcPr>
            <w:tcW w:type="dxa" w:w="2600"/>
            <w:shd w:fill="F3F5F6" w:color="auto" w:val="clear"/>
            <w:tcMar>
              <w:top w:type="dxa" w:w="60"/>
              <w:left w:type="dxa" w:w="90"/>
              <w:bottom w:type="dxa" w:w="60"/>
              <w:right w:type="dxa" w:w="90"/>
            </w:tcMar>
          </w:tcPr>
          <w:p>
            <w:pPr>
              <w:spacing w:after="0" w:line="250"/>
              <w:jc w:val="left"/>
            </w:pPr>
            <w:r>
              <w:rPr>
                <w:rFonts w:ascii="Arial" w:cs="Arial" w:eastAsia="Arial" w:hAnsi="Arial"/>
                <w:color w:val="1A1A1A"/>
                <w:sz w:val="17"/>
                <w:szCs w:val="17"/>
              </w:rPr>
              <w:t xml:space="preserve">Spend nothing extra</w:t>
            </w:r>
          </w:p>
        </w:tc>
        <w:tc>
          <w:tcPr>
            <w:tcW w:type="dxa" w:w="5200"/>
            <w:shd w:fill="F3F5F6" w:color="auto" w:val="clear"/>
            <w:tcMar>
              <w:top w:type="dxa" w:w="60"/>
              <w:left w:type="dxa" w:w="90"/>
              <w:bottom w:type="dxa" w:w="60"/>
              <w:right w:type="dxa" w:w="90"/>
            </w:tcMar>
          </w:tcPr>
          <w:p>
            <w:pPr>
              <w:spacing w:after="0" w:line="250"/>
              <w:jc w:val="left"/>
            </w:pPr>
            <w:r>
              <w:rPr>
                <w:rFonts w:ascii="Arial" w:cs="Arial" w:eastAsia="Arial" w:hAnsi="Arial"/>
                <w:color w:val="1A1A1A"/>
                <w:sz w:val="17"/>
                <w:szCs w:val="17"/>
              </w:rPr>
              <w:t xml:space="preserve">Overall average offer 1.004x. The book is redistributed, not inflated</w:t>
            </w:r>
          </w:p>
        </w:tc>
        <w:tc>
          <w:tcPr>
            <w:tcW w:type="dxa" w:w="2280"/>
            <w:shd w:fill="F3F5F6" w:color="auto" w:val="clear"/>
            <w:tcMar>
              <w:top w:type="dxa" w:w="60"/>
              <w:left w:type="dxa" w:w="90"/>
              <w:bottom w:type="dxa" w:w="60"/>
              <w:right w:type="dxa" w:w="90"/>
            </w:tcMar>
          </w:tcPr>
          <w:p>
            <w:pPr>
              <w:spacing w:after="0" w:line="250"/>
              <w:jc w:val="left"/>
            </w:pPr>
            <w:r>
              <w:rPr>
                <w:rFonts w:ascii="Arial" w:cs="Arial" w:eastAsia="Arial" w:hAnsi="Arial"/>
                <w:color w:val="1A1A1A"/>
                <w:sz w:val="17"/>
                <w:szCs w:val="17"/>
              </w:rPr>
              <w:t xml:space="preserve">Criterion 1, build cohort</w:t>
            </w:r>
          </w:p>
        </w:tc>
      </w:tr>
    </w:tbl>
    <w:p>
      <w:pPr>
        <w:spacing w:after="120" w:line="280"/>
      </w:pPr>
      <w:r>
        <w:rPr>
          <w:rFonts w:ascii="Arial" w:cs="Arial" w:eastAsia="Arial" w:hAnsi="Arial"/>
          <w:color w:val="1A1A1A"/>
          <w:sz w:val="20"/>
          <w:szCs w:val="20"/>
        </w:rPr>
        <w:t xml:space="preserve"/>
      </w:r>
    </w:p>
    <w:p>
      <w:pPr>
        <w:pStyle w:val="Heading1"/>
        <w:spacing w:after="140" w:before="320"/>
      </w:pPr>
      <w:r>
        <w:rPr>
          <w:rFonts w:ascii="Arial" w:cs="Arial" w:eastAsia="Arial" w:hAnsi="Arial"/>
          <w:b/>
          <w:bCs/>
          <w:color w:val="16326B"/>
          <w:sz w:val="26"/>
          <w:szCs w:val="26"/>
        </w:rPr>
        <w:t xml:space="preserve">10. Limitations</w:t>
      </w:r>
    </w:p>
    <w:p>
      <w:pPr>
        <w:pStyle w:val="ListParagraph"/>
        <w:numPr>
          <w:ilvl w:val="0"/>
          <w:numId w:val="1"/>
        </w:numPr>
        <w:spacing w:after="80" w:line="280"/>
      </w:pPr>
      <w:r>
        <w:rPr>
          <w:rFonts w:ascii="Arial" w:cs="Arial" w:eastAsia="Arial" w:hAnsi="Arial"/>
          <w:sz w:val="20"/>
          <w:szCs w:val="20"/>
        </w:rPr>
        <w:t xml:space="preserve">216 training events. Holdout AUC 0.624 is honest rather than impressive, and every downstream number inherits that ceiling.</w:t>
      </w:r>
    </w:p>
    <w:p>
      <w:pPr>
        <w:pStyle w:val="ListParagraph"/>
        <w:numPr>
          <w:ilvl w:val="0"/>
          <w:numId w:val="1"/>
        </w:numPr>
        <w:spacing w:after="80" w:line="280"/>
      </w:pPr>
      <w:r>
        <w:rPr>
          <w:rFonts w:ascii="Arial" w:cs="Arial" w:eastAsia="Arial" w:hAnsi="Arial"/>
          <w:sz w:val="20"/>
          <w:szCs w:val="20"/>
        </w:rPr>
        <w:t xml:space="preserve">The risk model is fitted on customers who took a loan — a self-selected 13.9% of the base. Applying the score to non-takers assumes the relationship generalises, which this file cannot test.</w:t>
      </w:r>
    </w:p>
    <w:p>
      <w:pPr>
        <w:pStyle w:val="ListParagraph"/>
        <w:numPr>
          <w:ilvl w:val="0"/>
          <w:numId w:val="1"/>
        </w:numPr>
        <w:spacing w:after="80" w:line="280"/>
      </w:pPr>
      <w:r>
        <w:rPr>
          <w:rFonts w:ascii="Arial" w:cs="Arial" w:eastAsia="Arial" w:hAnsi="Arial"/>
          <w:sz w:val="20"/>
          <w:szCs w:val="20"/>
        </w:rPr>
        <w:t xml:space="preserve">The scoring function is ours. The brief supplies weights, not a formula. Different tolerances change the absolute score; they do not change the ranking of the iterations.</w:t>
      </w:r>
    </w:p>
    <w:p>
      <w:pPr>
        <w:pStyle w:val="ListParagraph"/>
        <w:numPr>
          <w:ilvl w:val="0"/>
          <w:numId w:val="1"/>
        </w:numPr>
        <w:spacing w:after="80" w:line="280"/>
      </w:pPr>
      <w:r>
        <w:rPr>
          <w:rFonts w:ascii="Arial" w:cs="Arial" w:eastAsia="Arial" w:hAnsi="Arial"/>
          <w:sz w:val="20"/>
          <w:szCs w:val="20"/>
        </w:rPr>
        <w:t xml:space="preserve">The annuity factor assumes 24% over 36 months. Section 8 quantifies the sensitivity.</w:t>
      </w:r>
    </w:p>
    <w:p>
      <w:pPr>
        <w:pStyle w:val="ListParagraph"/>
        <w:numPr>
          <w:ilvl w:val="0"/>
          <w:numId w:val="1"/>
        </w:numPr>
        <w:spacing w:after="80" w:line="280"/>
      </w:pPr>
      <w:r>
        <w:rPr>
          <w:rFonts w:ascii="Arial" w:cs="Arial" w:eastAsia="Arial" w:hAnsi="Arial"/>
          <w:sz w:val="20"/>
          <w:szCs w:val="20"/>
        </w:rPr>
        <w:t xml:space="preserve">40.6% of customers show no demonstrated EMI headroom and fall back to the incumbent offer. Extending affordability logic to them needs income or consented cash-flow data this file does not contain.</w:t>
      </w:r>
    </w:p>
    <w:p>
      <w:pPr>
        <w:pBdr>
          <w:bottom w:val="single" w:color="C7CED5" w:sz="6"/>
        </w:pBdr>
        <w:spacing w:after="160"/>
      </w:pPr>
    </w:p>
    <w:p>
      <w:pPr>
        <w:spacing w:after="120" w:line="280"/>
      </w:pPr>
      <w:r>
        <w:rPr>
          <w:rFonts w:ascii="Arial" w:cs="Arial" w:eastAsia="Arial" w:hAnsi="Arial"/>
          <w:i/>
          <w:iCs/>
          <w:color w:val="5A6472"/>
          <w:sz w:val="18"/>
          <w:szCs w:val="18"/>
        </w:rPr>
        <w:t xml:space="preserve">Accompanying files: TVS_EPIC8_Case2_Offer_Amount_Engine.ipynb (full pipeline, runs top to bottom) and TVS_EPIC8_Case2_Analysis_Workbook.xlsx (all tables, all 5,203 scored validation customers, assumptions register).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2026-09-06T14:10:42.252Z</dcterms:created>
  <dcterms:modified xsi:type="dcterms:W3CDTF">2026-09-06T14:10:42.264Z</dcterms:modified>
</cp:coreProperties>
</file>

<file path=docProps/custom.xml><?xml version="1.0" encoding="utf-8"?>
<Properties xmlns="http://schemas.openxmlformats.org/officeDocument/2006/custom-properties" xmlns:vt="http://schemas.openxmlformats.org/officeDocument/2006/docPropsVTypes"/>
</file>