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6CE" w:rsidRDefault="003746CE" w:rsidP="00B711E3">
      <w:r>
        <w:rPr>
          <w:noProof/>
          <w:lang w:eastAsia="en-AU"/>
        </w:rPr>
        <w:drawing>
          <wp:inline distT="0" distB="0" distL="0" distR="0">
            <wp:extent cx="5731510" cy="86897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89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BF1" w:rsidRDefault="00B711E3" w:rsidP="00B711E3">
      <w:r>
        <w:t>The Filter module allows data in an output file to be filtered according to a user specified expression. Only those rows that evaluate as true will be passed to the parent component.</w:t>
      </w:r>
    </w:p>
    <w:p w:rsidR="00B711E3" w:rsidRDefault="00B711E3" w:rsidP="003746CE">
      <w:pPr>
        <w:pStyle w:val="Heading1"/>
      </w:pPr>
      <w:r>
        <w:t>Graph example:</w:t>
      </w:r>
    </w:p>
    <w:p w:rsidR="00B711E3" w:rsidRDefault="00B711E3" w:rsidP="00B711E3">
      <w:r>
        <w:t>Suppose we have an output file that contains information on harvests for the years 1940-1980, but we only want to display data between 1950 and 1960.</w:t>
      </w:r>
    </w:p>
    <w:p w:rsidR="00B711E3" w:rsidRDefault="00B711E3" w:rsidP="00B711E3">
      <w:r>
        <w:t>We already have a graph component in our simulation. When fully expanded it looks like this:</w:t>
      </w:r>
    </w:p>
    <w:p w:rsidR="00B711E3" w:rsidRDefault="00B711E3" w:rsidP="00B711E3">
      <w:r>
        <w:rPr>
          <w:noProof/>
          <w:lang w:eastAsia="en-AU"/>
        </w:rPr>
        <w:drawing>
          <wp:inline distT="0" distB="0" distL="0" distR="0">
            <wp:extent cx="1813560" cy="541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1E3" w:rsidRDefault="00B711E3" w:rsidP="00B711E3">
      <w:r>
        <w:t xml:space="preserve">To use the Filter component, we drop it onto the Plot node then move the </w:t>
      </w:r>
      <w:proofErr w:type="spellStart"/>
      <w:r>
        <w:t>ApsimFileReader</w:t>
      </w:r>
      <w:proofErr w:type="spellEnd"/>
      <w:r>
        <w:t xml:space="preserve"> node onto the newly created Filter Node. The output file will now pass through the filter expression before being given to the Plot.</w:t>
      </w:r>
    </w:p>
    <w:p w:rsidR="00B711E3" w:rsidRDefault="00B711E3" w:rsidP="00B711E3">
      <w:r>
        <w:rPr>
          <w:noProof/>
          <w:lang w:eastAsia="en-AU"/>
        </w:rPr>
        <w:drawing>
          <wp:inline distT="0" distB="0" distL="0" distR="0">
            <wp:extent cx="1973580" cy="6781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B29" w:rsidRDefault="004E4B29" w:rsidP="00B711E3">
      <w:r>
        <w:t>In the filter component we then type in:</w:t>
      </w:r>
    </w:p>
    <w:p w:rsidR="004E4B29" w:rsidRPr="003746CE" w:rsidRDefault="004E4B29" w:rsidP="00B711E3">
      <w:pPr>
        <w:rPr>
          <w:rFonts w:ascii="Courier New" w:hAnsi="Courier New" w:cs="Courier New"/>
        </w:rPr>
      </w:pPr>
      <w:r w:rsidRPr="003746CE">
        <w:rPr>
          <w:rFonts w:ascii="Courier New" w:hAnsi="Courier New" w:cs="Courier New"/>
        </w:rPr>
        <w:t>Date &gt;= #1/1/1950# AND Date &lt; #1/1/1960#</w:t>
      </w:r>
    </w:p>
    <w:p w:rsidR="004E4B29" w:rsidRDefault="004E4B29" w:rsidP="00B711E3">
      <w:r>
        <w:t>Note the # symbol when evaluating dates.</w:t>
      </w:r>
    </w:p>
    <w:p w:rsidR="00B711E3" w:rsidRDefault="00B711E3" w:rsidP="003746CE">
      <w:pPr>
        <w:pStyle w:val="Heading1"/>
      </w:pPr>
      <w:r>
        <w:t>Filter Expression Examples</w:t>
      </w:r>
    </w:p>
    <w:p w:rsidR="00B711E3" w:rsidRDefault="00B711E3" w:rsidP="00B711E3">
      <w:r>
        <w:t xml:space="preserve">Some basic filter expressions are shown below.  Expressions can be combined with Boolean AND, OR and NOT keywords. </w:t>
      </w:r>
      <w:r w:rsidR="004E4B29">
        <w:t>Arithmetic expressions are also allowed. Full documentation can be found below.</w:t>
      </w:r>
    </w:p>
    <w:tbl>
      <w:tblPr>
        <w:tblStyle w:val="TableGrid"/>
        <w:tblW w:w="0" w:type="auto"/>
        <w:tblLook w:val="04A0"/>
      </w:tblPr>
      <w:tblGrid>
        <w:gridCol w:w="5070"/>
        <w:gridCol w:w="4172"/>
      </w:tblGrid>
      <w:tr w:rsidR="004E4B29" w:rsidTr="004E4B29">
        <w:tc>
          <w:tcPr>
            <w:tcW w:w="5070" w:type="dxa"/>
          </w:tcPr>
          <w:p w:rsidR="004E4B29" w:rsidRDefault="004E4B29" w:rsidP="00B711E3">
            <w:r>
              <w:t>To show:</w:t>
            </w:r>
          </w:p>
        </w:tc>
        <w:tc>
          <w:tcPr>
            <w:tcW w:w="4172" w:type="dxa"/>
          </w:tcPr>
          <w:p w:rsidR="004E4B29" w:rsidRDefault="004E4B29" w:rsidP="00B711E3">
            <w:r>
              <w:t>Expression</w:t>
            </w:r>
          </w:p>
        </w:tc>
      </w:tr>
      <w:tr w:rsidR="004E4B29" w:rsidTr="004E4B29">
        <w:tc>
          <w:tcPr>
            <w:tcW w:w="5070" w:type="dxa"/>
          </w:tcPr>
          <w:p w:rsidR="004E4B29" w:rsidRDefault="004E4B29" w:rsidP="00B711E3">
            <w:r>
              <w:t>Yields greater than 1000 t/ha</w:t>
            </w:r>
          </w:p>
        </w:tc>
        <w:tc>
          <w:tcPr>
            <w:tcW w:w="4172" w:type="dxa"/>
          </w:tcPr>
          <w:p w:rsidR="004E4B29" w:rsidRDefault="001164CF" w:rsidP="00B711E3">
            <w:r>
              <w:t>y</w:t>
            </w:r>
            <w:r w:rsidR="004E4B29">
              <w:t>ield &gt; 1000</w:t>
            </w:r>
          </w:p>
        </w:tc>
      </w:tr>
      <w:tr w:rsidR="004E4B29" w:rsidTr="004E4B29">
        <w:tc>
          <w:tcPr>
            <w:tcW w:w="5070" w:type="dxa"/>
          </w:tcPr>
          <w:p w:rsidR="004E4B29" w:rsidRDefault="004E4B29" w:rsidP="00B711E3">
            <w:r>
              <w:t>Yields greater than 1000 t/ha occurring after 1970</w:t>
            </w:r>
          </w:p>
        </w:tc>
        <w:tc>
          <w:tcPr>
            <w:tcW w:w="4172" w:type="dxa"/>
          </w:tcPr>
          <w:p w:rsidR="004E4B29" w:rsidRDefault="001164CF" w:rsidP="00B711E3">
            <w:r>
              <w:t>y</w:t>
            </w:r>
            <w:r w:rsidR="004E4B29">
              <w:t>ield &gt; 1000 AND Date &gt; #1/1/1970#</w:t>
            </w:r>
          </w:p>
        </w:tc>
      </w:tr>
      <w:tr w:rsidR="004E4B29" w:rsidTr="004E4B29">
        <w:tc>
          <w:tcPr>
            <w:tcW w:w="5070" w:type="dxa"/>
          </w:tcPr>
          <w:p w:rsidR="004E4B29" w:rsidRDefault="001164CF" w:rsidP="00B711E3">
            <w:r>
              <w:t>Yields that were less than 30% of the total biomass</w:t>
            </w:r>
          </w:p>
        </w:tc>
        <w:tc>
          <w:tcPr>
            <w:tcW w:w="4172" w:type="dxa"/>
          </w:tcPr>
          <w:p w:rsidR="004E4B29" w:rsidRDefault="001164CF" w:rsidP="00B711E3">
            <w:r>
              <w:t>yield / biomass &lt; 0.3</w:t>
            </w:r>
          </w:p>
        </w:tc>
      </w:tr>
      <w:tr w:rsidR="004E4B29" w:rsidTr="004E4B29">
        <w:tc>
          <w:tcPr>
            <w:tcW w:w="5070" w:type="dxa"/>
          </w:tcPr>
          <w:p w:rsidR="004E4B29" w:rsidRDefault="001164CF" w:rsidP="00B711E3">
            <w:r>
              <w:t>Yields greater than the average yield</w:t>
            </w:r>
          </w:p>
        </w:tc>
        <w:tc>
          <w:tcPr>
            <w:tcW w:w="4172" w:type="dxa"/>
          </w:tcPr>
          <w:p w:rsidR="004E4B29" w:rsidRDefault="001164CF" w:rsidP="00B711E3">
            <w:r>
              <w:t>y</w:t>
            </w:r>
            <w:r w:rsidRPr="001164CF">
              <w:t>ield &gt; AVG(yield)</w:t>
            </w:r>
          </w:p>
        </w:tc>
      </w:tr>
      <w:tr w:rsidR="001164CF" w:rsidTr="004E4B29">
        <w:tc>
          <w:tcPr>
            <w:tcW w:w="5070" w:type="dxa"/>
          </w:tcPr>
          <w:p w:rsidR="001164CF" w:rsidRDefault="001164CF" w:rsidP="00B711E3">
            <w:r>
              <w:t>The maximum yield</w:t>
            </w:r>
          </w:p>
        </w:tc>
        <w:tc>
          <w:tcPr>
            <w:tcW w:w="4172" w:type="dxa"/>
          </w:tcPr>
          <w:p w:rsidR="001164CF" w:rsidRDefault="001164CF" w:rsidP="00B711E3">
            <w:r w:rsidRPr="001164CF">
              <w:t>yield = MAX(yield)</w:t>
            </w:r>
          </w:p>
        </w:tc>
      </w:tr>
    </w:tbl>
    <w:p w:rsidR="001164CF" w:rsidRDefault="001164CF" w:rsidP="001164CF">
      <w:pPr>
        <w:spacing w:line="240" w:lineRule="auto"/>
        <w:contextualSpacing/>
      </w:pPr>
      <w:r>
        <w:t xml:space="preserve">Note that all expressions must evaluate to either true or false which is why the last example is </w:t>
      </w:r>
    </w:p>
    <w:p w:rsidR="004E4B29" w:rsidRDefault="001164CF" w:rsidP="001164CF">
      <w:pPr>
        <w:spacing w:line="240" w:lineRule="auto"/>
        <w:contextualSpacing/>
      </w:pPr>
      <w:r>
        <w:t>“</w:t>
      </w:r>
      <w:proofErr w:type="gramStart"/>
      <w:r w:rsidRPr="001164CF">
        <w:t>yield</w:t>
      </w:r>
      <w:proofErr w:type="gramEnd"/>
      <w:r w:rsidRPr="001164CF">
        <w:t xml:space="preserve"> = MAX(yield)</w:t>
      </w:r>
      <w:r>
        <w:t>” instead of just “</w:t>
      </w:r>
      <w:r w:rsidRPr="001164CF">
        <w:t>MAX(yield)</w:t>
      </w:r>
      <w:r>
        <w:t>”.</w:t>
      </w:r>
    </w:p>
    <w:p w:rsidR="001164CF" w:rsidRDefault="001164CF" w:rsidP="001164CF">
      <w:pPr>
        <w:spacing w:line="240" w:lineRule="auto"/>
        <w:contextualSpacing/>
      </w:pPr>
    </w:p>
    <w:p w:rsidR="001164CF" w:rsidRDefault="001164CF" w:rsidP="003746CE">
      <w:pPr>
        <w:pStyle w:val="Heading1"/>
      </w:pPr>
      <w:r>
        <w:lastRenderedPageBreak/>
        <w:t>Filter Expression Documentation</w:t>
      </w:r>
    </w:p>
    <w:p w:rsidR="001164CF" w:rsidRDefault="001164CF" w:rsidP="001164CF">
      <w:pPr>
        <w:spacing w:line="240" w:lineRule="auto"/>
        <w:contextualSpacing/>
      </w:pPr>
      <w:r>
        <w:t xml:space="preserve">The Filter component uses a subset of the </w:t>
      </w:r>
      <w:r w:rsidR="003746CE">
        <w:t xml:space="preserve">C# </w:t>
      </w:r>
      <w:proofErr w:type="spellStart"/>
      <w:r>
        <w:t>DataColumn.Expression</w:t>
      </w:r>
      <w:proofErr w:type="spellEnd"/>
      <w:r>
        <w:t xml:space="preserve"> Property to evaluate expressions. The relevant subset of the MSDN documentation is reproduced below. The entire document can be found </w:t>
      </w:r>
      <w:hyperlink r:id="rId8" w:history="1">
        <w:r w:rsidRPr="003746CE">
          <w:rPr>
            <w:rStyle w:val="Hyperlink"/>
          </w:rPr>
          <w:t>here</w:t>
        </w:r>
      </w:hyperlink>
      <w:r>
        <w:t>.</w:t>
      </w:r>
    </w:p>
    <w:p w:rsidR="001164CF" w:rsidRDefault="001164CF" w:rsidP="001164CF">
      <w:pPr>
        <w:spacing w:line="240" w:lineRule="auto"/>
        <w:contextualSpacing/>
      </w:pPr>
    </w:p>
    <w:p w:rsidR="009740B3" w:rsidRDefault="009740B3" w:rsidP="003746CE">
      <w:pPr>
        <w:pStyle w:val="Heading2"/>
      </w:pPr>
      <w:r>
        <w:t>Expression Syntax</w:t>
      </w:r>
    </w:p>
    <w:p w:rsidR="009740B3" w:rsidRDefault="009740B3" w:rsidP="009740B3">
      <w:pPr>
        <w:spacing w:line="240" w:lineRule="auto"/>
        <w:contextualSpacing/>
      </w:pPr>
      <w:r>
        <w:t xml:space="preserve">When you create an expression, use the </w:t>
      </w:r>
      <w:proofErr w:type="spellStart"/>
      <w:r>
        <w:t>ColumnName</w:t>
      </w:r>
      <w:proofErr w:type="spellEnd"/>
      <w:r>
        <w:t xml:space="preserve"> property to refer to columns. For example, if the </w:t>
      </w:r>
      <w:proofErr w:type="spellStart"/>
      <w:r>
        <w:t>ColumnName</w:t>
      </w:r>
      <w:proofErr w:type="spellEnd"/>
      <w:r>
        <w:t xml:space="preserve"> for one column is "</w:t>
      </w:r>
      <w:proofErr w:type="spellStart"/>
      <w:r>
        <w:t>UnitPrice</w:t>
      </w:r>
      <w:proofErr w:type="spellEnd"/>
      <w:r>
        <w:t>", and another "Quantity", the expression would be as follows: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"</w:t>
      </w:r>
      <w:proofErr w:type="spellStart"/>
      <w:r>
        <w:t>UnitPrice</w:t>
      </w:r>
      <w:proofErr w:type="spellEnd"/>
      <w:r>
        <w:t xml:space="preserve"> * Quantity"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If a column is used in an expression, then the expression is said to have a dependency on that column. If a dependent column is renamed or removed, no exception is thrown. An exception will be thrown when the now-broken expression column is accessed.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When you create an expression for a filter, enclose strings with single quotation marks: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"</w:t>
      </w:r>
      <w:proofErr w:type="spellStart"/>
      <w:r>
        <w:t>LastName</w:t>
      </w:r>
      <w:proofErr w:type="spellEnd"/>
      <w:r>
        <w:t xml:space="preserve"> = 'Jones'"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If a column name contains any non-alphanumeric characters or starts with a digit or matches (case-insensitively) any of the following reserved words, it requires special handling, as described in the following paragraphs.</w:t>
      </w:r>
    </w:p>
    <w:p w:rsidR="009740B3" w:rsidRDefault="009740B3" w:rsidP="009740B3">
      <w:pPr>
        <w:spacing w:line="240" w:lineRule="auto"/>
        <w:contextualSpacing/>
      </w:pPr>
    </w:p>
    <w:p w:rsidR="009740B3" w:rsidRPr="003746CE" w:rsidRDefault="009740B3" w:rsidP="009740B3">
      <w:pPr>
        <w:spacing w:line="240" w:lineRule="auto"/>
        <w:contextualSpacing/>
        <w:rPr>
          <w:rFonts w:ascii="Courier New" w:hAnsi="Courier New" w:cs="Courier New"/>
        </w:rPr>
      </w:pPr>
      <w:r w:rsidRPr="003746CE">
        <w:rPr>
          <w:rFonts w:ascii="Courier New" w:hAnsi="Courier New" w:cs="Courier New"/>
        </w:rPr>
        <w:t>And</w:t>
      </w:r>
      <w:r w:rsidR="003746CE" w:rsidRPr="003746CE">
        <w:rPr>
          <w:rFonts w:ascii="Courier New" w:hAnsi="Courier New" w:cs="Courier New"/>
        </w:rPr>
        <w:tab/>
      </w:r>
      <w:r w:rsidR="003746CE" w:rsidRPr="003746CE">
        <w:rPr>
          <w:rFonts w:ascii="Courier New" w:hAnsi="Courier New" w:cs="Courier New"/>
        </w:rPr>
        <w:tab/>
      </w:r>
      <w:r w:rsidRPr="003746CE">
        <w:rPr>
          <w:rFonts w:ascii="Courier New" w:hAnsi="Courier New" w:cs="Courier New"/>
        </w:rPr>
        <w:t>Between</w:t>
      </w:r>
      <w:r w:rsidR="003746CE" w:rsidRPr="003746CE">
        <w:rPr>
          <w:rFonts w:ascii="Courier New" w:hAnsi="Courier New" w:cs="Courier New"/>
        </w:rPr>
        <w:tab/>
      </w:r>
      <w:r w:rsidRPr="003746CE">
        <w:rPr>
          <w:rFonts w:ascii="Courier New" w:hAnsi="Courier New" w:cs="Courier New"/>
        </w:rPr>
        <w:t>Child</w:t>
      </w:r>
    </w:p>
    <w:p w:rsidR="009740B3" w:rsidRPr="003746CE" w:rsidRDefault="009740B3" w:rsidP="009740B3">
      <w:pPr>
        <w:spacing w:line="240" w:lineRule="auto"/>
        <w:contextualSpacing/>
        <w:rPr>
          <w:rFonts w:ascii="Courier New" w:hAnsi="Courier New" w:cs="Courier New"/>
        </w:rPr>
      </w:pPr>
      <w:r w:rsidRPr="003746CE">
        <w:rPr>
          <w:rFonts w:ascii="Courier New" w:hAnsi="Courier New" w:cs="Courier New"/>
        </w:rPr>
        <w:t>False</w:t>
      </w:r>
      <w:r w:rsidR="003746CE" w:rsidRPr="003746CE">
        <w:rPr>
          <w:rFonts w:ascii="Courier New" w:hAnsi="Courier New" w:cs="Courier New"/>
        </w:rPr>
        <w:tab/>
      </w:r>
      <w:r w:rsidR="003746CE" w:rsidRPr="003746CE">
        <w:rPr>
          <w:rFonts w:ascii="Courier New" w:hAnsi="Courier New" w:cs="Courier New"/>
        </w:rPr>
        <w:tab/>
      </w:r>
      <w:r w:rsidRPr="003746CE">
        <w:rPr>
          <w:rFonts w:ascii="Courier New" w:hAnsi="Courier New" w:cs="Courier New"/>
        </w:rPr>
        <w:t>In</w:t>
      </w:r>
      <w:r w:rsidR="003746CE" w:rsidRPr="003746CE">
        <w:rPr>
          <w:rFonts w:ascii="Courier New" w:hAnsi="Courier New" w:cs="Courier New"/>
        </w:rPr>
        <w:tab/>
      </w:r>
      <w:r w:rsidR="003746CE" w:rsidRPr="003746CE">
        <w:rPr>
          <w:rFonts w:ascii="Courier New" w:hAnsi="Courier New" w:cs="Courier New"/>
        </w:rPr>
        <w:tab/>
      </w:r>
      <w:r w:rsidRPr="003746CE">
        <w:rPr>
          <w:rFonts w:ascii="Courier New" w:hAnsi="Courier New" w:cs="Courier New"/>
        </w:rPr>
        <w:t>Is</w:t>
      </w:r>
    </w:p>
    <w:p w:rsidR="009740B3" w:rsidRPr="003746CE" w:rsidRDefault="009740B3" w:rsidP="009740B3">
      <w:pPr>
        <w:spacing w:line="240" w:lineRule="auto"/>
        <w:contextualSpacing/>
        <w:rPr>
          <w:rFonts w:ascii="Courier New" w:hAnsi="Courier New" w:cs="Courier New"/>
        </w:rPr>
      </w:pPr>
      <w:r w:rsidRPr="003746CE">
        <w:rPr>
          <w:rFonts w:ascii="Courier New" w:hAnsi="Courier New" w:cs="Courier New"/>
        </w:rPr>
        <w:t>Like</w:t>
      </w:r>
      <w:r w:rsidR="003746CE" w:rsidRPr="003746CE">
        <w:rPr>
          <w:rFonts w:ascii="Courier New" w:hAnsi="Courier New" w:cs="Courier New"/>
        </w:rPr>
        <w:tab/>
      </w:r>
      <w:r w:rsidR="003746CE" w:rsidRPr="003746CE">
        <w:rPr>
          <w:rFonts w:ascii="Courier New" w:hAnsi="Courier New" w:cs="Courier New"/>
        </w:rPr>
        <w:tab/>
      </w:r>
      <w:r w:rsidRPr="003746CE">
        <w:rPr>
          <w:rFonts w:ascii="Courier New" w:hAnsi="Courier New" w:cs="Courier New"/>
        </w:rPr>
        <w:t>Not</w:t>
      </w:r>
      <w:r w:rsidR="003746CE" w:rsidRPr="003746CE">
        <w:rPr>
          <w:rFonts w:ascii="Courier New" w:hAnsi="Courier New" w:cs="Courier New"/>
        </w:rPr>
        <w:tab/>
      </w:r>
      <w:r w:rsidR="003746CE" w:rsidRPr="003746CE">
        <w:rPr>
          <w:rFonts w:ascii="Courier New" w:hAnsi="Courier New" w:cs="Courier New"/>
        </w:rPr>
        <w:tab/>
      </w:r>
      <w:r w:rsidRPr="003746CE">
        <w:rPr>
          <w:rFonts w:ascii="Courier New" w:hAnsi="Courier New" w:cs="Courier New"/>
        </w:rPr>
        <w:t>Null</w:t>
      </w:r>
    </w:p>
    <w:p w:rsidR="009740B3" w:rsidRPr="003746CE" w:rsidRDefault="009740B3" w:rsidP="009740B3">
      <w:pPr>
        <w:spacing w:line="240" w:lineRule="auto"/>
        <w:contextualSpacing/>
        <w:rPr>
          <w:rFonts w:ascii="Courier New" w:hAnsi="Courier New" w:cs="Courier New"/>
        </w:rPr>
      </w:pPr>
      <w:r w:rsidRPr="003746CE">
        <w:rPr>
          <w:rFonts w:ascii="Courier New" w:hAnsi="Courier New" w:cs="Courier New"/>
        </w:rPr>
        <w:t>Or</w:t>
      </w:r>
      <w:r w:rsidR="003746CE" w:rsidRPr="003746CE">
        <w:rPr>
          <w:rFonts w:ascii="Courier New" w:hAnsi="Courier New" w:cs="Courier New"/>
        </w:rPr>
        <w:tab/>
      </w:r>
      <w:r w:rsidR="003746CE" w:rsidRPr="003746CE">
        <w:rPr>
          <w:rFonts w:ascii="Courier New" w:hAnsi="Courier New" w:cs="Courier New"/>
        </w:rPr>
        <w:tab/>
      </w:r>
      <w:r w:rsidRPr="003746CE">
        <w:rPr>
          <w:rFonts w:ascii="Courier New" w:hAnsi="Courier New" w:cs="Courier New"/>
        </w:rPr>
        <w:t>Parent</w:t>
      </w:r>
      <w:r w:rsidR="003746CE" w:rsidRPr="003746CE">
        <w:rPr>
          <w:rFonts w:ascii="Courier New" w:hAnsi="Courier New" w:cs="Courier New"/>
        </w:rPr>
        <w:tab/>
      </w:r>
      <w:r w:rsidRPr="003746CE">
        <w:rPr>
          <w:rFonts w:ascii="Courier New" w:hAnsi="Courier New" w:cs="Courier New"/>
        </w:rPr>
        <w:t>True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If a column name satisfies one of the above conditions, it must be wrapped in either square brackets or the "`" (grave accent) quotes. For example, to use a column named "Column#" in an expression, you would write either "[Column#]":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Total * [Column#]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proofErr w:type="gramStart"/>
      <w:r>
        <w:t>or</w:t>
      </w:r>
      <w:proofErr w:type="gramEnd"/>
      <w:r>
        <w:t xml:space="preserve"> "`Column#`":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Total * `Column#`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 xml:space="preserve">If the column name is enclosed in square brackets then any ']' and '\' characters (but not any other characters) in it must be escaped by </w:t>
      </w:r>
      <w:proofErr w:type="spellStart"/>
      <w:r>
        <w:t>prepending</w:t>
      </w:r>
      <w:proofErr w:type="spellEnd"/>
      <w:r>
        <w:t xml:space="preserve"> them with the backslash ("\") character. If the column name is enclosed in grave accent characters then it must not contain any grave accent characters in it. For example, a column named "</w:t>
      </w:r>
      <w:proofErr w:type="gramStart"/>
      <w:r>
        <w:t>Column[</w:t>
      </w:r>
      <w:proofErr w:type="gramEnd"/>
      <w:r>
        <w:t>]\" would be written: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Total * [</w:t>
      </w:r>
      <w:proofErr w:type="gramStart"/>
      <w:r>
        <w:t>Column[</w:t>
      </w:r>
      <w:proofErr w:type="gramEnd"/>
      <w:r>
        <w:t>\]\\]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proofErr w:type="gramStart"/>
      <w:r>
        <w:t>or</w:t>
      </w:r>
      <w:proofErr w:type="gramEnd"/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Total * `</w:t>
      </w:r>
      <w:proofErr w:type="gramStart"/>
      <w:r>
        <w:t>Column[</w:t>
      </w:r>
      <w:proofErr w:type="gramEnd"/>
      <w:r>
        <w:t>]\`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lastRenderedPageBreak/>
        <w:t>Date values should be enclosed within pound signs (#) or single quotes (') based on the data provider. Decimals and scientific notation are permissible for numeric values. For example:</w:t>
      </w:r>
    </w:p>
    <w:p w:rsidR="009740B3" w:rsidRDefault="009740B3" w:rsidP="009740B3">
      <w:pPr>
        <w:spacing w:line="240" w:lineRule="auto"/>
        <w:contextualSpacing/>
      </w:pPr>
    </w:p>
    <w:p w:rsidR="009740B3" w:rsidRDefault="003746CE" w:rsidP="009740B3">
      <w:pPr>
        <w:spacing w:line="240" w:lineRule="auto"/>
        <w:contextualSpacing/>
      </w:pPr>
      <w:proofErr w:type="spellStart"/>
      <w:r>
        <w:t>FirstName</w:t>
      </w:r>
      <w:proofErr w:type="spellEnd"/>
      <w:r>
        <w:t xml:space="preserve"> = 'John'</w:t>
      </w:r>
    </w:p>
    <w:p w:rsidR="009740B3" w:rsidRDefault="003746CE" w:rsidP="009740B3">
      <w:pPr>
        <w:spacing w:line="240" w:lineRule="auto"/>
        <w:contextualSpacing/>
      </w:pPr>
      <w:r>
        <w:t>Price &lt;= 50.00</w:t>
      </w:r>
    </w:p>
    <w:p w:rsidR="009740B3" w:rsidRDefault="003746CE" w:rsidP="009740B3">
      <w:pPr>
        <w:spacing w:line="240" w:lineRule="auto"/>
        <w:contextualSpacing/>
      </w:pPr>
      <w:proofErr w:type="spellStart"/>
      <w:r>
        <w:t>Birthdate</w:t>
      </w:r>
      <w:proofErr w:type="spellEnd"/>
      <w:r>
        <w:t xml:space="preserve"> &lt; #1/31/82#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String literals are identified when there are single quotes surrounding the value. For example: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'John'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Boolean literals are true and false; they are not quoted in expressions.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3746CE">
      <w:pPr>
        <w:pStyle w:val="Heading2"/>
      </w:pPr>
      <w:r>
        <w:t>Operators</w:t>
      </w:r>
    </w:p>
    <w:p w:rsidR="009740B3" w:rsidRDefault="009740B3" w:rsidP="009740B3">
      <w:pPr>
        <w:spacing w:line="240" w:lineRule="auto"/>
        <w:contextualSpacing/>
      </w:pPr>
      <w:r>
        <w:t>Concatenation is allowed using Boolean AND, OR, and NOT operators. You can use parentheses to group clauses and force precedence. The AND operator has precedence over other operators. For example: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(</w:t>
      </w:r>
      <w:proofErr w:type="spellStart"/>
      <w:r>
        <w:t>LastName</w:t>
      </w:r>
      <w:proofErr w:type="spellEnd"/>
      <w:r>
        <w:t xml:space="preserve"> = 'Smith' OR </w:t>
      </w:r>
      <w:proofErr w:type="spellStart"/>
      <w:r>
        <w:t>LastName</w:t>
      </w:r>
      <w:proofErr w:type="spellEnd"/>
      <w:r>
        <w:t xml:space="preserve"> = 'Jones') AND </w:t>
      </w:r>
      <w:proofErr w:type="spellStart"/>
      <w:r>
        <w:t>FirstName</w:t>
      </w:r>
      <w:proofErr w:type="spellEnd"/>
      <w:r>
        <w:t xml:space="preserve"> = 'John'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When you create comparison expressions, the following operators are allowed: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&lt;</w:t>
      </w:r>
      <w:r w:rsidR="003746CE">
        <w:tab/>
      </w:r>
      <w:r>
        <w:t>&gt;</w:t>
      </w:r>
    </w:p>
    <w:p w:rsidR="009740B3" w:rsidRDefault="009740B3" w:rsidP="009740B3">
      <w:pPr>
        <w:spacing w:line="240" w:lineRule="auto"/>
        <w:contextualSpacing/>
      </w:pPr>
      <w:r>
        <w:t>&lt;=</w:t>
      </w:r>
      <w:r w:rsidR="003746CE">
        <w:tab/>
      </w:r>
      <w:r>
        <w:t>&gt;=</w:t>
      </w:r>
    </w:p>
    <w:p w:rsidR="003746CE" w:rsidRDefault="003746CE" w:rsidP="009740B3">
      <w:pPr>
        <w:spacing w:line="240" w:lineRule="auto"/>
      </w:pPr>
      <w:r>
        <w:t>&lt;&gt;</w:t>
      </w:r>
      <w:r>
        <w:tab/>
      </w:r>
      <w:r w:rsidR="009740B3">
        <w:t>=</w:t>
      </w:r>
    </w:p>
    <w:p w:rsidR="009740B3" w:rsidRDefault="009740B3" w:rsidP="009740B3">
      <w:pPr>
        <w:spacing w:line="240" w:lineRule="auto"/>
      </w:pPr>
      <w:r>
        <w:t>IN</w:t>
      </w:r>
      <w:r w:rsidR="003746CE">
        <w:tab/>
      </w:r>
      <w:r>
        <w:t>LIKE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The following arithmetic operators are also supported in expressions: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+ (addition)</w:t>
      </w:r>
      <w:r w:rsidR="003746CE">
        <w:tab/>
      </w:r>
      <w:r w:rsidR="003746CE">
        <w:tab/>
      </w:r>
      <w:r>
        <w:t>- (subtraction)</w:t>
      </w:r>
    </w:p>
    <w:p w:rsidR="009740B3" w:rsidRDefault="009740B3" w:rsidP="009740B3">
      <w:pPr>
        <w:spacing w:line="240" w:lineRule="auto"/>
        <w:contextualSpacing/>
      </w:pPr>
      <w:r>
        <w:t>* (multiplication)</w:t>
      </w:r>
      <w:r w:rsidR="003746CE">
        <w:tab/>
      </w:r>
      <w:r>
        <w:t>/ (division)</w:t>
      </w:r>
    </w:p>
    <w:p w:rsidR="009740B3" w:rsidRDefault="009740B3" w:rsidP="009740B3">
      <w:pPr>
        <w:spacing w:line="240" w:lineRule="auto"/>
        <w:contextualSpacing/>
      </w:pPr>
      <w:r>
        <w:t>% (modulus)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3746CE">
      <w:pPr>
        <w:pStyle w:val="Heading2"/>
      </w:pPr>
      <w:r>
        <w:t>Wildcard Characters</w:t>
      </w:r>
    </w:p>
    <w:p w:rsidR="009740B3" w:rsidRDefault="009740B3" w:rsidP="009740B3">
      <w:pPr>
        <w:spacing w:line="240" w:lineRule="auto"/>
        <w:contextualSpacing/>
      </w:pPr>
      <w:r>
        <w:t>Both the * and % can be used interchangeably for wildcard characters in a LIKE comparison. If the string in a LIKE clause contains a * or %, those characters should be enclosed in brackets ([]). If a bracket is in the clause, each bracket character should be enclosed in brackets (for example [[] or []]). A wildcard is allowed at the start and end of a pattern, or at the end of a pattern, or at the start of a pattern. For example: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"</w:t>
      </w:r>
      <w:proofErr w:type="spellStart"/>
      <w:r>
        <w:t>ItemName</w:t>
      </w:r>
      <w:proofErr w:type="spellEnd"/>
      <w:r>
        <w:t xml:space="preserve"> LIKE '*product*'"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"</w:t>
      </w:r>
      <w:proofErr w:type="spellStart"/>
      <w:r>
        <w:t>ItemName</w:t>
      </w:r>
      <w:proofErr w:type="spellEnd"/>
      <w:r>
        <w:t xml:space="preserve"> LIKE '*product'"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"</w:t>
      </w:r>
      <w:proofErr w:type="spellStart"/>
      <w:r>
        <w:t>ItemName</w:t>
      </w:r>
      <w:proofErr w:type="spellEnd"/>
      <w:r>
        <w:t xml:space="preserve"> LIKE 'product*'"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Wildcard characters are not allowed in the middle of a string. For example, '</w:t>
      </w:r>
      <w:proofErr w:type="spellStart"/>
      <w:proofErr w:type="gramStart"/>
      <w:r>
        <w:t>te</w:t>
      </w:r>
      <w:proofErr w:type="spellEnd"/>
      <w:r>
        <w:t>*</w:t>
      </w:r>
      <w:proofErr w:type="spellStart"/>
      <w:proofErr w:type="gramEnd"/>
      <w:r>
        <w:t>xt</w:t>
      </w:r>
      <w:proofErr w:type="spellEnd"/>
      <w:r>
        <w:t>' is not allowed.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3746CE">
      <w:pPr>
        <w:pStyle w:val="Heading2"/>
      </w:pPr>
      <w:r>
        <w:lastRenderedPageBreak/>
        <w:t>Aggregates</w:t>
      </w:r>
    </w:p>
    <w:p w:rsidR="009740B3" w:rsidRDefault="009740B3" w:rsidP="009740B3">
      <w:pPr>
        <w:spacing w:line="240" w:lineRule="auto"/>
        <w:contextualSpacing/>
      </w:pPr>
      <w:r>
        <w:t>The following aggregate types are supported:</w:t>
      </w:r>
    </w:p>
    <w:p w:rsidR="009740B3" w:rsidRDefault="009740B3" w:rsidP="009740B3">
      <w:pPr>
        <w:spacing w:line="240" w:lineRule="auto"/>
        <w:contextualSpacing/>
      </w:pPr>
    </w:p>
    <w:p w:rsidR="009740B3" w:rsidRDefault="009740B3" w:rsidP="009740B3">
      <w:pPr>
        <w:spacing w:line="240" w:lineRule="auto"/>
        <w:contextualSpacing/>
      </w:pPr>
      <w:r>
        <w:t>Sum (Sum)</w:t>
      </w:r>
      <w:r w:rsidR="003746CE">
        <w:tab/>
      </w:r>
      <w:r w:rsidR="003746CE">
        <w:tab/>
      </w:r>
      <w:proofErr w:type="spellStart"/>
      <w:r>
        <w:t>Avg</w:t>
      </w:r>
      <w:proofErr w:type="spellEnd"/>
      <w:r>
        <w:t xml:space="preserve"> (Average)</w:t>
      </w:r>
    </w:p>
    <w:p w:rsidR="009740B3" w:rsidRDefault="009740B3" w:rsidP="009740B3">
      <w:pPr>
        <w:spacing w:line="240" w:lineRule="auto"/>
        <w:contextualSpacing/>
      </w:pPr>
      <w:r>
        <w:t>Min (Minimum)</w:t>
      </w:r>
      <w:r w:rsidR="003746CE">
        <w:tab/>
      </w:r>
      <w:r w:rsidR="003746CE">
        <w:tab/>
      </w:r>
      <w:r>
        <w:t>Max (Maximum)</w:t>
      </w:r>
    </w:p>
    <w:p w:rsidR="009740B3" w:rsidRDefault="009740B3" w:rsidP="009740B3">
      <w:pPr>
        <w:spacing w:line="240" w:lineRule="auto"/>
        <w:contextualSpacing/>
      </w:pPr>
      <w:r>
        <w:t>Count (Count)</w:t>
      </w:r>
      <w:r w:rsidR="003746CE">
        <w:tab/>
      </w:r>
      <w:r w:rsidR="003746CE">
        <w:tab/>
      </w:r>
      <w:proofErr w:type="spellStart"/>
      <w:r>
        <w:t>StDev</w:t>
      </w:r>
      <w:proofErr w:type="spellEnd"/>
      <w:r>
        <w:t xml:space="preserve"> (Statistical standard deviation)</w:t>
      </w:r>
    </w:p>
    <w:p w:rsidR="009740B3" w:rsidRDefault="003746CE" w:rsidP="009740B3">
      <w:pPr>
        <w:spacing w:line="240" w:lineRule="auto"/>
        <w:contextualSpacing/>
      </w:pPr>
      <w:proofErr w:type="spellStart"/>
      <w:r>
        <w:t>Var</w:t>
      </w:r>
      <w:proofErr w:type="spellEnd"/>
      <w:r>
        <w:t xml:space="preserve"> (Statistical variance)</w:t>
      </w:r>
    </w:p>
    <w:p w:rsidR="009740B3" w:rsidRDefault="009740B3" w:rsidP="003746CE"/>
    <w:sectPr w:rsidR="009740B3" w:rsidSect="00233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25AA2"/>
    <w:multiLevelType w:val="hybridMultilevel"/>
    <w:tmpl w:val="E9FE58A6"/>
    <w:lvl w:ilvl="0" w:tplc="86086F5E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11E3"/>
    <w:rsid w:val="001164CF"/>
    <w:rsid w:val="00233BF1"/>
    <w:rsid w:val="003746CE"/>
    <w:rsid w:val="004E4B29"/>
    <w:rsid w:val="005A2FD8"/>
    <w:rsid w:val="009740B3"/>
    <w:rsid w:val="009A2CF8"/>
    <w:rsid w:val="00B71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BF1"/>
  </w:style>
  <w:style w:type="paragraph" w:styleId="Heading1">
    <w:name w:val="heading 1"/>
    <w:basedOn w:val="Normal"/>
    <w:next w:val="Normal"/>
    <w:link w:val="Heading1Char"/>
    <w:uiPriority w:val="9"/>
    <w:qFormat/>
    <w:rsid w:val="003746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6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4B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16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746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46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6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46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1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data.datacolumn.expression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5195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Fainges, Justin (CES, Toowoomba)</dc:creator>
  <cp:lastModifiedBy>Fainges, Justin (CES, Toowoomba)</cp:lastModifiedBy>
  <cp:revision>4</cp:revision>
  <cp:lastPrinted>2011-12-08T02:40:00Z</cp:lastPrinted>
  <dcterms:created xsi:type="dcterms:W3CDTF">2011-12-08T01:25:00Z</dcterms:created>
  <dcterms:modified xsi:type="dcterms:W3CDTF">2011-12-08T02:46:00Z</dcterms:modified>
</cp:coreProperties>
</file>