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75761" w14:textId="7C92B3A0" w:rsidR="00F61124" w:rsidRPr="00D25FBD" w:rsidRDefault="00F61124" w:rsidP="00F61124">
      <w:pPr>
        <w:pStyle w:val="Titre"/>
        <w:rPr>
          <w:lang w:val="en-GB"/>
        </w:rPr>
      </w:pPr>
      <w:r w:rsidRPr="00D25FBD">
        <w:rPr>
          <w:rStyle w:val="lev"/>
          <w:b/>
          <w:bCs w:val="0"/>
          <w:lang w:val="en-GB"/>
        </w:rPr>
        <w:t xml:space="preserve">An Analysis of </w:t>
      </w:r>
      <w:r w:rsidRPr="00D25FBD">
        <w:rPr>
          <w:rStyle w:val="Accentuation"/>
          <w:lang w:val="en-GB"/>
        </w:rPr>
        <w:t>Romeo and Juliet</w:t>
      </w:r>
      <w:r w:rsidRPr="00D25FBD">
        <w:rPr>
          <w:rStyle w:val="lev"/>
          <w:b/>
          <w:bCs w:val="0"/>
          <w:lang w:val="en-GB"/>
        </w:rPr>
        <w:t xml:space="preserve"> by William Shakespeare</w:t>
      </w:r>
    </w:p>
    <w:p w14:paraId="172FFCCE" w14:textId="356E5001" w:rsidR="00F61124" w:rsidRPr="00D25FBD" w:rsidRDefault="00F61124" w:rsidP="00F61124">
      <w:pPr>
        <w:pStyle w:val="Sous-titre"/>
        <w:rPr>
          <w:lang w:val="en-GB"/>
        </w:rPr>
      </w:pPr>
      <w:r w:rsidRPr="00D25FBD">
        <w:rPr>
          <w:rStyle w:val="lev"/>
          <w:b w:val="0"/>
          <w:bCs w:val="0"/>
          <w:lang w:val="en-GB"/>
        </w:rPr>
        <w:t>Introduction</w:t>
      </w:r>
    </w:p>
    <w:p w14:paraId="2935A938" w14:textId="6071DC74" w:rsidR="009A6B5B" w:rsidRPr="00D25FBD" w:rsidRDefault="009A6B5B" w:rsidP="009A6B5B">
      <w:pPr>
        <w:pStyle w:val="Titre1"/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</w:pPr>
      <w:r w:rsidRPr="00D25FBD">
        <w:rPr>
          <w:rFonts w:ascii="Circular Std Book" w:eastAsiaTheme="minorHAnsi" w:hAnsi="Circular Std Book" w:cstheme="minorBidi"/>
          <w:i/>
          <w:iCs/>
          <w:color w:val="auto"/>
          <w:sz w:val="24"/>
          <w:szCs w:val="24"/>
          <w:lang w:val="en-GB"/>
        </w:rPr>
        <w:t>Romeo and Juliet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 xml:space="preserve"> is one of Shakespeare’s most celebrated tragedies, written around 1595.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 xml:space="preserve"> 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>It tells the story of two young lovers whose deaths ultimately reconcile their feuding families.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 xml:space="preserve"> 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>The play explores universal themes such as love, fate, conflict, and the passage from youth to adulthood.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 xml:space="preserve"> 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 xml:space="preserve">Shakespeare’s language in this play combines </w:t>
      </w:r>
      <w:r w:rsidRPr="00D25FBD">
        <w:rPr>
          <w:rFonts w:ascii="Circular Std Book" w:eastAsiaTheme="minorHAnsi" w:hAnsi="Circular Std Book" w:cstheme="minorBidi"/>
          <w:b/>
          <w:bCs/>
          <w:color w:val="auto"/>
          <w:sz w:val="24"/>
          <w:szCs w:val="24"/>
          <w:lang w:val="en-GB"/>
        </w:rPr>
        <w:t>lyrical poetry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 xml:space="preserve"> and </w:t>
      </w:r>
      <w:r w:rsidRPr="00D25FBD">
        <w:rPr>
          <w:rFonts w:ascii="Circular Std Book" w:eastAsiaTheme="minorHAnsi" w:hAnsi="Circular Std Book" w:cstheme="minorBidi"/>
          <w:b/>
          <w:bCs/>
          <w:color w:val="auto"/>
          <w:sz w:val="24"/>
          <w:szCs w:val="24"/>
          <w:lang w:val="en-GB"/>
        </w:rPr>
        <w:t>dramatic tension</w:t>
      </w:r>
      <w:r w:rsidRPr="00D25FBD">
        <w:rPr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t>, creating one of the most emotionally charged works in English literature.</w:t>
      </w:r>
      <w:r w:rsidRPr="00D25FBD">
        <w:rPr>
          <w:rStyle w:val="Appelnotedebasdep"/>
          <w:rFonts w:ascii="Circular Std Book" w:eastAsiaTheme="minorHAnsi" w:hAnsi="Circular Std Book" w:cstheme="minorBidi"/>
          <w:color w:val="auto"/>
          <w:sz w:val="24"/>
          <w:szCs w:val="24"/>
          <w:lang w:val="en-GB"/>
        </w:rPr>
        <w:footnoteReference w:id="1"/>
      </w:r>
    </w:p>
    <w:p w14:paraId="6B077E8B" w14:textId="512590ED" w:rsidR="00F61124" w:rsidRPr="00D25FBD" w:rsidRDefault="00F61124" w:rsidP="009A6B5B">
      <w:pPr>
        <w:pStyle w:val="Titre1"/>
        <w:rPr>
          <w:lang w:val="en-GB"/>
        </w:rPr>
      </w:pPr>
      <w:r w:rsidRPr="00D25FBD">
        <w:rPr>
          <w:rStyle w:val="lev"/>
          <w:rFonts w:ascii="Circular Std Bold" w:hAnsi="Circular Std Bold"/>
          <w:b w:val="0"/>
          <w:bCs w:val="0"/>
          <w:lang w:val="en-GB"/>
        </w:rPr>
        <w:t>The Theme of Love and Fate</w:t>
      </w:r>
    </w:p>
    <w:p w14:paraId="198E7BC1" w14:textId="77777777" w:rsidR="00F61124" w:rsidRPr="00D25FBD" w:rsidRDefault="00F61124" w:rsidP="00243CFA">
      <w:pPr>
        <w:rPr>
          <w:lang w:val="en-GB"/>
        </w:rPr>
      </w:pPr>
      <w:r w:rsidRPr="00D25FBD">
        <w:rPr>
          <w:lang w:val="en-GB"/>
        </w:rPr>
        <w:t xml:space="preserve">Love in </w:t>
      </w:r>
      <w:r w:rsidRPr="00D25FBD">
        <w:rPr>
          <w:rStyle w:val="Accentuation"/>
          <w:lang w:val="en-GB"/>
        </w:rPr>
        <w:t>Romeo and Juliet</w:t>
      </w:r>
      <w:r w:rsidRPr="00D25FBD">
        <w:rPr>
          <w:lang w:val="en-GB"/>
        </w:rPr>
        <w:t xml:space="preserve"> is presented as both </w:t>
      </w:r>
      <w:r w:rsidRPr="00D25FBD">
        <w:rPr>
          <w:rStyle w:val="lev"/>
          <w:lang w:val="en-GB"/>
        </w:rPr>
        <w:t>passionate and destructive</w:t>
      </w:r>
      <w:r w:rsidRPr="00D25FBD">
        <w:rPr>
          <w:lang w:val="en-GB"/>
        </w:rPr>
        <w:t>.</w:t>
      </w:r>
      <w:r w:rsidRPr="00D25FBD">
        <w:rPr>
          <w:lang w:val="en-GB"/>
        </w:rPr>
        <w:br/>
        <w:t>From their first meeting, Romeo and Juliet are drawn to each other by a force that seems beyond their control — a reflection of the Elizabethan belief in destiny.</w:t>
      </w:r>
      <w:r w:rsidRPr="00D25FBD">
        <w:rPr>
          <w:lang w:val="en-GB"/>
        </w:rPr>
        <w:br/>
        <w:t>Shakespeare uses imagery of light and darkness to highlight how love can bring both joy and tragedy.</w:t>
      </w:r>
    </w:p>
    <w:p w14:paraId="0A2E6C1D" w14:textId="6257DF50" w:rsidR="00F61124" w:rsidRPr="00D25FBD" w:rsidRDefault="00F61124" w:rsidP="00243CFA">
      <w:pPr>
        <w:pStyle w:val="Titre2"/>
        <w:rPr>
          <w:lang w:val="en-GB"/>
        </w:rPr>
      </w:pPr>
      <w:r w:rsidRPr="00D25FBD">
        <w:rPr>
          <w:rStyle w:val="lev"/>
          <w:b w:val="0"/>
          <w:bCs w:val="0"/>
          <w:lang w:val="en-GB"/>
        </w:rPr>
        <w:t>The Role of Fate</w:t>
      </w:r>
    </w:p>
    <w:p w14:paraId="523DB55A" w14:textId="61F39F3C" w:rsidR="00F61124" w:rsidRPr="00D25FBD" w:rsidRDefault="00F61124" w:rsidP="00243CFA">
      <w:pPr>
        <w:rPr>
          <w:lang w:val="en-GB"/>
        </w:rPr>
      </w:pPr>
      <w:r w:rsidRPr="00D25FBD">
        <w:rPr>
          <w:lang w:val="en-GB"/>
        </w:rPr>
        <w:t>Throughout the play, references to the stars and fortune emphasize the inevitability of the lovers’ fate.</w:t>
      </w:r>
      <w:r w:rsidR="009A6B5B" w:rsidRPr="00D25FBD">
        <w:rPr>
          <w:lang w:val="en-GB"/>
        </w:rPr>
        <w:t xml:space="preserve"> </w:t>
      </w:r>
      <w:r w:rsidRPr="00D25FBD">
        <w:rPr>
          <w:lang w:val="en-GB"/>
        </w:rPr>
        <w:t xml:space="preserve">For example, the phrase </w:t>
      </w:r>
      <w:r w:rsidRPr="00D25FBD">
        <w:rPr>
          <w:rStyle w:val="Accentuation"/>
          <w:lang w:val="en-GB"/>
        </w:rPr>
        <w:t>“star-crossed lovers”</w:t>
      </w:r>
      <w:r w:rsidRPr="00D25FBD">
        <w:rPr>
          <w:lang w:val="en-GB"/>
        </w:rPr>
        <w:t xml:space="preserve"> in the prologue sets the tone of doomed destiny.</w:t>
      </w:r>
      <w:r w:rsidR="009A6B5B" w:rsidRPr="00D25FBD">
        <w:rPr>
          <w:lang w:val="en-GB"/>
        </w:rPr>
        <w:t xml:space="preserve"> </w:t>
      </w:r>
      <w:r w:rsidRPr="00D25FBD">
        <w:rPr>
          <w:lang w:val="en-GB"/>
        </w:rPr>
        <w:t>Despite their attempts to defy social norms, Romeo and Juliet cannot escape the tragic consequences predetermined by their circumstances.</w:t>
      </w:r>
    </w:p>
    <w:p w14:paraId="24632C71" w14:textId="601ED8A0" w:rsidR="00F61124" w:rsidRPr="00D25FBD" w:rsidRDefault="00F61124" w:rsidP="00243CFA">
      <w:pPr>
        <w:pStyle w:val="Titre2"/>
        <w:rPr>
          <w:lang w:val="en-GB"/>
        </w:rPr>
      </w:pPr>
      <w:r w:rsidRPr="00D25FBD">
        <w:rPr>
          <w:rStyle w:val="lev"/>
          <w:rFonts w:ascii="Circular Std Medium" w:hAnsi="Circular Std Medium"/>
          <w:b w:val="0"/>
          <w:bCs w:val="0"/>
          <w:lang w:val="en-GB"/>
        </w:rPr>
        <w:lastRenderedPageBreak/>
        <w:t>Conflict and Society</w:t>
      </w:r>
    </w:p>
    <w:p w14:paraId="0BACB05D" w14:textId="05363D40" w:rsidR="00F61124" w:rsidRPr="00D25FBD" w:rsidRDefault="00F61124" w:rsidP="00243CFA">
      <w:pPr>
        <w:rPr>
          <w:lang w:val="en-GB"/>
        </w:rPr>
      </w:pPr>
      <w:r w:rsidRPr="00D25FBD">
        <w:rPr>
          <w:lang w:val="en-GB"/>
        </w:rPr>
        <w:t>The feud between the Montagues and Capulets symbolizes the destructive nature of inherited hatred.</w:t>
      </w:r>
      <w:r w:rsidR="00243CFA" w:rsidRPr="00D25FBD">
        <w:rPr>
          <w:lang w:val="en-GB"/>
        </w:rPr>
        <w:t xml:space="preserve"> </w:t>
      </w:r>
      <w:r w:rsidRPr="00D25FBD">
        <w:rPr>
          <w:lang w:val="en-GB"/>
        </w:rPr>
        <w:t>It also serves as a commentary on how rigid social structures limit individual freedom.</w:t>
      </w:r>
      <w:r w:rsidR="00243CFA" w:rsidRPr="00D25FBD">
        <w:rPr>
          <w:lang w:val="en-GB"/>
        </w:rPr>
        <w:t xml:space="preserve"> </w:t>
      </w:r>
      <w:r w:rsidRPr="00D25FBD">
        <w:rPr>
          <w:lang w:val="en-GB"/>
        </w:rPr>
        <w:t xml:space="preserve">By placing love within this environment of violence, Shakespeare highlights how </w:t>
      </w:r>
      <w:r w:rsidRPr="00D25FBD">
        <w:rPr>
          <w:rStyle w:val="lev"/>
          <w:lang w:val="en-GB"/>
        </w:rPr>
        <w:t>society itself becomes the antagonist</w:t>
      </w:r>
      <w:r w:rsidRPr="00D25FBD">
        <w:rPr>
          <w:lang w:val="en-GB"/>
        </w:rPr>
        <w:t xml:space="preserve"> of the play.</w:t>
      </w:r>
    </w:p>
    <w:p w14:paraId="6AEFF446" w14:textId="65851A9C" w:rsidR="008148C0" w:rsidRPr="00D25FBD" w:rsidRDefault="008148C0" w:rsidP="008148C0">
      <w:pPr>
        <w:pStyle w:val="Titre3"/>
        <w:rPr>
          <w:lang w:val="en-GB"/>
        </w:rPr>
      </w:pPr>
      <w:r w:rsidRPr="00D25FBD">
        <w:rPr>
          <w:rStyle w:val="lev"/>
          <w:rFonts w:ascii="Circular Std Medium" w:hAnsi="Circular Std Medium"/>
          <w:b w:val="0"/>
          <w:bCs w:val="0"/>
          <w:lang w:val="en-GB"/>
        </w:rPr>
        <w:t>List Example</w:t>
      </w:r>
    </w:p>
    <w:p w14:paraId="6227BCF3" w14:textId="77777777" w:rsidR="008148C0" w:rsidRPr="00D25FBD" w:rsidRDefault="008148C0" w:rsidP="008148C0">
      <w:pPr>
        <w:pStyle w:val="Liste"/>
        <w:rPr>
          <w:lang w:val="en-GB"/>
        </w:rPr>
      </w:pPr>
      <w:r w:rsidRPr="00D25FBD">
        <w:rPr>
          <w:rStyle w:val="lev"/>
          <w:lang w:val="en-GB"/>
        </w:rPr>
        <w:t>Conflict in Verona</w:t>
      </w:r>
    </w:p>
    <w:p w14:paraId="328B1027" w14:textId="77777777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1.1. Family rivalry</w:t>
      </w:r>
    </w:p>
    <w:p w14:paraId="261906CA" w14:textId="77777777" w:rsidR="008148C0" w:rsidRPr="00D25FBD" w:rsidRDefault="008148C0" w:rsidP="008148C0">
      <w:pPr>
        <w:pStyle w:val="Liste"/>
        <w:numPr>
          <w:ilvl w:val="2"/>
          <w:numId w:val="7"/>
        </w:numPr>
        <w:rPr>
          <w:lang w:val="en-GB"/>
        </w:rPr>
      </w:pPr>
      <w:r w:rsidRPr="00D25FBD">
        <w:rPr>
          <w:lang w:val="en-GB"/>
        </w:rPr>
        <w:t>Capulet vs. Montague</w:t>
      </w:r>
    </w:p>
    <w:p w14:paraId="77D2F93D" w14:textId="77777777" w:rsidR="008148C0" w:rsidRPr="00D25FBD" w:rsidRDefault="008148C0" w:rsidP="008148C0">
      <w:pPr>
        <w:pStyle w:val="Liste"/>
        <w:numPr>
          <w:ilvl w:val="2"/>
          <w:numId w:val="7"/>
        </w:numPr>
        <w:rPr>
          <w:lang w:val="en-GB"/>
        </w:rPr>
      </w:pPr>
      <w:r w:rsidRPr="00D25FBD">
        <w:rPr>
          <w:lang w:val="en-GB"/>
        </w:rPr>
        <w:t xml:space="preserve">Social expectations and </w:t>
      </w:r>
      <w:proofErr w:type="spellStart"/>
      <w:r w:rsidRPr="00D25FBD">
        <w:rPr>
          <w:lang w:val="en-GB"/>
        </w:rPr>
        <w:t>honor</w:t>
      </w:r>
      <w:proofErr w:type="spellEnd"/>
    </w:p>
    <w:p w14:paraId="5A9F266C" w14:textId="77777777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1.2. Public disorder</w:t>
      </w:r>
    </w:p>
    <w:p w14:paraId="2DC82E37" w14:textId="77777777" w:rsidR="008148C0" w:rsidRPr="00D25FBD" w:rsidRDefault="008148C0" w:rsidP="008148C0">
      <w:pPr>
        <w:pStyle w:val="Liste"/>
        <w:numPr>
          <w:ilvl w:val="2"/>
          <w:numId w:val="7"/>
        </w:numPr>
        <w:rPr>
          <w:lang w:val="en-GB"/>
        </w:rPr>
      </w:pPr>
      <w:r w:rsidRPr="00D25FBD">
        <w:rPr>
          <w:lang w:val="en-GB"/>
        </w:rPr>
        <w:t>Street fights</w:t>
      </w:r>
    </w:p>
    <w:p w14:paraId="127B1280" w14:textId="013372CF" w:rsidR="008148C0" w:rsidRPr="00D25FBD" w:rsidRDefault="008148C0" w:rsidP="008148C0">
      <w:pPr>
        <w:pStyle w:val="Liste"/>
        <w:numPr>
          <w:ilvl w:val="2"/>
          <w:numId w:val="7"/>
        </w:numPr>
        <w:rPr>
          <w:lang w:val="en-GB"/>
        </w:rPr>
      </w:pPr>
      <w:r w:rsidRPr="00D25FBD">
        <w:rPr>
          <w:lang w:val="en-GB"/>
        </w:rPr>
        <w:t>The role of Prince Escalus</w:t>
      </w:r>
    </w:p>
    <w:p w14:paraId="32E634EE" w14:textId="77777777" w:rsidR="008148C0" w:rsidRPr="00D25FBD" w:rsidRDefault="008148C0" w:rsidP="008148C0">
      <w:pPr>
        <w:pStyle w:val="Liste"/>
        <w:numPr>
          <w:ilvl w:val="0"/>
          <w:numId w:val="0"/>
        </w:numPr>
        <w:rPr>
          <w:lang w:val="en-GB"/>
        </w:rPr>
      </w:pPr>
    </w:p>
    <w:p w14:paraId="31F1A752" w14:textId="77777777" w:rsidR="008148C0" w:rsidRPr="00D25FBD" w:rsidRDefault="008148C0" w:rsidP="008148C0">
      <w:pPr>
        <w:pStyle w:val="Liste"/>
        <w:rPr>
          <w:lang w:val="en-GB"/>
        </w:rPr>
      </w:pPr>
      <w:r w:rsidRPr="00D25FBD">
        <w:rPr>
          <w:rStyle w:val="lev"/>
          <w:lang w:val="en-GB"/>
        </w:rPr>
        <w:t>The Lovers’ Response</w:t>
      </w:r>
    </w:p>
    <w:p w14:paraId="58A47C9F" w14:textId="77777777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2.1. Secret marriage</w:t>
      </w:r>
    </w:p>
    <w:p w14:paraId="60E2B79A" w14:textId="77777777" w:rsidR="008148C0" w:rsidRPr="00D25FBD" w:rsidRDefault="008148C0" w:rsidP="008148C0">
      <w:pPr>
        <w:pStyle w:val="Liste"/>
        <w:numPr>
          <w:ilvl w:val="2"/>
          <w:numId w:val="7"/>
        </w:numPr>
        <w:rPr>
          <w:lang w:val="en-GB"/>
        </w:rPr>
      </w:pPr>
      <w:r w:rsidRPr="00D25FBD">
        <w:rPr>
          <w:lang w:val="en-GB"/>
        </w:rPr>
        <w:t>The role of Friar Laurence</w:t>
      </w:r>
    </w:p>
    <w:p w14:paraId="28856DD0" w14:textId="77777777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2.2. Plans to escape</w:t>
      </w:r>
    </w:p>
    <w:p w14:paraId="16816FBA" w14:textId="28DFB091" w:rsidR="008148C0" w:rsidRPr="00D25FBD" w:rsidRDefault="008148C0" w:rsidP="008148C0">
      <w:pPr>
        <w:pStyle w:val="Liste"/>
        <w:numPr>
          <w:ilvl w:val="2"/>
          <w:numId w:val="7"/>
        </w:numPr>
        <w:rPr>
          <w:lang w:val="en-GB"/>
        </w:rPr>
      </w:pPr>
      <w:r w:rsidRPr="00D25FBD">
        <w:rPr>
          <w:lang w:val="en-GB"/>
        </w:rPr>
        <w:t>The miscommunication with the messenger</w:t>
      </w:r>
    </w:p>
    <w:p w14:paraId="40F046BB" w14:textId="77777777" w:rsidR="008148C0" w:rsidRPr="00D25FBD" w:rsidRDefault="008148C0" w:rsidP="008148C0">
      <w:pPr>
        <w:pStyle w:val="Liste"/>
        <w:numPr>
          <w:ilvl w:val="0"/>
          <w:numId w:val="0"/>
        </w:numPr>
        <w:ind w:left="1381" w:hanging="360"/>
        <w:rPr>
          <w:lang w:val="en-GB"/>
        </w:rPr>
      </w:pPr>
    </w:p>
    <w:p w14:paraId="05BD115A" w14:textId="77777777" w:rsidR="008148C0" w:rsidRPr="00D25FBD" w:rsidRDefault="008148C0" w:rsidP="008148C0">
      <w:pPr>
        <w:pStyle w:val="Liste"/>
        <w:rPr>
          <w:lang w:val="en-GB"/>
        </w:rPr>
      </w:pPr>
      <w:r w:rsidRPr="00D25FBD">
        <w:rPr>
          <w:rStyle w:val="lev"/>
          <w:lang w:val="en-GB"/>
        </w:rPr>
        <w:t>Tragic Consequences</w:t>
      </w:r>
    </w:p>
    <w:p w14:paraId="37D80552" w14:textId="77777777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3.1. Romeo’s banishment</w:t>
      </w:r>
    </w:p>
    <w:p w14:paraId="3141F7AF" w14:textId="77777777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3.2. Juliet’s desperate act</w:t>
      </w:r>
    </w:p>
    <w:p w14:paraId="7EA7E106" w14:textId="3B5E71D6" w:rsidR="008148C0" w:rsidRPr="00D25FBD" w:rsidRDefault="008148C0" w:rsidP="008148C0">
      <w:pPr>
        <w:pStyle w:val="Liste"/>
        <w:numPr>
          <w:ilvl w:val="1"/>
          <w:numId w:val="7"/>
        </w:numPr>
        <w:rPr>
          <w:lang w:val="en-GB"/>
        </w:rPr>
      </w:pPr>
      <w:r w:rsidRPr="00D25FBD">
        <w:rPr>
          <w:lang w:val="en-GB"/>
        </w:rPr>
        <w:t>3.3. Reconciliation through tragedy</w:t>
      </w:r>
    </w:p>
    <w:p w14:paraId="71362864" w14:textId="77777777" w:rsidR="00F61124" w:rsidRPr="00D25FBD" w:rsidRDefault="00F61124" w:rsidP="006277E2">
      <w:pPr>
        <w:pStyle w:val="Titre3"/>
        <w:rPr>
          <w:lang w:val="en-GB"/>
        </w:rPr>
      </w:pPr>
      <w:r w:rsidRPr="00D25FBD">
        <w:rPr>
          <w:rStyle w:val="lev"/>
          <w:rFonts w:ascii="Circular Std Medium" w:hAnsi="Circular Std Medium"/>
          <w:b w:val="0"/>
          <w:bCs w:val="0"/>
          <w:lang w:val="en-GB"/>
        </w:rPr>
        <w:t>Quotation Example</w:t>
      </w:r>
    </w:p>
    <w:p w14:paraId="45B8898D" w14:textId="77777777" w:rsidR="00F61124" w:rsidRPr="00D25FBD" w:rsidRDefault="00F61124" w:rsidP="006277E2">
      <w:pPr>
        <w:pStyle w:val="Citation"/>
        <w:rPr>
          <w:lang w:val="en-GB"/>
        </w:rPr>
      </w:pPr>
      <w:r w:rsidRPr="00D25FBD">
        <w:rPr>
          <w:lang w:val="en-GB"/>
        </w:rPr>
        <w:t>“These violent delights have violent ends.”</w:t>
      </w:r>
      <w:r w:rsidRPr="00D25FBD">
        <w:rPr>
          <w:lang w:val="en-GB"/>
        </w:rPr>
        <w:br/>
        <w:t xml:space="preserve">— </w:t>
      </w:r>
      <w:r w:rsidRPr="00D25FBD">
        <w:rPr>
          <w:rStyle w:val="Accentuation"/>
          <w:lang w:val="en-GB"/>
        </w:rPr>
        <w:t>Friar Laurence, Act II, Scene VI</w:t>
      </w:r>
    </w:p>
    <w:p w14:paraId="3372BA55" w14:textId="4AC7BF5A" w:rsidR="00F61124" w:rsidRPr="00D25FBD" w:rsidRDefault="00F61124" w:rsidP="00F61124">
      <w:pPr>
        <w:rPr>
          <w:lang w:val="en-GB"/>
        </w:rPr>
      </w:pPr>
      <w:r w:rsidRPr="00D25FBD">
        <w:rPr>
          <w:lang w:val="en-GB"/>
        </w:rPr>
        <w:t>This line captures the paradox of love as both a source of beauty and destruction, summarizing the essence of the play’s tragedy.</w:t>
      </w:r>
    </w:p>
    <w:p w14:paraId="53630FD7" w14:textId="77777777" w:rsidR="00F61124" w:rsidRPr="00D25FBD" w:rsidRDefault="00F61124" w:rsidP="006277E2">
      <w:pPr>
        <w:pStyle w:val="Titre3"/>
        <w:rPr>
          <w:lang w:val="en-GB"/>
        </w:rPr>
      </w:pPr>
      <w:r w:rsidRPr="00D25FBD">
        <w:rPr>
          <w:rStyle w:val="lev"/>
          <w:b w:val="0"/>
          <w:bCs w:val="0"/>
          <w:lang w:val="en-GB"/>
        </w:rPr>
        <w:lastRenderedPageBreak/>
        <w:t>Table Example</w:t>
      </w:r>
    </w:p>
    <w:tbl>
      <w:tblPr>
        <w:tblStyle w:val="Tableausimple4"/>
        <w:tblW w:w="7339" w:type="dxa"/>
        <w:tblLook w:val="04A0" w:firstRow="1" w:lastRow="0" w:firstColumn="1" w:lastColumn="0" w:noHBand="0" w:noVBand="1"/>
      </w:tblPr>
      <w:tblGrid>
        <w:gridCol w:w="1659"/>
        <w:gridCol w:w="1904"/>
        <w:gridCol w:w="3776"/>
      </w:tblGrid>
      <w:tr w:rsidR="00F61124" w:rsidRPr="00D25FBD" w14:paraId="34134669" w14:textId="77777777" w:rsidTr="008148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39774" w14:textId="77777777" w:rsidR="00F61124" w:rsidRPr="00D25FBD" w:rsidRDefault="00F61124" w:rsidP="006277E2">
            <w:pPr>
              <w:rPr>
                <w:lang w:val="en-GB"/>
              </w:rPr>
            </w:pPr>
            <w:r w:rsidRPr="00D25FBD">
              <w:rPr>
                <w:lang w:val="en-GB"/>
              </w:rPr>
              <w:t>Character</w:t>
            </w:r>
          </w:p>
        </w:tc>
        <w:tc>
          <w:tcPr>
            <w:tcW w:w="0" w:type="auto"/>
            <w:hideMark/>
          </w:tcPr>
          <w:p w14:paraId="79B609A4" w14:textId="77777777" w:rsidR="00F61124" w:rsidRPr="00D25FBD" w:rsidRDefault="00F61124" w:rsidP="006277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579CC3E0" w14:textId="77777777" w:rsidR="00F61124" w:rsidRPr="00D25FBD" w:rsidRDefault="00F61124" w:rsidP="006277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Symbolic Function</w:t>
            </w:r>
          </w:p>
        </w:tc>
      </w:tr>
      <w:tr w:rsidR="00F61124" w:rsidRPr="00D25FBD" w14:paraId="61409B43" w14:textId="77777777" w:rsidTr="00814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10269" w14:textId="77777777" w:rsidR="00F61124" w:rsidRPr="00D25FBD" w:rsidRDefault="00F61124" w:rsidP="006277E2">
            <w:pPr>
              <w:rPr>
                <w:lang w:val="en-GB"/>
              </w:rPr>
            </w:pPr>
            <w:r w:rsidRPr="00D25FBD">
              <w:rPr>
                <w:lang w:val="en-GB"/>
              </w:rPr>
              <w:t>Romeo</w:t>
            </w:r>
          </w:p>
        </w:tc>
        <w:tc>
          <w:tcPr>
            <w:tcW w:w="0" w:type="auto"/>
            <w:hideMark/>
          </w:tcPr>
          <w:p w14:paraId="0A464EF0" w14:textId="77777777" w:rsidR="00F61124" w:rsidRPr="00D25FBD" w:rsidRDefault="00F61124" w:rsidP="006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The lover</w:t>
            </w:r>
          </w:p>
        </w:tc>
        <w:tc>
          <w:tcPr>
            <w:tcW w:w="0" w:type="auto"/>
            <w:hideMark/>
          </w:tcPr>
          <w:p w14:paraId="464F0A07" w14:textId="77777777" w:rsidR="00F61124" w:rsidRPr="00D25FBD" w:rsidRDefault="00F61124" w:rsidP="006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Passion and impulsiveness</w:t>
            </w:r>
          </w:p>
        </w:tc>
      </w:tr>
      <w:tr w:rsidR="00F61124" w:rsidRPr="00D25FBD" w14:paraId="707715B1" w14:textId="77777777" w:rsidTr="008148C0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148B0" w14:textId="77777777" w:rsidR="00F61124" w:rsidRPr="00D25FBD" w:rsidRDefault="00F61124" w:rsidP="006277E2">
            <w:pPr>
              <w:rPr>
                <w:lang w:val="en-GB"/>
              </w:rPr>
            </w:pPr>
            <w:r w:rsidRPr="00D25FBD">
              <w:rPr>
                <w:lang w:val="en-GB"/>
              </w:rPr>
              <w:t>Juliet</w:t>
            </w:r>
          </w:p>
        </w:tc>
        <w:tc>
          <w:tcPr>
            <w:tcW w:w="0" w:type="auto"/>
            <w:hideMark/>
          </w:tcPr>
          <w:p w14:paraId="0E9E3845" w14:textId="77777777" w:rsidR="00F61124" w:rsidRPr="00D25FBD" w:rsidRDefault="00F61124" w:rsidP="006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The beloved</w:t>
            </w:r>
          </w:p>
        </w:tc>
        <w:tc>
          <w:tcPr>
            <w:tcW w:w="0" w:type="auto"/>
            <w:hideMark/>
          </w:tcPr>
          <w:p w14:paraId="66E1689C" w14:textId="77777777" w:rsidR="00F61124" w:rsidRPr="00D25FBD" w:rsidRDefault="00F61124" w:rsidP="006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Innocence and defiance</w:t>
            </w:r>
          </w:p>
        </w:tc>
      </w:tr>
      <w:tr w:rsidR="00F61124" w:rsidRPr="00D25FBD" w14:paraId="4E376F1C" w14:textId="77777777" w:rsidTr="008148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80C28" w14:textId="77777777" w:rsidR="00F61124" w:rsidRPr="00D25FBD" w:rsidRDefault="00F61124" w:rsidP="006277E2">
            <w:pPr>
              <w:rPr>
                <w:lang w:val="en-GB"/>
              </w:rPr>
            </w:pPr>
            <w:r w:rsidRPr="00D25FBD">
              <w:rPr>
                <w:lang w:val="en-GB"/>
              </w:rPr>
              <w:t>Mercutio</w:t>
            </w:r>
          </w:p>
        </w:tc>
        <w:tc>
          <w:tcPr>
            <w:tcW w:w="0" w:type="auto"/>
            <w:hideMark/>
          </w:tcPr>
          <w:p w14:paraId="354720BD" w14:textId="77777777" w:rsidR="00F61124" w:rsidRPr="00D25FBD" w:rsidRDefault="00F61124" w:rsidP="006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The friend</w:t>
            </w:r>
          </w:p>
        </w:tc>
        <w:tc>
          <w:tcPr>
            <w:tcW w:w="0" w:type="auto"/>
            <w:hideMark/>
          </w:tcPr>
          <w:p w14:paraId="04BFD412" w14:textId="77777777" w:rsidR="00F61124" w:rsidRPr="00D25FBD" w:rsidRDefault="00F61124" w:rsidP="0062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D25FBD">
              <w:rPr>
                <w:lang w:val="en-GB"/>
              </w:rPr>
              <w:t>Humor</w:t>
            </w:r>
            <w:proofErr w:type="spellEnd"/>
            <w:r w:rsidRPr="00D25FBD">
              <w:rPr>
                <w:lang w:val="en-GB"/>
              </w:rPr>
              <w:t xml:space="preserve"> and chaos</w:t>
            </w:r>
          </w:p>
        </w:tc>
      </w:tr>
      <w:tr w:rsidR="00F61124" w:rsidRPr="00D25FBD" w14:paraId="2C72AD0F" w14:textId="77777777" w:rsidTr="008148C0">
        <w:trPr>
          <w:trHeight w:val="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E6455" w14:textId="77777777" w:rsidR="00F61124" w:rsidRPr="00D25FBD" w:rsidRDefault="00F61124" w:rsidP="006277E2">
            <w:pPr>
              <w:rPr>
                <w:lang w:val="en-GB"/>
              </w:rPr>
            </w:pPr>
            <w:r w:rsidRPr="00D25FBD">
              <w:rPr>
                <w:lang w:val="en-GB"/>
              </w:rPr>
              <w:t>Tybalt</w:t>
            </w:r>
          </w:p>
        </w:tc>
        <w:tc>
          <w:tcPr>
            <w:tcW w:w="0" w:type="auto"/>
            <w:hideMark/>
          </w:tcPr>
          <w:p w14:paraId="204BDE95" w14:textId="77777777" w:rsidR="00F61124" w:rsidRPr="00D25FBD" w:rsidRDefault="00F61124" w:rsidP="006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The rival</w:t>
            </w:r>
          </w:p>
        </w:tc>
        <w:tc>
          <w:tcPr>
            <w:tcW w:w="0" w:type="auto"/>
            <w:hideMark/>
          </w:tcPr>
          <w:p w14:paraId="19A6BB78" w14:textId="77777777" w:rsidR="00F61124" w:rsidRPr="00D25FBD" w:rsidRDefault="00F61124" w:rsidP="006277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D25FBD">
              <w:rPr>
                <w:lang w:val="en-GB"/>
              </w:rPr>
              <w:t>Anger and family pride</w:t>
            </w:r>
          </w:p>
        </w:tc>
      </w:tr>
    </w:tbl>
    <w:p w14:paraId="4665D058" w14:textId="77777777" w:rsidR="00F61124" w:rsidRPr="00D25FBD" w:rsidRDefault="00F61124" w:rsidP="006277E2">
      <w:pPr>
        <w:rPr>
          <w:lang w:val="en-GB"/>
        </w:rPr>
      </w:pPr>
      <w:r w:rsidRPr="00D25FBD">
        <w:rPr>
          <w:rStyle w:val="Accentuation"/>
          <w:lang w:val="en-GB"/>
        </w:rPr>
        <w:t>Table 1: Main characters and their symbolic roles.</w:t>
      </w:r>
    </w:p>
    <w:p w14:paraId="745D0A81" w14:textId="44F77F8D" w:rsidR="00F61124" w:rsidRPr="00D25FBD" w:rsidRDefault="00F61124" w:rsidP="006277E2">
      <w:pPr>
        <w:pStyle w:val="Titre2"/>
        <w:rPr>
          <w:lang w:val="en-GB"/>
        </w:rPr>
      </w:pPr>
      <w:r w:rsidRPr="00D25FBD">
        <w:rPr>
          <w:rStyle w:val="lev"/>
          <w:rFonts w:ascii="Circular Std Medium" w:hAnsi="Circular Std Medium"/>
          <w:b w:val="0"/>
          <w:bCs w:val="0"/>
          <w:lang w:val="en-GB"/>
        </w:rPr>
        <w:t>Conclusion</w:t>
      </w:r>
    </w:p>
    <w:p w14:paraId="3068DB32" w14:textId="750E4EA3" w:rsidR="00F61124" w:rsidRPr="00D25FBD" w:rsidRDefault="00F61124" w:rsidP="006277E2">
      <w:pPr>
        <w:rPr>
          <w:lang w:val="en-GB"/>
        </w:rPr>
      </w:pPr>
      <w:r w:rsidRPr="00D25FBD">
        <w:rPr>
          <w:lang w:val="en-GB"/>
        </w:rPr>
        <w:t xml:space="preserve">In </w:t>
      </w:r>
      <w:r w:rsidRPr="00D25FBD">
        <w:rPr>
          <w:rStyle w:val="Accentuation"/>
          <w:lang w:val="en-GB"/>
        </w:rPr>
        <w:t>Romeo and Juliet</w:t>
      </w:r>
      <w:r w:rsidRPr="00D25FBD">
        <w:rPr>
          <w:lang w:val="en-GB"/>
        </w:rPr>
        <w:t>, Shakespeare weaves a complex narrative of love, fate, and conflict that continues to resonate today.</w:t>
      </w:r>
      <w:r w:rsidR="009A6B5B" w:rsidRPr="00D25FBD">
        <w:rPr>
          <w:lang w:val="en-GB"/>
        </w:rPr>
        <w:t xml:space="preserve"> </w:t>
      </w:r>
      <w:r w:rsidRPr="00D25FBD">
        <w:rPr>
          <w:lang w:val="en-GB"/>
        </w:rPr>
        <w:t>The story’s timeless appeal lies in its emotional intensity and its exploration of how human passion can both elevate and destroy.</w:t>
      </w:r>
      <w:r w:rsidR="009A6B5B" w:rsidRPr="00D25FBD">
        <w:rPr>
          <w:lang w:val="en-GB"/>
        </w:rPr>
        <w:t xml:space="preserve"> </w:t>
      </w:r>
      <w:r w:rsidRPr="00D25FBD">
        <w:rPr>
          <w:lang w:val="en-GB"/>
        </w:rPr>
        <w:t>By merging poetic language with profound insight into human nature, Shakespeare crafted a work that transcends time and culture.</w:t>
      </w:r>
    </w:p>
    <w:p w14:paraId="037C386A" w14:textId="57EBE5C4" w:rsidR="00B92D11" w:rsidRPr="00D25FBD" w:rsidRDefault="00B92D11" w:rsidP="00F61124">
      <w:pPr>
        <w:pStyle w:val="Citation"/>
        <w:jc w:val="left"/>
        <w:rPr>
          <w:i w:val="0"/>
          <w:iCs w:val="0"/>
          <w:lang w:val="en-GB"/>
        </w:rPr>
      </w:pPr>
    </w:p>
    <w:sectPr w:rsidR="00B92D11" w:rsidRPr="00D25FBD" w:rsidSect="009A6B5B"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55E56" w14:textId="77777777" w:rsidR="0044543B" w:rsidRDefault="0044543B" w:rsidP="00B92D11">
      <w:pPr>
        <w:spacing w:before="0" w:after="0" w:line="240" w:lineRule="auto"/>
      </w:pPr>
      <w:r>
        <w:separator/>
      </w:r>
    </w:p>
  </w:endnote>
  <w:endnote w:type="continuationSeparator" w:id="0">
    <w:p w14:paraId="12B3C22A" w14:textId="77777777" w:rsidR="0044543B" w:rsidRDefault="0044543B" w:rsidP="00B92D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ircular Std Book">
    <w:panose1 w:val="020B0604020101020102"/>
    <w:charset w:val="4D"/>
    <w:family w:val="swiss"/>
    <w:notTrueType/>
    <w:pitch w:val="variable"/>
    <w:sig w:usb0="8000002F" w:usb1="5000E47B" w:usb2="00000008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rcular Std Bold">
    <w:panose1 w:val="020B0804020101010102"/>
    <w:charset w:val="4D"/>
    <w:family w:val="swiss"/>
    <w:notTrueType/>
    <w:pitch w:val="variable"/>
    <w:sig w:usb0="8000002F" w:usb1="5000E47B" w:usb2="00000008" w:usb3="00000000" w:csb0="00000001" w:csb1="00000000"/>
  </w:font>
  <w:font w:name="Circular Std Medium">
    <w:panose1 w:val="020B0604020101010102"/>
    <w:charset w:val="4D"/>
    <w:family w:val="swiss"/>
    <w:notTrueType/>
    <w:pitch w:val="variable"/>
    <w:sig w:usb0="8000002F" w:usb1="5000E47B" w:usb2="00000008" w:usb3="00000000" w:csb0="00000001" w:csb1="00000000"/>
  </w:font>
  <w:font w:name="Circular Std Black">
    <w:panose1 w:val="020B0A04020101010102"/>
    <w:charset w:val="4D"/>
    <w:family w:val="swiss"/>
    <w:notTrueType/>
    <w:pitch w:val="variable"/>
    <w:sig w:usb0="8000002F" w:usb1="5000E47B" w:usb2="00000008" w:usb3="00000000" w:csb0="00000001" w:csb1="00000000"/>
  </w:font>
  <w:font w:name="Circular Std Light Italic">
    <w:panose1 w:val="020B0404020101020102"/>
    <w:charset w:val="00"/>
    <w:family w:val="swiss"/>
    <w:notTrueType/>
    <w:pitch w:val="variable"/>
    <w:sig w:usb0="000000BF" w:usb1="8001C87F" w:usb2="0000000A" w:usb3="00000000" w:csb0="00000093" w:csb1="00000000"/>
  </w:font>
  <w:font w:name="Circular Std Medium Italic">
    <w:panose1 w:val="020B0604020101010102"/>
    <w:charset w:val="4D"/>
    <w:family w:val="swiss"/>
    <w:notTrueType/>
    <w:pitch w:val="variable"/>
    <w:sig w:usb0="8000002F" w:usb1="5000E47B" w:usb2="00000008" w:usb3="00000000" w:csb0="00000001" w:csb1="00000000"/>
  </w:font>
  <w:font w:name="Circular Std Book Italic">
    <w:panose1 w:val="020B0604020101020102"/>
    <w:charset w:val="4D"/>
    <w:family w:val="swiss"/>
    <w:notTrueType/>
    <w:pitch w:val="variable"/>
    <w:sig w:usb0="8000002F" w:usb1="5000E47B" w:usb2="00000008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927602002"/>
      <w:docPartObj>
        <w:docPartGallery w:val="Page Numbers (Bottom of Page)"/>
        <w:docPartUnique/>
      </w:docPartObj>
    </w:sdtPr>
    <w:sdtContent>
      <w:p w14:paraId="1CB65147" w14:textId="7EE6EBCB" w:rsidR="005E4808" w:rsidRDefault="005E4808" w:rsidP="001D0E0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796B23CA" w14:textId="77777777" w:rsidR="00B92D11" w:rsidRDefault="00B92D11" w:rsidP="005E480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  <w:rFonts w:cs="Circular Std Book"/>
      </w:rPr>
      <w:id w:val="-611204127"/>
      <w:docPartObj>
        <w:docPartGallery w:val="Page Numbers (Bottom of Page)"/>
        <w:docPartUnique/>
      </w:docPartObj>
    </w:sdtPr>
    <w:sdtContent>
      <w:p w14:paraId="55769A59" w14:textId="017E76C9" w:rsidR="005E4808" w:rsidRPr="005E4808" w:rsidRDefault="005E4808" w:rsidP="005E4808">
        <w:pPr>
          <w:pStyle w:val="Pieddepage"/>
          <w:framePr w:w="160" w:wrap="none" w:vAnchor="text" w:hAnchor="page" w:x="10593" w:y="-396"/>
          <w:rPr>
            <w:rStyle w:val="Numrodepage"/>
            <w:rFonts w:cs="Circular Std Book"/>
          </w:rPr>
        </w:pPr>
        <w:r w:rsidRPr="005E4808">
          <w:rPr>
            <w:rStyle w:val="Numrodepage"/>
            <w:rFonts w:cs="Circular Std Book"/>
          </w:rPr>
          <w:fldChar w:fldCharType="begin"/>
        </w:r>
        <w:r w:rsidRPr="005E4808">
          <w:rPr>
            <w:rStyle w:val="Numrodepage"/>
            <w:rFonts w:cs="Circular Std Book"/>
          </w:rPr>
          <w:instrText xml:space="preserve"> PAGE </w:instrText>
        </w:r>
        <w:r w:rsidRPr="005E4808">
          <w:rPr>
            <w:rStyle w:val="Numrodepage"/>
            <w:rFonts w:cs="Circular Std Book"/>
          </w:rPr>
          <w:fldChar w:fldCharType="separate"/>
        </w:r>
        <w:r w:rsidRPr="005E4808">
          <w:rPr>
            <w:rStyle w:val="Numrodepage"/>
            <w:rFonts w:cs="Circular Std Book"/>
            <w:noProof/>
          </w:rPr>
          <w:t>1</w:t>
        </w:r>
        <w:r w:rsidRPr="005E4808">
          <w:rPr>
            <w:rStyle w:val="Numrodepage"/>
            <w:rFonts w:cs="Circular Std Book"/>
          </w:rPr>
          <w:fldChar w:fldCharType="end"/>
        </w:r>
      </w:p>
    </w:sdtContent>
  </w:sdt>
  <w:p w14:paraId="6E17FA61" w14:textId="598E2C11" w:rsidR="00B92D11" w:rsidRDefault="00B92D11" w:rsidP="005E4808">
    <w:pPr>
      <w:pStyle w:val="Pieddepage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C99C2B" wp14:editId="30D0AA8E">
              <wp:simplePos x="0" y="0"/>
              <wp:positionH relativeFrom="column">
                <wp:posOffset>36272</wp:posOffset>
              </wp:positionH>
              <wp:positionV relativeFrom="paragraph">
                <wp:posOffset>11074</wp:posOffset>
              </wp:positionV>
              <wp:extent cx="5615011" cy="0"/>
              <wp:effectExtent l="0" t="12700" r="24130" b="12700"/>
              <wp:wrapNone/>
              <wp:docPr id="65278381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5011" cy="0"/>
                      </a:xfrm>
                      <a:prstGeom prst="line">
                        <a:avLst/>
                      </a:prstGeom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D106CF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85pt,.85pt" to="445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" strokecolor="#1c023d [3215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22AF3" w14:textId="77777777" w:rsidR="0044543B" w:rsidRDefault="0044543B" w:rsidP="00B92D11">
      <w:pPr>
        <w:spacing w:before="0" w:after="0" w:line="240" w:lineRule="auto"/>
      </w:pPr>
      <w:r>
        <w:separator/>
      </w:r>
    </w:p>
  </w:footnote>
  <w:footnote w:type="continuationSeparator" w:id="0">
    <w:p w14:paraId="4D9DD928" w14:textId="77777777" w:rsidR="0044543B" w:rsidRDefault="0044543B" w:rsidP="00B92D11">
      <w:pPr>
        <w:spacing w:before="0" w:after="0" w:line="240" w:lineRule="auto"/>
      </w:pPr>
      <w:r>
        <w:continuationSeparator/>
      </w:r>
    </w:p>
  </w:footnote>
  <w:footnote w:id="1">
    <w:p w14:paraId="6F406241" w14:textId="21EA3AD4" w:rsidR="009A6B5B" w:rsidRDefault="009A6B5B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="008148C0">
        <w:t xml:space="preserve">This </w:t>
      </w:r>
      <w:proofErr w:type="spellStart"/>
      <w:r w:rsidR="008148C0">
        <w:t>play</w:t>
      </w:r>
      <w:proofErr w:type="spellEnd"/>
      <w:r w:rsidR="008148C0">
        <w:t xml:space="preserve"> </w:t>
      </w:r>
      <w:proofErr w:type="spellStart"/>
      <w:r w:rsidR="008148C0">
        <w:t>was</w:t>
      </w:r>
      <w:proofErr w:type="spellEnd"/>
      <w:r w:rsidR="008148C0">
        <w:t xml:space="preserve"> first </w:t>
      </w:r>
      <w:proofErr w:type="spellStart"/>
      <w:r w:rsidR="008148C0">
        <w:t>published</w:t>
      </w:r>
      <w:proofErr w:type="spellEnd"/>
      <w:r w:rsidR="008148C0">
        <w:t xml:space="preserve"> in the quarto </w:t>
      </w:r>
      <w:proofErr w:type="spellStart"/>
      <w:r w:rsidR="008148C0">
        <w:t>edition</w:t>
      </w:r>
      <w:proofErr w:type="spellEnd"/>
      <w:r w:rsidR="008148C0">
        <w:t xml:space="preserve"> of 1597, </w:t>
      </w:r>
      <w:proofErr w:type="spellStart"/>
      <w:r w:rsidR="008148C0">
        <w:t>though</w:t>
      </w:r>
      <w:proofErr w:type="spellEnd"/>
      <w:r w:rsidR="008148C0">
        <w:t xml:space="preserve"> </w:t>
      </w:r>
      <w:proofErr w:type="spellStart"/>
      <w:r w:rsidR="008148C0">
        <w:t>several</w:t>
      </w:r>
      <w:proofErr w:type="spellEnd"/>
      <w:r w:rsidR="008148C0">
        <w:t xml:space="preserve"> </w:t>
      </w:r>
      <w:proofErr w:type="spellStart"/>
      <w:r w:rsidR="008148C0">
        <w:t>later</w:t>
      </w:r>
      <w:proofErr w:type="spellEnd"/>
      <w:r w:rsidR="008148C0">
        <w:t xml:space="preserve"> versions </w:t>
      </w:r>
      <w:proofErr w:type="spellStart"/>
      <w:r w:rsidR="008148C0">
        <w:t>reveal</w:t>
      </w:r>
      <w:proofErr w:type="spellEnd"/>
      <w:r w:rsidR="008148C0">
        <w:t xml:space="preserve"> </w:t>
      </w:r>
      <w:proofErr w:type="spellStart"/>
      <w:r w:rsidR="008148C0">
        <w:t>Shakespeare’s</w:t>
      </w:r>
      <w:proofErr w:type="spellEnd"/>
      <w:r w:rsidR="008148C0">
        <w:t xml:space="preserve"> </w:t>
      </w:r>
      <w:proofErr w:type="spellStart"/>
      <w:r w:rsidR="008148C0">
        <w:t>revisions</w:t>
      </w:r>
      <w:proofErr w:type="spellEnd"/>
      <w:r w:rsidR="008148C0">
        <w:t xml:space="preserve"> and the </w:t>
      </w:r>
      <w:proofErr w:type="spellStart"/>
      <w:r w:rsidR="008148C0">
        <w:t>evolution</w:t>
      </w:r>
      <w:proofErr w:type="spellEnd"/>
      <w:r w:rsidR="008148C0">
        <w:t xml:space="preserve"> of </w:t>
      </w:r>
      <w:proofErr w:type="spellStart"/>
      <w:r w:rsidR="008148C0">
        <w:t>his</w:t>
      </w:r>
      <w:proofErr w:type="spellEnd"/>
      <w:r w:rsidR="008148C0">
        <w:t xml:space="preserve"> </w:t>
      </w:r>
      <w:proofErr w:type="spellStart"/>
      <w:r w:rsidR="008148C0">
        <w:t>dramatic</w:t>
      </w:r>
      <w:proofErr w:type="spellEnd"/>
      <w:r w:rsidR="008148C0">
        <w:t xml:space="preserve"> style.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21CA" w14:textId="2D771E84" w:rsidR="00B92D11" w:rsidRDefault="00B92D11">
    <w:pPr>
      <w:pStyle w:val="En-tt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DDA682C" wp14:editId="5CE29DE6">
          <wp:simplePos x="0" y="0"/>
          <wp:positionH relativeFrom="column">
            <wp:posOffset>-64135</wp:posOffset>
          </wp:positionH>
          <wp:positionV relativeFrom="paragraph">
            <wp:posOffset>132715</wp:posOffset>
          </wp:positionV>
          <wp:extent cx="2840355" cy="794385"/>
          <wp:effectExtent l="0" t="0" r="0" b="0"/>
          <wp:wrapTopAndBottom/>
          <wp:docPr id="338766689" name="Image 1" descr="Une image contenant texte, capture d’écran, Police, Graphiqu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766689" name="Image 1" descr="Une image contenant texte, capture d’écran, Police, Graphiqu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0355" cy="79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87" type="#_x0000_t75" style="width:335.4pt;height:650.65pt" o:bullet="t">
        <v:imagedata r:id="rId1" o:title="APTITUDES_jaune"/>
      </v:shape>
    </w:pict>
  </w:numPicBullet>
  <w:numPicBullet w:numPicBulletId="1">
    <w:pict>
      <v:shape id="_x0000_i1988" type="#_x0000_t75" style="width:335.4pt;height:650.65pt" o:bullet="t">
        <v:imagedata r:id="rId2" o:title="APTITUDES_prune"/>
      </v:shape>
    </w:pict>
  </w:numPicBullet>
  <w:numPicBullet w:numPicBulletId="2">
    <w:pict>
      <v:shape id="_x0000_i1989" type="#_x0000_t75" style="width:335.4pt;height:650.65pt" o:bullet="t">
        <v:imagedata r:id="rId3" o:title="APTITUDES_saumon"/>
      </v:shape>
    </w:pict>
  </w:numPicBullet>
  <w:abstractNum w:abstractNumId="0" w15:restartNumberingAfterBreak="0">
    <w:nsid w:val="02E82C8F"/>
    <w:multiLevelType w:val="hybridMultilevel"/>
    <w:tmpl w:val="9FBEDB98"/>
    <w:lvl w:ilvl="0" w:tplc="EEA6F320">
      <w:start w:val="1"/>
      <w:numFmt w:val="bullet"/>
      <w:pStyle w:val="Liste3"/>
      <w:lvlText w:val=""/>
      <w:lvlPicBulletId w:val="0"/>
      <w:lvlJc w:val="left"/>
      <w:pPr>
        <w:ind w:left="138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12502"/>
    <w:multiLevelType w:val="hybridMultilevel"/>
    <w:tmpl w:val="A7807038"/>
    <w:lvl w:ilvl="0" w:tplc="E86888D6">
      <w:start w:val="1"/>
      <w:numFmt w:val="bullet"/>
      <w:lvlText w:val=""/>
      <w:lvlPicBulletId w:val="0"/>
      <w:lvlJc w:val="left"/>
      <w:pPr>
        <w:ind w:left="138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30B8A"/>
    <w:multiLevelType w:val="hybridMultilevel"/>
    <w:tmpl w:val="5DF03470"/>
    <w:lvl w:ilvl="0" w:tplc="93BC0FF8">
      <w:start w:val="1"/>
      <w:numFmt w:val="bullet"/>
      <w:lvlText w:val=""/>
      <w:lvlPicBulletId w:val="0"/>
      <w:lvlJc w:val="left"/>
      <w:pPr>
        <w:ind w:left="1474" w:hanging="45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E4BEA"/>
    <w:multiLevelType w:val="hybridMultilevel"/>
    <w:tmpl w:val="3BFC8CBE"/>
    <w:lvl w:ilvl="0" w:tplc="E86888D6">
      <w:start w:val="1"/>
      <w:numFmt w:val="bullet"/>
      <w:lvlText w:val=""/>
      <w:lvlPicBulletId w:val="0"/>
      <w:lvlJc w:val="left"/>
      <w:pPr>
        <w:ind w:left="1474" w:hanging="567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A639E"/>
    <w:multiLevelType w:val="hybridMultilevel"/>
    <w:tmpl w:val="F01270F2"/>
    <w:lvl w:ilvl="0" w:tplc="B33C725E">
      <w:start w:val="1"/>
      <w:numFmt w:val="bullet"/>
      <w:lvlText w:val=""/>
      <w:lvlPicBulletId w:val="2"/>
      <w:lvlJc w:val="left"/>
      <w:pPr>
        <w:ind w:left="1644" w:hanging="62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B5A7F"/>
    <w:multiLevelType w:val="multilevel"/>
    <w:tmpl w:val="ECC4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2674B"/>
    <w:multiLevelType w:val="hybridMultilevel"/>
    <w:tmpl w:val="26C82A70"/>
    <w:lvl w:ilvl="0" w:tplc="41305E2E">
      <w:start w:val="1"/>
      <w:numFmt w:val="bullet"/>
      <w:lvlText w:val=""/>
      <w:lvlPicBulletId w:val="2"/>
      <w:lvlJc w:val="left"/>
      <w:pPr>
        <w:ind w:left="1304" w:hanging="283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1A64C0"/>
    <w:multiLevelType w:val="multilevel"/>
    <w:tmpl w:val="1A0A6B54"/>
    <w:lvl w:ilvl="0">
      <w:start w:val="1"/>
      <w:numFmt w:val="bullet"/>
      <w:pStyle w:val="Liste"/>
      <w:lvlText w:val=""/>
      <w:lvlPicBulletId w:val="1"/>
      <w:lvlJc w:val="left"/>
      <w:pPr>
        <w:ind w:left="138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2"/>
      <w:lvlJc w:val="left"/>
      <w:pPr>
        <w:ind w:left="1418" w:firstLine="28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0"/>
      <w:lvlJc w:val="left"/>
      <w:pPr>
        <w:ind w:left="2160" w:firstLine="16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85D09"/>
    <w:multiLevelType w:val="hybridMultilevel"/>
    <w:tmpl w:val="DCC884A8"/>
    <w:lvl w:ilvl="0" w:tplc="9A122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02CD0"/>
    <w:multiLevelType w:val="hybridMultilevel"/>
    <w:tmpl w:val="51361B28"/>
    <w:lvl w:ilvl="0" w:tplc="B4ACA0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5E6F24"/>
    <w:multiLevelType w:val="hybridMultilevel"/>
    <w:tmpl w:val="DD38562C"/>
    <w:lvl w:ilvl="0" w:tplc="4A64541A">
      <w:start w:val="1"/>
      <w:numFmt w:val="bullet"/>
      <w:lvlText w:val=""/>
      <w:lvlPicBulletId w:val="0"/>
      <w:lvlJc w:val="left"/>
      <w:pPr>
        <w:ind w:left="138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3078A"/>
    <w:multiLevelType w:val="hybridMultilevel"/>
    <w:tmpl w:val="32E86FB2"/>
    <w:lvl w:ilvl="0" w:tplc="2CE21DA8">
      <w:numFmt w:val="bullet"/>
      <w:lvlText w:val="•"/>
      <w:lvlJc w:val="left"/>
      <w:pPr>
        <w:ind w:left="926" w:hanging="360"/>
      </w:pPr>
      <w:rPr>
        <w:rFonts w:ascii="Circular Std Book" w:eastAsiaTheme="minorHAnsi" w:hAnsi="Circular Std Book" w:cs="Circular Std Book" w:hint="default"/>
      </w:rPr>
    </w:lvl>
    <w:lvl w:ilvl="1" w:tplc="040C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2" w15:restartNumberingAfterBreak="0">
    <w:nsid w:val="4D0B587E"/>
    <w:multiLevelType w:val="multilevel"/>
    <w:tmpl w:val="45DC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4131DA"/>
    <w:multiLevelType w:val="hybridMultilevel"/>
    <w:tmpl w:val="02B65254"/>
    <w:lvl w:ilvl="0" w:tplc="7EFE54C6">
      <w:start w:val="1"/>
      <w:numFmt w:val="bullet"/>
      <w:lvlText w:val=""/>
      <w:lvlPicBulletId w:val="0"/>
      <w:lvlJc w:val="left"/>
      <w:pPr>
        <w:ind w:left="1381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009D8"/>
    <w:multiLevelType w:val="hybridMultilevel"/>
    <w:tmpl w:val="520018DC"/>
    <w:lvl w:ilvl="0" w:tplc="EED85FBE">
      <w:start w:val="1"/>
      <w:numFmt w:val="bullet"/>
      <w:pStyle w:val="Liste2"/>
      <w:lvlText w:val=""/>
      <w:lvlPicBulletId w:val="2"/>
      <w:lvlJc w:val="left"/>
      <w:pPr>
        <w:ind w:left="1383" w:hanging="362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228752">
    <w:abstractNumId w:val="8"/>
  </w:num>
  <w:num w:numId="2" w16cid:durableId="1206717827">
    <w:abstractNumId w:val="3"/>
  </w:num>
  <w:num w:numId="3" w16cid:durableId="2088114411">
    <w:abstractNumId w:val="11"/>
  </w:num>
  <w:num w:numId="4" w16cid:durableId="1836453489">
    <w:abstractNumId w:val="2"/>
  </w:num>
  <w:num w:numId="5" w16cid:durableId="1722437909">
    <w:abstractNumId w:val="1"/>
  </w:num>
  <w:num w:numId="6" w16cid:durableId="7293949">
    <w:abstractNumId w:val="10"/>
  </w:num>
  <w:num w:numId="7" w16cid:durableId="1680306656">
    <w:abstractNumId w:val="7"/>
  </w:num>
  <w:num w:numId="8" w16cid:durableId="865872270">
    <w:abstractNumId w:val="13"/>
  </w:num>
  <w:num w:numId="9" w16cid:durableId="1691908616">
    <w:abstractNumId w:val="4"/>
  </w:num>
  <w:num w:numId="10" w16cid:durableId="539705714">
    <w:abstractNumId w:val="0"/>
  </w:num>
  <w:num w:numId="11" w16cid:durableId="2113473615">
    <w:abstractNumId w:val="6"/>
  </w:num>
  <w:num w:numId="12" w16cid:durableId="1200512893">
    <w:abstractNumId w:val="14"/>
  </w:num>
  <w:num w:numId="13" w16cid:durableId="310139668">
    <w:abstractNumId w:val="9"/>
  </w:num>
  <w:num w:numId="14" w16cid:durableId="1095828832">
    <w:abstractNumId w:val="7"/>
  </w:num>
  <w:num w:numId="15" w16cid:durableId="47841857">
    <w:abstractNumId w:val="5"/>
  </w:num>
  <w:num w:numId="16" w16cid:durableId="12687374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11"/>
    <w:rsid w:val="00243CFA"/>
    <w:rsid w:val="0044543B"/>
    <w:rsid w:val="004731B8"/>
    <w:rsid w:val="00484F59"/>
    <w:rsid w:val="005E4808"/>
    <w:rsid w:val="006277E2"/>
    <w:rsid w:val="008148C0"/>
    <w:rsid w:val="008A69AD"/>
    <w:rsid w:val="008B4925"/>
    <w:rsid w:val="008C6711"/>
    <w:rsid w:val="00902C9F"/>
    <w:rsid w:val="00915DF7"/>
    <w:rsid w:val="009A6B5B"/>
    <w:rsid w:val="00B92D11"/>
    <w:rsid w:val="00D25FBD"/>
    <w:rsid w:val="00F61124"/>
    <w:rsid w:val="00F76C82"/>
    <w:rsid w:val="00F8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F101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B5B"/>
    <w:pPr>
      <w:spacing w:before="240" w:after="400"/>
    </w:pPr>
    <w:rPr>
      <w:rFonts w:ascii="Circular Std Book" w:hAnsi="Circular Std Book"/>
    </w:rPr>
  </w:style>
  <w:style w:type="paragraph" w:styleId="Titre1">
    <w:name w:val="heading 1"/>
    <w:basedOn w:val="Normal"/>
    <w:next w:val="Normal"/>
    <w:link w:val="Titre1Car"/>
    <w:uiPriority w:val="9"/>
    <w:qFormat/>
    <w:rsid w:val="00D25FBD"/>
    <w:pPr>
      <w:keepNext/>
      <w:keepLines/>
      <w:spacing w:before="360" w:after="80"/>
      <w:outlineLvl w:val="0"/>
    </w:pPr>
    <w:rPr>
      <w:rFonts w:ascii="Circular Std Bold" w:eastAsiaTheme="majorEastAsia" w:hAnsi="Circular Std Bold" w:cs="Circular Std Bold"/>
      <w:color w:val="1C023D" w:themeColor="text2"/>
      <w:sz w:val="40"/>
      <w:szCs w:val="40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F76C82"/>
    <w:pPr>
      <w:outlineLvl w:val="1"/>
    </w:pPr>
    <w:rPr>
      <w:rFonts w:ascii="Circular Std Medium" w:hAnsi="Circular Std Medium" w:cs="Circular Std Medium"/>
      <w:sz w:val="32"/>
      <w:szCs w:val="32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F76C82"/>
    <w:pPr>
      <w:outlineLvl w:val="2"/>
    </w:pPr>
    <w:rPr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4925"/>
    <w:pPr>
      <w:keepNext/>
      <w:keepLines/>
      <w:spacing w:before="80" w:after="40"/>
      <w:outlineLvl w:val="3"/>
    </w:pPr>
    <w:rPr>
      <w:rFonts w:eastAsiaTheme="majorEastAsia" w:cstheme="majorBidi"/>
      <w:iCs/>
      <w:color w:val="14012C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2D11"/>
    <w:pPr>
      <w:keepNext/>
      <w:keepLines/>
      <w:spacing w:before="80" w:after="40"/>
      <w:outlineLvl w:val="4"/>
    </w:pPr>
    <w:rPr>
      <w:rFonts w:eastAsiaTheme="majorEastAsia" w:cstheme="majorBidi"/>
      <w:color w:val="14012C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2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2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2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2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5FBD"/>
    <w:rPr>
      <w:rFonts w:ascii="Circular Std Bold" w:eastAsiaTheme="majorEastAsia" w:hAnsi="Circular Std Bold" w:cs="Circular Std Bold"/>
      <w:color w:val="1C023D" w:themeColor="text2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76C82"/>
    <w:rPr>
      <w:rFonts w:ascii="Circular Std Medium" w:eastAsiaTheme="majorEastAsia" w:hAnsi="Circular Std Medium" w:cs="Circular Std Medium"/>
      <w:color w:val="1C023D" w:themeColor="text2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76C82"/>
    <w:rPr>
      <w:rFonts w:ascii="Circular Std Medium" w:eastAsiaTheme="majorEastAsia" w:hAnsi="Circular Std Medium" w:cs="Circular Std Medium"/>
      <w:color w:val="1C023D" w:themeColor="text2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4925"/>
    <w:rPr>
      <w:rFonts w:ascii="Circular Std Book" w:eastAsiaTheme="majorEastAsia" w:hAnsi="Circular Std Book" w:cstheme="majorBidi"/>
      <w:iCs/>
      <w:color w:val="14012C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2D11"/>
    <w:rPr>
      <w:rFonts w:eastAsiaTheme="majorEastAsia" w:cstheme="majorBidi"/>
      <w:color w:val="14012C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2D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2D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2D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2D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77E2"/>
    <w:pPr>
      <w:spacing w:after="80" w:line="240" w:lineRule="auto"/>
      <w:contextualSpacing/>
    </w:pPr>
    <w:rPr>
      <w:rFonts w:ascii="Circular Std Black" w:eastAsiaTheme="majorEastAsia" w:hAnsi="Circular Std Black" w:cstheme="majorBidi"/>
      <w:b/>
      <w:color w:val="1C023D" w:themeColor="text2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77E2"/>
    <w:rPr>
      <w:rFonts w:ascii="Circular Std Black" w:eastAsiaTheme="majorEastAsia" w:hAnsi="Circular Std Black" w:cstheme="majorBidi"/>
      <w:b/>
      <w:color w:val="1C023D" w:themeColor="text2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4925"/>
    <w:rPr>
      <w:rFonts w:ascii="Circular Std Book" w:eastAsiaTheme="majorEastAsia" w:hAnsi="Circular Std Book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4925"/>
    <w:pPr>
      <w:spacing w:before="160"/>
      <w:jc w:val="center"/>
    </w:pPr>
    <w:rPr>
      <w:rFonts w:ascii="Circular Std Light Italic" w:hAnsi="Circular Std Light Italic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4925"/>
    <w:rPr>
      <w:rFonts w:ascii="Circular Std Light Italic" w:hAnsi="Circular Std Light Italic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2D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4925"/>
    <w:rPr>
      <w:rFonts w:ascii="Circular Std Medium Italic" w:hAnsi="Circular Std Medium Italic"/>
      <w:b w:val="0"/>
      <w:i w:val="0"/>
      <w:iCs/>
      <w:color w:val="14012C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4925"/>
    <w:pPr>
      <w:pBdr>
        <w:top w:val="single" w:sz="4" w:space="10" w:color="14012C" w:themeColor="accent1" w:themeShade="BF"/>
        <w:bottom w:val="single" w:sz="4" w:space="10" w:color="14012C" w:themeColor="accent1" w:themeShade="BF"/>
      </w:pBdr>
      <w:spacing w:before="360" w:after="360"/>
      <w:ind w:left="864" w:right="864"/>
      <w:jc w:val="center"/>
    </w:pPr>
    <w:rPr>
      <w:rFonts w:ascii="Circular Std Book Italic" w:hAnsi="Circular Std Book Italic"/>
      <w:iCs/>
      <w:color w:val="14012C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4925"/>
    <w:rPr>
      <w:rFonts w:ascii="Circular Std Book Italic" w:hAnsi="Circular Std Book Italic"/>
      <w:iCs/>
      <w:color w:val="14012C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4925"/>
    <w:rPr>
      <w:rFonts w:ascii="Circular Std Book" w:hAnsi="Circular Std Book"/>
      <w:b/>
      <w:bCs/>
      <w:smallCaps/>
      <w:color w:val="14012C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92D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2D11"/>
  </w:style>
  <w:style w:type="paragraph" w:styleId="Pieddepage">
    <w:name w:val="footer"/>
    <w:basedOn w:val="Normal"/>
    <w:link w:val="PieddepageCar"/>
    <w:uiPriority w:val="99"/>
    <w:unhideWhenUsed/>
    <w:rsid w:val="00D25FBD"/>
    <w:pPr>
      <w:tabs>
        <w:tab w:val="center" w:pos="4536"/>
        <w:tab w:val="right" w:pos="9072"/>
      </w:tabs>
      <w:spacing w:after="0" w:line="240" w:lineRule="auto"/>
    </w:pPr>
    <w:rPr>
      <w:color w:val="1C023D" w:themeColor="text2"/>
    </w:rPr>
  </w:style>
  <w:style w:type="character" w:customStyle="1" w:styleId="PieddepageCar">
    <w:name w:val="Pied de page Car"/>
    <w:basedOn w:val="Policepardfaut"/>
    <w:link w:val="Pieddepage"/>
    <w:uiPriority w:val="99"/>
    <w:rsid w:val="00D25FBD"/>
    <w:rPr>
      <w:rFonts w:ascii="Circular Std Book" w:hAnsi="Circular Std Book"/>
      <w:color w:val="1C023D" w:themeColor="text2"/>
    </w:rPr>
  </w:style>
  <w:style w:type="character" w:styleId="Numrodepage">
    <w:name w:val="page number"/>
    <w:basedOn w:val="Policepardfaut"/>
    <w:uiPriority w:val="99"/>
    <w:semiHidden/>
    <w:unhideWhenUsed/>
    <w:rsid w:val="005E4808"/>
  </w:style>
  <w:style w:type="paragraph" w:styleId="Sansinterligne">
    <w:name w:val="No Spacing"/>
    <w:uiPriority w:val="1"/>
    <w:qFormat/>
    <w:rsid w:val="008B4925"/>
    <w:pPr>
      <w:spacing w:after="0" w:line="240" w:lineRule="auto"/>
    </w:pPr>
    <w:rPr>
      <w:rFonts w:ascii="Circular Std Book" w:hAnsi="Circular Std Book"/>
    </w:rPr>
  </w:style>
  <w:style w:type="character" w:styleId="Accentuationlgre">
    <w:name w:val="Subtle Emphasis"/>
    <w:basedOn w:val="Policepardfaut"/>
    <w:uiPriority w:val="19"/>
    <w:qFormat/>
    <w:rsid w:val="008B4925"/>
    <w:rPr>
      <w:rFonts w:ascii="Circular Std Light Italic" w:hAnsi="Circular Std Light Italic"/>
      <w:b w:val="0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sid w:val="008B4925"/>
    <w:rPr>
      <w:rFonts w:ascii="Circular Std Book Italic" w:hAnsi="Circular Std Book Italic"/>
      <w:b w:val="0"/>
      <w:i w:val="0"/>
      <w:iCs/>
    </w:rPr>
  </w:style>
  <w:style w:type="character" w:styleId="lev">
    <w:name w:val="Strong"/>
    <w:basedOn w:val="Policepardfaut"/>
    <w:uiPriority w:val="22"/>
    <w:qFormat/>
    <w:rsid w:val="008B4925"/>
    <w:rPr>
      <w:rFonts w:ascii="Circular Std Book" w:hAnsi="Circular Std Book"/>
      <w:b/>
      <w:bCs/>
    </w:rPr>
  </w:style>
  <w:style w:type="character" w:styleId="Rfrencelgre">
    <w:name w:val="Subtle Reference"/>
    <w:basedOn w:val="Policepardfaut"/>
    <w:uiPriority w:val="31"/>
    <w:qFormat/>
    <w:rsid w:val="008B4925"/>
    <w:rPr>
      <w:rFonts w:ascii="Circular Std Book" w:hAnsi="Circular Std Book"/>
      <w:smallCaps/>
      <w:color w:val="5A5A5A" w:themeColor="text1" w:themeTint="A5"/>
    </w:rPr>
  </w:style>
  <w:style w:type="paragraph" w:styleId="Liste">
    <w:name w:val="List"/>
    <w:basedOn w:val="Liste3"/>
    <w:uiPriority w:val="99"/>
    <w:unhideWhenUsed/>
    <w:rsid w:val="00915DF7"/>
    <w:pPr>
      <w:numPr>
        <w:numId w:val="7"/>
      </w:numPr>
    </w:pPr>
  </w:style>
  <w:style w:type="paragraph" w:styleId="Liste2">
    <w:name w:val="List 2"/>
    <w:basedOn w:val="Liste"/>
    <w:uiPriority w:val="99"/>
    <w:unhideWhenUsed/>
    <w:rsid w:val="00915DF7"/>
    <w:pPr>
      <w:numPr>
        <w:numId w:val="12"/>
      </w:numPr>
    </w:pPr>
  </w:style>
  <w:style w:type="paragraph" w:styleId="Liste3">
    <w:name w:val="List 3"/>
    <w:basedOn w:val="Normal"/>
    <w:uiPriority w:val="99"/>
    <w:unhideWhenUsed/>
    <w:rsid w:val="00915DF7"/>
    <w:pPr>
      <w:numPr>
        <w:numId w:val="10"/>
      </w:numPr>
      <w:ind w:left="1776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85D94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85D94"/>
    <w:rPr>
      <w:rFonts w:ascii="Circular Std Book" w:hAnsi="Circular Std Book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F85D9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61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TableauGrille4-Accentuation1">
    <w:name w:val="Grid Table 4 Accent 1"/>
    <w:basedOn w:val="TableauNormal"/>
    <w:uiPriority w:val="49"/>
    <w:rsid w:val="006277E2"/>
    <w:pPr>
      <w:spacing w:after="0" w:line="240" w:lineRule="auto"/>
    </w:pPr>
    <w:tblPr>
      <w:tblStyleRowBandSize w:val="1"/>
      <w:tblStyleColBandSize w:val="1"/>
      <w:tblBorders>
        <w:top w:val="single" w:sz="4" w:space="0" w:color="6C07E9" w:themeColor="accent1" w:themeTint="99"/>
        <w:left w:val="single" w:sz="4" w:space="0" w:color="6C07E9" w:themeColor="accent1" w:themeTint="99"/>
        <w:bottom w:val="single" w:sz="4" w:space="0" w:color="6C07E9" w:themeColor="accent1" w:themeTint="99"/>
        <w:right w:val="single" w:sz="4" w:space="0" w:color="6C07E9" w:themeColor="accent1" w:themeTint="99"/>
        <w:insideH w:val="single" w:sz="4" w:space="0" w:color="6C07E9" w:themeColor="accent1" w:themeTint="99"/>
        <w:insideV w:val="single" w:sz="4" w:space="0" w:color="6C07E9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023C" w:themeColor="accent1"/>
          <w:left w:val="single" w:sz="4" w:space="0" w:color="1C023C" w:themeColor="accent1"/>
          <w:bottom w:val="single" w:sz="4" w:space="0" w:color="1C023C" w:themeColor="accent1"/>
          <w:right w:val="single" w:sz="4" w:space="0" w:color="1C023C" w:themeColor="accent1"/>
          <w:insideH w:val="nil"/>
          <w:insideV w:val="nil"/>
        </w:tcBorders>
        <w:shd w:val="clear" w:color="auto" w:fill="1C023C" w:themeFill="accent1"/>
      </w:tcPr>
    </w:tblStylePr>
    <w:tblStylePr w:type="lastRow">
      <w:rPr>
        <w:b/>
        <w:bCs/>
      </w:rPr>
      <w:tblPr/>
      <w:tcPr>
        <w:tcBorders>
          <w:top w:val="double" w:sz="4" w:space="0" w:color="1C023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A8FC" w:themeFill="accent1" w:themeFillTint="33"/>
      </w:tcPr>
    </w:tblStylePr>
    <w:tblStylePr w:type="band1Horz">
      <w:tblPr/>
      <w:tcPr>
        <w:shd w:val="clear" w:color="auto" w:fill="CDA8FC" w:themeFill="accent1" w:themeFillTint="33"/>
      </w:tcPr>
    </w:tblStylePr>
  </w:style>
  <w:style w:type="table" w:styleId="Grilledutableau">
    <w:name w:val="Table Grid"/>
    <w:basedOn w:val="TableauNormal"/>
    <w:uiPriority w:val="39"/>
    <w:rsid w:val="00627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6277E2"/>
    <w:pPr>
      <w:spacing w:after="0" w:line="240" w:lineRule="auto"/>
    </w:pPr>
    <w:rPr>
      <w:rFonts w:ascii="Circular Std Book" w:hAnsi="Circular Std Book"/>
    </w:r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</w:rPr>
      <w:tblPr/>
      <w:tcPr>
        <w:shd w:val="clear" w:color="auto" w:fill="1C023D" w:themeFill="text2"/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Aptitude 1">
      <a:dk1>
        <a:srgbClr val="000000"/>
      </a:dk1>
      <a:lt1>
        <a:srgbClr val="FFFFFF"/>
      </a:lt1>
      <a:dk2>
        <a:srgbClr val="1C023D"/>
      </a:dk2>
      <a:lt2>
        <a:srgbClr val="D4D1FF"/>
      </a:lt2>
      <a:accent1>
        <a:srgbClr val="1C023C"/>
      </a:accent1>
      <a:accent2>
        <a:srgbClr val="FFEE00"/>
      </a:accent2>
      <a:accent3>
        <a:srgbClr val="124391"/>
      </a:accent3>
      <a:accent4>
        <a:srgbClr val="FF6F61"/>
      </a:accent4>
      <a:accent5>
        <a:srgbClr val="4905AA"/>
      </a:accent5>
      <a:accent6>
        <a:srgbClr val="B5ACFF"/>
      </a:accent6>
      <a:hlink>
        <a:srgbClr val="000000"/>
      </a:hlink>
      <a:folHlink>
        <a:srgbClr val="00000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C36F05-18AD-CB4F-823C-B8BC243AB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template_Aptitude.dotx</Template>
  <TotalTime>0</TotalTime>
  <Pages>3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Brisoux</dc:creator>
  <cp:keywords/>
  <dc:description/>
  <cp:lastModifiedBy>Claire Brisoux</cp:lastModifiedBy>
  <cp:revision>2</cp:revision>
  <dcterms:created xsi:type="dcterms:W3CDTF">2025-10-09T14:06:00Z</dcterms:created>
  <dcterms:modified xsi:type="dcterms:W3CDTF">2025-10-09T14:06:00Z</dcterms:modified>
</cp:coreProperties>
</file>