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0"/>
        <w:jc w:val="left"/>
      </w:pPr>
      <w:r>
        <w:rPr>
          <w:rFonts w:ascii="Arial" w:cs="Arial" w:eastAsia="Arial" w:hAnsi="Arial"/>
          <w:b/>
          <w:bCs/>
          <w:color w:val="0B2545"/>
          <w:spacing w:val="200"/>
          <w:sz w:val="56"/>
          <w:szCs w:val="56"/>
        </w:rPr>
        <w:t xml:space="preserve">PELAGIC INTELX</w:t>
      </w:r>
    </w:p>
    <w:p>
      <w:pPr>
        <w:spacing w:before="0" w:after="60"/>
        <w:jc w:val="left"/>
      </w:pPr>
      <w:r>
        <w:rPr>
          <w:rFonts w:ascii="Arial" w:cs="Arial" w:eastAsia="Arial" w:hAnsi="Arial"/>
          <w:b w:val="false"/>
          <w:bCs w:val="false"/>
          <w:color w:val="007EA7"/>
          <w:sz w:val="32"/>
          <w:szCs w:val="32"/>
        </w:rPr>
        <w:t xml:space="preserve">Product Requirements Document Suite</w:t>
      </w:r>
    </w:p>
    <w:p>
      <w:pPr>
        <w:pBdr>
          <w:bottom w:val="single" w:color="007EA7" w:sz="6" w:space="1"/>
        </w:pBdr>
        <w:spacing w:before="200" w:after="200"/>
      </w:pPr>
    </w:p>
    <w:p>
      <w:pPr>
        <w:spacing w:before="200" w:after="0"/>
      </w:pPr>
    </w:p>
    <w:p>
      <w:pPr>
        <w:spacing w:before="0" w:after="100"/>
      </w:pPr>
      <w:r>
        <w:rPr>
          <w:rFonts w:ascii="Arial" w:cs="Arial" w:eastAsia="Arial" w:hAnsi="Arial"/>
          <w:b/>
          <w:bCs/>
          <w:color w:val="0B2545"/>
          <w:sz w:val="24"/>
          <w:szCs w:val="24"/>
        </w:rPr>
        <w:t xml:space="preserve">Communications Portfolio Microsite</w:t>
      </w:r>
    </w:p>
    <w:p>
      <w:pPr>
        <w:spacing w:before="80" w:after="120"/>
      </w:pPr>
      <w:r>
        <w:rPr>
          <w:rFonts w:ascii="Arial" w:cs="Arial" w:eastAsia="Arial" w:hAnsi="Arial"/>
          <w:i w:val="false"/>
          <w:iCs w:val="false"/>
          <w:color w:val="0B2545"/>
          <w:sz w:val="20"/>
          <w:szCs w:val="20"/>
        </w:rPr>
        <w:t xml:space="preserve">Senior Communications Specialist Application — Allen Institute for AI (Ai2)</w:t>
      </w:r>
    </w:p>
    <w:p>
      <w:pPr>
        <w:spacing w:before="80" w:after="120"/>
      </w:pPr>
      <w:r>
        <w:rPr>
          <w:rFonts w:ascii="Arial" w:cs="Arial" w:eastAsia="Arial" w:hAnsi="Arial"/>
          <w:i/>
          <w:iCs/>
          <w:color w:val="4A5568"/>
          <w:sz w:val="20"/>
          <w:szCs w:val="20"/>
        </w:rPr>
        <w:t xml:space="preserve">Version 1.0  ·  March 2026  ·  Confidential Portfolio Document</w:t>
      </w:r>
    </w:p>
    <w:p>
      <w:pPr>
        <w:spacing w:before="600" w:after="0"/>
      </w:pPr>
    </w:p>
    <w:p>
      <w:pPr>
        <w:spacing w:before="0" w:after="80"/>
      </w:pPr>
      <w:r>
        <w:rPr>
          <w:rFonts w:ascii="Arial" w:cs="Arial" w:eastAsia="Arial" w:hAnsi="Arial"/>
          <w:b/>
          <w:bCs/>
          <w:color w:val="007EA7"/>
          <w:spacing w:val="120"/>
          <w:sz w:val="18"/>
          <w:szCs w:val="18"/>
        </w:rPr>
        <w:t xml:space="preserve">DOCUMENT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780"/>
        <w:gridCol w:w="1780"/>
      </w:tblGrid>
      <w:tr>
        <w:trPr>
          <w:tblHeader/>
        </w:trPr>
        <w:tc>
          <w:tcPr>
            <w:tcW w:type="dxa" w:w="6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52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Document</w:t>
            </w:r>
          </w:p>
        </w:tc>
        <w:tc>
          <w:tcPr>
            <w:tcW w:type="dxa" w:w="178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Scope</w:t>
            </w:r>
          </w:p>
        </w:tc>
        <w:tc>
          <w:tcPr>
            <w:tcW w:type="dxa" w:w="178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1</w:t>
            </w:r>
          </w:p>
        </w:tc>
        <w:tc>
          <w:tcPr>
            <w:tcW w:type="dxa" w:w="5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Microsite PRD — Scrollytelling Platform</w:t>
            </w:r>
          </w:p>
        </w:tc>
        <w:tc>
          <w:tcPr>
            <w:tcW w:type="dxa" w:w="17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Engineering</w:t>
            </w:r>
          </w:p>
        </w:tc>
        <w:tc>
          <w:tcPr>
            <w:tcW w:type="dxa" w:w="17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Nathan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2</w:t>
            </w:r>
          </w:p>
        </w:tc>
        <w:tc>
          <w:tcPr>
            <w:tcW w:type="dxa" w:w="5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Campaign PRD — Mapping the Invisible (Ch. 3)</w:t>
            </w:r>
          </w:p>
        </w:tc>
        <w:tc>
          <w:tcPr>
            <w:tcW w:type="dxa" w:w="17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Communications</w:t>
            </w:r>
          </w:p>
        </w:tc>
        <w:tc>
          <w:tcPr>
            <w:tcW w:type="dxa" w:w="17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Nathan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3</w:t>
            </w:r>
          </w:p>
        </w:tc>
        <w:tc>
          <w:tcPr>
            <w:tcW w:type="dxa" w:w="5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Campaign PRD — Plastic Doesn't Disappear (Ch. 4)</w:t>
            </w:r>
          </w:p>
        </w:tc>
        <w:tc>
          <w:tcPr>
            <w:tcW w:type="dxa" w:w="17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Communications</w:t>
            </w:r>
          </w:p>
        </w:tc>
        <w:tc>
          <w:tcPr>
            <w:tcW w:type="dxa" w:w="17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Nathan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4</w:t>
            </w:r>
          </w:p>
        </w:tc>
        <w:tc>
          <w:tcPr>
            <w:tcW w:type="dxa" w:w="5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Data Pipeline PRD — Intelligence Layer</w:t>
            </w:r>
          </w:p>
        </w:tc>
        <w:tc>
          <w:tcPr>
            <w:tcW w:type="dxa" w:w="17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Data / Engineering</w:t>
            </w:r>
          </w:p>
        </w:tc>
        <w:tc>
          <w:tcPr>
            <w:tcW w:type="dxa" w:w="17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Nathan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5</w:t>
            </w:r>
          </w:p>
        </w:tc>
        <w:tc>
          <w:tcPr>
            <w:tcW w:type="dxa" w:w="5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Collateral PRD — Downloadable Assets</w:t>
            </w:r>
          </w:p>
        </w:tc>
        <w:tc>
          <w:tcPr>
            <w:tcW w:type="dxa" w:w="17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Content / Design</w:t>
            </w:r>
          </w:p>
        </w:tc>
        <w:tc>
          <w:tcPr>
            <w:tcW w:type="dxa" w:w="17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Nathan</w:t>
            </w:r>
          </w:p>
        </w:tc>
      </w:tr>
    </w:tbl>
    <w:p>
      <w:pPr>
        <w:spacing w:before="600" w:after="0"/>
      </w:pPr>
    </w:p>
    <w:p>
      <w:pPr>
        <w:spacing w:before="80" w:after="120"/>
      </w:pPr>
      <w:r>
        <w:rPr>
          <w:rFonts w:ascii="Arial" w:cs="Arial" w:eastAsia="Arial" w:hAnsi="Arial"/>
          <w:i/>
          <w:iCs/>
          <w:color w:val="4A5568"/>
          <w:sz w:val="20"/>
          <w:szCs w:val="20"/>
        </w:rPr>
        <w:t xml:space="preserve">Pelagic IntelX is a fictional company created for portfolio purposes. All communications strategy, campaign concepts, and collateral within are original work demonstrating senior-level communications competency for the Ai2 application.</w:t>
      </w:r>
    </w:p>
    <w:p>
      <w:r>
        <w:br w:type="page"/>
      </w:r>
    </w:p>
    <w:p>
      <w:pPr>
        <w:spacing w:before="0" w:after="60"/>
      </w:pPr>
      <w:r>
        <w:rPr>
          <w:rFonts w:ascii="Arial" w:cs="Arial" w:eastAsia="Arial" w:hAnsi="Arial"/>
          <w:b/>
          <w:bCs/>
          <w:color w:val="007EA7"/>
          <w:sz w:val="36"/>
          <w:szCs w:val="36"/>
        </w:rPr>
        <w:t xml:space="preserve">PRD 1 — </w:t>
      </w:r>
      <w:r>
        <w:rPr>
          <w:rFonts w:ascii="Arial" w:cs="Arial" w:eastAsia="Arial" w:hAnsi="Arial"/>
          <w:b/>
          <w:bCs/>
          <w:color w:val="0B2545"/>
          <w:sz w:val="36"/>
          <w:szCs w:val="36"/>
        </w:rPr>
        <w:t xml:space="preserve">Scrollytelling Microsite Platform</w:t>
      </w:r>
    </w:p>
    <w:p>
      <w:pPr>
        <w:spacing w:before="80" w:after="120"/>
      </w:pPr>
      <w:r>
        <w:rPr>
          <w:rFonts w:ascii="Arial" w:cs="Arial" w:eastAsia="Arial" w:hAnsi="Arial"/>
          <w:i w:val="false"/>
          <w:iCs w:val="false"/>
          <w:color w:val="0B2545"/>
          <w:sz w:val="20"/>
          <w:szCs w:val="20"/>
        </w:rPr>
        <w:t xml:space="preserve">This document defines requirements for the production-grade scrollytelling microsite that serves as the container for all Pelagic IntelX communications strategy, campaign concepts, and collateral.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Status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Ready for Development</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Owner</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Nathan (Communications Lead)</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Version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1.0</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Target Deploy</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Vercel — public URL</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Repo</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GitHub — public, documented README</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Stack</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React + Vite · Scrollama.js · Framer Motion · Mapbox GL JS · Tailwind CSS</w:t>
            </w:r>
          </w:p>
        </w:tc>
      </w:tr>
    </w:tbl>
    <w:p>
      <w:pPr>
        <w:spacing w:before="200" w:after="0"/>
      </w:pPr>
    </w:p>
    <w:p>
      <w:pPr>
        <w:spacing w:before="280" w:after="60"/>
      </w:pPr>
      <w:r>
        <w:rPr>
          <w:rFonts w:ascii="Arial" w:cs="Arial" w:eastAsia="Arial" w:hAnsi="Arial"/>
          <w:b/>
          <w:bCs/>
          <w:color w:val="007EA7"/>
          <w:spacing w:val="120"/>
          <w:sz w:val="16"/>
          <w:szCs w:val="16"/>
        </w:rPr>
        <w:t xml:space="preserve">PROBLEM STATEMENT</w:t>
      </w:r>
    </w:p>
    <w:p>
      <w:pPr>
        <w:spacing w:before="80" w:after="120"/>
      </w:pPr>
      <w:r>
        <w:rPr>
          <w:rFonts w:ascii="Arial" w:cs="Arial" w:eastAsia="Arial" w:hAnsi="Arial"/>
          <w:i w:val="false"/>
          <w:iCs w:val="false"/>
          <w:color w:val="0B2545"/>
          <w:sz w:val="20"/>
          <w:szCs w:val="20"/>
        </w:rPr>
        <w:t xml:space="preserve">A static portfolio deck cannot demonstrate the depth of communications strategy work this application requires. The hiring committee at Ai2 needs to experience the strategic thinking — audience intelligence, campaign architecture, message hierarchy — not just read about it. The microsite IS the artifact.</w:t>
      </w:r>
    </w:p>
    <w:p>
      <w:pPr>
        <w:spacing w:before="280" w:after="60"/>
      </w:pPr>
      <w:r>
        <w:rPr>
          <w:rFonts w:ascii="Arial" w:cs="Arial" w:eastAsia="Arial" w:hAnsi="Arial"/>
          <w:b/>
          <w:bCs/>
          <w:color w:val="007EA7"/>
          <w:spacing w:val="120"/>
          <w:sz w:val="16"/>
          <w:szCs w:val="16"/>
        </w:rPr>
        <w:t xml:space="preserve">GOALS</w:t>
      </w:r>
    </w:p>
    <w:p>
      <w:pPr>
        <w:pStyle w:val="ListParagraph"/>
        <w:numPr>
          <w:ilvl w:val="0"/>
          <w:numId w:val="2"/>
        </w:numPr>
        <w:spacing w:before="60" w:after="60"/>
      </w:pPr>
      <w:r>
        <w:rPr>
          <w:rFonts w:ascii="Arial" w:cs="Arial" w:eastAsia="Arial" w:hAnsi="Arial"/>
          <w:color w:val="0B2545"/>
          <w:sz w:val="20"/>
          <w:szCs w:val="20"/>
        </w:rPr>
        <w:t xml:space="preserve">Demonstrate senior communications strategy through a production-quality digital experience</w:t>
      </w:r>
    </w:p>
    <w:p>
      <w:pPr>
        <w:pStyle w:val="ListParagraph"/>
        <w:numPr>
          <w:ilvl w:val="0"/>
          <w:numId w:val="2"/>
        </w:numPr>
        <w:spacing w:before="60" w:after="60"/>
      </w:pPr>
      <w:r>
        <w:rPr>
          <w:rFonts w:ascii="Arial" w:cs="Arial" w:eastAsia="Arial" w:hAnsi="Arial"/>
          <w:color w:val="0B2545"/>
          <w:sz w:val="20"/>
          <w:szCs w:val="20"/>
        </w:rPr>
        <w:t xml:space="preserve">Show technical sophistication alongside communications craft — both signals matter for Ai2</w:t>
      </w:r>
    </w:p>
    <w:p>
      <w:pPr>
        <w:pStyle w:val="ListParagraph"/>
        <w:numPr>
          <w:ilvl w:val="0"/>
          <w:numId w:val="2"/>
        </w:numPr>
        <w:spacing w:before="60" w:after="60"/>
      </w:pPr>
      <w:r>
        <w:rPr>
          <w:rFonts w:ascii="Arial" w:cs="Arial" w:eastAsia="Arial" w:hAnsi="Arial"/>
          <w:color w:val="0B2545"/>
          <w:sz w:val="20"/>
          <w:szCs w:val="20"/>
        </w:rPr>
        <w:t xml:space="preserve">Create a durable, shareable portfolio piece that lives at a public URL</w:t>
      </w:r>
    </w:p>
    <w:p>
      <w:pPr>
        <w:pStyle w:val="ListParagraph"/>
        <w:numPr>
          <w:ilvl w:val="0"/>
          <w:numId w:val="2"/>
        </w:numPr>
        <w:spacing w:before="60" w:after="60"/>
      </w:pPr>
      <w:r>
        <w:rPr>
          <w:rFonts w:ascii="Arial" w:cs="Arial" w:eastAsia="Arial" w:hAnsi="Arial"/>
          <w:color w:val="0B2545"/>
          <w:sz w:val="20"/>
          <w:szCs w:val="20"/>
        </w:rPr>
        <w:t xml:space="preserve">Be deployable and QA'd within a 5-day build window</w:t>
      </w:r>
    </w:p>
    <w:p>
      <w:pPr>
        <w:spacing w:before="280" w:after="60"/>
      </w:pPr>
      <w:r>
        <w:rPr>
          <w:rFonts w:ascii="Arial" w:cs="Arial" w:eastAsia="Arial" w:hAnsi="Arial"/>
          <w:b/>
          <w:bCs/>
          <w:color w:val="007EA7"/>
          <w:spacing w:val="120"/>
          <w:sz w:val="16"/>
          <w:szCs w:val="16"/>
        </w:rPr>
        <w:t xml:space="preserve">NON-GOALS</w:t>
      </w:r>
    </w:p>
    <w:p>
      <w:pPr>
        <w:pStyle w:val="ListParagraph"/>
        <w:numPr>
          <w:ilvl w:val="0"/>
          <w:numId w:val="2"/>
        </w:numPr>
        <w:spacing w:before="60" w:after="60"/>
      </w:pPr>
      <w:r>
        <w:rPr>
          <w:rFonts w:ascii="Arial" w:cs="Arial" w:eastAsia="Arial" w:hAnsi="Arial"/>
          <w:color w:val="0B2545"/>
          <w:sz w:val="20"/>
          <w:szCs w:val="20"/>
        </w:rPr>
        <w:t xml:space="preserve">This is not a live product — Pelagic IntelX is fictional; no real data integrations are needed</w:t>
      </w:r>
    </w:p>
    <w:p>
      <w:pPr>
        <w:pStyle w:val="ListParagraph"/>
        <w:numPr>
          <w:ilvl w:val="0"/>
          <w:numId w:val="2"/>
        </w:numPr>
        <w:spacing w:before="60" w:after="60"/>
      </w:pPr>
      <w:r>
        <w:rPr>
          <w:rFonts w:ascii="Arial" w:cs="Arial" w:eastAsia="Arial" w:hAnsi="Arial"/>
          <w:color w:val="0B2545"/>
          <w:sz w:val="20"/>
          <w:szCs w:val="20"/>
        </w:rPr>
        <w:t xml:space="preserve">No backend, authentication, or CMS — fully static, pre-processed JSON only</w:t>
      </w:r>
    </w:p>
    <w:p>
      <w:pPr>
        <w:pStyle w:val="ListParagraph"/>
        <w:numPr>
          <w:ilvl w:val="0"/>
          <w:numId w:val="2"/>
        </w:numPr>
        <w:spacing w:before="60" w:after="60"/>
      </w:pPr>
      <w:r>
        <w:rPr>
          <w:rFonts w:ascii="Arial" w:cs="Arial" w:eastAsia="Arial" w:hAnsi="Arial"/>
          <w:color w:val="0B2545"/>
          <w:sz w:val="20"/>
          <w:szCs w:val="20"/>
        </w:rPr>
        <w:t xml:space="preserve">Not optimized for SEO — portfolio audiences arrive via direct link</w:t>
      </w:r>
    </w:p>
    <w:p>
      <w:pPr>
        <w:spacing w:before="100" w:after="0"/>
      </w:pPr>
    </w:p>
    <w:p>
      <w:pPr>
        <w:pBdr>
          <w:bottom w:val="single" w:color="CBD5E0" w:sz="2" w:space="1"/>
        </w:pBdr>
        <w:spacing w:before="120" w:after="120"/>
      </w:pPr>
    </w:p>
    <w:p>
      <w:pPr>
        <w:spacing w:before="100" w:after="0"/>
      </w:pPr>
    </w:p>
    <w:p>
      <w:pPr>
        <w:spacing w:before="280" w:after="60"/>
      </w:pPr>
      <w:r>
        <w:rPr>
          <w:rFonts w:ascii="Arial" w:cs="Arial" w:eastAsia="Arial" w:hAnsi="Arial"/>
          <w:b/>
          <w:bCs/>
          <w:color w:val="007EA7"/>
          <w:spacing w:val="120"/>
          <w:sz w:val="16"/>
          <w:szCs w:val="16"/>
        </w:rPr>
        <w:t xml:space="preserve">SITE ARCHITECTURE — 5-CHAPTER SCROLL NARRATIVE</w:t>
      </w:r>
    </w:p>
    <w:p>
      <w:pPr>
        <w:spacing w:before="80" w:after="120"/>
      </w:pPr>
      <w:r>
        <w:rPr>
          <w:rFonts w:ascii="Arial" w:cs="Arial" w:eastAsia="Arial" w:hAnsi="Arial"/>
          <w:i w:val="false"/>
          <w:iCs w:val="false"/>
          <w:color w:val="0B2545"/>
          <w:sz w:val="20"/>
          <w:szCs w:val="20"/>
        </w:rPr>
        <w:t xml:space="preserve">The site is a single long-scroll page. Chapters are triggered by scroll position. Each chapter functions as a discrete narrative unit with a clear argument, supporting evidence, and visual proof.</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100"/>
        <w:gridCol w:w="2260"/>
      </w:tblGrid>
      <w:tr>
        <w:trPr>
          <w:tblHeader/>
        </w:trPr>
        <w:tc>
          <w:tcPr>
            <w:tcW w:type="dxa" w:w="14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Chapter</w:t>
            </w:r>
          </w:p>
        </w:tc>
        <w:tc>
          <w:tcPr>
            <w:tcW w:type="dxa" w:w="26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Title</w:t>
            </w:r>
          </w:p>
        </w:tc>
        <w:tc>
          <w:tcPr>
            <w:tcW w:type="dxa" w:w="31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Core Argument</w:t>
            </w:r>
          </w:p>
        </w:tc>
        <w:tc>
          <w:tcPr>
            <w:tcW w:type="dxa" w:w="22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Key Visual</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Hero</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Pelagic IntelX</w:t>
            </w:r>
          </w:p>
        </w:tc>
        <w:tc>
          <w:tcPr>
            <w:tcW w:type="dxa" w:w="3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Frame the stakes and the system</w:t>
            </w:r>
          </w:p>
        </w:tc>
        <w:tc>
          <w:tcPr>
            <w:tcW w:type="dxa" w:w="2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CSS ocean scan animation</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w:t>
            </w:r>
          </w:p>
        </w:tc>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Signal</w:t>
            </w:r>
          </w:p>
        </w:tc>
        <w:tc>
          <w:tcPr>
            <w:tcW w:type="dxa" w:w="3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Great comms starts with listening</w:t>
            </w:r>
          </w:p>
        </w:tc>
        <w:tc>
          <w:tcPr>
            <w:tcW w:type="dxa" w:w="22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Brandwatch + Trends charts</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2</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Audience</w:t>
            </w:r>
          </w:p>
        </w:tc>
        <w:tc>
          <w:tcPr>
            <w:tcW w:type="dxa" w:w="3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Three audiences, three conversations</w:t>
            </w:r>
          </w:p>
        </w:tc>
        <w:tc>
          <w:tcPr>
            <w:tcW w:type="dxa" w:w="2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Audience segmentation cards</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3</w:t>
            </w:r>
          </w:p>
        </w:tc>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Launch</w:t>
            </w:r>
          </w:p>
        </w:tc>
        <w:tc>
          <w:tcPr>
            <w:tcW w:type="dxa" w:w="3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Mapping the Invisible campaign</w:t>
            </w:r>
          </w:p>
        </w:tc>
        <w:tc>
          <w:tcPr>
            <w:tcW w:type="dxa" w:w="22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Mapbox ocean density map</w:t>
            </w:r>
          </w:p>
        </w:tc>
      </w:tr>
      <w:tr>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4</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Impact Play</w:t>
            </w:r>
          </w:p>
        </w:tc>
        <w:tc>
          <w:tcPr>
            <w:tcW w:type="dxa" w:w="3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Plastic Doesn't Disappear campaign</w:t>
            </w:r>
          </w:p>
        </w:tc>
        <w:tc>
          <w:tcPr>
            <w:tcW w:type="dxa" w:w="2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Stakeholder matrix table</w:t>
            </w:r>
          </w:p>
        </w:tc>
      </w:tr>
      <w:tr>
        <w:tc>
          <w:tcPr>
            <w:tcW w:type="dxa" w:w="1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5</w:t>
            </w:r>
          </w:p>
        </w:tc>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Playbook</w:t>
            </w:r>
          </w:p>
        </w:tc>
        <w:tc>
          <w:tcPr>
            <w:tcW w:type="dxa" w:w="3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Measurement and 90-day roadmap</w:t>
            </w:r>
          </w:p>
        </w:tc>
        <w:tc>
          <w:tcPr>
            <w:tcW w:type="dxa" w:w="22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KPI cards + timeline</w:t>
            </w:r>
          </w:p>
        </w:tc>
      </w:tr>
    </w:tbl>
    <w:p>
      <w:pPr>
        <w:spacing w:before="200" w:after="0"/>
      </w:pPr>
    </w:p>
    <w:p>
      <w:pPr>
        <w:spacing w:before="280" w:after="60"/>
      </w:pPr>
      <w:r>
        <w:rPr>
          <w:rFonts w:ascii="Arial" w:cs="Arial" w:eastAsia="Arial" w:hAnsi="Arial"/>
          <w:b/>
          <w:bCs/>
          <w:color w:val="007EA7"/>
          <w:spacing w:val="120"/>
          <w:sz w:val="16"/>
          <w:szCs w:val="16"/>
        </w:rPr>
        <w:t xml:space="preserve">DESIGN SYSTEM</w:t>
      </w:r>
    </w:p>
    <w:p>
      <w:pPr>
        <w:spacing w:before="80" w:after="120"/>
      </w:pPr>
      <w:r>
        <w:rPr>
          <w:rFonts w:ascii="Arial" w:cs="Arial" w:eastAsia="Arial" w:hAnsi="Arial"/>
          <w:i w:val="false"/>
          <w:iCs w:val="false"/>
          <w:color w:val="0B2545"/>
          <w:sz w:val="20"/>
          <w:szCs w:val="20"/>
        </w:rPr>
        <w:t xml:space="preserve">Dark editorial meets oceanographic instrument panel. The visual language must feel like scientific rigor + environmental urgency + tech precision. Explicitly NOT: generic SaaS blue, startup cheerfulness, NGO earnestness.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Token</w:t>
            </w:r>
          </w:p>
        </w:tc>
        <w:tc>
          <w:tcPr>
            <w:tcW w:type="dxa" w:w="20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51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Usage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Background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#0a0e1a</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Deep ocean navy — page background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Primary Accent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#00D4FF</w:t>
            </w:r>
          </w:p>
        </w:tc>
        <w:tc>
          <w:tcPr>
            <w:tcW w:type="dxa" w:w="5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Bioluminescent cyan — scan color, CTAs, chapter labels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Secondary</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#E8C547</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Brand gold — used sparingly for key callouts only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Surface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#0f1520</w:t>
            </w:r>
          </w:p>
        </w:tc>
        <w:tc>
          <w:tcPr>
            <w:tcW w:type="dxa" w:w="5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Card and panel backgrounds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Text Primary</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#F0F4F8</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All body copy, headlines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Text Secondary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#8899AA</w:t>
            </w:r>
          </w:p>
        </w:tc>
        <w:tc>
          <w:tcPr>
            <w:tcW w:type="dxa" w:w="5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Captions, labels, supporting metadata</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Display Font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Playfair Display</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Chapter titles — editorial weight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Mono Font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IBM Plex Mono</w:t>
            </w:r>
          </w:p>
        </w:tc>
        <w:tc>
          <w:tcPr>
            <w:tcW w:type="dxa" w:w="5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Data readouts, metrics, labels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Body Font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Inter / DM Sans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Prose, captions, UI copy</w:t>
            </w:r>
          </w:p>
        </w:tc>
      </w:tr>
    </w:tbl>
    <w:p>
      <w:pPr>
        <w:spacing w:before="200" w:after="0"/>
      </w:pPr>
    </w:p>
    <w:p>
      <w:pPr>
        <w:spacing w:before="280" w:after="60"/>
      </w:pPr>
      <w:r>
        <w:rPr>
          <w:rFonts w:ascii="Arial" w:cs="Arial" w:eastAsia="Arial" w:hAnsi="Arial"/>
          <w:b/>
          <w:bCs/>
          <w:color w:val="007EA7"/>
          <w:spacing w:val="120"/>
          <w:sz w:val="16"/>
          <w:szCs w:val="16"/>
        </w:rPr>
        <w:t xml:space="preserve">TECHNICAL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45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4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Scroll Engine</w:t>
            </w:r>
          </w:p>
        </w:tc>
        <w:tc>
          <w:tcPr>
            <w:tcW w:type="dxa" w:w="4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Scrollama.js — chapter triggers + section reveals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Animation</w:t>
            </w:r>
          </w:p>
        </w:tc>
        <w:tc>
          <w:tcPr>
            <w:tcW w:type="dxa" w:w="45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Framer Motion — staggered reveals, panel transitions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Map</w:t>
            </w:r>
          </w:p>
        </w:tc>
        <w:tc>
          <w:tcPr>
            <w:tcW w:type="dxa" w:w="4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Mapbox GL JS — synthetic density layer, scroll-triggered sweep animation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Data Viz</w:t>
            </w:r>
          </w:p>
        </w:tc>
        <w:tc>
          <w:tcPr>
            <w:tcW w:type="dxa" w:w="45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Recharts or Plotly.js — social listening + search trend charts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PDF Downloads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Designed PDFs in /public/downloads/ — linked from collateral panels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Responsive</w:t>
            </w:r>
          </w:p>
        </w:tc>
        <w:tc>
          <w:tcPr>
            <w:tcW w:type="dxa" w:w="45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Mobile-first — Tailwind breakpoints, tested on iOS Safari</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Performance</w:t>
            </w:r>
          </w:p>
        </w:tc>
        <w:tc>
          <w:tcPr>
            <w:tcW w:type="dxa" w:w="4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Lighthouse score &gt; 85 on mobile — lazy load charts and map</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Should-have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Deploy</w:t>
            </w:r>
          </w:p>
        </w:tc>
        <w:tc>
          <w:tcPr>
            <w:tcW w:type="dxa" w:w="45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Vercel — zero-config from GitHub main branch</w:t>
            </w:r>
          </w:p>
        </w:tc>
        <w:tc>
          <w:tcPr>
            <w:tcW w:type="dxa" w:w="24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Must-have</w:t>
            </w:r>
          </w:p>
        </w:tc>
      </w:tr>
    </w:tbl>
    <w:p>
      <w:pPr>
        <w:spacing w:before="200" w:after="0"/>
      </w:pPr>
    </w:p>
    <w:p>
      <w:pPr>
        <w:spacing w:before="280" w:after="60"/>
      </w:pPr>
      <w:r>
        <w:rPr>
          <w:rFonts w:ascii="Arial" w:cs="Arial" w:eastAsia="Arial" w:hAnsi="Arial"/>
          <w:b/>
          <w:bCs/>
          <w:color w:val="007EA7"/>
          <w:spacing w:val="120"/>
          <w:sz w:val="16"/>
          <w:szCs w:val="16"/>
        </w:rPr>
        <w:t xml:space="preserve">ACCEPTANCE CRITERIA</w:t>
      </w:r>
    </w:p>
    <w:p>
      <w:pPr>
        <w:pStyle w:val="ListParagraph"/>
        <w:numPr>
          <w:ilvl w:val="0"/>
          <w:numId w:val="2"/>
        </w:numPr>
        <w:spacing w:before="60" w:after="60"/>
      </w:pPr>
      <w:r>
        <w:rPr>
          <w:rFonts w:ascii="Arial" w:cs="Arial" w:eastAsia="Arial" w:hAnsi="Arial"/>
          <w:color w:val="0B2545"/>
          <w:sz w:val="20"/>
          <w:szCs w:val="20"/>
        </w:rPr>
        <w:t xml:space="preserve">All 5 chapters scroll and animate correctly on Chrome, Safari, and Firefox</w:t>
      </w:r>
    </w:p>
    <w:p>
      <w:pPr>
        <w:pStyle w:val="ListParagraph"/>
        <w:numPr>
          <w:ilvl w:val="0"/>
          <w:numId w:val="2"/>
        </w:numPr>
        <w:spacing w:before="60" w:after="60"/>
      </w:pPr>
      <w:r>
        <w:rPr>
          <w:rFonts w:ascii="Arial" w:cs="Arial" w:eastAsia="Arial" w:hAnsi="Arial"/>
          <w:color w:val="0B2545"/>
          <w:sz w:val="20"/>
          <w:szCs w:val="20"/>
        </w:rPr>
        <w:t xml:space="preserve">Mapbox map loads and triggers scan animation on Chapter 3 scroll event</w:t>
      </w:r>
    </w:p>
    <w:p>
      <w:pPr>
        <w:pStyle w:val="ListParagraph"/>
        <w:numPr>
          <w:ilvl w:val="0"/>
          <w:numId w:val="2"/>
        </w:numPr>
        <w:spacing w:before="60" w:after="60"/>
      </w:pPr>
      <w:r>
        <w:rPr>
          <w:rFonts w:ascii="Arial" w:cs="Arial" w:eastAsia="Arial" w:hAnsi="Arial"/>
          <w:color w:val="0B2545"/>
          <w:sz w:val="20"/>
          <w:szCs w:val="20"/>
        </w:rPr>
        <w:t xml:space="preserve">All PDF download links resolve to designed documents</w:t>
      </w:r>
    </w:p>
    <w:p>
      <w:pPr>
        <w:pStyle w:val="ListParagraph"/>
        <w:numPr>
          <w:ilvl w:val="0"/>
          <w:numId w:val="2"/>
        </w:numPr>
        <w:spacing w:before="60" w:after="60"/>
      </w:pPr>
      <w:r>
        <w:rPr>
          <w:rFonts w:ascii="Arial" w:cs="Arial" w:eastAsia="Arial" w:hAnsi="Arial"/>
          <w:color w:val="0B2545"/>
          <w:sz w:val="20"/>
          <w:szCs w:val="20"/>
        </w:rPr>
        <w:t xml:space="preserve">All data visualizations render from pre-processed JSON — no runtime API calls</w:t>
      </w:r>
    </w:p>
    <w:p>
      <w:pPr>
        <w:pStyle w:val="ListParagraph"/>
        <w:numPr>
          <w:ilvl w:val="0"/>
          <w:numId w:val="2"/>
        </w:numPr>
        <w:spacing w:before="60" w:after="60"/>
      </w:pPr>
      <w:r>
        <w:rPr>
          <w:rFonts w:ascii="Arial" w:cs="Arial" w:eastAsia="Arial" w:hAnsi="Arial"/>
          <w:color w:val="0B2545"/>
          <w:sz w:val="20"/>
          <w:szCs w:val="20"/>
        </w:rPr>
        <w:t xml:space="preserve">Site is publicly accessible at a Vercel URL</w:t>
      </w:r>
    </w:p>
    <w:p>
      <w:pPr>
        <w:pStyle w:val="ListParagraph"/>
        <w:numPr>
          <w:ilvl w:val="0"/>
          <w:numId w:val="2"/>
        </w:numPr>
        <w:spacing w:before="60" w:after="60"/>
      </w:pPr>
      <w:r>
        <w:rPr>
          <w:rFonts w:ascii="Arial" w:cs="Arial" w:eastAsia="Arial" w:hAnsi="Arial"/>
          <w:color w:val="0B2545"/>
          <w:sz w:val="20"/>
          <w:szCs w:val="20"/>
        </w:rPr>
        <w:t xml:space="preserve">GitHub repo is public with a documented README explaining methodology</w:t>
      </w:r>
    </w:p>
    <w:p>
      <w:pPr>
        <w:pStyle w:val="ListParagraph"/>
        <w:numPr>
          <w:ilvl w:val="0"/>
          <w:numId w:val="2"/>
        </w:numPr>
        <w:spacing w:before="60" w:after="60"/>
      </w:pPr>
      <w:r>
        <w:rPr>
          <w:rFonts w:ascii="Arial" w:cs="Arial" w:eastAsia="Arial" w:hAnsi="Arial"/>
          <w:color w:val="0B2545"/>
          <w:sz w:val="20"/>
          <w:szCs w:val="20"/>
        </w:rPr>
        <w:t xml:space="preserve">Mobile layout passes QA on iPhone 14 / 375px viewport</w:t>
      </w:r>
    </w:p>
    <w:p>
      <w:pPr>
        <w:pStyle w:val="ListParagraph"/>
        <w:numPr>
          <w:ilvl w:val="0"/>
          <w:numId w:val="2"/>
        </w:numPr>
        <w:spacing w:before="60" w:after="60"/>
      </w:pPr>
      <w:r>
        <w:rPr>
          <w:rFonts w:ascii="Arial" w:cs="Arial" w:eastAsia="Arial" w:hAnsi="Arial"/>
          <w:color w:val="0B2545"/>
          <w:sz w:val="20"/>
          <w:szCs w:val="20"/>
        </w:rPr>
        <w:t xml:space="preserve">A hiring manager with no context can navigate and understand the strategic argument in under 5 minutes</w:t>
      </w:r>
    </w:p>
    <w:p>
      <w:r>
        <w:br w:type="page"/>
      </w:r>
    </w:p>
    <w:p>
      <w:pPr>
        <w:spacing w:before="0" w:after="60"/>
      </w:pPr>
      <w:r>
        <w:rPr>
          <w:rFonts w:ascii="Arial" w:cs="Arial" w:eastAsia="Arial" w:hAnsi="Arial"/>
          <w:b/>
          <w:bCs/>
          <w:color w:val="007EA7"/>
          <w:sz w:val="36"/>
          <w:szCs w:val="36"/>
        </w:rPr>
        <w:t xml:space="preserve">PRD 2 — </w:t>
      </w:r>
      <w:r>
        <w:rPr>
          <w:rFonts w:ascii="Arial" w:cs="Arial" w:eastAsia="Arial" w:hAnsi="Arial"/>
          <w:b/>
          <w:bCs/>
          <w:color w:val="0B2545"/>
          <w:sz w:val="36"/>
          <w:szCs w:val="36"/>
        </w:rPr>
        <w:t xml:space="preserve">Campaign: Mapping the Invisible</w:t>
      </w:r>
    </w:p>
    <w:p>
      <w:pPr>
        <w:spacing w:before="80" w:after="120"/>
      </w:pPr>
      <w:r>
        <w:rPr>
          <w:rFonts w:ascii="Arial" w:cs="Arial" w:eastAsia="Arial" w:hAnsi="Arial"/>
          <w:i w:val="false"/>
          <w:iCs w:val="false"/>
          <w:color w:val="0B2545"/>
          <w:sz w:val="20"/>
          <w:szCs w:val="20"/>
        </w:rPr>
        <w:t xml:space="preserve">Research launch campaign for Pelagic IntelX's first publicly available ocean plastic density map. This is the 'first of its kind' announcement moment — the emotional centerpiece of the portfolio.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Campaign Name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Mapping the Invisible</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Research Launch</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Microsite Chapter</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Chapter 3 — The Launch</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Target Date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Hypothetical Q2 2026</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Primary Audiences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Science / Environmental Journalists · Environmental Researchers · Policy Advocates</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Key Deliverables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Press Release · Media One-Pager · Social Content Brief (X thread + LinkedIn)</w:t>
            </w:r>
          </w:p>
        </w:tc>
      </w:tr>
    </w:tbl>
    <w:p>
      <w:pPr>
        <w:spacing w:before="200" w:after="0"/>
      </w:pPr>
    </w:p>
    <w:p>
      <w:pPr>
        <w:spacing w:before="280" w:after="60"/>
      </w:pPr>
      <w:r>
        <w:rPr>
          <w:rFonts w:ascii="Arial" w:cs="Arial" w:eastAsia="Arial" w:hAnsi="Arial"/>
          <w:b/>
          <w:bCs/>
          <w:color w:val="007EA7"/>
          <w:spacing w:val="120"/>
          <w:sz w:val="16"/>
          <w:szCs w:val="16"/>
        </w:rPr>
        <w:t xml:space="preserve">STRATEGIC OBJECTIVE</w:t>
      </w:r>
    </w:p>
    <w:p>
      <w:pPr>
        <w:spacing w:before="80" w:after="120"/>
      </w:pPr>
      <w:r>
        <w:rPr>
          <w:rFonts w:ascii="Arial" w:cs="Arial" w:eastAsia="Arial" w:hAnsi="Arial"/>
          <w:i w:val="false"/>
          <w:iCs w:val="false"/>
          <w:color w:val="0B2545"/>
          <w:sz w:val="20"/>
          <w:szCs w:val="20"/>
        </w:rPr>
        <w:t xml:space="preserve">Establish Pelagic IntelX as the authoritative source for real-time ocean plastic intelligence. The map release is the credibility-building moment — it transforms Pelagic IntelX from an AI company making claims into one that shows its work at planetary scale.</w:t>
      </w:r>
    </w:p>
    <w:p>
      <w:pPr>
        <w:spacing w:before="280" w:after="60"/>
      </w:pPr>
      <w:r>
        <w:rPr>
          <w:rFonts w:ascii="Arial" w:cs="Arial" w:eastAsia="Arial" w:hAnsi="Arial"/>
          <w:b/>
          <w:bCs/>
          <w:color w:val="007EA7"/>
          <w:spacing w:val="120"/>
          <w:sz w:val="16"/>
          <w:szCs w:val="16"/>
        </w:rPr>
        <w:t xml:space="preserve">THE INSIGHT THAT DRIVES THE CAMPAIGN</w:t>
      </w:r>
    </w:p>
    <w:p>
      <w:pPr>
        <w:spacing w:before="80" w:after="120"/>
      </w:pPr>
      <w:r>
        <w:rPr>
          <w:rFonts w:ascii="Arial" w:cs="Arial" w:eastAsia="Arial" w:hAnsi="Arial"/>
          <w:i w:val="false"/>
          <w:iCs w:val="false"/>
          <w:color w:val="0B2545"/>
          <w:sz w:val="20"/>
          <w:szCs w:val="20"/>
        </w:rPr>
        <w:t xml:space="preserve">Social listening and search data (Chapter 1) reveals a persistent vocabulary gap: scientific language around microplastics ('particulate distribution', 'density mapping') does not match how the public and press actually talk about ocean plastic ('where is it', 'how bad is it', 'can we see it'). The campaign bridges this gap — offering a literal answer to 'can we see it?' while anchoring the story in scientific rigor.</w:t>
      </w:r>
    </w:p>
    <w:p>
      <w:pPr>
        <w:spacing w:before="100" w:after="0"/>
      </w:pPr>
    </w:p>
    <w:p>
      <w:pPr>
        <w:pBdr>
          <w:bottom w:val="single" w:color="CBD5E0" w:sz="2" w:space="1"/>
        </w:pBdr>
        <w:spacing w:before="120" w:after="120"/>
      </w:pPr>
    </w:p>
    <w:p>
      <w:pPr>
        <w:spacing w:before="100" w:after="0"/>
      </w:pPr>
    </w:p>
    <w:p>
      <w:pPr>
        <w:spacing w:before="280" w:after="60"/>
      </w:pPr>
      <w:r>
        <w:rPr>
          <w:rFonts w:ascii="Arial" w:cs="Arial" w:eastAsia="Arial" w:hAnsi="Arial"/>
          <w:b/>
          <w:bCs/>
          <w:color w:val="007EA7"/>
          <w:spacing w:val="120"/>
          <w:sz w:val="16"/>
          <w:szCs w:val="16"/>
        </w:rPr>
        <w:t xml:space="preserve">AUDIENCE INTELLIGENCE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Audience</w:t>
            </w:r>
          </w:p>
        </w:tc>
        <w:tc>
          <w:tcPr>
            <w:tcW w:type="dxa" w:w="242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Core Need</w:t>
            </w:r>
          </w:p>
        </w:tc>
        <w:tc>
          <w:tcPr>
            <w:tcW w:type="dxa" w:w="242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Language That Works</w:t>
            </w:r>
          </w:p>
        </w:tc>
        <w:tc>
          <w:tcPr>
            <w:tcW w:type="dxa" w:w="242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Channel Priority</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Science Journalists</w:t>
            </w:r>
          </w:p>
        </w:tc>
        <w:tc>
          <w:tcPr>
            <w:tcW w:type="dxa" w:w="24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First-look access, data credibility, visual assets</w:t>
            </w:r>
          </w:p>
        </w:tc>
        <w:tc>
          <w:tcPr>
            <w:tcW w:type="dxa" w:w="24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"First-of-its-kind" · "Real-time" · "Publicly available"</w:t>
            </w:r>
          </w:p>
        </w:tc>
        <w:tc>
          <w:tcPr>
            <w:tcW w:type="dxa" w:w="24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Email pitch · X (breaking) · Embargo list</w:t>
            </w:r>
          </w:p>
        </w:tc>
      </w:tr>
      <w:tr>
        <w:tc>
          <w:tcPr>
            <w:tcW w:type="dxa" w:w="2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Environmental Researchers</w:t>
            </w:r>
          </w:p>
        </w:tc>
        <w:tc>
          <w:tcPr>
            <w:tcW w:type="dxa" w:w="24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Methodology transparency, data access, peer validity</w:t>
            </w:r>
          </w:p>
        </w:tc>
        <w:tc>
          <w:tcPr>
            <w:tcW w:type="dxa" w:w="24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"Open dataset" · "Satellite + AI fusion" · "Density model"</w:t>
            </w:r>
          </w:p>
        </w:tc>
        <w:tc>
          <w:tcPr>
            <w:tcW w:type="dxa" w:w="24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Research newsletters · LinkedIn · Direct outreach</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Policy Advocates</w:t>
            </w:r>
          </w:p>
        </w:tc>
        <w:tc>
          <w:tcPr>
            <w:tcW w:type="dxa" w:w="24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Actionable evidence, scale of problem, regulatory hooks</w:t>
            </w:r>
          </w:p>
        </w:tc>
        <w:tc>
          <w:tcPr>
            <w:tcW w:type="dxa" w:w="24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"Mapped for the first time" · "The data regulators need"</w:t>
            </w:r>
          </w:p>
        </w:tc>
        <w:tc>
          <w:tcPr>
            <w:tcW w:type="dxa" w:w="24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LinkedIn · Coalition emails · Report embeds</w:t>
            </w:r>
          </w:p>
        </w:tc>
      </w:tr>
    </w:tbl>
    <w:p>
      <w:pPr>
        <w:spacing w:before="200" w:after="0"/>
      </w:pPr>
    </w:p>
    <w:p>
      <w:pPr>
        <w:spacing w:before="280" w:after="60"/>
      </w:pPr>
      <w:r>
        <w:rPr>
          <w:rFonts w:ascii="Arial" w:cs="Arial" w:eastAsia="Arial" w:hAnsi="Arial"/>
          <w:b/>
          <w:bCs/>
          <w:color w:val="007EA7"/>
          <w:spacing w:val="120"/>
          <w:sz w:val="16"/>
          <w:szCs w:val="16"/>
        </w:rPr>
        <w:t xml:space="preserve">MESSAGE ARCHITECTURE</w:t>
      </w:r>
    </w:p>
    <w:p>
      <w:pPr>
        <w:spacing w:before="60" w:after="0"/>
      </w:pPr>
    </w:p>
    <w:p>
      <w:pPr>
        <w:spacing w:before="80" w:after="80"/>
      </w:pPr>
      <w:r>
        <w:rPr>
          <w:rFonts w:ascii="Arial" w:cs="Arial" w:eastAsia="Arial" w:hAnsi="Arial"/>
          <w:b/>
          <w:bCs/>
          <w:color w:val="0B2545"/>
          <w:sz w:val="20"/>
          <w:szCs w:val="20"/>
        </w:rPr>
        <w:t xml:space="preserve">Primary Message (all audiences):</w:t>
      </w:r>
    </w:p>
    <w:p>
      <w:pPr>
        <w:spacing w:before="80" w:after="120"/>
      </w:pPr>
      <w:r>
        <w:rPr>
          <w:rFonts w:ascii="Arial" w:cs="Arial" w:eastAsia="Arial" w:hAnsi="Arial"/>
          <w:i w:val="false"/>
          <w:iCs w:val="false"/>
          <w:color w:val="0B2545"/>
          <w:sz w:val="20"/>
          <w:szCs w:val="20"/>
        </w:rPr>
        <w:t xml:space="preserve">For the first time, we can see exactly where ocean plastic accumulates — and the picture is worse than models predicted.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Audience</w:t>
            </w:r>
          </w:p>
        </w:tc>
        <w:tc>
          <w:tcPr>
            <w:tcW w:type="dxa" w:w="72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Tailored Message</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Science Journalists</w:t>
            </w:r>
          </w:p>
        </w:tc>
        <w:tc>
          <w:tcPr>
            <w:tcW w:type="dxa" w:w="7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Pelagic IntelX's AI-generated density map gives reporters a visual story — not just statistics. The map is embeddable, shareable, and updated in near-real-time.</w:t>
            </w:r>
          </w:p>
        </w:tc>
      </w:tr>
      <w:tr>
        <w:tc>
          <w:tcPr>
            <w:tcW w:type="dxa" w:w="2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Researchers</w:t>
            </w:r>
          </w:p>
        </w:tc>
        <w:tc>
          <w:tcPr>
            <w:tcW w:type="dxa" w:w="72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underlying dataset is open-access. Methodology documentation is published. Satellite imagery + computer vision pipeline is reproducible and peer-reviewed.</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Policy Advocates</w:t>
            </w:r>
          </w:p>
        </w:tc>
        <w:tc>
          <w:tcPr>
            <w:tcW w:type="dxa" w:w="7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This map makes the invisible visible for the first time. It gives regulators the evidence base to move from negotiation to enforcement.</w:t>
            </w:r>
          </w:p>
        </w:tc>
      </w:tr>
    </w:tbl>
    <w:p>
      <w:pPr>
        <w:spacing w:before="200" w:after="0"/>
      </w:pPr>
    </w:p>
    <w:p>
      <w:pPr>
        <w:spacing w:before="280" w:after="60"/>
      </w:pPr>
      <w:r>
        <w:rPr>
          <w:rFonts w:ascii="Arial" w:cs="Arial" w:eastAsia="Arial" w:hAnsi="Arial"/>
          <w:b/>
          <w:bCs/>
          <w:color w:val="007EA7"/>
          <w:spacing w:val="120"/>
          <w:sz w:val="16"/>
          <w:szCs w:val="16"/>
        </w:rPr>
        <w:t xml:space="preserve">CAMPAIGN EXECUTION — DELIVERABLES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41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c>
          <w:tcPr>
            <w:tcW w:type="dxa" w:w="26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Format / Location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Press Release</w:t>
            </w:r>
          </w:p>
        </w:tc>
        <w:tc>
          <w:tcPr>
            <w:tcW w:type="dxa" w:w="4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Formal announcement for media outlets, wire distribution</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PDF · Ch. 3 download panel</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Media One-Pager</w:t>
            </w:r>
          </w:p>
        </w:tc>
        <w:tc>
          <w:tcPr>
            <w:tcW w:type="dxa" w:w="4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At-a-glance brief for journalists — stats, quotes, embeds</w:t>
            </w:r>
          </w:p>
        </w:tc>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PDF · Ch. 3 download panel</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Social Content Brief</w:t>
            </w:r>
          </w:p>
        </w:tc>
        <w:tc>
          <w:tcPr>
            <w:tcW w:type="dxa" w:w="4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X thread (7-tweet) + LinkedIn post — launch day sequence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PDF · Ch. 3 download panel</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Mapbox Density Map</w:t>
            </w:r>
          </w:p>
        </w:tc>
        <w:tc>
          <w:tcPr>
            <w:tcW w:type="dxa" w:w="41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Interactive centerpiece — scan sweep + heat layer reveal on scroll</w:t>
            </w:r>
          </w:p>
        </w:tc>
        <w:tc>
          <w:tcPr>
            <w:tcW w:type="dxa" w:w="2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Embedded · Ch. 3 microsite</w:t>
            </w:r>
          </w:p>
        </w:tc>
      </w:tr>
    </w:tbl>
    <w:p>
      <w:pPr>
        <w:spacing w:before="200" w:after="0"/>
      </w:pPr>
    </w:p>
    <w:p>
      <w:pPr>
        <w:spacing w:before="280" w:after="60"/>
      </w:pPr>
      <w:r>
        <w:rPr>
          <w:rFonts w:ascii="Arial" w:cs="Arial" w:eastAsia="Arial" w:hAnsi="Arial"/>
          <w:b/>
          <w:bCs/>
          <w:color w:val="007EA7"/>
          <w:spacing w:val="120"/>
          <w:sz w:val="16"/>
          <w:szCs w:val="16"/>
        </w:rPr>
        <w:t xml:space="preserve">THE MAPBOX MAP — FUNCTIONAL SPECIFICATION</w:t>
      </w:r>
    </w:p>
    <w:p>
      <w:pPr>
        <w:spacing w:before="80" w:after="120"/>
      </w:pPr>
      <w:r>
        <w:rPr>
          <w:rFonts w:ascii="Arial" w:cs="Arial" w:eastAsia="Arial" w:hAnsi="Arial"/>
          <w:i w:val="false"/>
          <w:iCs w:val="false"/>
          <w:color w:val="0B2545"/>
          <w:sz w:val="20"/>
          <w:szCs w:val="20"/>
        </w:rPr>
        <w:t xml:space="preserve">The ocean plastic density map is the emotional anchor of Chapter 3. Its behavior must reinforce the campaign's core message: this is what previously invisible data looks like when made visible.</w:t>
      </w:r>
    </w:p>
    <w:p>
      <w:pPr>
        <w:spacing w:before="80" w:after="0"/>
      </w:pPr>
    </w:p>
    <w:p>
      <w:pPr>
        <w:spacing w:before="80" w:after="80"/>
      </w:pPr>
      <w:r>
        <w:rPr>
          <w:rFonts w:ascii="Arial" w:cs="Arial" w:eastAsia="Arial" w:hAnsi="Arial"/>
          <w:b/>
          <w:bCs/>
          <w:color w:val="0B2545"/>
          <w:sz w:val="20"/>
          <w:szCs w:val="20"/>
        </w:rPr>
        <w:t xml:space="preserve">Trigger:</w:t>
      </w:r>
    </w:p>
    <w:p>
      <w:pPr>
        <w:spacing w:before="80" w:after="120"/>
      </w:pPr>
      <w:r>
        <w:rPr>
          <w:rFonts w:ascii="Arial" w:cs="Arial" w:eastAsia="Arial" w:hAnsi="Arial"/>
          <w:i w:val="false"/>
          <w:iCs w:val="false"/>
          <w:color w:val="0B2545"/>
          <w:sz w:val="20"/>
          <w:szCs w:val="20"/>
        </w:rPr>
        <w:t xml:space="preserve">Scrollama scroll event fires when Chapter 3 reaches 30% viewport threshold.</w:t>
      </w:r>
    </w:p>
    <w:p>
      <w:pPr>
        <w:spacing w:before="80" w:after="80"/>
      </w:pPr>
      <w:r>
        <w:rPr>
          <w:rFonts w:ascii="Arial" w:cs="Arial" w:eastAsia="Arial" w:hAnsi="Arial"/>
          <w:b/>
          <w:bCs/>
          <w:color w:val="0B2545"/>
          <w:sz w:val="20"/>
          <w:szCs w:val="20"/>
        </w:rPr>
        <w:t xml:space="preserve">Animation Sequence:</w:t>
      </w:r>
    </w:p>
    <w:p>
      <w:pPr>
        <w:pStyle w:val="ListParagraph"/>
        <w:numPr>
          <w:ilvl w:val="0"/>
          <w:numId w:val="2"/>
        </w:numPr>
        <w:spacing w:before="60" w:after="60"/>
      </w:pPr>
      <w:r>
        <w:rPr>
          <w:rFonts w:ascii="Arial" w:cs="Arial" w:eastAsia="Arial" w:hAnsi="Arial"/>
          <w:color w:val="0B2545"/>
          <w:sz w:val="20"/>
          <w:szCs w:val="20"/>
        </w:rPr>
        <w:t xml:space="preserve">Phase 1 (0–1.5s): Satellite-style base layer loads — dark ocean, coastlines visible</w:t>
      </w:r>
    </w:p>
    <w:p>
      <w:pPr>
        <w:pStyle w:val="ListParagraph"/>
        <w:numPr>
          <w:ilvl w:val="0"/>
          <w:numId w:val="2"/>
        </w:numPr>
        <w:spacing w:before="60" w:after="60"/>
      </w:pPr>
      <w:r>
        <w:rPr>
          <w:rFonts w:ascii="Arial" w:cs="Arial" w:eastAsia="Arial" w:hAnsi="Arial"/>
          <w:color w:val="0B2545"/>
          <w:sz w:val="20"/>
          <w:szCs w:val="20"/>
        </w:rPr>
        <w:t xml:space="preserve">Phase 2 (1.5–3s): Cyan scan sweep moves east-to-west across Pacific — simulating satellite pass</w:t>
      </w:r>
    </w:p>
    <w:p>
      <w:pPr>
        <w:pStyle w:val="ListParagraph"/>
        <w:numPr>
          <w:ilvl w:val="0"/>
          <w:numId w:val="2"/>
        </w:numPr>
        <w:spacing w:before="60" w:after="60"/>
      </w:pPr>
      <w:r>
        <w:rPr>
          <w:rFonts w:ascii="Arial" w:cs="Arial" w:eastAsia="Arial" w:hAnsi="Arial"/>
          <w:color w:val="0B2545"/>
          <w:sz w:val="20"/>
          <w:szCs w:val="20"/>
        </w:rPr>
        <w:t xml:space="preserve">Phase 3 (3–5s): Density heat layer fades in — concentration gradient from deep cyan to gold at peak density zones</w:t>
      </w:r>
    </w:p>
    <w:p>
      <w:pPr>
        <w:pStyle w:val="ListParagraph"/>
        <w:numPr>
          <w:ilvl w:val="0"/>
          <w:numId w:val="2"/>
        </w:numPr>
        <w:spacing w:before="60" w:after="60"/>
      </w:pPr>
      <w:r>
        <w:rPr>
          <w:rFonts w:ascii="Arial" w:cs="Arial" w:eastAsia="Arial" w:hAnsi="Arial"/>
          <w:color w:val="0B2545"/>
          <w:sz w:val="20"/>
          <w:szCs w:val="20"/>
        </w:rPr>
        <w:t xml:space="preserve">Phase 4 (5s+): Interactive mode — user can pan, zoom, hover over density clusters for data readouts</w:t>
      </w:r>
    </w:p>
    <w:p>
      <w:pPr>
        <w:spacing w:before="80" w:after="0"/>
      </w:pPr>
    </w:p>
    <w:p>
      <w:pPr>
        <w:spacing w:before="80" w:after="80"/>
      </w:pPr>
      <w:r>
        <w:rPr>
          <w:rFonts w:ascii="Arial" w:cs="Arial" w:eastAsia="Arial" w:hAnsi="Arial"/>
          <w:b/>
          <w:bCs/>
          <w:color w:val="0B2545"/>
          <w:sz w:val="20"/>
          <w:szCs w:val="20"/>
        </w:rPr>
        <w:t xml:space="preserve">Data:</w:t>
      </w:r>
    </w:p>
    <w:p>
      <w:pPr>
        <w:spacing w:before="80" w:after="120"/>
      </w:pPr>
      <w:r>
        <w:rPr>
          <w:rFonts w:ascii="Arial" w:cs="Arial" w:eastAsia="Arial" w:hAnsi="Arial"/>
          <w:i w:val="false"/>
          <w:iCs w:val="false"/>
          <w:color w:val="0B2545"/>
          <w:sz w:val="20"/>
          <w:szCs w:val="20"/>
        </w:rPr>
        <w:t xml:space="preserve">Synthetic but realistic density data generated programmatically. Labeled with persistent 'Simulated data for portfolio purposes' badge. Cluster locations based on known accumulation zones (North Pacific Gyre, etc.) for verisimilitude.</w:t>
      </w:r>
    </w:p>
    <w:p>
      <w:pPr>
        <w:spacing w:before="80" w:after="80"/>
      </w:pPr>
      <w:r>
        <w:rPr>
          <w:rFonts w:ascii="Arial" w:cs="Arial" w:eastAsia="Arial" w:hAnsi="Arial"/>
          <w:b/>
          <w:bCs/>
          <w:color w:val="0B2545"/>
          <w:sz w:val="20"/>
          <w:szCs w:val="20"/>
        </w:rPr>
        <w:t xml:space="preserve">Performance:</w:t>
      </w:r>
    </w:p>
    <w:p>
      <w:pPr>
        <w:spacing w:before="80" w:after="120"/>
      </w:pPr>
      <w:r>
        <w:rPr>
          <w:rFonts w:ascii="Arial" w:cs="Arial" w:eastAsia="Arial" w:hAnsi="Arial"/>
          <w:i w:val="false"/>
          <w:iCs w:val="false"/>
          <w:color w:val="0B2545"/>
          <w:sz w:val="20"/>
          <w:szCs w:val="20"/>
        </w:rPr>
        <w:t xml:space="preserve">Map loads lazily — Mapbox GL JS bundle loads only when Chapter 3 enters viewport. Target: &lt; 2s to first tile render on 4G.</w:t>
      </w:r>
    </w:p>
    <w:p>
      <w:pPr>
        <w:spacing w:before="200" w:after="0"/>
      </w:pPr>
    </w:p>
    <w:p>
      <w:pPr>
        <w:spacing w:before="280" w:after="60"/>
      </w:pPr>
      <w:r>
        <w:rPr>
          <w:rFonts w:ascii="Arial" w:cs="Arial" w:eastAsia="Arial" w:hAnsi="Arial"/>
          <w:b/>
          <w:bCs/>
          <w:color w:val="007EA7"/>
          <w:spacing w:val="120"/>
          <w:sz w:val="16"/>
          <w:szCs w:val="16"/>
        </w:rPr>
        <w:t xml:space="preserve">SOCIAL CONTENT — X THREAD SPECIFICATION</w:t>
      </w:r>
    </w:p>
    <w:p>
      <w:pPr>
        <w:spacing w:before="80" w:after="120"/>
      </w:pPr>
      <w:r>
        <w:rPr>
          <w:rFonts w:ascii="Arial" w:cs="Arial" w:eastAsia="Arial" w:hAnsi="Arial"/>
          <w:i w:val="false"/>
          <w:iCs w:val="false"/>
          <w:color w:val="0B2545"/>
          <w:sz w:val="20"/>
          <w:szCs w:val="20"/>
        </w:rPr>
        <w:t xml:space="preserve">Launch-day thread. 7 posts. Narrative arc: hook → problem → our answer → the map → data point → call to action → coalition.</w:t>
      </w:r>
    </w:p>
    <w:p>
      <w:pPr>
        <w:spacing w:before="60" w:after="0"/>
      </w:pPr>
    </w:p>
    <w:p>
      <w:pPr>
        <w:pStyle w:val="ListParagraph"/>
        <w:numPr>
          <w:ilvl w:val="0"/>
          <w:numId w:val="2"/>
        </w:numPr>
        <w:spacing w:before="60" w:after="60"/>
      </w:pPr>
      <w:r>
        <w:rPr>
          <w:rFonts w:ascii="Arial" w:cs="Arial" w:eastAsia="Arial" w:hAnsi="Arial"/>
          <w:color w:val="0B2545"/>
          <w:sz w:val="20"/>
          <w:szCs w:val="20"/>
        </w:rPr>
        <w:t xml:space="preserve">Post 1 (Hook): 'We just published the most detailed map of ocean plastic ever made. The picture is not what we expected. [VISUAL]'</w:t>
      </w:r>
    </w:p>
    <w:p>
      <w:pPr>
        <w:pStyle w:val="ListParagraph"/>
        <w:numPr>
          <w:ilvl w:val="0"/>
          <w:numId w:val="2"/>
        </w:numPr>
        <w:spacing w:before="60" w:after="60"/>
      </w:pPr>
      <w:r>
        <w:rPr>
          <w:rFonts w:ascii="Arial" w:cs="Arial" w:eastAsia="Arial" w:hAnsi="Arial"/>
          <w:color w:val="0B2545"/>
          <w:sz w:val="20"/>
          <w:szCs w:val="20"/>
        </w:rPr>
        <w:t xml:space="preserve">Post 2 (Problem): 'Ocean plastic doesn't stay where it's dumped. It migrates — driven by current systems we've been modeling wrong. Until now.'</w:t>
      </w:r>
    </w:p>
    <w:p>
      <w:pPr>
        <w:pStyle w:val="ListParagraph"/>
        <w:numPr>
          <w:ilvl w:val="0"/>
          <w:numId w:val="2"/>
        </w:numPr>
        <w:spacing w:before="60" w:after="60"/>
      </w:pPr>
      <w:r>
        <w:rPr>
          <w:rFonts w:ascii="Arial" w:cs="Arial" w:eastAsia="Arial" w:hAnsi="Arial"/>
          <w:color w:val="0B2545"/>
          <w:sz w:val="20"/>
          <w:szCs w:val="20"/>
        </w:rPr>
        <w:t xml:space="preserve">Post 3 (Answer): 'Pelagic IntelX fuses satellite imagery with a custom computer vision pipeline trained on 4 years of ocean surface data.'</w:t>
      </w:r>
    </w:p>
    <w:p>
      <w:pPr>
        <w:pStyle w:val="ListParagraph"/>
        <w:numPr>
          <w:ilvl w:val="0"/>
          <w:numId w:val="2"/>
        </w:numPr>
        <w:spacing w:before="60" w:after="60"/>
      </w:pPr>
      <w:r>
        <w:rPr>
          <w:rFonts w:ascii="Arial" w:cs="Arial" w:eastAsia="Arial" w:hAnsi="Arial"/>
          <w:color w:val="0B2545"/>
          <w:sz w:val="20"/>
          <w:szCs w:val="20"/>
        </w:rPr>
        <w:t xml:space="preserve">Post 4 (The Map): 'The result: a real-time density map of microplastic concentration across the Pacific. First of its kind. Publicly available. [MAP LINK]'</w:t>
      </w:r>
    </w:p>
    <w:p>
      <w:pPr>
        <w:pStyle w:val="ListParagraph"/>
        <w:numPr>
          <w:ilvl w:val="0"/>
          <w:numId w:val="2"/>
        </w:numPr>
        <w:spacing w:before="60" w:after="60"/>
      </w:pPr>
      <w:r>
        <w:rPr>
          <w:rFonts w:ascii="Arial" w:cs="Arial" w:eastAsia="Arial" w:hAnsi="Arial"/>
          <w:color w:val="0B2545"/>
          <w:sz w:val="20"/>
          <w:szCs w:val="20"/>
        </w:rPr>
        <w:t xml:space="preserve">Post 5 (Data): 'What surprised us most: peak concentration zones are 40% more diffuse than legacy models predicted. That changes the cleanup calculus entirely.'</w:t>
      </w:r>
    </w:p>
    <w:p>
      <w:pPr>
        <w:pStyle w:val="ListParagraph"/>
        <w:numPr>
          <w:ilvl w:val="0"/>
          <w:numId w:val="2"/>
        </w:numPr>
        <w:spacing w:before="60" w:after="60"/>
      </w:pPr>
      <w:r>
        <w:rPr>
          <w:rFonts w:ascii="Arial" w:cs="Arial" w:eastAsia="Arial" w:hAnsi="Arial"/>
          <w:color w:val="0B2545"/>
          <w:sz w:val="20"/>
          <w:szCs w:val="20"/>
        </w:rPr>
        <w:t xml:space="preserve">Post 6 (CTA): 'The dataset is open. The methodology is published. If you're a researcher, regulator, or reporter — it's yours. [LINK]'</w:t>
      </w:r>
    </w:p>
    <w:p>
      <w:pPr>
        <w:pStyle w:val="ListParagraph"/>
        <w:numPr>
          <w:ilvl w:val="0"/>
          <w:numId w:val="2"/>
        </w:numPr>
        <w:spacing w:before="60" w:after="60"/>
      </w:pPr>
      <w:r>
        <w:rPr>
          <w:rFonts w:ascii="Arial" w:cs="Arial" w:eastAsia="Arial" w:hAnsi="Arial"/>
          <w:color w:val="0B2545"/>
          <w:sz w:val="20"/>
          <w:szCs w:val="20"/>
        </w:rPr>
        <w:t xml:space="preserve">Post 7 (Coalition): 'We built this with @[Partner Lab] and support from @[Coalition]. The ocean has been waiting for this map. Now we build on it.'</w:t>
      </w:r>
    </w:p>
    <w:p>
      <w:pPr>
        <w:spacing w:before="200" w:after="0"/>
      </w:pPr>
    </w:p>
    <w:p>
      <w:pPr>
        <w:spacing w:before="280" w:after="60"/>
      </w:pPr>
      <w:r>
        <w:rPr>
          <w:rFonts w:ascii="Arial" w:cs="Arial" w:eastAsia="Arial" w:hAnsi="Arial"/>
          <w:b/>
          <w:bCs/>
          <w:color w:val="007EA7"/>
          <w:spacing w:val="120"/>
          <w:sz w:val="16"/>
          <w:szCs w:val="16"/>
        </w:rPr>
        <w:t xml:space="preserve">SUCCESS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rPr>
          <w:tblHeader/>
        </w:trPr>
        <w:tc>
          <w:tcPr>
            <w:tcW w:type="dxa" w:w="30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18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Baseline</w:t>
            </w:r>
          </w:p>
        </w:tc>
        <w:tc>
          <w:tcPr>
            <w:tcW w:type="dxa" w:w="218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Target (30 days)</w:t>
            </w:r>
          </w:p>
        </w:tc>
        <w:tc>
          <w:tcPr>
            <w:tcW w:type="dxa" w:w="20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Source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Press pickups</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0</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15+ outlets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Media monitoring</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Map unique visitors</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50,000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Vercel analytics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Dataset downloads</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2,000</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Download tracker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X thread impressions</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500,000</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X Analytics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LinkedIn post reach</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25,000</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LinkedIn Analytics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Researcher citations (90d)</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5+ preprints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Google Scholar</w:t>
            </w:r>
          </w:p>
        </w:tc>
      </w:tr>
    </w:tbl>
    <w:p>
      <w:r>
        <w:br w:type="page"/>
      </w:r>
    </w:p>
    <w:p>
      <w:pPr>
        <w:spacing w:before="0" w:after="60"/>
      </w:pPr>
      <w:r>
        <w:rPr>
          <w:rFonts w:ascii="Arial" w:cs="Arial" w:eastAsia="Arial" w:hAnsi="Arial"/>
          <w:b/>
          <w:bCs/>
          <w:color w:val="007EA7"/>
          <w:sz w:val="36"/>
          <w:szCs w:val="36"/>
        </w:rPr>
        <w:t xml:space="preserve">PRD 3 — </w:t>
      </w:r>
      <w:r>
        <w:rPr>
          <w:rFonts w:ascii="Arial" w:cs="Arial" w:eastAsia="Arial" w:hAnsi="Arial"/>
          <w:b/>
          <w:bCs/>
          <w:color w:val="0B2545"/>
          <w:sz w:val="36"/>
          <w:szCs w:val="36"/>
        </w:rPr>
        <w:t xml:space="preserve">Campaign: Plastic Doesn't Disappear</w:t>
      </w:r>
    </w:p>
    <w:p>
      <w:pPr>
        <w:spacing w:before="80" w:after="120"/>
      </w:pPr>
      <w:r>
        <w:rPr>
          <w:rFonts w:ascii="Arial" w:cs="Arial" w:eastAsia="Arial" w:hAnsi="Arial"/>
          <w:i w:val="false"/>
          <w:iCs w:val="false"/>
          <w:color w:val="0B2545"/>
          <w:sz w:val="20"/>
          <w:szCs w:val="20"/>
        </w:rPr>
        <w:t xml:space="preserve">Policy impact campaign. Pelagic IntelX partners with a policy organization and university research lab to release a joint report on how AI-mapped plastic density data can inform international environmental regulation.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Campaign Name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Plastic Doesn't Disappear</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Type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Policy Impact / Research-to-Regulation</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Microsite Chapter</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Chapter 4 — The Impact Play</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Coalition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Pelagic IntelX + Policy Partner + University Research Lab</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Primary Audiences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Policymakers / Regulatory Bodies · Environmental Law Journalists · Coalition NGOs</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Key Deliverables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Op-Ed · Stakeholder Matrix · Campaign Strategy Memo · Google Ads Brief</w:t>
            </w:r>
          </w:p>
        </w:tc>
      </w:tr>
    </w:tbl>
    <w:p>
      <w:pPr>
        <w:spacing w:before="200" w:after="0"/>
      </w:pPr>
    </w:p>
    <w:p>
      <w:pPr>
        <w:spacing w:before="280" w:after="60"/>
      </w:pPr>
      <w:r>
        <w:rPr>
          <w:rFonts w:ascii="Arial" w:cs="Arial" w:eastAsia="Arial" w:hAnsi="Arial"/>
          <w:b/>
          <w:bCs/>
          <w:color w:val="007EA7"/>
          <w:spacing w:val="120"/>
          <w:sz w:val="16"/>
          <w:szCs w:val="16"/>
        </w:rPr>
        <w:t xml:space="preserve">STRATEGIC OBJECTIVE</w:t>
      </w:r>
    </w:p>
    <w:p>
      <w:pPr>
        <w:spacing w:before="80" w:after="120"/>
      </w:pPr>
      <w:r>
        <w:rPr>
          <w:rFonts w:ascii="Arial" w:cs="Arial" w:eastAsia="Arial" w:hAnsi="Arial"/>
          <w:i w:val="false"/>
          <w:iCs w:val="false"/>
          <w:color w:val="0B2545"/>
          <w:sz w:val="20"/>
          <w:szCs w:val="20"/>
        </w:rPr>
        <w:t xml:space="preserve">Move Pelagic IntelX from 'interesting data company' to 'essential infrastructure for environmental governance.' This campaign is about the second-order impact of the data — not what the map shows, but what it makes possible in policy terms.</w:t>
      </w:r>
    </w:p>
    <w:p>
      <w:pPr>
        <w:spacing w:before="280" w:after="60"/>
      </w:pPr>
      <w:r>
        <w:rPr>
          <w:rFonts w:ascii="Arial" w:cs="Arial" w:eastAsia="Arial" w:hAnsi="Arial"/>
          <w:b/>
          <w:bCs/>
          <w:color w:val="007EA7"/>
          <w:spacing w:val="120"/>
          <w:sz w:val="16"/>
          <w:szCs w:val="16"/>
        </w:rPr>
        <w:t xml:space="preserve">CAMPAIGN FRAME</w:t>
      </w:r>
    </w:p>
    <w:p>
      <w:pPr>
        <w:spacing w:before="80" w:after="120"/>
      </w:pPr>
      <w:r>
        <w:rPr>
          <w:rFonts w:ascii="Arial" w:cs="Arial" w:eastAsia="Arial" w:hAnsi="Arial"/>
          <w:i w:val="false"/>
          <w:iCs w:val="false"/>
          <w:color w:val="0B2545"/>
          <w:sz w:val="20"/>
          <w:szCs w:val="20"/>
        </w:rPr>
        <w:t xml:space="preserve">The campaign title is the insight: plastic doesn't disappear when it enters the ocean. It persists, migrates, and concentrates. Neither should the regulatory impulse disappear after a UN summit communiqué. The data is the argument. The map is the evidence. The policy ask is specific.</w:t>
      </w:r>
    </w:p>
    <w:p>
      <w:pPr>
        <w:spacing w:before="100" w:after="0"/>
      </w:pPr>
    </w:p>
    <w:p>
      <w:pPr>
        <w:pBdr>
          <w:bottom w:val="single" w:color="CBD5E0" w:sz="2" w:space="1"/>
        </w:pBdr>
        <w:spacing w:before="120" w:after="120"/>
      </w:pPr>
    </w:p>
    <w:p>
      <w:pPr>
        <w:spacing w:before="100" w:after="0"/>
      </w:pPr>
    </w:p>
    <w:p>
      <w:pPr>
        <w:spacing w:before="280" w:after="60"/>
      </w:pPr>
      <w:r>
        <w:rPr>
          <w:rFonts w:ascii="Arial" w:cs="Arial" w:eastAsia="Arial" w:hAnsi="Arial"/>
          <w:b/>
          <w:bCs/>
          <w:color w:val="007EA7"/>
          <w:spacing w:val="120"/>
          <w:sz w:val="16"/>
          <w:szCs w:val="16"/>
        </w:rPr>
        <w:t xml:space="preserve">STAKEHOLDER COMMUNICATIONS MATRIX</w:t>
      </w:r>
    </w:p>
    <w:p>
      <w:pPr>
        <w:spacing w:before="80" w:after="120"/>
      </w:pPr>
      <w:r>
        <w:rPr>
          <w:rFonts w:ascii="Arial" w:cs="Arial" w:eastAsia="Arial" w:hAnsi="Arial"/>
          <w:i w:val="false"/>
          <w:iCs w:val="false"/>
          <w:color w:val="0B2545"/>
          <w:sz w:val="20"/>
          <w:szCs w:val="20"/>
        </w:rPr>
        <w:t xml:space="preserve">Each stakeholder group requires distinct framing, different language registers, and unique asks. This matrix governs all outreach sequencing.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Stakeholder</w:t>
            </w:r>
          </w:p>
        </w:tc>
        <w:tc>
          <w:tcPr>
            <w:tcW w:type="dxa" w:w="19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Primary Interest</w:t>
            </w:r>
          </w:p>
        </w:tc>
        <w:tc>
          <w:tcPr>
            <w:tcW w:type="dxa" w:w="19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Ask / CTA</w:t>
            </w:r>
          </w:p>
        </w:tc>
        <w:tc>
          <w:tcPr>
            <w:tcW w:type="dxa" w:w="19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Key Message</w:t>
            </w:r>
          </w:p>
        </w:tc>
        <w:tc>
          <w:tcPr>
            <w:tcW w:type="dxa" w:w="17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Channel</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UNEP Officials</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Treaty evidence base</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Cite dataset in Global Plastics Treaty appendix</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This data meets evidentiary standards for international law</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Direct briefing · White paper</w:t>
            </w:r>
          </w:p>
        </w:tc>
      </w:tr>
      <w:tr>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National EPA Leads</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Domestic enforcement tools</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Pilot density monitoring in regulatory framework</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Jurisdiction-level data available on request</w:t>
            </w:r>
          </w:p>
        </w:tc>
        <w:tc>
          <w:tcPr>
            <w:tcW w:type="dxa" w:w="1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Targeted outreach · Policy memo</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Environmental NGOs</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Advocacy ammunition</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Embed map in campaign materials</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The evidence is finally good enough to fight with</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Coalition emails · Social co-posts</w:t>
            </w:r>
          </w:p>
        </w:tc>
      </w:tr>
      <w:tr>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Policy Journalists</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News hook + access</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Cover joint report release</w:t>
            </w:r>
          </w:p>
        </w:tc>
        <w:tc>
          <w:tcPr>
            <w:tcW w:type="dxa" w:w="19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Three organizations. One dataset. Real regulatory consequences.</w:t>
            </w:r>
          </w:p>
        </w:tc>
        <w:tc>
          <w:tcPr>
            <w:tcW w:type="dxa" w:w="1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Press release · Embargo</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University Partners</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Research validation + citation</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Co-author methodology paper</w:t>
            </w:r>
          </w:p>
        </w:tc>
        <w:tc>
          <w:tcPr>
            <w:tcW w:type="dxa" w:w="1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Peer-reviewed pipeline, open for replication</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Academic journals · Research newsletters</w:t>
            </w:r>
          </w:p>
        </w:tc>
      </w:tr>
    </w:tbl>
    <w:p>
      <w:pPr>
        <w:spacing w:before="200" w:after="0"/>
      </w:pPr>
    </w:p>
    <w:p>
      <w:pPr>
        <w:spacing w:before="280" w:after="60"/>
      </w:pPr>
      <w:r>
        <w:rPr>
          <w:rFonts w:ascii="Arial" w:cs="Arial" w:eastAsia="Arial" w:hAnsi="Arial"/>
          <w:b/>
          <w:bCs/>
          <w:color w:val="007EA7"/>
          <w:spacing w:val="120"/>
          <w:sz w:val="16"/>
          <w:szCs w:val="16"/>
        </w:rPr>
        <w:t xml:space="preserve">OP-ED — SPECIFICATION</w:t>
      </w:r>
    </w:p>
    <w:p>
      <w:pPr>
        <w:spacing w:before="80" w:after="80"/>
      </w:pPr>
      <w:r>
        <w:rPr>
          <w:rFonts w:ascii="Arial" w:cs="Arial" w:eastAsia="Arial" w:hAnsi="Arial"/>
          <w:b/>
          <w:bCs/>
          <w:color w:val="0B2545"/>
          <w:sz w:val="20"/>
          <w:szCs w:val="20"/>
        </w:rPr>
        <w:t xml:space="preserve">Title:</w:t>
      </w:r>
    </w:p>
    <w:p>
      <w:pPr>
        <w:spacing w:before="80" w:after="120"/>
      </w:pPr>
      <w:r>
        <w:rPr>
          <w:rFonts w:ascii="Arial" w:cs="Arial" w:eastAsia="Arial" w:hAnsi="Arial"/>
          <w:i w:val="false"/>
          <w:iCs w:val="false"/>
          <w:color w:val="0B2545"/>
          <w:sz w:val="20"/>
          <w:szCs w:val="20"/>
        </w:rPr>
        <w:t xml:space="preserve">"The Ocean Has a Memory"</w:t>
      </w:r>
    </w:p>
    <w:p>
      <w:pPr>
        <w:spacing w:before="80" w:after="80"/>
      </w:pPr>
      <w:r>
        <w:rPr>
          <w:rFonts w:ascii="Arial" w:cs="Arial" w:eastAsia="Arial" w:hAnsi="Arial"/>
          <w:b/>
          <w:bCs/>
          <w:color w:val="0B2545"/>
          <w:sz w:val="20"/>
          <w:szCs w:val="20"/>
        </w:rPr>
        <w:t xml:space="preserve">Target Outlets (in priority order):</w:t>
      </w:r>
    </w:p>
    <w:p>
      <w:pPr>
        <w:pStyle w:val="ListParagraph"/>
        <w:numPr>
          <w:ilvl w:val="0"/>
          <w:numId w:val="2"/>
        </w:numPr>
        <w:spacing w:before="60" w:after="60"/>
      </w:pPr>
      <w:r>
        <w:rPr>
          <w:rFonts w:ascii="Arial" w:cs="Arial" w:eastAsia="Arial" w:hAnsi="Arial"/>
          <w:color w:val="0B2545"/>
          <w:sz w:val="20"/>
          <w:szCs w:val="20"/>
        </w:rPr>
        <w:t xml:space="preserve">Nature (Comment section) — scientific credibility</w:t>
      </w:r>
    </w:p>
    <w:p>
      <w:pPr>
        <w:pStyle w:val="ListParagraph"/>
        <w:numPr>
          <w:ilvl w:val="0"/>
          <w:numId w:val="2"/>
        </w:numPr>
        <w:spacing w:before="60" w:after="60"/>
      </w:pPr>
      <w:r>
        <w:rPr>
          <w:rFonts w:ascii="Arial" w:cs="Arial" w:eastAsia="Arial" w:hAnsi="Arial"/>
          <w:color w:val="0B2545"/>
          <w:sz w:val="20"/>
          <w:szCs w:val="20"/>
        </w:rPr>
        <w:t xml:space="preserve">The Atlantic — environmental narrative reach</w:t>
      </w:r>
    </w:p>
    <w:p>
      <w:pPr>
        <w:pStyle w:val="ListParagraph"/>
        <w:numPr>
          <w:ilvl w:val="0"/>
          <w:numId w:val="2"/>
        </w:numPr>
        <w:spacing w:before="60" w:after="60"/>
      </w:pPr>
      <w:r>
        <w:rPr>
          <w:rFonts w:ascii="Arial" w:cs="Arial" w:eastAsia="Arial" w:hAnsi="Arial"/>
          <w:color w:val="0B2545"/>
          <w:sz w:val="20"/>
          <w:szCs w:val="20"/>
        </w:rPr>
        <w:t xml:space="preserve">Politico Pro (Environment) — policy audience</w:t>
      </w:r>
    </w:p>
    <w:p>
      <w:pPr>
        <w:pStyle w:val="ListParagraph"/>
        <w:numPr>
          <w:ilvl w:val="0"/>
          <w:numId w:val="2"/>
        </w:numPr>
        <w:spacing w:before="60" w:after="60"/>
      </w:pPr>
      <w:r>
        <w:rPr>
          <w:rFonts w:ascii="Arial" w:cs="Arial" w:eastAsia="Arial" w:hAnsi="Arial"/>
          <w:color w:val="0B2545"/>
          <w:sz w:val="20"/>
          <w:szCs w:val="20"/>
        </w:rPr>
        <w:t xml:space="preserve">The Guardian (Environment) — public reach + activist readership</w:t>
      </w:r>
    </w:p>
    <w:p>
      <w:pPr>
        <w:spacing w:before="80" w:after="0"/>
      </w:pPr>
    </w:p>
    <w:p>
      <w:pPr>
        <w:spacing w:before="80" w:after="80"/>
      </w:pPr>
      <w:r>
        <w:rPr>
          <w:rFonts w:ascii="Arial" w:cs="Arial" w:eastAsia="Arial" w:hAnsi="Arial"/>
          <w:b/>
          <w:bCs/>
          <w:color w:val="0B2545"/>
          <w:sz w:val="20"/>
          <w:szCs w:val="20"/>
        </w:rPr>
        <w:t xml:space="preserve">Argument Structure:</w:t>
      </w:r>
    </w:p>
    <w:p>
      <w:pPr>
        <w:pStyle w:val="ListParagraph"/>
        <w:numPr>
          <w:ilvl w:val="0"/>
          <w:numId w:val="2"/>
        </w:numPr>
        <w:spacing w:before="60" w:after="60"/>
      </w:pPr>
      <w:r>
        <w:rPr>
          <w:rFonts w:ascii="Arial" w:cs="Arial" w:eastAsia="Arial" w:hAnsi="Arial"/>
          <w:color w:val="0B2545"/>
          <w:sz w:val="20"/>
          <w:szCs w:val="20"/>
        </w:rPr>
        <w:t xml:space="preserve">Opening: The ocean doesn't forget what we put in it. Microplastics accumulate in the same current systems, year after year — but until now, we couldn't see where.</w:t>
      </w:r>
    </w:p>
    <w:p>
      <w:pPr>
        <w:pStyle w:val="ListParagraph"/>
        <w:numPr>
          <w:ilvl w:val="0"/>
          <w:numId w:val="2"/>
        </w:numPr>
        <w:spacing w:before="60" w:after="60"/>
      </w:pPr>
      <w:r>
        <w:rPr>
          <w:rFonts w:ascii="Arial" w:cs="Arial" w:eastAsia="Arial" w:hAnsi="Arial"/>
          <w:color w:val="0B2545"/>
          <w:sz w:val="20"/>
          <w:szCs w:val="20"/>
        </w:rPr>
        <w:t xml:space="preserve">Turn 1: Introduce the map — not as a product announcement, but as a scientific fact that changes what we know.</w:t>
      </w:r>
    </w:p>
    <w:p>
      <w:pPr>
        <w:pStyle w:val="ListParagraph"/>
        <w:numPr>
          <w:ilvl w:val="0"/>
          <w:numId w:val="2"/>
        </w:numPr>
        <w:spacing w:before="60" w:after="60"/>
      </w:pPr>
      <w:r>
        <w:rPr>
          <w:rFonts w:ascii="Arial" w:cs="Arial" w:eastAsia="Arial" w:hAnsi="Arial"/>
          <w:color w:val="0B2545"/>
          <w:sz w:val="20"/>
          <w:szCs w:val="20"/>
        </w:rPr>
        <w:t xml:space="preserve">Turn 2: The regulatory gap. International treaties on ocean plastic exist but lack the evidentiary standards to enforce. This data changes that.</w:t>
      </w:r>
    </w:p>
    <w:p>
      <w:pPr>
        <w:pStyle w:val="ListParagraph"/>
        <w:numPr>
          <w:ilvl w:val="0"/>
          <w:numId w:val="2"/>
        </w:numPr>
        <w:spacing w:before="60" w:after="60"/>
      </w:pPr>
      <w:r>
        <w:rPr>
          <w:rFonts w:ascii="Arial" w:cs="Arial" w:eastAsia="Arial" w:hAnsi="Arial"/>
          <w:color w:val="0B2545"/>
          <w:sz w:val="20"/>
          <w:szCs w:val="20"/>
        </w:rPr>
        <w:t xml:space="preserve">Turn 3: The coalition. What happens when a data company, a policy organization, and a university research lab agree that the evidence is finally ready?</w:t>
      </w:r>
    </w:p>
    <w:p>
      <w:pPr>
        <w:pStyle w:val="ListParagraph"/>
        <w:numPr>
          <w:ilvl w:val="0"/>
          <w:numId w:val="2"/>
        </w:numPr>
        <w:spacing w:before="60" w:after="60"/>
      </w:pPr>
      <w:r>
        <w:rPr>
          <w:rFonts w:ascii="Arial" w:cs="Arial" w:eastAsia="Arial" w:hAnsi="Arial"/>
          <w:color w:val="0B2545"/>
          <w:sz w:val="20"/>
          <w:szCs w:val="20"/>
        </w:rPr>
        <w:t xml:space="preserve">Close: The ocean has a memory. Our governance frameworks are still suffering from amnesia. Not anymore.</w:t>
      </w:r>
    </w:p>
    <w:p>
      <w:pPr>
        <w:spacing w:before="80" w:after="0"/>
      </w:pPr>
    </w:p>
    <w:p>
      <w:pPr>
        <w:spacing w:before="80" w:after="80"/>
      </w:pPr>
      <w:r>
        <w:rPr>
          <w:rFonts w:ascii="Arial" w:cs="Arial" w:eastAsia="Arial" w:hAnsi="Arial"/>
          <w:b/>
          <w:bCs/>
          <w:color w:val="0B2545"/>
          <w:sz w:val="20"/>
          <w:szCs w:val="20"/>
        </w:rPr>
        <w:t xml:space="preserve">Byline:</w:t>
      </w:r>
    </w:p>
    <w:p>
      <w:pPr>
        <w:spacing w:before="80" w:after="120"/>
      </w:pPr>
      <w:r>
        <w:rPr>
          <w:rFonts w:ascii="Arial" w:cs="Arial" w:eastAsia="Arial" w:hAnsi="Arial"/>
          <w:i w:val="false"/>
          <w:iCs w:val="false"/>
          <w:color w:val="0B2545"/>
          <w:sz w:val="20"/>
          <w:szCs w:val="20"/>
        </w:rPr>
        <w:t xml:space="preserve">Co-authored: Pelagic IntelX CEO + Policy Partner Executive Director</w:t>
      </w:r>
    </w:p>
    <w:p>
      <w:pPr>
        <w:spacing w:before="200" w:after="0"/>
      </w:pPr>
    </w:p>
    <w:p>
      <w:pPr>
        <w:spacing w:before="280" w:after="60"/>
      </w:pPr>
      <w:r>
        <w:rPr>
          <w:rFonts w:ascii="Arial" w:cs="Arial" w:eastAsia="Arial" w:hAnsi="Arial"/>
          <w:b/>
          <w:bCs/>
          <w:color w:val="007EA7"/>
          <w:spacing w:val="120"/>
          <w:sz w:val="16"/>
          <w:szCs w:val="16"/>
        </w:rPr>
        <w:t xml:space="preserve">GOOGLE ADS BRIEF — POLICY SEARCH CAMPAIGN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Campaign Goal</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Drive policy audience to joint report landing page</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Target Keywords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ocean plastic regulation · microplastic policy · Global Plastics Treaty data · AI environmental monitoring · ocean pollution enforcement</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Headline Variants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1. The Data Behind Global Plastics Policy</w:t>
            </w:r>
          </w:p>
          <w:p>
            <w:r>
              <w:rPr>
                <w:rFonts w:ascii="Arial" w:cs="Arial" w:eastAsia="Arial" w:hAnsi="Arial"/>
                <w:color w:val="0B2545"/>
                <w:sz w:val="18"/>
                <w:szCs w:val="18"/>
              </w:rPr>
              <w:t xml:space="preserve">2. AI Mapping Makes Ocean Plastic Regulation Possible</w:t>
            </w:r>
          </w:p>
          <w:p>
            <w:r>
              <w:rPr>
                <w:rFonts w:ascii="Arial" w:cs="Arial" w:eastAsia="Arial" w:hAnsi="Arial"/>
                <w:color w:val="0B2545"/>
                <w:sz w:val="18"/>
                <w:szCs w:val="18"/>
              </w:rPr>
              <w:t xml:space="preserve">3. Read the Report: Ocean Plastic, AI, and Enforcement</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Target Audience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Government / regulatory roles · Environmental law / policy · UN / UNEP adjacent · NGO leadership · Academic researchers (environmental policy)</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Monthly Budget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$4,500 — concentrated in 30-day report release window</w:t>
            </w:r>
          </w:p>
        </w:tc>
      </w:tr>
    </w:tbl>
    <w:p>
      <w:pPr>
        <w:spacing w:before="200" w:after="0"/>
      </w:pPr>
    </w:p>
    <w:p>
      <w:pPr>
        <w:spacing w:before="280" w:after="60"/>
      </w:pPr>
      <w:r>
        <w:rPr>
          <w:rFonts w:ascii="Arial" w:cs="Arial" w:eastAsia="Arial" w:hAnsi="Arial"/>
          <w:b/>
          <w:bCs/>
          <w:color w:val="007EA7"/>
          <w:spacing w:val="120"/>
          <w:sz w:val="16"/>
          <w:szCs w:val="16"/>
        </w:rPr>
        <w:t xml:space="preserve">SUCCESS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053"/>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Baseline</w:t>
            </w:r>
          </w:p>
        </w:tc>
        <w:tc>
          <w:tcPr>
            <w:tcW w:type="dxa" w:w="2053"/>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Target (60 days)</w:t>
            </w:r>
          </w:p>
        </w:tc>
        <w:tc>
          <w:tcPr>
            <w:tcW w:type="dxa" w:w="2054"/>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Source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Joint report downloads</w:t>
            </w:r>
          </w:p>
        </w:tc>
        <w:tc>
          <w:tcPr>
            <w:tcW w:type="dxa" w:w="2053"/>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053"/>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5,000</w:t>
            </w:r>
          </w:p>
        </w:tc>
        <w:tc>
          <w:tcPr>
            <w:tcW w:type="dxa" w:w="2054"/>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Download tracker</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Op-ed placements</w:t>
            </w:r>
          </w:p>
        </w:tc>
        <w:tc>
          <w:tcPr>
            <w:tcW w:type="dxa" w:w="2053"/>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053"/>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2 outlets</w:t>
            </w:r>
          </w:p>
        </w:tc>
        <w:tc>
          <w:tcPr>
            <w:tcW w:type="dxa" w:w="2054"/>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Media monitoring</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Policy briefing requests</w:t>
            </w:r>
          </w:p>
        </w:tc>
        <w:tc>
          <w:tcPr>
            <w:tcW w:type="dxa" w:w="2053"/>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053"/>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8+ orgs</w:t>
            </w:r>
          </w:p>
        </w:tc>
        <w:tc>
          <w:tcPr>
            <w:tcW w:type="dxa" w:w="2054"/>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CRM</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Coalition co-signatories</w:t>
            </w:r>
          </w:p>
        </w:tc>
        <w:tc>
          <w:tcPr>
            <w:tcW w:type="dxa" w:w="2053"/>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053"/>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12+</w:t>
            </w:r>
          </w:p>
        </w:tc>
        <w:tc>
          <w:tcPr>
            <w:tcW w:type="dxa" w:w="2054"/>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Partner tracking</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Google Ads CTR</w:t>
            </w:r>
          </w:p>
        </w:tc>
        <w:tc>
          <w:tcPr>
            <w:tcW w:type="dxa" w:w="2053"/>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2.1% (industry avg)</w:t>
            </w:r>
          </w:p>
        </w:tc>
        <w:tc>
          <w:tcPr>
            <w:tcW w:type="dxa" w:w="2053"/>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3.5%+</w:t>
            </w:r>
          </w:p>
        </w:tc>
        <w:tc>
          <w:tcPr>
            <w:tcW w:type="dxa" w:w="2054"/>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Google Ads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Regulatory citation (6mo)</w:t>
            </w:r>
          </w:p>
        </w:tc>
        <w:tc>
          <w:tcPr>
            <w:tcW w:type="dxa" w:w="2053"/>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w:t>
            </w:r>
          </w:p>
        </w:tc>
        <w:tc>
          <w:tcPr>
            <w:tcW w:type="dxa" w:w="2053"/>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1+ formal citation</w:t>
            </w:r>
          </w:p>
        </w:tc>
        <w:tc>
          <w:tcPr>
            <w:tcW w:type="dxa" w:w="2054"/>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Policy tracking</w:t>
            </w:r>
          </w:p>
        </w:tc>
      </w:tr>
    </w:tbl>
    <w:p>
      <w:r>
        <w:br w:type="page"/>
      </w:r>
    </w:p>
    <w:p>
      <w:pPr>
        <w:spacing w:before="0" w:after="60"/>
      </w:pPr>
      <w:r>
        <w:rPr>
          <w:rFonts w:ascii="Arial" w:cs="Arial" w:eastAsia="Arial" w:hAnsi="Arial"/>
          <w:b/>
          <w:bCs/>
          <w:color w:val="007EA7"/>
          <w:sz w:val="36"/>
          <w:szCs w:val="36"/>
        </w:rPr>
        <w:t xml:space="preserve">PRD 4 — </w:t>
      </w:r>
      <w:r>
        <w:rPr>
          <w:rFonts w:ascii="Arial" w:cs="Arial" w:eastAsia="Arial" w:hAnsi="Arial"/>
          <w:b/>
          <w:bCs/>
          <w:color w:val="0B2545"/>
          <w:sz w:val="36"/>
          <w:szCs w:val="36"/>
        </w:rPr>
        <w:t xml:space="preserve">Data Pipeline — Intelligence Layer</w:t>
      </w:r>
    </w:p>
    <w:p>
      <w:pPr>
        <w:spacing w:before="80" w:after="120"/>
      </w:pPr>
      <w:r>
        <w:rPr>
          <w:rFonts w:ascii="Arial" w:cs="Arial" w:eastAsia="Arial" w:hAnsi="Arial"/>
          <w:i w:val="false"/>
          <w:iCs w:val="false"/>
          <w:color w:val="0B2545"/>
          <w:sz w:val="20"/>
          <w:szCs w:val="20"/>
        </w:rPr>
        <w:t xml:space="preserve">The data pipeline is not just infrastructure — it is part of the portfolio signal. Demonstrating that the communications strategy is grounded in real social listening and search intelligence differentiates this application from strategy decks built on intuition alone.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Pipeline Location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/data directory — separate from frontend</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Output Format</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JSON / CSV — consumed as static files by React frontend</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Languages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Python 3.11+</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Notebook Format</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Jupyter — documented methodology, reproducible</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GitHub Visibility</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Public — methodology transparency is a portfolio signal</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Runtime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One-time batch — no live API calls in production</w:t>
            </w:r>
          </w:p>
        </w:tc>
      </w:tr>
    </w:tbl>
    <w:p>
      <w:pPr>
        <w:spacing w:before="200" w:after="0"/>
      </w:pPr>
    </w:p>
    <w:p>
      <w:pPr>
        <w:spacing w:before="280" w:after="60"/>
      </w:pPr>
      <w:r>
        <w:rPr>
          <w:rFonts w:ascii="Arial" w:cs="Arial" w:eastAsia="Arial" w:hAnsi="Arial"/>
          <w:b/>
          <w:bCs/>
          <w:color w:val="007EA7"/>
          <w:spacing w:val="120"/>
          <w:sz w:val="16"/>
          <w:szCs w:val="16"/>
        </w:rPr>
        <w:t xml:space="preserve">DATA SOURCES &amp; TOOLS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560"/>
        <w:gridCol w:w="2500"/>
      </w:tblGrid>
      <w:tr>
        <w:trPr>
          <w:tblHeader/>
        </w:trPr>
        <w:tc>
          <w:tcPr>
            <w:tcW w:type="dxa" w:w="22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21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Tool</w:t>
            </w:r>
          </w:p>
        </w:tc>
        <w:tc>
          <w:tcPr>
            <w:tcW w:type="dxa" w:w="25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Data Type</w:t>
            </w:r>
          </w:p>
        </w:tc>
        <w:tc>
          <w:tcPr>
            <w:tcW w:type="dxa" w:w="25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Site Usage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Google Trends</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Pytrends</w:t>
            </w:r>
          </w:p>
        </w:tc>
        <w:tc>
          <w:tcPr>
            <w:tcW w:type="dxa" w:w="2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Search interest over time by keyword</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line chart — search trend</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Reddit</w:t>
            </w:r>
          </w:p>
        </w:tc>
        <w:tc>
          <w:tcPr>
            <w:tcW w:type="dxa" w:w="2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PRAW (Reddit API)</w:t>
            </w:r>
          </w:p>
        </w:tc>
        <w:tc>
          <w:tcPr>
            <w:tcW w:type="dxa" w:w="25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Post/comment text from 4 subreddits</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word frequency / NLP cluster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Social Listening</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Brandwatch (export)</w:t>
            </w:r>
          </w:p>
        </w:tc>
        <w:tc>
          <w:tcPr>
            <w:tcW w:type="dxa" w:w="2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Mention volume, sentiment, source breakdown</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Brandwatch chart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Search Landscape</w:t>
            </w:r>
          </w:p>
        </w:tc>
        <w:tc>
          <w:tcPr>
            <w:tcW w:type="dxa" w:w="21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SerpApi</w:t>
            </w:r>
          </w:p>
        </w:tc>
        <w:tc>
          <w:tcPr>
            <w:tcW w:type="dxa" w:w="25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SERP features, keyword ranking, question clusters</w:t>
            </w:r>
          </w:p>
        </w:tc>
        <w:tc>
          <w:tcPr>
            <w:tcW w:type="dxa" w:w="25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keyword data callouts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NLP Processing</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NLTK / spaCy</w:t>
            </w:r>
          </w:p>
        </w:tc>
        <w:tc>
          <w:tcPr>
            <w:tcW w:type="dxa" w:w="2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Frequency analysis, key phrase extraction, vocabulary gap</w:t>
            </w:r>
          </w:p>
        </w:tc>
        <w:tc>
          <w:tcPr>
            <w:tcW w:type="dxa" w:w="25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language cluster visual</w:t>
            </w:r>
          </w:p>
        </w:tc>
      </w:tr>
    </w:tbl>
    <w:p>
      <w:pPr>
        <w:spacing w:before="200" w:after="0"/>
      </w:pPr>
    </w:p>
    <w:p>
      <w:pPr>
        <w:spacing w:before="280" w:after="60"/>
      </w:pPr>
      <w:r>
        <w:rPr>
          <w:rFonts w:ascii="Arial" w:cs="Arial" w:eastAsia="Arial" w:hAnsi="Arial"/>
          <w:b/>
          <w:bCs/>
          <w:color w:val="007EA7"/>
          <w:spacing w:val="120"/>
          <w:sz w:val="16"/>
          <w:szCs w:val="16"/>
        </w:rPr>
        <w:t xml:space="preserve">REDDIT SUBREDDITS — QUERY SCOPE</w:t>
      </w:r>
    </w:p>
    <w:p>
      <w:pPr>
        <w:pStyle w:val="ListParagraph"/>
        <w:numPr>
          <w:ilvl w:val="0"/>
          <w:numId w:val="2"/>
        </w:numPr>
        <w:spacing w:before="60" w:after="60"/>
      </w:pPr>
      <w:r>
        <w:rPr>
          <w:rFonts w:ascii="Arial" w:cs="Arial" w:eastAsia="Arial" w:hAnsi="Arial"/>
          <w:color w:val="0B2545"/>
          <w:sz w:val="20"/>
          <w:szCs w:val="20"/>
        </w:rPr>
        <w:t xml:space="preserve">r/environment — mainstream environmental audience</w:t>
      </w:r>
    </w:p>
    <w:p>
      <w:pPr>
        <w:pStyle w:val="ListParagraph"/>
        <w:numPr>
          <w:ilvl w:val="0"/>
          <w:numId w:val="2"/>
        </w:numPr>
        <w:spacing w:before="60" w:after="60"/>
      </w:pPr>
      <w:r>
        <w:rPr>
          <w:rFonts w:ascii="Arial" w:cs="Arial" w:eastAsia="Arial" w:hAnsi="Arial"/>
          <w:color w:val="0B2545"/>
          <w:sz w:val="20"/>
          <w:szCs w:val="20"/>
        </w:rPr>
        <w:t xml:space="preserve">r/Futurology — tech-optimist framing of ocean plastic / AI solutions</w:t>
      </w:r>
    </w:p>
    <w:p>
      <w:pPr>
        <w:pStyle w:val="ListParagraph"/>
        <w:numPr>
          <w:ilvl w:val="0"/>
          <w:numId w:val="2"/>
        </w:numPr>
        <w:spacing w:before="60" w:after="60"/>
      </w:pPr>
      <w:r>
        <w:rPr>
          <w:rFonts w:ascii="Arial" w:cs="Arial" w:eastAsia="Arial" w:hAnsi="Arial"/>
          <w:color w:val="0B2545"/>
          <w:sz w:val="20"/>
          <w:szCs w:val="20"/>
        </w:rPr>
        <w:t xml:space="preserve">r/collapse — doomer framing — vocabulary around systemic failure</w:t>
      </w:r>
    </w:p>
    <w:p>
      <w:pPr>
        <w:pStyle w:val="ListParagraph"/>
        <w:numPr>
          <w:ilvl w:val="0"/>
          <w:numId w:val="2"/>
        </w:numPr>
        <w:spacing w:before="60" w:after="60"/>
      </w:pPr>
      <w:r>
        <w:rPr>
          <w:rFonts w:ascii="Arial" w:cs="Arial" w:eastAsia="Arial" w:hAnsi="Arial"/>
          <w:color w:val="0B2545"/>
          <w:sz w:val="20"/>
          <w:szCs w:val="20"/>
        </w:rPr>
        <w:t xml:space="preserve">r/MachineLearning — how AI community talks about environmental applications</w:t>
      </w:r>
    </w:p>
    <w:p>
      <w:pPr>
        <w:spacing w:before="60" w:after="0"/>
      </w:pPr>
    </w:p>
    <w:p>
      <w:pPr>
        <w:spacing w:before="80" w:after="120"/>
      </w:pPr>
      <w:r>
        <w:rPr>
          <w:rFonts w:ascii="Arial" w:cs="Arial" w:eastAsia="Arial" w:hAnsi="Arial"/>
          <w:i w:val="false"/>
          <w:iCs w:val="false"/>
          <w:color w:val="0B2545"/>
          <w:sz w:val="20"/>
          <w:szCs w:val="20"/>
        </w:rPr>
        <w:t xml:space="preserve">NLP objective: Identify vocabulary gaps between scientific language ('particulate distribution', 'density mapping') and public discourse ('where is the plastic', 'can we clean it up'). This gap analysis directly informs the message architecture in Chapter 2.</w:t>
      </w:r>
    </w:p>
    <w:p>
      <w:pPr>
        <w:spacing w:before="200" w:after="0"/>
      </w:pPr>
    </w:p>
    <w:p>
      <w:pPr>
        <w:spacing w:before="280" w:after="60"/>
      </w:pPr>
      <w:r>
        <w:rPr>
          <w:rFonts w:ascii="Arial" w:cs="Arial" w:eastAsia="Arial" w:hAnsi="Arial"/>
          <w:b/>
          <w:bCs/>
          <w:color w:val="007EA7"/>
          <w:spacing w:val="120"/>
          <w:sz w:val="16"/>
          <w:szCs w:val="16"/>
        </w:rPr>
        <w:t xml:space="preserve">OUTPUT FILE INVENTORY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4180"/>
      </w:tblGrid>
      <w:tr>
        <w:trPr>
          <w:tblHeader/>
        </w:trPr>
        <w:tc>
          <w:tcPr>
            <w:tcW w:type="dxa" w:w="30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File</w:t>
            </w:r>
          </w:p>
        </w:tc>
        <w:tc>
          <w:tcPr>
            <w:tcW w:type="dxa" w:w="218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Format</w:t>
            </w:r>
          </w:p>
        </w:tc>
        <w:tc>
          <w:tcPr>
            <w:tcW w:type="dxa" w:w="418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Consumed By</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search_trends.json</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JSON</w:t>
            </w:r>
          </w:p>
        </w:tc>
        <w:tc>
          <w:tcPr>
            <w:tcW w:type="dxa" w:w="4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 Recharts line chart component</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reddit_word_freq.json</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JSON</w:t>
            </w:r>
          </w:p>
        </w:tc>
        <w:tc>
          <w:tcPr>
            <w:tcW w:type="dxa" w:w="4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 Word frequency visualization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brandwatch_mentions.json</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JSON</w:t>
            </w:r>
          </w:p>
        </w:tc>
        <w:tc>
          <w:tcPr>
            <w:tcW w:type="dxa" w:w="4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 Brandwatch Plotly/Recharts chart</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vocabulary_gap.json</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JSON</w:t>
            </w:r>
          </w:p>
        </w:tc>
        <w:tc>
          <w:tcPr>
            <w:tcW w:type="dxa" w:w="4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1 — Language cluster callout visual</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plastic_density.geojson</w:t>
            </w:r>
          </w:p>
        </w:tc>
        <w:tc>
          <w:tcPr>
            <w:tcW w:type="dxa" w:w="2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GeoJSON</w:t>
            </w:r>
          </w:p>
        </w:tc>
        <w:tc>
          <w:tcPr>
            <w:tcW w:type="dxa" w:w="41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3 — Mapbox GL JS density layer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findings.md</w:t>
            </w:r>
          </w:p>
        </w:tc>
        <w:tc>
          <w:tcPr>
            <w:tcW w:type="dxa" w:w="2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Markdown</w:t>
            </w:r>
          </w:p>
        </w:tc>
        <w:tc>
          <w:tcPr>
            <w:tcW w:type="dxa" w:w="41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GitHub README — methodology narrative</w:t>
            </w:r>
          </w:p>
        </w:tc>
      </w:tr>
    </w:tbl>
    <w:p>
      <w:pPr>
        <w:spacing w:before="200" w:after="0"/>
      </w:pPr>
    </w:p>
    <w:p>
      <w:pPr>
        <w:spacing w:before="280" w:after="60"/>
      </w:pPr>
      <w:r>
        <w:rPr>
          <w:rFonts w:ascii="Arial" w:cs="Arial" w:eastAsia="Arial" w:hAnsi="Arial"/>
          <w:b/>
          <w:bCs/>
          <w:color w:val="007EA7"/>
          <w:spacing w:val="120"/>
          <w:sz w:val="16"/>
          <w:szCs w:val="16"/>
        </w:rPr>
        <w:t xml:space="preserve">SYNTHETIC DATA — MAPBOX DENSITY LAYER</w:t>
      </w:r>
    </w:p>
    <w:p>
      <w:pPr>
        <w:spacing w:before="80" w:after="120"/>
      </w:pPr>
      <w:r>
        <w:rPr>
          <w:rFonts w:ascii="Arial" w:cs="Arial" w:eastAsia="Arial" w:hAnsi="Arial"/>
          <w:i w:val="false"/>
          <w:iCs w:val="false"/>
          <w:color w:val="0B2545"/>
          <w:sz w:val="20"/>
          <w:szCs w:val="20"/>
        </w:rPr>
        <w:t xml:space="preserve">The ocean plastic density data (plastic_density.geojson) is programmatically generated. It is NOT real Pelagic IntelX proprietary data. Generation approach:</w:t>
      </w:r>
    </w:p>
    <w:p>
      <w:pPr>
        <w:pStyle w:val="ListParagraph"/>
        <w:numPr>
          <w:ilvl w:val="0"/>
          <w:numId w:val="2"/>
        </w:numPr>
        <w:spacing w:before="60" w:after="60"/>
      </w:pPr>
      <w:r>
        <w:rPr>
          <w:rFonts w:ascii="Arial" w:cs="Arial" w:eastAsia="Arial" w:hAnsi="Arial"/>
          <w:color w:val="0B2545"/>
          <w:sz w:val="20"/>
          <w:szCs w:val="20"/>
        </w:rPr>
        <w:t xml:space="preserve">Seed concentration zones at known accumulation areas (North Pacific Gyre center, coastal Southeast Asia accumulation zones, Mediterranean micro-concentration)</w:t>
      </w:r>
    </w:p>
    <w:p>
      <w:pPr>
        <w:pStyle w:val="ListParagraph"/>
        <w:numPr>
          <w:ilvl w:val="0"/>
          <w:numId w:val="2"/>
        </w:numPr>
        <w:spacing w:before="60" w:after="60"/>
      </w:pPr>
      <w:r>
        <w:rPr>
          <w:rFonts w:ascii="Arial" w:cs="Arial" w:eastAsia="Arial" w:hAnsi="Arial"/>
          <w:color w:val="0B2545"/>
          <w:sz w:val="20"/>
          <w:szCs w:val="20"/>
        </w:rPr>
        <w:t xml:space="preserve">Apply Gaussian spread functions with variance tuned to match published NOAA accumulation models</w:t>
      </w:r>
    </w:p>
    <w:p>
      <w:pPr>
        <w:pStyle w:val="ListParagraph"/>
        <w:numPr>
          <w:ilvl w:val="0"/>
          <w:numId w:val="2"/>
        </w:numPr>
        <w:spacing w:before="60" w:after="60"/>
      </w:pPr>
      <w:r>
        <w:rPr>
          <w:rFonts w:ascii="Arial" w:cs="Arial" w:eastAsia="Arial" w:hAnsi="Arial"/>
          <w:color w:val="0B2545"/>
          <w:sz w:val="20"/>
          <w:szCs w:val="20"/>
        </w:rPr>
        <w:t xml:space="preserve">Add realistic noise to prevent data looking too clean</w:t>
      </w:r>
    </w:p>
    <w:p>
      <w:pPr>
        <w:pStyle w:val="ListParagraph"/>
        <w:numPr>
          <w:ilvl w:val="0"/>
          <w:numId w:val="2"/>
        </w:numPr>
        <w:spacing w:before="60" w:after="60"/>
      </w:pPr>
      <w:r>
        <w:rPr>
          <w:rFonts w:ascii="Arial" w:cs="Arial" w:eastAsia="Arial" w:hAnsi="Arial"/>
          <w:color w:val="0B2545"/>
          <w:sz w:val="20"/>
          <w:szCs w:val="20"/>
        </w:rPr>
        <w:t xml:space="preserve">Export as GeoJSON FeatureCollection with density properties for Mapbox expression-based styling</w:t>
      </w:r>
    </w:p>
    <w:p>
      <w:pPr>
        <w:spacing w:before="60" w:after="0"/>
      </w:pPr>
    </w:p>
    <w:p>
      <w:pPr>
        <w:spacing w:before="80" w:after="120"/>
      </w:pPr>
      <w:r>
        <w:rPr>
          <w:rFonts w:ascii="Arial" w:cs="Arial" w:eastAsia="Arial" w:hAnsi="Arial"/>
          <w:i w:val="false"/>
          <w:iCs w:val="false"/>
          <w:color w:val="0B2545"/>
          <w:sz w:val="20"/>
          <w:szCs w:val="20"/>
        </w:rPr>
        <w:t xml:space="preserve">Label requirement: A persistent 'Simulated data — portfolio purposes' badge is displayed on the Mapbox map at all times. This is both an ethical requirement and a transparency signal that reinforces credibility.</w:t>
      </w:r>
    </w:p>
    <w:p>
      <w:pPr>
        <w:spacing w:before="200" w:after="0"/>
      </w:pPr>
    </w:p>
    <w:p>
      <w:pPr>
        <w:spacing w:before="280" w:after="60"/>
      </w:pPr>
      <w:r>
        <w:rPr>
          <w:rFonts w:ascii="Arial" w:cs="Arial" w:eastAsia="Arial" w:hAnsi="Arial"/>
          <w:b/>
          <w:bCs/>
          <w:color w:val="007EA7"/>
          <w:spacing w:val="120"/>
          <w:sz w:val="16"/>
          <w:szCs w:val="16"/>
        </w:rPr>
        <w:t xml:space="preserve">ACCEPTANCE CRITERIA</w:t>
      </w:r>
    </w:p>
    <w:p>
      <w:pPr>
        <w:pStyle w:val="ListParagraph"/>
        <w:numPr>
          <w:ilvl w:val="0"/>
          <w:numId w:val="2"/>
        </w:numPr>
        <w:spacing w:before="60" w:after="60"/>
      </w:pPr>
      <w:r>
        <w:rPr>
          <w:rFonts w:ascii="Arial" w:cs="Arial" w:eastAsia="Arial" w:hAnsi="Arial"/>
          <w:color w:val="0B2545"/>
          <w:sz w:val="20"/>
          <w:szCs w:val="20"/>
        </w:rPr>
        <w:t xml:space="preserve">All JSON outputs are valid, parseable, and referenced correctly from React chart components</w:t>
      </w:r>
    </w:p>
    <w:p>
      <w:pPr>
        <w:pStyle w:val="ListParagraph"/>
        <w:numPr>
          <w:ilvl w:val="0"/>
          <w:numId w:val="2"/>
        </w:numPr>
        <w:spacing w:before="60" w:after="60"/>
      </w:pPr>
      <w:r>
        <w:rPr>
          <w:rFonts w:ascii="Arial" w:cs="Arial" w:eastAsia="Arial" w:hAnsi="Arial"/>
          <w:color w:val="0B2545"/>
          <w:sz w:val="20"/>
          <w:szCs w:val="20"/>
        </w:rPr>
        <w:t xml:space="preserve">Jupyter notebooks run end-to-end without errors from a clean environment</w:t>
      </w:r>
    </w:p>
    <w:p>
      <w:pPr>
        <w:pStyle w:val="ListParagraph"/>
        <w:numPr>
          <w:ilvl w:val="0"/>
          <w:numId w:val="2"/>
        </w:numPr>
        <w:spacing w:before="60" w:after="60"/>
      </w:pPr>
      <w:r>
        <w:rPr>
          <w:rFonts w:ascii="Arial" w:cs="Arial" w:eastAsia="Arial" w:hAnsi="Arial"/>
          <w:color w:val="0B2545"/>
          <w:sz w:val="20"/>
          <w:szCs w:val="20"/>
        </w:rPr>
        <w:t xml:space="preserve">FINDINGS.md documents key insights, methodology decisions, and data limitations in plain language</w:t>
      </w:r>
    </w:p>
    <w:p>
      <w:pPr>
        <w:pStyle w:val="ListParagraph"/>
        <w:numPr>
          <w:ilvl w:val="0"/>
          <w:numId w:val="2"/>
        </w:numPr>
        <w:spacing w:before="60" w:after="60"/>
      </w:pPr>
      <w:r>
        <w:rPr>
          <w:rFonts w:ascii="Arial" w:cs="Arial" w:eastAsia="Arial" w:hAnsi="Arial"/>
          <w:color w:val="0B2545"/>
          <w:sz w:val="20"/>
          <w:szCs w:val="20"/>
        </w:rPr>
        <w:t xml:space="preserve">GeoJSON density layer renders correctly in Mapbox GL JS with expression-based color ramp</w:t>
      </w:r>
    </w:p>
    <w:p>
      <w:pPr>
        <w:pStyle w:val="ListParagraph"/>
        <w:numPr>
          <w:ilvl w:val="0"/>
          <w:numId w:val="2"/>
        </w:numPr>
        <w:spacing w:before="60" w:after="60"/>
      </w:pPr>
      <w:r>
        <w:rPr>
          <w:rFonts w:ascii="Arial" w:cs="Arial" w:eastAsia="Arial" w:hAnsi="Arial"/>
          <w:color w:val="0B2545"/>
          <w:sz w:val="20"/>
          <w:szCs w:val="20"/>
        </w:rPr>
        <w:t xml:space="preserve">GitHub repo README links to data pipeline documentation and explains the methodology at a level a journalist or hiring manager could understand</w:t>
      </w:r>
    </w:p>
    <w:p>
      <w:r>
        <w:br w:type="page"/>
      </w:r>
    </w:p>
    <w:p>
      <w:pPr>
        <w:spacing w:before="0" w:after="60"/>
      </w:pPr>
      <w:r>
        <w:rPr>
          <w:rFonts w:ascii="Arial" w:cs="Arial" w:eastAsia="Arial" w:hAnsi="Arial"/>
          <w:b/>
          <w:bCs/>
          <w:color w:val="007EA7"/>
          <w:sz w:val="36"/>
          <w:szCs w:val="36"/>
        </w:rPr>
        <w:t xml:space="preserve">PRD 5 — </w:t>
      </w:r>
      <w:r>
        <w:rPr>
          <w:rFonts w:ascii="Arial" w:cs="Arial" w:eastAsia="Arial" w:hAnsi="Arial"/>
          <w:b/>
          <w:bCs/>
          <w:color w:val="0B2545"/>
          <w:sz w:val="36"/>
          <w:szCs w:val="36"/>
        </w:rPr>
        <w:t xml:space="preserve">Collateral — Downloadable Assets</w:t>
      </w:r>
    </w:p>
    <w:p>
      <w:pPr>
        <w:spacing w:before="80" w:after="120"/>
      </w:pPr>
      <w:r>
        <w:rPr>
          <w:rFonts w:ascii="Arial" w:cs="Arial" w:eastAsia="Arial" w:hAnsi="Arial"/>
          <w:i w:val="false"/>
          <w:iCs w:val="false"/>
          <w:color w:val="0B2545"/>
          <w:sz w:val="20"/>
          <w:szCs w:val="20"/>
        </w:rPr>
        <w:t xml:space="preserve">All downloadable PDFs are designed communication artifacts, not auto-generated documents. Their design quality is part of the portfolio signal — demonstrating that senior communications work extends to the visual presentation of strategic materials.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Total Documents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7 PDFs</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Design Tool</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Figma or Adobe InDesign</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Storage Location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/public/downloads/</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Download Panel</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Chapter 3 (3 docs) · Chapter 4 (4 docs)</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Design System</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Consistent with microsite — dark editorial, IBM Plex Mono, Playfair Display</w:t>
            </w:r>
          </w:p>
        </w:tc>
      </w:tr>
      <w:tr>
        <w:tc>
          <w:tcPr>
            <w:tcW w:type="dxa" w:w="22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Voice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Nathan as Pelagic IntelX Communications Lead</w:t>
            </w:r>
          </w:p>
        </w:tc>
      </w:tr>
    </w:tbl>
    <w:p>
      <w:pPr>
        <w:spacing w:before="200" w:after="0"/>
      </w:pPr>
    </w:p>
    <w:p>
      <w:pPr>
        <w:spacing w:before="280" w:after="60"/>
      </w:pPr>
      <w:r>
        <w:rPr>
          <w:rFonts w:ascii="Arial" w:cs="Arial" w:eastAsia="Arial" w:hAnsi="Arial"/>
          <w:b/>
          <w:bCs/>
          <w:color w:val="007EA7"/>
          <w:spacing w:val="120"/>
          <w:sz w:val="16"/>
          <w:szCs w:val="16"/>
        </w:rPr>
        <w:t xml:space="preserve">COLLATERAL INVENTORY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60"/>
        <w:gridCol w:w="3000"/>
      </w:tblGrid>
      <w:tr>
        <w:trPr>
          <w:tblHeader/>
        </w:trPr>
        <w:tc>
          <w:tcPr>
            <w:tcW w:type="dxa" w:w="30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Document</w:t>
            </w:r>
          </w:p>
        </w:tc>
        <w:tc>
          <w:tcPr>
            <w:tcW w:type="dxa" w:w="16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Chapter</w:t>
            </w:r>
          </w:p>
        </w:tc>
        <w:tc>
          <w:tcPr>
            <w:tcW w:type="dxa" w:w="176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Format</w:t>
            </w:r>
          </w:p>
        </w:tc>
        <w:tc>
          <w:tcPr>
            <w:tcW w:type="dxa" w:w="3000"/>
            <w:tcBorders>
              <w:top w:val="single" w:color="CBD5E0" w:sz="1"/>
              <w:left w:val="single" w:color="CBD5E0" w:sz="1"/>
              <w:bottom w:val="single" w:color="CBD5E0" w:sz="1"/>
              <w:right w:val="single" w:color="CBD5E0" w:sz="1"/>
            </w:tcBorders>
            <w:shd w:fill="0B2545" w:val="clear"/>
            <w:tcMar>
              <w:top w:type="dxa" w:w="100"/>
              <w:left w:type="dxa" w:w="140"/>
              <w:bottom w:type="dxa" w:w="100"/>
              <w:right w:type="dxa" w:w="140"/>
            </w:tcMar>
          </w:tcPr>
          <w:p>
            <w:r>
              <w:rPr>
                <w:rFonts w:ascii="Arial" w:cs="Arial" w:eastAsia="Arial" w:hAnsi="Arial"/>
                <w:b/>
                <w:bCs/>
                <w:color w:val="FFFFFF"/>
                <w:sz w:val="18"/>
                <w:szCs w:val="18"/>
              </w:rPr>
              <w:t xml:space="preserve">Primary Audience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Press Release — Mapping the Invisible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3</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1–2 pg PDF</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Journalists, wire services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Media One-Pager</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3</w:t>
            </w:r>
          </w:p>
        </w:tc>
        <w:tc>
          <w:tcPr>
            <w:tcW w:type="dxa" w:w="1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1 pg PDF</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Journalists needing quick brief</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Social Content Brief</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3</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2–3 pg PDF</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Social media / comms team</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Op-Ed — The Ocean Has a Memory</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4</w:t>
            </w:r>
          </w:p>
        </w:tc>
        <w:tc>
          <w:tcPr>
            <w:tcW w:type="dxa" w:w="1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2–3 pg PDF</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Editorial editors, public</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Stakeholder Communications Matrix</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4</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1–2 pg PDF</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Internal comms / coalition leads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bCs/>
                <w:color w:val="0B2545"/>
                <w:sz w:val="19"/>
                <w:szCs w:val="19"/>
              </w:rPr>
              <w:t xml:space="preserve">Campaign Strategy Memo</w:t>
            </w:r>
          </w:p>
        </w:tc>
        <w:tc>
          <w:tcPr>
            <w:tcW w:type="dxa" w:w="16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Ch. 4</w:t>
            </w:r>
          </w:p>
        </w:tc>
        <w:tc>
          <w:tcPr>
            <w:tcW w:type="dxa" w:w="176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3–4 pg PDF</w:t>
            </w:r>
          </w:p>
        </w:tc>
        <w:tc>
          <w:tcPr>
            <w:tcW w:type="dxa" w:w="300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140"/>
            </w:tcMar>
          </w:tcPr>
          <w:p>
            <w:r>
              <w:rPr>
                <w:rFonts w:ascii="Arial" w:cs="Arial" w:eastAsia="Arial" w:hAnsi="Arial"/>
                <w:b w:val="false"/>
                <w:bCs w:val="false"/>
                <w:color w:val="0B2545"/>
                <w:sz w:val="19"/>
                <w:szCs w:val="19"/>
              </w:rPr>
              <w:t xml:space="preserve">Leadership, partners, Ai2 reviewers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bCs/>
                <w:color w:val="0B2545"/>
                <w:sz w:val="19"/>
                <w:szCs w:val="19"/>
              </w:rPr>
              <w:t xml:space="preserve">Google Ads Brief</w:t>
            </w:r>
          </w:p>
        </w:tc>
        <w:tc>
          <w:tcPr>
            <w:tcW w:type="dxa" w:w="1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Ch. 4</w:t>
            </w:r>
          </w:p>
        </w:tc>
        <w:tc>
          <w:tcPr>
            <w:tcW w:type="dxa" w:w="1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1 pg PDF</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b w:val="false"/>
                <w:bCs w:val="false"/>
                <w:color w:val="0B2545"/>
                <w:sz w:val="19"/>
                <w:szCs w:val="19"/>
              </w:rPr>
              <w:t xml:space="preserve">Paid media team / agency</w:t>
            </w:r>
          </w:p>
        </w:tc>
      </w:tr>
    </w:tbl>
    <w:p>
      <w:pPr>
        <w:spacing w:before="200" w:after="0"/>
      </w:pPr>
    </w:p>
    <w:p>
      <w:pPr>
        <w:spacing w:before="280" w:after="60"/>
      </w:pPr>
      <w:r>
        <w:rPr>
          <w:rFonts w:ascii="Arial" w:cs="Arial" w:eastAsia="Arial" w:hAnsi="Arial"/>
          <w:b/>
          <w:bCs/>
          <w:color w:val="007EA7"/>
          <w:spacing w:val="120"/>
          <w:sz w:val="16"/>
          <w:szCs w:val="16"/>
        </w:rPr>
        <w:t xml:space="preserve">PRESS RELEASE — SPECIFICATION</w:t>
      </w:r>
    </w:p>
    <w:p>
      <w:pPr>
        <w:spacing w:before="80" w:after="80"/>
      </w:pPr>
      <w:r>
        <w:rPr>
          <w:rFonts w:ascii="Arial" w:cs="Arial" w:eastAsia="Arial" w:hAnsi="Arial"/>
          <w:b/>
          <w:bCs/>
          <w:color w:val="0B2545"/>
          <w:sz w:val="20"/>
          <w:szCs w:val="20"/>
        </w:rPr>
        <w:t xml:space="preserve">Headline:</w:t>
      </w:r>
    </w:p>
    <w:p>
      <w:pPr>
        <w:spacing w:before="80" w:after="120"/>
      </w:pPr>
      <w:r>
        <w:rPr>
          <w:rFonts w:ascii="Arial" w:cs="Arial" w:eastAsia="Arial" w:hAnsi="Arial"/>
          <w:i w:val="false"/>
          <w:iCs w:val="false"/>
          <w:color w:val="0B2545"/>
          <w:sz w:val="20"/>
          <w:szCs w:val="20"/>
        </w:rPr>
        <w:t xml:space="preserve">"Pelagic IntelX Publishes First Real-Time AI Map of Pacific Ocean Plastic Density"</w:t>
      </w:r>
    </w:p>
    <w:p>
      <w:pPr>
        <w:spacing w:before="80" w:after="80"/>
      </w:pPr>
      <w:r>
        <w:rPr>
          <w:rFonts w:ascii="Arial" w:cs="Arial" w:eastAsia="Arial" w:hAnsi="Arial"/>
          <w:b/>
          <w:bCs/>
          <w:color w:val="0B2545"/>
          <w:sz w:val="20"/>
          <w:szCs w:val="20"/>
        </w:rPr>
        <w:t xml:space="preserve">Dateline:</w:t>
      </w:r>
    </w:p>
    <w:p>
      <w:pPr>
        <w:spacing w:before="80" w:after="120"/>
      </w:pPr>
      <w:r>
        <w:rPr>
          <w:rFonts w:ascii="Arial" w:cs="Arial" w:eastAsia="Arial" w:hAnsi="Arial"/>
          <w:i w:val="false"/>
          <w:iCs w:val="false"/>
          <w:color w:val="0B2545"/>
          <w:sz w:val="20"/>
          <w:szCs w:val="20"/>
        </w:rPr>
        <w:t xml:space="preserve">[City], [Date] — For immediate release</w:t>
      </w:r>
    </w:p>
    <w:p>
      <w:pPr>
        <w:spacing w:before="80" w:after="80"/>
      </w:pPr>
      <w:r>
        <w:rPr>
          <w:rFonts w:ascii="Arial" w:cs="Arial" w:eastAsia="Arial" w:hAnsi="Arial"/>
          <w:b/>
          <w:bCs/>
          <w:color w:val="0B2545"/>
          <w:sz w:val="20"/>
          <w:szCs w:val="20"/>
        </w:rPr>
        <w:t xml:space="preserve">Required Elements:</w:t>
      </w:r>
    </w:p>
    <w:p>
      <w:pPr>
        <w:pStyle w:val="ListParagraph"/>
        <w:numPr>
          <w:ilvl w:val="0"/>
          <w:numId w:val="2"/>
        </w:numPr>
        <w:spacing w:before="60" w:after="60"/>
      </w:pPr>
      <w:r>
        <w:rPr>
          <w:rFonts w:ascii="Arial" w:cs="Arial" w:eastAsia="Arial" w:hAnsi="Arial"/>
          <w:color w:val="0B2545"/>
          <w:sz w:val="20"/>
          <w:szCs w:val="20"/>
        </w:rPr>
        <w:t xml:space="preserve">Lede: who, what, why it matters — in under 35 words</w:t>
      </w:r>
    </w:p>
    <w:p>
      <w:pPr>
        <w:pStyle w:val="ListParagraph"/>
        <w:numPr>
          <w:ilvl w:val="0"/>
          <w:numId w:val="2"/>
        </w:numPr>
        <w:spacing w:before="60" w:after="60"/>
      </w:pPr>
      <w:r>
        <w:rPr>
          <w:rFonts w:ascii="Arial" w:cs="Arial" w:eastAsia="Arial" w:hAnsi="Arial"/>
          <w:color w:val="0B2545"/>
          <w:sz w:val="20"/>
          <w:szCs w:val="20"/>
        </w:rPr>
        <w:t xml:space="preserve">Quote 1: CEO — the mission angle</w:t>
      </w:r>
    </w:p>
    <w:p>
      <w:pPr>
        <w:pStyle w:val="ListParagraph"/>
        <w:numPr>
          <w:ilvl w:val="0"/>
          <w:numId w:val="2"/>
        </w:numPr>
        <w:spacing w:before="60" w:after="60"/>
      </w:pPr>
      <w:r>
        <w:rPr>
          <w:rFonts w:ascii="Arial" w:cs="Arial" w:eastAsia="Arial" w:hAnsi="Arial"/>
          <w:color w:val="0B2545"/>
          <w:sz w:val="20"/>
          <w:szCs w:val="20"/>
        </w:rPr>
        <w:t xml:space="preserve">Quote 2: Scientific partner — the credibility angle</w:t>
      </w:r>
    </w:p>
    <w:p>
      <w:pPr>
        <w:pStyle w:val="ListParagraph"/>
        <w:numPr>
          <w:ilvl w:val="0"/>
          <w:numId w:val="2"/>
        </w:numPr>
        <w:spacing w:before="60" w:after="60"/>
      </w:pPr>
      <w:r>
        <w:rPr>
          <w:rFonts w:ascii="Arial" w:cs="Arial" w:eastAsia="Arial" w:hAnsi="Arial"/>
          <w:color w:val="0B2545"/>
          <w:sz w:val="20"/>
          <w:szCs w:val="20"/>
        </w:rPr>
        <w:t xml:space="preserve">Map access paragraph: how to access, what it shows, data availability</w:t>
      </w:r>
    </w:p>
    <w:p>
      <w:pPr>
        <w:pStyle w:val="ListParagraph"/>
        <w:numPr>
          <w:ilvl w:val="0"/>
          <w:numId w:val="2"/>
        </w:numPr>
        <w:spacing w:before="60" w:after="60"/>
      </w:pPr>
      <w:r>
        <w:rPr>
          <w:rFonts w:ascii="Arial" w:cs="Arial" w:eastAsia="Arial" w:hAnsi="Arial"/>
          <w:color w:val="0B2545"/>
          <w:sz w:val="20"/>
          <w:szCs w:val="20"/>
        </w:rPr>
        <w:t xml:space="preserve">Methodology note: satellite + AI pipeline, open dataset</w:t>
      </w:r>
    </w:p>
    <w:p>
      <w:pPr>
        <w:pStyle w:val="ListParagraph"/>
        <w:numPr>
          <w:ilvl w:val="0"/>
          <w:numId w:val="2"/>
        </w:numPr>
        <w:spacing w:before="60" w:after="60"/>
      </w:pPr>
      <w:r>
        <w:rPr>
          <w:rFonts w:ascii="Arial" w:cs="Arial" w:eastAsia="Arial" w:hAnsi="Arial"/>
          <w:color w:val="0B2545"/>
          <w:sz w:val="20"/>
          <w:szCs w:val="20"/>
        </w:rPr>
        <w:t xml:space="preserve">Boilerplate: Pelagic IntelX — 2 sentences</w:t>
      </w:r>
    </w:p>
    <w:p>
      <w:pPr>
        <w:pStyle w:val="ListParagraph"/>
        <w:numPr>
          <w:ilvl w:val="0"/>
          <w:numId w:val="2"/>
        </w:numPr>
        <w:spacing w:before="60" w:after="60"/>
      </w:pPr>
      <w:r>
        <w:rPr>
          <w:rFonts w:ascii="Arial" w:cs="Arial" w:eastAsia="Arial" w:hAnsi="Arial"/>
          <w:color w:val="0B2545"/>
          <w:sz w:val="20"/>
          <w:szCs w:val="20"/>
        </w:rPr>
        <w:t xml:space="preserve">Contact: media@pelagicintelx.com · [Press contact name]</w:t>
      </w:r>
    </w:p>
    <w:p>
      <w:pPr>
        <w:spacing w:before="80" w:after="80"/>
      </w:pPr>
      <w:r>
        <w:rPr>
          <w:rFonts w:ascii="Arial" w:cs="Arial" w:eastAsia="Arial" w:hAnsi="Arial"/>
          <w:b/>
          <w:bCs/>
          <w:color w:val="0B2545"/>
          <w:sz w:val="20"/>
          <w:szCs w:val="20"/>
        </w:rPr>
        <w:t xml:space="preserve">Tone:</w:t>
      </w:r>
    </w:p>
    <w:p>
      <w:pPr>
        <w:spacing w:before="80" w:after="120"/>
      </w:pPr>
      <w:r>
        <w:rPr>
          <w:rFonts w:ascii="Arial" w:cs="Arial" w:eastAsia="Arial" w:hAnsi="Arial"/>
          <w:i w:val="false"/>
          <w:iCs w:val="false"/>
          <w:color w:val="0B2545"/>
          <w:sz w:val="20"/>
          <w:szCs w:val="20"/>
        </w:rPr>
        <w:t xml:space="preserve">Precise but accessible. No jargon in lede. Scientific credibility earned through specific claims, not language register.</w:t>
      </w:r>
    </w:p>
    <w:p>
      <w:pPr>
        <w:spacing w:before="160" w:after="0"/>
      </w:pPr>
    </w:p>
    <w:p>
      <w:pPr>
        <w:spacing w:before="280" w:after="60"/>
      </w:pPr>
      <w:r>
        <w:rPr>
          <w:rFonts w:ascii="Arial" w:cs="Arial" w:eastAsia="Arial" w:hAnsi="Arial"/>
          <w:b/>
          <w:bCs/>
          <w:color w:val="007EA7"/>
          <w:spacing w:val="120"/>
          <w:sz w:val="16"/>
          <w:szCs w:val="16"/>
        </w:rPr>
        <w:t xml:space="preserve">MEDIA ONE-PAGER — SPECIFICATION</w:t>
      </w:r>
    </w:p>
    <w:p>
      <w:pPr>
        <w:spacing w:before="80" w:after="80"/>
      </w:pPr>
      <w:r>
        <w:rPr>
          <w:rFonts w:ascii="Arial" w:cs="Arial" w:eastAsia="Arial" w:hAnsi="Arial"/>
          <w:b/>
          <w:bCs/>
          <w:color w:val="0B2545"/>
          <w:sz w:val="20"/>
          <w:szCs w:val="20"/>
        </w:rPr>
        <w:t xml:space="preserve">Format:</w:t>
      </w:r>
    </w:p>
    <w:p>
      <w:pPr>
        <w:spacing w:before="80" w:after="120"/>
      </w:pPr>
      <w:r>
        <w:rPr>
          <w:rFonts w:ascii="Arial" w:cs="Arial" w:eastAsia="Arial" w:hAnsi="Arial"/>
          <w:i w:val="false"/>
          <w:iCs w:val="false"/>
          <w:color w:val="0B2545"/>
          <w:sz w:val="20"/>
          <w:szCs w:val="20"/>
        </w:rPr>
        <w:t xml:space="preserve">Single page. Three-column layout. Designed for scan reading — a journalist should extract the story in 30 seconds.</w:t>
      </w:r>
    </w:p>
    <w:p>
      <w:pPr>
        <w:spacing w:before="80" w:after="80"/>
      </w:pPr>
      <w:r>
        <w:rPr>
          <w:rFonts w:ascii="Arial" w:cs="Arial" w:eastAsia="Arial" w:hAnsi="Arial"/>
          <w:b/>
          <w:bCs/>
          <w:color w:val="0B2545"/>
          <w:sz w:val="20"/>
          <w:szCs w:val="20"/>
        </w:rPr>
        <w:t xml:space="preserve">Required Sections:</w:t>
      </w:r>
    </w:p>
    <w:p>
      <w:pPr>
        <w:pStyle w:val="ListParagraph"/>
        <w:numPr>
          <w:ilvl w:val="0"/>
          <w:numId w:val="2"/>
        </w:numPr>
        <w:spacing w:before="60" w:after="60"/>
      </w:pPr>
      <w:r>
        <w:rPr>
          <w:rFonts w:ascii="Arial" w:cs="Arial" w:eastAsia="Arial" w:hAnsi="Arial"/>
          <w:color w:val="0B2545"/>
          <w:sz w:val="20"/>
          <w:szCs w:val="20"/>
        </w:rPr>
        <w:t xml:space="preserve">The Announcement — 2-sentence summary</w:t>
      </w:r>
    </w:p>
    <w:p>
      <w:pPr>
        <w:pStyle w:val="ListParagraph"/>
        <w:numPr>
          <w:ilvl w:val="0"/>
          <w:numId w:val="2"/>
        </w:numPr>
        <w:spacing w:before="60" w:after="60"/>
      </w:pPr>
      <w:r>
        <w:rPr>
          <w:rFonts w:ascii="Arial" w:cs="Arial" w:eastAsia="Arial" w:hAnsi="Arial"/>
          <w:color w:val="0B2545"/>
          <w:sz w:val="20"/>
          <w:szCs w:val="20"/>
        </w:rPr>
        <w:t xml:space="preserve">Key Data Points — 3 stats in large type (IBM Plex Mono)</w:t>
      </w:r>
    </w:p>
    <w:p>
      <w:pPr>
        <w:pStyle w:val="ListParagraph"/>
        <w:numPr>
          <w:ilvl w:val="0"/>
          <w:numId w:val="2"/>
        </w:numPr>
        <w:spacing w:before="60" w:after="60"/>
      </w:pPr>
      <w:r>
        <w:rPr>
          <w:rFonts w:ascii="Arial" w:cs="Arial" w:eastAsia="Arial" w:hAnsi="Arial"/>
          <w:color w:val="0B2545"/>
          <w:sz w:val="20"/>
          <w:szCs w:val="20"/>
        </w:rPr>
        <w:t xml:space="preserve">Quote — pulled quote in Playfair Display italic</w:t>
      </w:r>
    </w:p>
    <w:p>
      <w:pPr>
        <w:pStyle w:val="ListParagraph"/>
        <w:numPr>
          <w:ilvl w:val="0"/>
          <w:numId w:val="2"/>
        </w:numPr>
        <w:spacing w:before="60" w:after="60"/>
      </w:pPr>
      <w:r>
        <w:rPr>
          <w:rFonts w:ascii="Arial" w:cs="Arial" w:eastAsia="Arial" w:hAnsi="Arial"/>
          <w:color w:val="0B2545"/>
          <w:sz w:val="20"/>
          <w:szCs w:val="20"/>
        </w:rPr>
        <w:t xml:space="preserve">The Map — thumbnail + access URL</w:t>
      </w:r>
    </w:p>
    <w:p>
      <w:pPr>
        <w:pStyle w:val="ListParagraph"/>
        <w:numPr>
          <w:ilvl w:val="0"/>
          <w:numId w:val="2"/>
        </w:numPr>
        <w:spacing w:before="60" w:after="60"/>
      </w:pPr>
      <w:r>
        <w:rPr>
          <w:rFonts w:ascii="Arial" w:cs="Arial" w:eastAsia="Arial" w:hAnsi="Arial"/>
          <w:color w:val="0B2545"/>
          <w:sz w:val="20"/>
          <w:szCs w:val="20"/>
        </w:rPr>
        <w:t xml:space="preserve">The Tech — 3 bullet methodology note</w:t>
      </w:r>
    </w:p>
    <w:p>
      <w:pPr>
        <w:pStyle w:val="ListParagraph"/>
        <w:numPr>
          <w:ilvl w:val="0"/>
          <w:numId w:val="2"/>
        </w:numPr>
        <w:spacing w:before="60" w:after="60"/>
      </w:pPr>
      <w:r>
        <w:rPr>
          <w:rFonts w:ascii="Arial" w:cs="Arial" w:eastAsia="Arial" w:hAnsi="Arial"/>
          <w:color w:val="0B2545"/>
          <w:sz w:val="20"/>
          <w:szCs w:val="20"/>
        </w:rPr>
        <w:t xml:space="preserve">Contact — media@pelagicintelx.com</w:t>
      </w:r>
    </w:p>
    <w:p>
      <w:pPr>
        <w:spacing w:before="160" w:after="0"/>
      </w:pPr>
    </w:p>
    <w:p>
      <w:pPr>
        <w:spacing w:before="280" w:after="60"/>
      </w:pPr>
      <w:r>
        <w:rPr>
          <w:rFonts w:ascii="Arial" w:cs="Arial" w:eastAsia="Arial" w:hAnsi="Arial"/>
          <w:b/>
          <w:bCs/>
          <w:color w:val="007EA7"/>
          <w:spacing w:val="120"/>
          <w:sz w:val="16"/>
          <w:szCs w:val="16"/>
        </w:rPr>
        <w:t xml:space="preserve">CAMPAIGN STRATEGY MEMO — SPECIFICATION</w:t>
      </w:r>
    </w:p>
    <w:p>
      <w:pPr>
        <w:spacing w:before="80" w:after="120"/>
      </w:pPr>
      <w:r>
        <w:rPr>
          <w:rFonts w:ascii="Arial" w:cs="Arial" w:eastAsia="Arial" w:hAnsi="Arial"/>
          <w:i w:val="false"/>
          <w:iCs w:val="false"/>
          <w:color w:val="0B2545"/>
          <w:sz w:val="20"/>
          <w:szCs w:val="20"/>
        </w:rPr>
        <w:t xml:space="preserve">This document is for the Ai2 hiring committee as much as it is for a fictional internal audience. It should demonstrate the full strategic communications thinking in a compact, scannable format.</w:t>
      </w:r>
    </w:p>
    <w:p>
      <w:pPr>
        <w:spacing w:before="80" w:after="80"/>
      </w:pPr>
      <w:r>
        <w:rPr>
          <w:rFonts w:ascii="Arial" w:cs="Arial" w:eastAsia="Arial" w:hAnsi="Arial"/>
          <w:b/>
          <w:bCs/>
          <w:color w:val="0B2545"/>
          <w:sz w:val="20"/>
          <w:szCs w:val="20"/>
        </w:rPr>
        <w:t xml:space="preserve">Required Sections:</w:t>
      </w:r>
    </w:p>
    <w:p>
      <w:pPr>
        <w:pStyle w:val="ListParagraph"/>
        <w:numPr>
          <w:ilvl w:val="0"/>
          <w:numId w:val="2"/>
        </w:numPr>
        <w:spacing w:before="60" w:after="60"/>
      </w:pPr>
      <w:r>
        <w:rPr>
          <w:rFonts w:ascii="Arial" w:cs="Arial" w:eastAsia="Arial" w:hAnsi="Arial"/>
          <w:color w:val="0B2545"/>
          <w:sz w:val="20"/>
          <w:szCs w:val="20"/>
        </w:rPr>
        <w:t xml:space="preserve">Executive Summary — 3 sentences</w:t>
      </w:r>
    </w:p>
    <w:p>
      <w:pPr>
        <w:pStyle w:val="ListParagraph"/>
        <w:numPr>
          <w:ilvl w:val="0"/>
          <w:numId w:val="2"/>
        </w:numPr>
        <w:spacing w:before="60" w:after="60"/>
      </w:pPr>
      <w:r>
        <w:rPr>
          <w:rFonts w:ascii="Arial" w:cs="Arial" w:eastAsia="Arial" w:hAnsi="Arial"/>
          <w:color w:val="0B2545"/>
          <w:sz w:val="20"/>
          <w:szCs w:val="20"/>
        </w:rPr>
        <w:t xml:space="preserve">Situation Analysis — why this moment, why this audience</w:t>
      </w:r>
    </w:p>
    <w:p>
      <w:pPr>
        <w:pStyle w:val="ListParagraph"/>
        <w:numPr>
          <w:ilvl w:val="0"/>
          <w:numId w:val="2"/>
        </w:numPr>
        <w:spacing w:before="60" w:after="60"/>
      </w:pPr>
      <w:r>
        <w:rPr>
          <w:rFonts w:ascii="Arial" w:cs="Arial" w:eastAsia="Arial" w:hAnsi="Arial"/>
          <w:color w:val="0B2545"/>
          <w:sz w:val="20"/>
          <w:szCs w:val="20"/>
        </w:rPr>
        <w:t xml:space="preserve">Campaign Architecture — the two-campaign structure and their relationship</w:t>
      </w:r>
    </w:p>
    <w:p>
      <w:pPr>
        <w:pStyle w:val="ListParagraph"/>
        <w:numPr>
          <w:ilvl w:val="0"/>
          <w:numId w:val="2"/>
        </w:numPr>
        <w:spacing w:before="60" w:after="60"/>
      </w:pPr>
      <w:r>
        <w:rPr>
          <w:rFonts w:ascii="Arial" w:cs="Arial" w:eastAsia="Arial" w:hAnsi="Arial"/>
          <w:color w:val="0B2545"/>
          <w:sz w:val="20"/>
          <w:szCs w:val="20"/>
        </w:rPr>
        <w:t xml:space="preserve">Audience Intelligence — key findings from social listening / search data</w:t>
      </w:r>
    </w:p>
    <w:p>
      <w:pPr>
        <w:pStyle w:val="ListParagraph"/>
        <w:numPr>
          <w:ilvl w:val="0"/>
          <w:numId w:val="2"/>
        </w:numPr>
        <w:spacing w:before="60" w:after="60"/>
      </w:pPr>
      <w:r>
        <w:rPr>
          <w:rFonts w:ascii="Arial" w:cs="Arial" w:eastAsia="Arial" w:hAnsi="Arial"/>
          <w:color w:val="0B2545"/>
          <w:sz w:val="20"/>
          <w:szCs w:val="20"/>
        </w:rPr>
        <w:t xml:space="preserve">Message Framework — per-audience key messages</w:t>
      </w:r>
    </w:p>
    <w:p>
      <w:pPr>
        <w:pStyle w:val="ListParagraph"/>
        <w:numPr>
          <w:ilvl w:val="0"/>
          <w:numId w:val="2"/>
        </w:numPr>
        <w:spacing w:before="60" w:after="60"/>
      </w:pPr>
      <w:r>
        <w:rPr>
          <w:rFonts w:ascii="Arial" w:cs="Arial" w:eastAsia="Arial" w:hAnsi="Arial"/>
          <w:color w:val="0B2545"/>
          <w:sz w:val="20"/>
          <w:szCs w:val="20"/>
        </w:rPr>
        <w:t xml:space="preserve">Channel Strategy — where, when, in what sequence</w:t>
      </w:r>
    </w:p>
    <w:p>
      <w:pPr>
        <w:pStyle w:val="ListParagraph"/>
        <w:numPr>
          <w:ilvl w:val="0"/>
          <w:numId w:val="2"/>
        </w:numPr>
        <w:spacing w:before="60" w:after="60"/>
      </w:pPr>
      <w:r>
        <w:rPr>
          <w:rFonts w:ascii="Arial" w:cs="Arial" w:eastAsia="Arial" w:hAnsi="Arial"/>
          <w:color w:val="0B2545"/>
          <w:sz w:val="20"/>
          <w:szCs w:val="20"/>
        </w:rPr>
        <w:t xml:space="preserve">Coalition Framework — partners, roles, coordination protocol</w:t>
      </w:r>
    </w:p>
    <w:p>
      <w:pPr>
        <w:pStyle w:val="ListParagraph"/>
        <w:numPr>
          <w:ilvl w:val="0"/>
          <w:numId w:val="2"/>
        </w:numPr>
        <w:spacing w:before="60" w:after="60"/>
      </w:pPr>
      <w:r>
        <w:rPr>
          <w:rFonts w:ascii="Arial" w:cs="Arial" w:eastAsia="Arial" w:hAnsi="Arial"/>
          <w:color w:val="0B2545"/>
          <w:sz w:val="20"/>
          <w:szCs w:val="20"/>
        </w:rPr>
        <w:t xml:space="preserve">90-Day Roadmap — week-by-week campaign phases</w:t>
      </w:r>
    </w:p>
    <w:p>
      <w:pPr>
        <w:pStyle w:val="ListParagraph"/>
        <w:numPr>
          <w:ilvl w:val="0"/>
          <w:numId w:val="2"/>
        </w:numPr>
        <w:spacing w:before="60" w:after="60"/>
      </w:pPr>
      <w:r>
        <w:rPr>
          <w:rFonts w:ascii="Arial" w:cs="Arial" w:eastAsia="Arial" w:hAnsi="Arial"/>
          <w:color w:val="0B2545"/>
          <w:sz w:val="20"/>
          <w:szCs w:val="20"/>
        </w:rPr>
        <w:t xml:space="preserve">KPI Framework — what we measure and why</w:t>
      </w:r>
    </w:p>
    <w:p>
      <w:pPr>
        <w:pStyle w:val="ListParagraph"/>
        <w:numPr>
          <w:ilvl w:val="0"/>
          <w:numId w:val="2"/>
        </w:numPr>
        <w:spacing w:before="60" w:after="60"/>
      </w:pPr>
      <w:r>
        <w:rPr>
          <w:rFonts w:ascii="Arial" w:cs="Arial" w:eastAsia="Arial" w:hAnsi="Arial"/>
          <w:color w:val="0B2545"/>
          <w:sz w:val="20"/>
          <w:szCs w:val="20"/>
        </w:rPr>
        <w:t xml:space="preserve">Budget Summary — allocations across paid, earned, owned</w:t>
      </w:r>
    </w:p>
    <w:p>
      <w:pPr>
        <w:spacing w:before="200" w:after="0"/>
      </w:pPr>
    </w:p>
    <w:p>
      <w:pPr>
        <w:spacing w:before="280" w:after="60"/>
      </w:pPr>
      <w:r>
        <w:rPr>
          <w:rFonts w:ascii="Arial" w:cs="Arial" w:eastAsia="Arial" w:hAnsi="Arial"/>
          <w:b/>
          <w:bCs/>
          <w:color w:val="007EA7"/>
          <w:spacing w:val="120"/>
          <w:sz w:val="16"/>
          <w:szCs w:val="16"/>
        </w:rPr>
        <w:t xml:space="preserve">DESIGN STANDARDS — ALL PDFS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Brand Colors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Navy #0a0e1a · Cyan #00D4FF · Gold #E8C547 — consistent with microsite design tokens</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Typography</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Playfair Display (headers) · IBM Plex Mono (data/metrics) · Inter (body)</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Wordmark</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Pelagic IntelX logo/wordmark appears in header or footer of every document</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Portfolio Disclaimer</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Footer footnote on all docs: 'Pelagic IntelX is a fictional company created for portfolio purposes. All content is original communications strategy work.'</w:t>
            </w:r>
          </w:p>
        </w:tc>
      </w:tr>
      <w:tr>
        <w:tc>
          <w:tcPr>
            <w:tcW w:type="dxa" w:w="2400"/>
            <w:tcBorders>
              <w:top w:val="single" w:color="CBD5E0" w:sz="1"/>
              <w:left w:val="single" w:color="CBD5E0" w:sz="1"/>
              <w:bottom w:val="single" w:color="CBD5E0" w:sz="1"/>
              <w:right w:val="single" w:color="CBD5E0" w:sz="1"/>
            </w:tcBorders>
            <w:shd w:fill="EFF6FF" w:val="clear"/>
            <w:tcMar>
              <w:top w:type="dxa" w:w="80"/>
              <w:left w:type="dxa" w:w="140"/>
              <w:bottom w:type="dxa" w:w="80"/>
              <w:right w:type="dxa" w:w="140"/>
            </w:tcMar>
          </w:tcPr>
          <w:p>
            <w:r>
              <w:rPr>
                <w:rFonts w:ascii="Arial" w:cs="Arial" w:eastAsia="Arial" w:hAnsi="Arial"/>
                <w:b/>
                <w:bCs/>
                <w:color w:val="0B2545"/>
                <w:sz w:val="18"/>
                <w:szCs w:val="18"/>
              </w:rPr>
              <w:t xml:space="preserve">Filename Convention</w:t>
            </w:r>
          </w:p>
        </w:tc>
        <w:tc>
          <w:tcPr>
            <w:tcW w:type="dxa" w:w="69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0B2545"/>
                <w:sz w:val="18"/>
                <w:szCs w:val="18"/>
              </w:rPr>
              <w:t xml:space="preserve">pelagicintelx-[document-name].pdf (e.g. pelagicintelx-press-release.pdf)</w:t>
            </w:r>
          </w:p>
        </w:tc>
      </w:tr>
    </w:tbl>
    <w:p>
      <w:pPr>
        <w:spacing w:before="200" w:after="0"/>
      </w:pPr>
    </w:p>
    <w:p>
      <w:pPr>
        <w:spacing w:before="280" w:after="60"/>
      </w:pPr>
      <w:r>
        <w:rPr>
          <w:rFonts w:ascii="Arial" w:cs="Arial" w:eastAsia="Arial" w:hAnsi="Arial"/>
          <w:b/>
          <w:bCs/>
          <w:color w:val="007EA7"/>
          <w:spacing w:val="120"/>
          <w:sz w:val="16"/>
          <w:szCs w:val="16"/>
        </w:rPr>
        <w:t xml:space="preserve">ACCEPTANCE CRITERIA</w:t>
      </w:r>
    </w:p>
    <w:p>
      <w:pPr>
        <w:pStyle w:val="ListParagraph"/>
        <w:numPr>
          <w:ilvl w:val="0"/>
          <w:numId w:val="2"/>
        </w:numPr>
        <w:spacing w:before="60" w:after="60"/>
      </w:pPr>
      <w:r>
        <w:rPr>
          <w:rFonts w:ascii="Arial" w:cs="Arial" w:eastAsia="Arial" w:hAnsi="Arial"/>
          <w:color w:val="0B2545"/>
          <w:sz w:val="20"/>
          <w:szCs w:val="20"/>
        </w:rPr>
        <w:t xml:space="preserve">All 7 PDFs are accessible from download panels in Chapters 3 and 4</w:t>
      </w:r>
    </w:p>
    <w:p>
      <w:pPr>
        <w:pStyle w:val="ListParagraph"/>
        <w:numPr>
          <w:ilvl w:val="0"/>
          <w:numId w:val="2"/>
        </w:numPr>
        <w:spacing w:before="60" w:after="60"/>
      </w:pPr>
      <w:r>
        <w:rPr>
          <w:rFonts w:ascii="Arial" w:cs="Arial" w:eastAsia="Arial" w:hAnsi="Arial"/>
          <w:color w:val="0B2545"/>
          <w:sz w:val="20"/>
          <w:szCs w:val="20"/>
        </w:rPr>
        <w:t xml:space="preserve">Each PDF opens correctly in-browser and on mobile</w:t>
      </w:r>
    </w:p>
    <w:p>
      <w:pPr>
        <w:pStyle w:val="ListParagraph"/>
        <w:numPr>
          <w:ilvl w:val="0"/>
          <w:numId w:val="2"/>
        </w:numPr>
        <w:spacing w:before="60" w:after="60"/>
      </w:pPr>
      <w:r>
        <w:rPr>
          <w:rFonts w:ascii="Arial" w:cs="Arial" w:eastAsia="Arial" w:hAnsi="Arial"/>
          <w:color w:val="0B2545"/>
          <w:sz w:val="20"/>
          <w:szCs w:val="20"/>
        </w:rPr>
        <w:t xml:space="preserve">Every PDF is designed — not auto-generated or plain-text — with consistent brand application</w:t>
      </w:r>
    </w:p>
    <w:p>
      <w:pPr>
        <w:pStyle w:val="ListParagraph"/>
        <w:numPr>
          <w:ilvl w:val="0"/>
          <w:numId w:val="2"/>
        </w:numPr>
        <w:spacing w:before="60" w:after="60"/>
      </w:pPr>
      <w:r>
        <w:rPr>
          <w:rFonts w:ascii="Arial" w:cs="Arial" w:eastAsia="Arial" w:hAnsi="Arial"/>
          <w:color w:val="0B2545"/>
          <w:sz w:val="20"/>
          <w:szCs w:val="20"/>
        </w:rPr>
        <w:t xml:space="preserve">Portfolio disclaimer appears on every document</w:t>
      </w:r>
    </w:p>
    <w:p>
      <w:pPr>
        <w:pStyle w:val="ListParagraph"/>
        <w:numPr>
          <w:ilvl w:val="0"/>
          <w:numId w:val="2"/>
        </w:numPr>
        <w:spacing w:before="60" w:after="60"/>
      </w:pPr>
      <w:r>
        <w:rPr>
          <w:rFonts w:ascii="Arial" w:cs="Arial" w:eastAsia="Arial" w:hAnsi="Arial"/>
          <w:color w:val="0B2545"/>
          <w:sz w:val="20"/>
          <w:szCs w:val="20"/>
        </w:rPr>
        <w:t xml:space="preserve">Filenames follow the naming convention</w:t>
      </w:r>
    </w:p>
    <w:p>
      <w:pPr>
        <w:pStyle w:val="ListParagraph"/>
        <w:numPr>
          <w:ilvl w:val="0"/>
          <w:numId w:val="2"/>
        </w:numPr>
        <w:spacing w:before="60" w:after="60"/>
      </w:pPr>
      <w:r>
        <w:rPr>
          <w:rFonts w:ascii="Arial" w:cs="Arial" w:eastAsia="Arial" w:hAnsi="Arial"/>
          <w:color w:val="0B2545"/>
          <w:sz w:val="20"/>
          <w:szCs w:val="20"/>
        </w:rPr>
        <w:t xml:space="preserve">Voice and tone are consistent across all documents — precise, urgent, confident, specific</w:t>
      </w:r>
    </w:p>
    <w:p>
      <w:pPr>
        <w:spacing w:before="300" w:after="0"/>
      </w:pPr>
    </w:p>
    <w:p>
      <w:pPr>
        <w:pBdr>
          <w:bottom w:val="single" w:color="CBD5E0" w:sz="2" w:space="1"/>
        </w:pBdr>
        <w:spacing w:before="120" w:after="120"/>
      </w:pPr>
    </w:p>
    <w:p>
      <w:pPr>
        <w:spacing w:before="100" w:after="0"/>
      </w:pPr>
    </w:p>
    <w:p>
      <w:pPr>
        <w:spacing w:before="0" w:after="60"/>
        <w:jc w:val="center"/>
      </w:pPr>
      <w:r>
        <w:rPr>
          <w:rFonts w:ascii="Arial" w:cs="Arial" w:eastAsia="Arial" w:hAnsi="Arial"/>
          <w:b/>
          <w:bCs/>
          <w:color w:val="007EA7"/>
          <w:spacing w:val="200"/>
          <w:sz w:val="18"/>
          <w:szCs w:val="18"/>
        </w:rPr>
        <w:t xml:space="preserve">END OF PRD SUITE</w:t>
      </w:r>
    </w:p>
    <w:p>
      <w:pPr>
        <w:spacing w:before="0" w:after="0"/>
        <w:jc w:val="center"/>
      </w:pPr>
      <w:r>
        <w:rPr>
          <w:rFonts w:ascii="Arial" w:cs="Arial" w:eastAsia="Arial" w:hAnsi="Arial"/>
          <w:i/>
          <w:iCs/>
          <w:color w:val="4A5568"/>
          <w:sz w:val="18"/>
          <w:szCs w:val="18"/>
        </w:rPr>
        <w:t xml:space="preserve">Pelagic IntelX · Portfolio Case Study · Ai2 Senior Communications Specialist Application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1"/>
      </w:pBdr>
      <w:tabs>
        <w:tab w:val="right" w:pos="9026"/>
      </w:tabs>
      <w:spacing w:before="100" w:after="0"/>
    </w:pPr>
    <w:r>
      <w:rPr>
        <w:rFonts w:ascii="Arial" w:cs="Arial" w:eastAsia="Arial" w:hAnsi="Arial"/>
        <w:i/>
        <w:iCs/>
        <w:color w:val="4A5568"/>
        <w:sz w:val="16"/>
        <w:szCs w:val="16"/>
      </w:rPr>
      <w:t xml:space="preserve">Confidential · Portfolio purposes only</w:t>
    </w:r>
    <w:r>
      <w:rPr>
        <w:rFonts w:ascii="Arial" w:cs="Arial" w:eastAsia="Arial" w:hAnsi="Arial"/>
        <w:sz w:val="16"/>
        <w:szCs w:val="16"/>
      </w:rPr>
      <w:t xml:space="preserve">	</w:t>
    </w:r>
    <w:r>
      <w:rPr>
        <w:rFonts w:ascii="Arial" w:cs="Arial" w:eastAsia="Arial" w:hAnsi="Arial"/>
        <w:color w:val="4A556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EA7" w:sz="4" w:space="1"/>
      </w:pBdr>
      <w:spacing w:before="0" w:after="120"/>
    </w:pPr>
    <w:r>
      <w:rPr>
        <w:rFonts w:ascii="Arial" w:cs="Arial" w:eastAsia="Arial" w:hAnsi="Arial"/>
        <w:b/>
        <w:bCs/>
        <w:color w:val="0B2545"/>
        <w:spacing w:val="100"/>
        <w:sz w:val="16"/>
        <w:szCs w:val="16"/>
      </w:rPr>
      <w:t xml:space="preserve">PELAGIC INTELX</w:t>
    </w:r>
    <w:r>
      <w:rPr>
        <w:rFonts w:ascii="Arial" w:cs="Arial" w:eastAsia="Arial" w:hAnsi="Arial"/>
        <w:color w:val="4A5568"/>
        <w:sz w:val="16"/>
        <w:szCs w:val="16"/>
      </w:rPr>
      <w:t xml:space="preserve">  ·  Product Requirements Document Suite  ·  Portfolio — Ai2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007EA7"/>
      </w:rPr>
    </w:lvl>
  </w:abstractNum>
  <w:abstractNum w:abstractNumId="3" w15:restartNumberingAfterBreak="0">
    <w:multiLevelType w:val="hybridMultilevel"/>
    <w:lvl w:ilvl="0" w15:tentative="1">
      <w:start w:val="1"/>
      <w:numFmt w:val="bullet"/>
      <w:lvlText w:val="–"/>
      <w:lvlJc w:val="left"/>
      <w:pPr>
        <w:ind w:left="900" w:hanging="280"/>
      </w:pPr>
      <w:rPr>
        <w:rFonts w:ascii="Arial" w:cs="Arial" w:eastAsia="Arial" w:hAnsi="Arial"/>
        <w:color w:val="4A556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25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2026-03-25T01:51:40.080Z</dcterms:created>
  <dcterms:modified xsi:type="dcterms:W3CDTF">2026-03-25T01:51:40.081Z</dcterms:modified>
</cp:coreProperties>
</file>

<file path=docProps/custom.xml><?xml version="1.0" encoding="utf-8"?>
<Properties xmlns="http://schemas.openxmlformats.org/officeDocument/2006/custom-properties" xmlns:vt="http://schemas.openxmlformats.org/officeDocument/2006/docPropsVTypes"/>
</file>